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26393349"/>
        <w:docPartObj>
          <w:docPartGallery w:val="Cover Pages"/>
          <w:docPartUnique/>
        </w:docPartObj>
      </w:sdtPr>
      <w:sdtEndPr>
        <w:rPr>
          <w:rFonts w:ascii="Arial Narrow" w:hAnsi="Arial Narrow"/>
          <w:sz w:val="24"/>
          <w:szCs w:val="24"/>
          <w:lang w:val="en-US"/>
        </w:rPr>
      </w:sdtEndPr>
      <w:sdtContent>
        <w:p w14:paraId="11FA8446" w14:textId="77777777" w:rsidR="006459B6" w:rsidRDefault="006459B6"/>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6459B6" w14:paraId="73E9D289" w14:textId="77777777">
            <w:sdt>
              <w:sdtPr>
                <w:rPr>
                  <w:rFonts w:ascii="Arial Narrow" w:hAnsi="Arial Narrow"/>
                  <w:color w:val="2F5496" w:themeColor="accent1" w:themeShade="BF"/>
                  <w:sz w:val="36"/>
                  <w:szCs w:val="36"/>
                </w:rPr>
                <w:alias w:val="Company"/>
                <w:id w:val="13406915"/>
                <w:placeholder>
                  <w:docPart w:val="4FE8CBBC26CA4757BE763973F54AC079"/>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52B13923" w14:textId="77777777" w:rsidR="006459B6" w:rsidRPr="006459B6" w:rsidRDefault="006459B6">
                    <w:pPr>
                      <w:pStyle w:val="NoSpacing"/>
                      <w:rPr>
                        <w:rFonts w:ascii="Arial Narrow" w:hAnsi="Arial Narrow"/>
                        <w:color w:val="2F5496" w:themeColor="accent1" w:themeShade="BF"/>
                        <w:sz w:val="24"/>
                      </w:rPr>
                    </w:pPr>
                    <w:proofErr w:type="spellStart"/>
                    <w:r w:rsidRPr="006459B6">
                      <w:rPr>
                        <w:rFonts w:ascii="Arial Narrow" w:hAnsi="Arial Narrow"/>
                        <w:color w:val="2F5496" w:themeColor="accent1" w:themeShade="BF"/>
                        <w:sz w:val="36"/>
                        <w:szCs w:val="36"/>
                      </w:rPr>
                      <w:t>Vlada</w:t>
                    </w:r>
                    <w:proofErr w:type="spellEnd"/>
                    <w:r w:rsidRPr="006459B6">
                      <w:rPr>
                        <w:rFonts w:ascii="Arial Narrow" w:hAnsi="Arial Narrow"/>
                        <w:color w:val="2F5496" w:themeColor="accent1" w:themeShade="BF"/>
                        <w:sz w:val="36"/>
                        <w:szCs w:val="36"/>
                      </w:rPr>
                      <w:t xml:space="preserve"> </w:t>
                    </w:r>
                    <w:proofErr w:type="spellStart"/>
                    <w:r w:rsidRPr="006459B6">
                      <w:rPr>
                        <w:rFonts w:ascii="Arial Narrow" w:hAnsi="Arial Narrow"/>
                        <w:color w:val="2F5496" w:themeColor="accent1" w:themeShade="BF"/>
                        <w:sz w:val="36"/>
                        <w:szCs w:val="36"/>
                      </w:rPr>
                      <w:t>Crne</w:t>
                    </w:r>
                    <w:proofErr w:type="spellEnd"/>
                    <w:r w:rsidRPr="006459B6">
                      <w:rPr>
                        <w:rFonts w:ascii="Arial Narrow" w:hAnsi="Arial Narrow"/>
                        <w:color w:val="2F5496" w:themeColor="accent1" w:themeShade="BF"/>
                        <w:sz w:val="36"/>
                        <w:szCs w:val="36"/>
                      </w:rPr>
                      <w:t xml:space="preserve"> Gore</w:t>
                    </w:r>
                  </w:p>
                </w:tc>
              </w:sdtContent>
            </w:sdt>
          </w:tr>
          <w:tr w:rsidR="006459B6" w14:paraId="3D63D94F" w14:textId="77777777">
            <w:tc>
              <w:tcPr>
                <w:tcW w:w="7672" w:type="dxa"/>
              </w:tcPr>
              <w:sdt>
                <w:sdtPr>
                  <w:rPr>
                    <w:rFonts w:ascii="Arial Narrow" w:eastAsiaTheme="majorEastAsia" w:hAnsi="Arial Narrow" w:cstheme="majorBidi"/>
                    <w:color w:val="4472C4" w:themeColor="accent1"/>
                    <w:sz w:val="88"/>
                    <w:szCs w:val="88"/>
                  </w:rPr>
                  <w:alias w:val="Title"/>
                  <w:id w:val="13406919"/>
                  <w:placeholder>
                    <w:docPart w:val="CA9896199D2E4A7596572C84178200ED"/>
                  </w:placeholder>
                  <w:dataBinding w:prefixMappings="xmlns:ns0='http://schemas.openxmlformats.org/package/2006/metadata/core-properties' xmlns:ns1='http://purl.org/dc/elements/1.1/'" w:xpath="/ns0:coreProperties[1]/ns1:title[1]" w:storeItemID="{6C3C8BC8-F283-45AE-878A-BAB7291924A1}"/>
                  <w:text/>
                </w:sdtPr>
                <w:sdtEndPr/>
                <w:sdtContent>
                  <w:p w14:paraId="6C3EB99E" w14:textId="77777777" w:rsidR="006459B6" w:rsidRPr="006459B6" w:rsidRDefault="006459B6" w:rsidP="0067749C">
                    <w:pPr>
                      <w:pStyle w:val="NoSpacing"/>
                      <w:spacing w:line="216" w:lineRule="auto"/>
                      <w:rPr>
                        <w:rFonts w:ascii="Arial Narrow" w:eastAsiaTheme="majorEastAsia" w:hAnsi="Arial Narrow" w:cstheme="majorBidi"/>
                        <w:color w:val="4472C4" w:themeColor="accent1"/>
                        <w:sz w:val="88"/>
                        <w:szCs w:val="88"/>
                      </w:rPr>
                    </w:pPr>
                    <w:proofErr w:type="spellStart"/>
                    <w:r w:rsidRPr="006459B6">
                      <w:rPr>
                        <w:rFonts w:ascii="Arial Narrow" w:eastAsiaTheme="majorEastAsia" w:hAnsi="Arial Narrow" w:cstheme="majorBidi"/>
                        <w:color w:val="4472C4" w:themeColor="accent1"/>
                        <w:sz w:val="88"/>
                        <w:szCs w:val="88"/>
                      </w:rPr>
                      <w:t>Srednjoročni</w:t>
                    </w:r>
                    <w:proofErr w:type="spellEnd"/>
                    <w:r w:rsidRPr="006459B6">
                      <w:rPr>
                        <w:rFonts w:ascii="Arial Narrow" w:eastAsiaTheme="majorEastAsia" w:hAnsi="Arial Narrow" w:cstheme="majorBidi"/>
                        <w:color w:val="4472C4" w:themeColor="accent1"/>
                        <w:sz w:val="88"/>
                        <w:szCs w:val="88"/>
                      </w:rPr>
                      <w:t xml:space="preserve"> program </w:t>
                    </w:r>
                    <w:proofErr w:type="spellStart"/>
                    <w:r w:rsidRPr="006459B6">
                      <w:rPr>
                        <w:rFonts w:ascii="Arial Narrow" w:eastAsiaTheme="majorEastAsia" w:hAnsi="Arial Narrow" w:cstheme="majorBidi"/>
                        <w:color w:val="4472C4" w:themeColor="accent1"/>
                        <w:sz w:val="88"/>
                        <w:szCs w:val="88"/>
                      </w:rPr>
                      <w:t>rada</w:t>
                    </w:r>
                    <w:proofErr w:type="spellEnd"/>
                    <w:r w:rsidRPr="006459B6">
                      <w:rPr>
                        <w:rFonts w:ascii="Arial Narrow" w:eastAsiaTheme="majorEastAsia" w:hAnsi="Arial Narrow" w:cstheme="majorBidi"/>
                        <w:color w:val="4472C4" w:themeColor="accent1"/>
                        <w:sz w:val="88"/>
                        <w:szCs w:val="88"/>
                      </w:rPr>
                      <w:t xml:space="preserve"> Vlade 2022-2024. s </w:t>
                    </w:r>
                    <w:proofErr w:type="spellStart"/>
                    <w:r w:rsidRPr="006459B6">
                      <w:rPr>
                        <w:rFonts w:ascii="Arial Narrow" w:eastAsiaTheme="majorEastAsia" w:hAnsi="Arial Narrow" w:cstheme="majorBidi"/>
                        <w:color w:val="4472C4" w:themeColor="accent1"/>
                        <w:sz w:val="88"/>
                        <w:szCs w:val="88"/>
                      </w:rPr>
                      <w:t>programom</w:t>
                    </w:r>
                    <w:proofErr w:type="spellEnd"/>
                    <w:r w:rsidRPr="006459B6">
                      <w:rPr>
                        <w:rFonts w:ascii="Arial Narrow" w:eastAsiaTheme="majorEastAsia" w:hAnsi="Arial Narrow" w:cstheme="majorBidi"/>
                        <w:color w:val="4472C4" w:themeColor="accent1"/>
                        <w:sz w:val="88"/>
                        <w:szCs w:val="88"/>
                      </w:rPr>
                      <w:t xml:space="preserve"> </w:t>
                    </w:r>
                    <w:proofErr w:type="spellStart"/>
                    <w:r w:rsidRPr="006459B6">
                      <w:rPr>
                        <w:rFonts w:ascii="Arial Narrow" w:eastAsiaTheme="majorEastAsia" w:hAnsi="Arial Narrow" w:cstheme="majorBidi"/>
                        <w:color w:val="4472C4" w:themeColor="accent1"/>
                        <w:sz w:val="88"/>
                        <w:szCs w:val="88"/>
                      </w:rPr>
                      <w:t>rada</w:t>
                    </w:r>
                    <w:proofErr w:type="spellEnd"/>
                    <w:r w:rsidRPr="006459B6">
                      <w:rPr>
                        <w:rFonts w:ascii="Arial Narrow" w:eastAsiaTheme="majorEastAsia" w:hAnsi="Arial Narrow" w:cstheme="majorBidi"/>
                        <w:color w:val="4472C4" w:themeColor="accent1"/>
                        <w:sz w:val="88"/>
                        <w:szCs w:val="88"/>
                      </w:rPr>
                      <w:t xml:space="preserve"> za 2022. </w:t>
                    </w:r>
                    <w:proofErr w:type="spellStart"/>
                    <w:r w:rsidRPr="006459B6">
                      <w:rPr>
                        <w:rFonts w:ascii="Arial Narrow" w:eastAsiaTheme="majorEastAsia" w:hAnsi="Arial Narrow" w:cstheme="majorBidi"/>
                        <w:color w:val="4472C4" w:themeColor="accent1"/>
                        <w:sz w:val="88"/>
                        <w:szCs w:val="88"/>
                      </w:rPr>
                      <w:t>godinu</w:t>
                    </w:r>
                    <w:proofErr w:type="spellEnd"/>
                  </w:p>
                </w:sdtContent>
              </w:sdt>
            </w:tc>
          </w:tr>
          <w:tr w:rsidR="006459B6" w14:paraId="705ABF37" w14:textId="77777777">
            <w:sdt>
              <w:sdtPr>
                <w:rPr>
                  <w:rFonts w:ascii="Arial Narrow" w:hAnsi="Arial Narrow"/>
                  <w:color w:val="2F5496" w:themeColor="accent1" w:themeShade="BF"/>
                  <w:sz w:val="32"/>
                  <w:szCs w:val="32"/>
                </w:rPr>
                <w:alias w:val="Subtitle"/>
                <w:id w:val="13406923"/>
                <w:placeholder>
                  <w:docPart w:val="9C36955E5D0445729FA46E8C51140209"/>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3A948FBB" w14:textId="77777777" w:rsidR="006459B6" w:rsidRDefault="006459B6">
                    <w:pPr>
                      <w:pStyle w:val="NoSpacing"/>
                      <w:rPr>
                        <w:color w:val="2F5496" w:themeColor="accent1" w:themeShade="BF"/>
                        <w:sz w:val="24"/>
                      </w:rPr>
                    </w:pPr>
                    <w:r w:rsidRPr="006459B6">
                      <w:rPr>
                        <w:rFonts w:ascii="Arial Narrow" w:hAnsi="Arial Narrow"/>
                        <w:color w:val="2F5496" w:themeColor="accent1" w:themeShade="BF"/>
                        <w:sz w:val="32"/>
                        <w:szCs w:val="32"/>
                      </w:rPr>
                      <w:t>NACRT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6459B6" w14:paraId="5D52E2ED" w14:textId="77777777">
            <w:tc>
              <w:tcPr>
                <w:tcW w:w="7221" w:type="dxa"/>
                <w:tcMar>
                  <w:top w:w="216" w:type="dxa"/>
                  <w:left w:w="115" w:type="dxa"/>
                  <w:bottom w:w="216" w:type="dxa"/>
                  <w:right w:w="115" w:type="dxa"/>
                </w:tcMar>
              </w:tcPr>
              <w:p w14:paraId="6466895B" w14:textId="77777777" w:rsidR="006459B6" w:rsidRDefault="006459B6">
                <w:pPr>
                  <w:pStyle w:val="NoSpacing"/>
                  <w:rPr>
                    <w:color w:val="4472C4" w:themeColor="accent1"/>
                    <w:sz w:val="28"/>
                    <w:szCs w:val="28"/>
                  </w:rPr>
                </w:pPr>
              </w:p>
              <w:sdt>
                <w:sdtPr>
                  <w:rPr>
                    <w:rFonts w:ascii="Arial Narrow" w:hAnsi="Arial Narrow"/>
                    <w:color w:val="4472C4" w:themeColor="accent1"/>
                    <w:sz w:val="28"/>
                    <w:szCs w:val="28"/>
                  </w:rPr>
                  <w:alias w:val="Date"/>
                  <w:tag w:val="Date"/>
                  <w:id w:val="13406932"/>
                  <w:placeholder>
                    <w:docPart w:val="A339504AC3924FBA962F5E7D15038F8C"/>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4CB042F2" w14:textId="77777777" w:rsidR="006459B6" w:rsidRPr="006459B6" w:rsidRDefault="006459B6">
                    <w:pPr>
                      <w:pStyle w:val="NoSpacing"/>
                      <w:rPr>
                        <w:rFonts w:ascii="Arial Narrow" w:hAnsi="Arial Narrow"/>
                        <w:color w:val="4472C4" w:themeColor="accent1"/>
                        <w:sz w:val="28"/>
                        <w:szCs w:val="28"/>
                      </w:rPr>
                    </w:pPr>
                    <w:r w:rsidRPr="006459B6">
                      <w:rPr>
                        <w:rFonts w:ascii="Arial Narrow" w:hAnsi="Arial Narrow"/>
                        <w:color w:val="4472C4" w:themeColor="accent1"/>
                        <w:sz w:val="28"/>
                        <w:szCs w:val="28"/>
                      </w:rPr>
                      <w:t>3. XII 2021.</w:t>
                    </w:r>
                  </w:p>
                </w:sdtContent>
              </w:sdt>
              <w:p w14:paraId="2105246B" w14:textId="77777777" w:rsidR="006459B6" w:rsidRDefault="006459B6">
                <w:pPr>
                  <w:pStyle w:val="NoSpacing"/>
                  <w:rPr>
                    <w:color w:val="4472C4" w:themeColor="accent1"/>
                  </w:rPr>
                </w:pPr>
              </w:p>
            </w:tc>
          </w:tr>
        </w:tbl>
        <w:p w14:paraId="4FD897EE" w14:textId="77777777" w:rsidR="00EB2A14" w:rsidRDefault="006459B6" w:rsidP="006459B6">
          <w:pPr>
            <w:rPr>
              <w:rFonts w:ascii="Arial Narrow" w:hAnsi="Arial Narrow"/>
              <w:sz w:val="24"/>
              <w:szCs w:val="24"/>
              <w:lang w:val="en-US"/>
            </w:rPr>
          </w:pPr>
          <w:r>
            <w:rPr>
              <w:rFonts w:ascii="Arial Narrow" w:hAnsi="Arial Narrow"/>
              <w:sz w:val="24"/>
              <w:szCs w:val="24"/>
              <w:lang w:val="en-US"/>
            </w:rPr>
            <w:br w:type="page"/>
          </w:r>
        </w:p>
      </w:sdtContent>
    </w:sdt>
    <w:p w14:paraId="43496CA3" w14:textId="77777777" w:rsidR="00EB2A14" w:rsidRPr="006459B6" w:rsidRDefault="00EB2A14" w:rsidP="006459B6">
      <w:pPr>
        <w:pStyle w:val="Heading1"/>
        <w:jc w:val="center"/>
        <w:rPr>
          <w:rFonts w:ascii="Arial Narrow" w:hAnsi="Arial Narrow"/>
          <w:lang w:val="en-US"/>
        </w:rPr>
      </w:pPr>
      <w:proofErr w:type="spellStart"/>
      <w:r w:rsidRPr="006459B6">
        <w:rPr>
          <w:rFonts w:ascii="Arial Narrow" w:hAnsi="Arial Narrow"/>
          <w:lang w:val="en-US"/>
        </w:rPr>
        <w:lastRenderedPageBreak/>
        <w:t>Uvod</w:t>
      </w:r>
      <w:proofErr w:type="spellEnd"/>
    </w:p>
    <w:p w14:paraId="72D9879F" w14:textId="77777777" w:rsidR="00EB2A14" w:rsidRPr="00EB2A14" w:rsidRDefault="00EB2A14" w:rsidP="00EB2A14">
      <w:pPr>
        <w:jc w:val="both"/>
        <w:rPr>
          <w:rFonts w:ascii="Arial Narrow" w:hAnsi="Arial Narrow"/>
          <w:sz w:val="24"/>
          <w:szCs w:val="24"/>
          <w:lang w:val="en-US"/>
        </w:rPr>
      </w:pPr>
      <w:proofErr w:type="spellStart"/>
      <w:r w:rsidRPr="00EB2A14">
        <w:rPr>
          <w:rFonts w:ascii="Arial Narrow" w:hAnsi="Arial Narrow"/>
          <w:sz w:val="24"/>
          <w:szCs w:val="24"/>
          <w:lang w:val="en-US"/>
        </w:rPr>
        <w:t>Prije</w:t>
      </w:r>
      <w:proofErr w:type="spellEnd"/>
      <w:r w:rsidRPr="00EB2A14">
        <w:rPr>
          <w:rFonts w:ascii="Arial Narrow" w:hAnsi="Arial Narrow"/>
          <w:sz w:val="24"/>
          <w:szCs w:val="24"/>
          <w:lang w:val="en-US"/>
        </w:rPr>
        <w:t xml:space="preserve"> </w:t>
      </w:r>
      <w:proofErr w:type="spellStart"/>
      <w:r w:rsidRPr="00EB2A14">
        <w:rPr>
          <w:rFonts w:ascii="Arial Narrow" w:hAnsi="Arial Narrow"/>
          <w:sz w:val="24"/>
          <w:szCs w:val="24"/>
          <w:lang w:val="en-US"/>
        </w:rPr>
        <w:t>godinu</w:t>
      </w:r>
      <w:proofErr w:type="spellEnd"/>
      <w:r w:rsidRPr="00EB2A14">
        <w:rPr>
          <w:rFonts w:ascii="Arial Narrow" w:hAnsi="Arial Narrow"/>
          <w:sz w:val="24"/>
          <w:szCs w:val="24"/>
          <w:lang w:val="en-US"/>
        </w:rPr>
        <w:t xml:space="preserve"> dana</w:t>
      </w:r>
      <w:r>
        <w:rPr>
          <w:rFonts w:ascii="Arial Narrow" w:hAnsi="Arial Narrow"/>
          <w:sz w:val="24"/>
          <w:szCs w:val="24"/>
          <w:lang w:val="en-US"/>
        </w:rPr>
        <w:t xml:space="preserve"> </w:t>
      </w:r>
      <w:proofErr w:type="spellStart"/>
      <w:r w:rsidRPr="00EB2A14">
        <w:rPr>
          <w:rFonts w:ascii="Arial Narrow" w:hAnsi="Arial Narrow"/>
          <w:sz w:val="24"/>
          <w:szCs w:val="24"/>
          <w:lang w:val="en-US"/>
        </w:rPr>
        <w:t>postavljen</w:t>
      </w:r>
      <w:proofErr w:type="spellEnd"/>
      <w:r w:rsidRPr="00EB2A14">
        <w:rPr>
          <w:rFonts w:ascii="Arial Narrow" w:hAnsi="Arial Narrow"/>
          <w:sz w:val="24"/>
          <w:szCs w:val="24"/>
          <w:lang w:val="en-US"/>
        </w:rPr>
        <w:t xml:space="preserve"> je </w:t>
      </w:r>
      <w:proofErr w:type="spellStart"/>
      <w:r w:rsidRPr="00EB2A14">
        <w:rPr>
          <w:rFonts w:ascii="Arial Narrow" w:hAnsi="Arial Narrow"/>
          <w:sz w:val="24"/>
          <w:szCs w:val="24"/>
          <w:lang w:val="en-US"/>
        </w:rPr>
        <w:t>kamen</w:t>
      </w:r>
      <w:proofErr w:type="spellEnd"/>
      <w:r w:rsidRPr="00EB2A14">
        <w:rPr>
          <w:rFonts w:ascii="Arial Narrow" w:hAnsi="Arial Narrow"/>
          <w:sz w:val="24"/>
          <w:szCs w:val="24"/>
          <w:lang w:val="en-US"/>
        </w:rPr>
        <w:t xml:space="preserve"> </w:t>
      </w:r>
      <w:proofErr w:type="spellStart"/>
      <w:r w:rsidRPr="00EB2A14">
        <w:rPr>
          <w:rFonts w:ascii="Arial Narrow" w:hAnsi="Arial Narrow"/>
          <w:sz w:val="24"/>
          <w:szCs w:val="24"/>
          <w:lang w:val="en-US"/>
        </w:rPr>
        <w:t>temeljac</w:t>
      </w:r>
      <w:proofErr w:type="spellEnd"/>
      <w:r w:rsidRPr="00EB2A14">
        <w:rPr>
          <w:rFonts w:ascii="Arial Narrow" w:hAnsi="Arial Narrow"/>
          <w:sz w:val="24"/>
          <w:szCs w:val="24"/>
          <w:lang w:val="en-US"/>
        </w:rPr>
        <w:t xml:space="preserve"> za </w:t>
      </w:r>
      <w:proofErr w:type="spellStart"/>
      <w:r w:rsidRPr="00EB2A14">
        <w:rPr>
          <w:rFonts w:ascii="Arial Narrow" w:hAnsi="Arial Narrow"/>
          <w:sz w:val="24"/>
          <w:szCs w:val="24"/>
          <w:lang w:val="en-US"/>
        </w:rPr>
        <w:t>prioritete</w:t>
      </w:r>
      <w:proofErr w:type="spellEnd"/>
      <w:r w:rsidRPr="00EB2A14">
        <w:rPr>
          <w:rFonts w:ascii="Arial Narrow" w:hAnsi="Arial Narrow"/>
          <w:sz w:val="24"/>
          <w:szCs w:val="24"/>
          <w:lang w:val="en-US"/>
        </w:rPr>
        <w:t xml:space="preserve"> </w:t>
      </w:r>
      <w:proofErr w:type="spellStart"/>
      <w:r w:rsidRPr="00EB2A14">
        <w:rPr>
          <w:rFonts w:ascii="Arial Narrow" w:hAnsi="Arial Narrow"/>
          <w:sz w:val="24"/>
          <w:szCs w:val="24"/>
          <w:lang w:val="en-US"/>
        </w:rPr>
        <w:t>kojima</w:t>
      </w:r>
      <w:proofErr w:type="spellEnd"/>
      <w:r w:rsidRPr="00EB2A14">
        <w:rPr>
          <w:rFonts w:ascii="Arial Narrow" w:hAnsi="Arial Narrow"/>
          <w:sz w:val="24"/>
          <w:szCs w:val="24"/>
          <w:lang w:val="en-US"/>
        </w:rPr>
        <w:t xml:space="preserve"> se </w:t>
      </w:r>
      <w:proofErr w:type="spellStart"/>
      <w:r w:rsidRPr="00EB2A14">
        <w:rPr>
          <w:rFonts w:ascii="Arial Narrow" w:hAnsi="Arial Narrow"/>
          <w:sz w:val="24"/>
          <w:szCs w:val="24"/>
          <w:lang w:val="en-US"/>
        </w:rPr>
        <w:t>utvrđuje</w:t>
      </w:r>
      <w:proofErr w:type="spellEnd"/>
      <w:r w:rsidRPr="00EB2A14">
        <w:rPr>
          <w:rFonts w:ascii="Arial Narrow" w:hAnsi="Arial Narrow"/>
          <w:sz w:val="24"/>
          <w:szCs w:val="24"/>
          <w:lang w:val="en-US"/>
        </w:rPr>
        <w:t xml:space="preserve"> </w:t>
      </w:r>
      <w:proofErr w:type="spellStart"/>
      <w:r w:rsidRPr="00EB2A14">
        <w:rPr>
          <w:rFonts w:ascii="Arial Narrow" w:hAnsi="Arial Narrow"/>
          <w:sz w:val="24"/>
          <w:szCs w:val="24"/>
          <w:lang w:val="en-US"/>
        </w:rPr>
        <w:t>vizija</w:t>
      </w:r>
      <w:proofErr w:type="spellEnd"/>
      <w:r w:rsidRPr="00EB2A14">
        <w:rPr>
          <w:rFonts w:ascii="Arial Narrow" w:hAnsi="Arial Narrow"/>
          <w:sz w:val="24"/>
          <w:szCs w:val="24"/>
          <w:lang w:val="en-US"/>
        </w:rPr>
        <w:t xml:space="preserve"> </w:t>
      </w:r>
      <w:proofErr w:type="spellStart"/>
      <w:r w:rsidRPr="00EB2A14">
        <w:rPr>
          <w:rFonts w:ascii="Arial Narrow" w:hAnsi="Arial Narrow"/>
          <w:sz w:val="24"/>
          <w:szCs w:val="24"/>
          <w:lang w:val="en-US"/>
        </w:rPr>
        <w:t>razvoja</w:t>
      </w:r>
      <w:proofErr w:type="spellEnd"/>
      <w:r w:rsidRPr="00EB2A14">
        <w:rPr>
          <w:rFonts w:ascii="Arial Narrow" w:hAnsi="Arial Narrow"/>
          <w:sz w:val="24"/>
          <w:szCs w:val="24"/>
          <w:lang w:val="en-US"/>
        </w:rPr>
        <w:t xml:space="preserve"> </w:t>
      </w:r>
      <w:proofErr w:type="spellStart"/>
      <w:r w:rsidRPr="00EB2A14">
        <w:rPr>
          <w:rFonts w:ascii="Arial Narrow" w:hAnsi="Arial Narrow"/>
          <w:sz w:val="24"/>
          <w:szCs w:val="24"/>
          <w:lang w:val="en-US"/>
        </w:rPr>
        <w:t>Crne</w:t>
      </w:r>
      <w:proofErr w:type="spellEnd"/>
      <w:r w:rsidRPr="00EB2A14">
        <w:rPr>
          <w:rFonts w:ascii="Arial Narrow" w:hAnsi="Arial Narrow"/>
          <w:sz w:val="24"/>
          <w:szCs w:val="24"/>
          <w:lang w:val="en-US"/>
        </w:rPr>
        <w:t xml:space="preserve"> Gore.</w:t>
      </w:r>
    </w:p>
    <w:p w14:paraId="1E34D9DF" w14:textId="77777777" w:rsidR="00EB2A14" w:rsidRDefault="005B4BE7" w:rsidP="00EB2A14">
      <w:pPr>
        <w:jc w:val="both"/>
        <w:rPr>
          <w:rFonts w:ascii="Arial Narrow" w:hAnsi="Arial Narrow"/>
          <w:sz w:val="24"/>
          <w:szCs w:val="24"/>
          <w:lang w:val="en-US"/>
        </w:rPr>
      </w:pPr>
      <w:r w:rsidRPr="00B74B5C">
        <w:rPr>
          <w:noProof/>
          <w:lang w:val="en-US"/>
        </w:rPr>
        <w:drawing>
          <wp:anchor distT="0" distB="0" distL="114300" distR="114300" simplePos="0" relativeHeight="251663360" behindDoc="0" locked="0" layoutInCell="1" allowOverlap="1" wp14:anchorId="72996476" wp14:editId="01AFFEE1">
            <wp:simplePos x="0" y="0"/>
            <wp:positionH relativeFrom="margin">
              <wp:posOffset>5425440</wp:posOffset>
            </wp:positionH>
            <wp:positionV relativeFrom="paragraph">
              <wp:posOffset>67310</wp:posOffset>
            </wp:positionV>
            <wp:extent cx="464185" cy="466725"/>
            <wp:effectExtent l="0" t="0" r="0" b="9525"/>
            <wp:wrapSquare wrapText="bothSides"/>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185" cy="4667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B2A14" w:rsidRPr="00EB2A14">
        <w:rPr>
          <w:rFonts w:ascii="Arial Narrow" w:hAnsi="Arial Narrow"/>
          <w:sz w:val="24"/>
          <w:szCs w:val="24"/>
          <w:lang w:val="en-US"/>
        </w:rPr>
        <w:t>Godi</w:t>
      </w:r>
      <w:r w:rsidR="00EB2A14">
        <w:rPr>
          <w:rFonts w:ascii="Arial Narrow" w:hAnsi="Arial Narrow"/>
          <w:sz w:val="24"/>
          <w:szCs w:val="24"/>
          <w:lang w:val="en-US"/>
        </w:rPr>
        <w:t>š</w:t>
      </w:r>
      <w:r w:rsidR="00EB2A14" w:rsidRPr="00EB2A14">
        <w:rPr>
          <w:rFonts w:ascii="Arial Narrow" w:hAnsi="Arial Narrow"/>
          <w:sz w:val="24"/>
          <w:szCs w:val="24"/>
          <w:lang w:val="en-US"/>
        </w:rPr>
        <w:t>njim</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programom</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rada</w:t>
      </w:r>
      <w:proofErr w:type="spellEnd"/>
      <w:r w:rsidR="00EB2A14">
        <w:rPr>
          <w:rFonts w:ascii="Arial Narrow" w:hAnsi="Arial Narrow"/>
          <w:sz w:val="24"/>
          <w:szCs w:val="24"/>
          <w:lang w:val="en-US"/>
        </w:rPr>
        <w:t xml:space="preserve"> za 2021,</w:t>
      </w:r>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Vlada</w:t>
      </w:r>
      <w:proofErr w:type="spellEnd"/>
      <w:r w:rsidR="00EB2A14" w:rsidRPr="00EB2A14">
        <w:rPr>
          <w:rFonts w:ascii="Arial Narrow" w:hAnsi="Arial Narrow"/>
          <w:sz w:val="24"/>
          <w:szCs w:val="24"/>
          <w:lang w:val="en-US"/>
        </w:rPr>
        <w:t xml:space="preserve"> je po </w:t>
      </w:r>
      <w:proofErr w:type="spellStart"/>
      <w:r w:rsidR="00EB2A14" w:rsidRPr="00EB2A14">
        <w:rPr>
          <w:rFonts w:ascii="Arial Narrow" w:hAnsi="Arial Narrow"/>
          <w:sz w:val="24"/>
          <w:szCs w:val="24"/>
          <w:lang w:val="en-US"/>
        </w:rPr>
        <w:t>prvi</w:t>
      </w:r>
      <w:proofErr w:type="spellEnd"/>
      <w:r w:rsidR="00EB2A14" w:rsidRPr="00EB2A14">
        <w:rPr>
          <w:rFonts w:ascii="Arial Narrow" w:hAnsi="Arial Narrow"/>
          <w:sz w:val="24"/>
          <w:szCs w:val="24"/>
          <w:lang w:val="en-US"/>
        </w:rPr>
        <w:t xml:space="preserve"> put </w:t>
      </w:r>
      <w:proofErr w:type="spellStart"/>
      <w:r w:rsidR="00EB2A14" w:rsidRPr="00EB2A14">
        <w:rPr>
          <w:rFonts w:ascii="Arial Narrow" w:hAnsi="Arial Narrow"/>
          <w:sz w:val="24"/>
          <w:szCs w:val="24"/>
          <w:lang w:val="en-US"/>
        </w:rPr>
        <w:t>definisala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ciljeve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kojima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ce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težiti</w:t>
      </w:r>
      <w:proofErr w:type="spellEnd"/>
      <w:r w:rsidR="00EB2A14" w:rsidRPr="00EB2A14">
        <w:rPr>
          <w:rFonts w:ascii="Arial Narrow" w:hAnsi="Arial Narrow"/>
          <w:sz w:val="24"/>
          <w:szCs w:val="24"/>
          <w:lang w:val="en-US"/>
        </w:rPr>
        <w:t xml:space="preserve"> u 202</w:t>
      </w:r>
      <w:r w:rsidR="00EB2A14">
        <w:rPr>
          <w:rFonts w:ascii="Arial Narrow" w:hAnsi="Arial Narrow"/>
          <w:sz w:val="24"/>
          <w:szCs w:val="24"/>
          <w:lang w:val="en-US"/>
        </w:rPr>
        <w:t>1</w:t>
      </w:r>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što</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jasno</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ukazuje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na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opredjeljenost</w:t>
      </w:r>
      <w:proofErr w:type="spellEnd"/>
      <w:r w:rsidR="00EB2A14" w:rsidRPr="00EB2A14">
        <w:rPr>
          <w:rFonts w:ascii="Arial Narrow" w:hAnsi="Arial Narrow"/>
          <w:sz w:val="24"/>
          <w:szCs w:val="24"/>
          <w:lang w:val="en-US"/>
        </w:rPr>
        <w:t xml:space="preserve"> Vlade da </w:t>
      </w:r>
      <w:proofErr w:type="spellStart"/>
      <w:r w:rsidR="00EB2A14" w:rsidRPr="00EB2A14">
        <w:rPr>
          <w:rFonts w:ascii="Arial Narrow" w:hAnsi="Arial Narrow"/>
          <w:sz w:val="24"/>
          <w:szCs w:val="24"/>
          <w:lang w:val="en-US"/>
        </w:rPr>
        <w:t>planiranje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politika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bude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or</w:t>
      </w:r>
      <w:r w:rsidR="00EB2A14">
        <w:rPr>
          <w:rFonts w:ascii="Arial Narrow" w:hAnsi="Arial Narrow"/>
          <w:sz w:val="24"/>
          <w:szCs w:val="24"/>
          <w:lang w:val="en-US"/>
        </w:rPr>
        <w:t>i</w:t>
      </w:r>
      <w:r w:rsidR="00EB2A14" w:rsidRPr="00EB2A14">
        <w:rPr>
          <w:rFonts w:ascii="Arial Narrow" w:hAnsi="Arial Narrow"/>
          <w:sz w:val="24"/>
          <w:szCs w:val="24"/>
          <w:lang w:val="en-US"/>
        </w:rPr>
        <w:t>jentisano</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na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rezultate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i</w:t>
      </w:r>
      <w:proofErr w:type="spellEnd"/>
      <w:r w:rsidR="00EB2A14" w:rsidRPr="00EB2A14">
        <w:rPr>
          <w:rFonts w:ascii="Arial Narrow" w:hAnsi="Arial Narrow"/>
          <w:sz w:val="24"/>
          <w:szCs w:val="24"/>
          <w:lang w:val="en-US"/>
        </w:rPr>
        <w:t xml:space="preserve"> da se </w:t>
      </w:r>
      <w:proofErr w:type="spellStart"/>
      <w:r w:rsidR="00EB2A14" w:rsidRPr="00EB2A14">
        <w:rPr>
          <w:rFonts w:ascii="Arial Narrow" w:hAnsi="Arial Narrow"/>
          <w:sz w:val="24"/>
          <w:szCs w:val="24"/>
          <w:lang w:val="en-US"/>
        </w:rPr>
        <w:t>zasniva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na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mjerljivim</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podacima</w:t>
      </w:r>
      <w:proofErr w:type="spellEnd"/>
      <w:r w:rsidR="00EB2A14" w:rsidRPr="00EB2A14">
        <w:rPr>
          <w:rFonts w:ascii="Arial Narrow" w:hAnsi="Arial Narrow"/>
          <w:sz w:val="24"/>
          <w:szCs w:val="24"/>
          <w:lang w:val="en-US"/>
        </w:rPr>
        <w:t>.</w:t>
      </w:r>
      <w:r w:rsid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Uz</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ciljeve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su</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definisani</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i</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mjerljivi</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indikatori</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kao</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pokazatelj</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napretka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i</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uspjeha</w:t>
      </w:r>
      <w:proofErr w:type="spellEnd"/>
      <w:r w:rsidR="00EB2A14" w:rsidRPr="00EB2A14">
        <w:rPr>
          <w:rFonts w:ascii="Arial Narrow" w:hAnsi="Arial Narrow"/>
          <w:sz w:val="24"/>
          <w:szCs w:val="24"/>
          <w:lang w:val="en-US"/>
        </w:rPr>
        <w:t xml:space="preserve"> u </w:t>
      </w:r>
      <w:proofErr w:type="spellStart"/>
      <w:r w:rsidR="00EB2A14" w:rsidRPr="00EB2A14">
        <w:rPr>
          <w:rFonts w:ascii="Arial Narrow" w:hAnsi="Arial Narrow"/>
          <w:sz w:val="24"/>
          <w:szCs w:val="24"/>
          <w:lang w:val="en-US"/>
        </w:rPr>
        <w:t>sprovođenju</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zacrtanih</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ciljeva</w:t>
      </w:r>
      <w:proofErr w:type="spellEnd"/>
      <w:r w:rsidR="00EB2A14" w:rsidRPr="00EB2A14">
        <w:rPr>
          <w:rFonts w:ascii="Arial Narrow" w:hAnsi="Arial Narrow"/>
          <w:sz w:val="24"/>
          <w:szCs w:val="24"/>
          <w:lang w:val="en-US"/>
        </w:rPr>
        <w:t xml:space="preserve">. </w:t>
      </w:r>
      <w:r w:rsidR="00EB2A14">
        <w:rPr>
          <w:rFonts w:ascii="Arial Narrow" w:hAnsi="Arial Narrow"/>
          <w:sz w:val="24"/>
          <w:szCs w:val="24"/>
          <w:lang w:val="en-US"/>
        </w:rPr>
        <w:t xml:space="preserve">Na </w:t>
      </w:r>
      <w:proofErr w:type="spellStart"/>
      <w:r w:rsidR="00EB2A14">
        <w:rPr>
          <w:rFonts w:ascii="Arial Narrow" w:hAnsi="Arial Narrow"/>
          <w:sz w:val="24"/>
          <w:szCs w:val="24"/>
          <w:lang w:val="en-US"/>
        </w:rPr>
        <w:t>istim</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principima</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nastavlja</w:t>
      </w:r>
      <w:proofErr w:type="spellEnd"/>
      <w:r w:rsidR="00EB2A14">
        <w:rPr>
          <w:rFonts w:ascii="Arial Narrow" w:hAnsi="Arial Narrow"/>
          <w:sz w:val="24"/>
          <w:szCs w:val="24"/>
          <w:lang w:val="en-US"/>
        </w:rPr>
        <w:t xml:space="preserve"> se </w:t>
      </w:r>
      <w:proofErr w:type="spellStart"/>
      <w:r w:rsidR="00EB2A14">
        <w:rPr>
          <w:rFonts w:ascii="Arial Narrow" w:hAnsi="Arial Narrow"/>
          <w:sz w:val="24"/>
          <w:szCs w:val="24"/>
          <w:lang w:val="en-US"/>
        </w:rPr>
        <w:t>dalje</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planiranje</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politika</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koje</w:t>
      </w:r>
      <w:proofErr w:type="spellEnd"/>
      <w:r w:rsidR="00EB2A14">
        <w:rPr>
          <w:rFonts w:ascii="Arial Narrow" w:hAnsi="Arial Narrow"/>
          <w:sz w:val="24"/>
          <w:szCs w:val="24"/>
          <w:lang w:val="en-US"/>
        </w:rPr>
        <w:t xml:space="preserve"> je </w:t>
      </w:r>
      <w:proofErr w:type="spellStart"/>
      <w:r w:rsidR="00EB2A14">
        <w:rPr>
          <w:rFonts w:ascii="Arial Narrow" w:hAnsi="Arial Narrow"/>
          <w:sz w:val="24"/>
          <w:szCs w:val="24"/>
          <w:lang w:val="en-US"/>
        </w:rPr>
        <w:t>utemeljeno</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na</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ojačanom</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sistemu</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srednjoročnog</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planiranja</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oličenom</w:t>
      </w:r>
      <w:proofErr w:type="spellEnd"/>
      <w:r w:rsidR="00EB2A14">
        <w:rPr>
          <w:rFonts w:ascii="Arial Narrow" w:hAnsi="Arial Narrow"/>
          <w:sz w:val="24"/>
          <w:szCs w:val="24"/>
          <w:lang w:val="en-US"/>
        </w:rPr>
        <w:t xml:space="preserve"> u </w:t>
      </w:r>
      <w:proofErr w:type="spellStart"/>
      <w:r w:rsidR="00EB2A14">
        <w:rPr>
          <w:rFonts w:ascii="Arial Narrow" w:hAnsi="Arial Narrow"/>
          <w:sz w:val="24"/>
          <w:szCs w:val="24"/>
          <w:lang w:val="en-US"/>
        </w:rPr>
        <w:t>Srednjoročnom</w:t>
      </w:r>
      <w:proofErr w:type="spellEnd"/>
      <w:r w:rsidR="00EB2A14">
        <w:rPr>
          <w:rFonts w:ascii="Arial Narrow" w:hAnsi="Arial Narrow"/>
          <w:sz w:val="24"/>
          <w:szCs w:val="24"/>
          <w:lang w:val="en-US"/>
        </w:rPr>
        <w:t xml:space="preserve"> program </w:t>
      </w:r>
      <w:proofErr w:type="spellStart"/>
      <w:r w:rsidR="00EB2A14">
        <w:rPr>
          <w:rFonts w:ascii="Arial Narrow" w:hAnsi="Arial Narrow"/>
          <w:sz w:val="24"/>
          <w:szCs w:val="24"/>
          <w:lang w:val="en-US"/>
        </w:rPr>
        <w:t>rada</w:t>
      </w:r>
      <w:proofErr w:type="spellEnd"/>
      <w:r w:rsidR="00EB2A14">
        <w:rPr>
          <w:rFonts w:ascii="Arial Narrow" w:hAnsi="Arial Narrow"/>
          <w:sz w:val="24"/>
          <w:szCs w:val="24"/>
          <w:lang w:val="en-US"/>
        </w:rPr>
        <w:t xml:space="preserve"> Vlade 2022-2024. </w:t>
      </w:r>
      <w:proofErr w:type="spellStart"/>
      <w:r w:rsidR="00EB2A14">
        <w:rPr>
          <w:rFonts w:ascii="Arial Narrow" w:hAnsi="Arial Narrow"/>
          <w:sz w:val="24"/>
          <w:szCs w:val="24"/>
          <w:lang w:val="en-US"/>
        </w:rPr>
        <w:t>Uporedo</w:t>
      </w:r>
      <w:proofErr w:type="spellEnd"/>
      <w:r w:rsidR="00EB2A14">
        <w:rPr>
          <w:rFonts w:ascii="Arial Narrow" w:hAnsi="Arial Narrow"/>
          <w:sz w:val="24"/>
          <w:szCs w:val="24"/>
          <w:lang w:val="en-US"/>
        </w:rPr>
        <w:t xml:space="preserve"> s </w:t>
      </w:r>
      <w:proofErr w:type="spellStart"/>
      <w:r w:rsidR="00EB2A14">
        <w:rPr>
          <w:rFonts w:ascii="Arial Narrow" w:hAnsi="Arial Narrow"/>
          <w:sz w:val="24"/>
          <w:szCs w:val="24"/>
          <w:lang w:val="en-US"/>
        </w:rPr>
        <w:t>njim</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pripremljen</w:t>
      </w:r>
      <w:proofErr w:type="spellEnd"/>
      <w:r w:rsidR="00EB2A14">
        <w:rPr>
          <w:rFonts w:ascii="Arial Narrow" w:hAnsi="Arial Narrow"/>
          <w:sz w:val="24"/>
          <w:szCs w:val="24"/>
          <w:lang w:val="en-US"/>
        </w:rPr>
        <w:t xml:space="preserve"> je program </w:t>
      </w:r>
      <w:proofErr w:type="spellStart"/>
      <w:r w:rsidR="00EB2A14">
        <w:rPr>
          <w:rFonts w:ascii="Arial Narrow" w:hAnsi="Arial Narrow"/>
          <w:sz w:val="24"/>
          <w:szCs w:val="24"/>
          <w:lang w:val="en-US"/>
        </w:rPr>
        <w:t>rada</w:t>
      </w:r>
      <w:proofErr w:type="spellEnd"/>
      <w:r w:rsidR="00EB2A14">
        <w:rPr>
          <w:rFonts w:ascii="Arial Narrow" w:hAnsi="Arial Narrow"/>
          <w:sz w:val="24"/>
          <w:szCs w:val="24"/>
          <w:lang w:val="en-US"/>
        </w:rPr>
        <w:t xml:space="preserve"> za 2022. </w:t>
      </w:r>
      <w:proofErr w:type="spellStart"/>
      <w:r w:rsidR="001F257C">
        <w:rPr>
          <w:rFonts w:ascii="Arial Narrow" w:hAnsi="Arial Narrow"/>
          <w:sz w:val="24"/>
          <w:szCs w:val="24"/>
          <w:lang w:val="en-US"/>
        </w:rPr>
        <w:t>g</w:t>
      </w:r>
      <w:r w:rsidR="00EB2A14">
        <w:rPr>
          <w:rFonts w:ascii="Arial Narrow" w:hAnsi="Arial Narrow"/>
          <w:sz w:val="24"/>
          <w:szCs w:val="24"/>
          <w:lang w:val="en-US"/>
        </w:rPr>
        <w:t>odinu</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kroz</w:t>
      </w:r>
      <w:proofErr w:type="spellEnd"/>
      <w:r w:rsidR="00EB2A14">
        <w:rPr>
          <w:rFonts w:ascii="Arial Narrow" w:hAnsi="Arial Narrow"/>
          <w:sz w:val="24"/>
          <w:szCs w:val="24"/>
          <w:lang w:val="en-US"/>
        </w:rPr>
        <w:t xml:space="preserve"> koji se </w:t>
      </w:r>
      <w:proofErr w:type="spellStart"/>
      <w:r w:rsidR="00EB2A14">
        <w:rPr>
          <w:rFonts w:ascii="Arial Narrow" w:hAnsi="Arial Narrow"/>
          <w:sz w:val="24"/>
          <w:szCs w:val="24"/>
          <w:lang w:val="en-US"/>
        </w:rPr>
        <w:t>definišu</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konkretne</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aktivnosti</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čija</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će</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realizacija</w:t>
      </w:r>
      <w:proofErr w:type="spellEnd"/>
      <w:r w:rsidR="00EB2A14">
        <w:rPr>
          <w:rFonts w:ascii="Arial Narrow" w:hAnsi="Arial Narrow"/>
          <w:sz w:val="24"/>
          <w:szCs w:val="24"/>
          <w:lang w:val="en-US"/>
        </w:rPr>
        <w:t xml:space="preserve"> </w:t>
      </w:r>
      <w:proofErr w:type="spellStart"/>
      <w:r w:rsidR="00EB2A14">
        <w:rPr>
          <w:rFonts w:ascii="Arial Narrow" w:hAnsi="Arial Narrow"/>
          <w:sz w:val="24"/>
          <w:szCs w:val="24"/>
          <w:lang w:val="en-US"/>
        </w:rPr>
        <w:t>doprinijeti</w:t>
      </w:r>
      <w:proofErr w:type="spellEnd"/>
      <w:r w:rsidR="00EB2A14">
        <w:rPr>
          <w:rFonts w:ascii="Arial Narrow" w:hAnsi="Arial Narrow"/>
          <w:sz w:val="24"/>
          <w:szCs w:val="24"/>
          <w:lang w:val="en-US"/>
        </w:rPr>
        <w:t xml:space="preserve"> </w:t>
      </w:r>
      <w:proofErr w:type="spellStart"/>
      <w:r w:rsidR="001F257C">
        <w:rPr>
          <w:rFonts w:ascii="Arial Narrow" w:hAnsi="Arial Narrow"/>
          <w:sz w:val="24"/>
          <w:szCs w:val="24"/>
          <w:lang w:val="en-US"/>
        </w:rPr>
        <w:t>dostizanju</w:t>
      </w:r>
      <w:proofErr w:type="spellEnd"/>
      <w:r w:rsidR="001F257C">
        <w:rPr>
          <w:rFonts w:ascii="Arial Narrow" w:hAnsi="Arial Narrow"/>
          <w:sz w:val="24"/>
          <w:szCs w:val="24"/>
          <w:lang w:val="en-US"/>
        </w:rPr>
        <w:t xml:space="preserve"> </w:t>
      </w:r>
      <w:proofErr w:type="spellStart"/>
      <w:r w:rsidR="001F257C">
        <w:rPr>
          <w:rFonts w:ascii="Arial Narrow" w:hAnsi="Arial Narrow"/>
          <w:sz w:val="24"/>
          <w:szCs w:val="24"/>
          <w:lang w:val="en-US"/>
        </w:rPr>
        <w:t>zacrtanih</w:t>
      </w:r>
      <w:proofErr w:type="spellEnd"/>
      <w:r w:rsidR="001F257C">
        <w:rPr>
          <w:rFonts w:ascii="Arial Narrow" w:hAnsi="Arial Narrow"/>
          <w:sz w:val="24"/>
          <w:szCs w:val="24"/>
          <w:lang w:val="en-US"/>
        </w:rPr>
        <w:t xml:space="preserve"> </w:t>
      </w:r>
      <w:proofErr w:type="spellStart"/>
      <w:r w:rsidR="001F257C">
        <w:rPr>
          <w:rFonts w:ascii="Arial Narrow" w:hAnsi="Arial Narrow"/>
          <w:sz w:val="24"/>
          <w:szCs w:val="24"/>
          <w:lang w:val="en-US"/>
        </w:rPr>
        <w:t>ciljeva</w:t>
      </w:r>
      <w:proofErr w:type="spellEnd"/>
      <w:r w:rsidR="001F257C">
        <w:rPr>
          <w:rFonts w:ascii="Arial Narrow" w:hAnsi="Arial Narrow"/>
          <w:sz w:val="24"/>
          <w:szCs w:val="24"/>
          <w:lang w:val="en-US"/>
        </w:rPr>
        <w:t>.</w:t>
      </w:r>
    </w:p>
    <w:p w14:paraId="6C970445" w14:textId="77777777" w:rsidR="00980668" w:rsidRPr="00EB2A14" w:rsidRDefault="005B4BE7" w:rsidP="00EB2A14">
      <w:pPr>
        <w:jc w:val="both"/>
        <w:rPr>
          <w:rFonts w:ascii="Arial Narrow" w:hAnsi="Arial Narrow"/>
          <w:sz w:val="24"/>
          <w:szCs w:val="24"/>
          <w:lang w:val="en-US"/>
        </w:rPr>
      </w:pPr>
      <w:r w:rsidRPr="004D5732">
        <w:rPr>
          <w:noProof/>
          <w:lang w:val="en-US"/>
        </w:rPr>
        <w:drawing>
          <wp:anchor distT="0" distB="0" distL="114300" distR="114300" simplePos="0" relativeHeight="251661312" behindDoc="0" locked="0" layoutInCell="1" allowOverlap="1" wp14:anchorId="57D1A287" wp14:editId="2054F601">
            <wp:simplePos x="0" y="0"/>
            <wp:positionH relativeFrom="column">
              <wp:posOffset>-67057</wp:posOffset>
            </wp:positionH>
            <wp:positionV relativeFrom="paragraph">
              <wp:posOffset>62866</wp:posOffset>
            </wp:positionV>
            <wp:extent cx="428625" cy="428625"/>
            <wp:effectExtent l="57150" t="57150" r="66675" b="66675"/>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rot="20677482">
                      <a:off x="0" y="0"/>
                      <a:ext cx="428625" cy="428625"/>
                    </a:xfrm>
                    <a:prstGeom prst="rect">
                      <a:avLst/>
                    </a:prstGeom>
                  </pic:spPr>
                </pic:pic>
              </a:graphicData>
            </a:graphic>
          </wp:anchor>
        </w:drawing>
      </w:r>
      <w:proofErr w:type="spellStart"/>
      <w:r w:rsidR="00980668">
        <w:rPr>
          <w:rFonts w:ascii="Arial Narrow" w:hAnsi="Arial Narrow"/>
          <w:sz w:val="24"/>
          <w:szCs w:val="24"/>
          <w:lang w:val="en-US"/>
        </w:rPr>
        <w:t>Cilj</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izrade</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Srednjoročnog</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programa</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rada</w:t>
      </w:r>
      <w:proofErr w:type="spellEnd"/>
      <w:r w:rsidR="00980668">
        <w:rPr>
          <w:rFonts w:ascii="Arial Narrow" w:hAnsi="Arial Narrow"/>
          <w:sz w:val="24"/>
          <w:szCs w:val="24"/>
          <w:lang w:val="en-US"/>
        </w:rPr>
        <w:t xml:space="preserve"> za period 2022-2024. </w:t>
      </w:r>
      <w:proofErr w:type="spellStart"/>
      <w:r w:rsidR="00980668">
        <w:rPr>
          <w:rFonts w:ascii="Arial Narrow" w:hAnsi="Arial Narrow"/>
          <w:sz w:val="24"/>
          <w:szCs w:val="24"/>
          <w:lang w:val="en-US"/>
        </w:rPr>
        <w:t>i</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programa</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rada</w:t>
      </w:r>
      <w:proofErr w:type="spellEnd"/>
      <w:r w:rsidR="00980668">
        <w:rPr>
          <w:rFonts w:ascii="Arial Narrow" w:hAnsi="Arial Narrow"/>
          <w:sz w:val="24"/>
          <w:szCs w:val="24"/>
          <w:lang w:val="en-US"/>
        </w:rPr>
        <w:t xml:space="preserve"> za 2022. </w:t>
      </w:r>
      <w:proofErr w:type="spellStart"/>
      <w:r w:rsidR="00B94EC4">
        <w:rPr>
          <w:rFonts w:ascii="Arial Narrow" w:hAnsi="Arial Narrow"/>
          <w:sz w:val="24"/>
          <w:szCs w:val="24"/>
          <w:lang w:val="en-US"/>
        </w:rPr>
        <w:t>g</w:t>
      </w:r>
      <w:r w:rsidR="00980668">
        <w:rPr>
          <w:rFonts w:ascii="Arial Narrow" w:hAnsi="Arial Narrow"/>
          <w:sz w:val="24"/>
          <w:szCs w:val="24"/>
          <w:lang w:val="en-US"/>
        </w:rPr>
        <w:t>odinu</w:t>
      </w:r>
      <w:proofErr w:type="spellEnd"/>
      <w:r w:rsidR="00980668">
        <w:rPr>
          <w:rFonts w:ascii="Arial Narrow" w:hAnsi="Arial Narrow"/>
          <w:sz w:val="24"/>
          <w:szCs w:val="24"/>
          <w:lang w:val="en-US"/>
        </w:rPr>
        <w:t xml:space="preserve"> je </w:t>
      </w:r>
      <w:proofErr w:type="spellStart"/>
      <w:r w:rsidR="00980668">
        <w:rPr>
          <w:rFonts w:ascii="Arial Narrow" w:hAnsi="Arial Narrow"/>
          <w:sz w:val="24"/>
          <w:szCs w:val="24"/>
          <w:lang w:val="en-US"/>
        </w:rPr>
        <w:t>težnja</w:t>
      </w:r>
      <w:proofErr w:type="spellEnd"/>
      <w:r w:rsidR="00980668">
        <w:rPr>
          <w:rFonts w:ascii="Arial Narrow" w:hAnsi="Arial Narrow"/>
          <w:sz w:val="24"/>
          <w:szCs w:val="24"/>
          <w:lang w:val="en-US"/>
        </w:rPr>
        <w:t xml:space="preserve"> da se process </w:t>
      </w:r>
      <w:proofErr w:type="spellStart"/>
      <w:r w:rsidR="00980668">
        <w:rPr>
          <w:rFonts w:ascii="Arial Narrow" w:hAnsi="Arial Narrow"/>
          <w:sz w:val="24"/>
          <w:szCs w:val="24"/>
          <w:lang w:val="en-US"/>
        </w:rPr>
        <w:t>učini</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što</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inkluzivnijim</w:t>
      </w:r>
      <w:proofErr w:type="spellEnd"/>
      <w:r w:rsidR="00980668">
        <w:rPr>
          <w:rFonts w:ascii="Arial Narrow" w:hAnsi="Arial Narrow"/>
          <w:sz w:val="24"/>
          <w:szCs w:val="24"/>
          <w:lang w:val="en-US"/>
        </w:rPr>
        <w:t xml:space="preserve"> </w:t>
      </w:r>
      <w:proofErr w:type="spellStart"/>
      <w:r w:rsidR="00B94EC4">
        <w:rPr>
          <w:rFonts w:ascii="Arial Narrow" w:hAnsi="Arial Narrow"/>
          <w:sz w:val="24"/>
          <w:szCs w:val="24"/>
          <w:lang w:val="en-US"/>
        </w:rPr>
        <w:t>i</w:t>
      </w:r>
      <w:proofErr w:type="spellEnd"/>
      <w:r w:rsidR="00B94EC4">
        <w:rPr>
          <w:rFonts w:ascii="Arial Narrow" w:hAnsi="Arial Narrow"/>
          <w:sz w:val="24"/>
          <w:szCs w:val="24"/>
          <w:lang w:val="en-US"/>
        </w:rPr>
        <w:t xml:space="preserve"> </w:t>
      </w:r>
      <w:r w:rsidR="00980668">
        <w:rPr>
          <w:rFonts w:ascii="Arial Narrow" w:hAnsi="Arial Narrow"/>
          <w:sz w:val="24"/>
          <w:szCs w:val="24"/>
          <w:lang w:val="en-US"/>
        </w:rPr>
        <w:t xml:space="preserve">da se u </w:t>
      </w:r>
      <w:proofErr w:type="spellStart"/>
      <w:r w:rsidR="00980668">
        <w:rPr>
          <w:rFonts w:ascii="Arial Narrow" w:hAnsi="Arial Narrow"/>
          <w:sz w:val="24"/>
          <w:szCs w:val="24"/>
          <w:lang w:val="en-US"/>
        </w:rPr>
        <w:t>njega</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uključe</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sve</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zainteresovane</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starne</w:t>
      </w:r>
      <w:proofErr w:type="spellEnd"/>
      <w:r w:rsidR="00980668">
        <w:rPr>
          <w:rFonts w:ascii="Arial Narrow" w:hAnsi="Arial Narrow"/>
          <w:sz w:val="24"/>
          <w:szCs w:val="24"/>
          <w:lang w:val="en-US"/>
        </w:rPr>
        <w:t xml:space="preserve">. Na </w:t>
      </w:r>
      <w:proofErr w:type="spellStart"/>
      <w:r w:rsidR="00980668">
        <w:rPr>
          <w:rFonts w:ascii="Arial Narrow" w:hAnsi="Arial Narrow"/>
          <w:sz w:val="24"/>
          <w:szCs w:val="24"/>
          <w:lang w:val="en-US"/>
        </w:rPr>
        <w:t>osnovu</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iskustva</w:t>
      </w:r>
      <w:proofErr w:type="spellEnd"/>
      <w:r w:rsidR="00980668">
        <w:rPr>
          <w:rFonts w:ascii="Arial Narrow" w:hAnsi="Arial Narrow"/>
          <w:sz w:val="24"/>
          <w:szCs w:val="24"/>
          <w:lang w:val="en-US"/>
        </w:rPr>
        <w:t xml:space="preserve"> u </w:t>
      </w:r>
      <w:proofErr w:type="spellStart"/>
      <w:r w:rsidR="00980668">
        <w:rPr>
          <w:rFonts w:ascii="Arial Narrow" w:hAnsi="Arial Narrow"/>
          <w:sz w:val="24"/>
          <w:szCs w:val="24"/>
          <w:lang w:val="en-US"/>
        </w:rPr>
        <w:t>i</w:t>
      </w:r>
      <w:r w:rsidR="00B94EC4">
        <w:rPr>
          <w:rFonts w:ascii="Arial Narrow" w:hAnsi="Arial Narrow"/>
          <w:sz w:val="24"/>
          <w:szCs w:val="24"/>
          <w:lang w:val="en-US"/>
        </w:rPr>
        <w:t>z</w:t>
      </w:r>
      <w:r w:rsidR="00980668">
        <w:rPr>
          <w:rFonts w:ascii="Arial Narrow" w:hAnsi="Arial Narrow"/>
          <w:sz w:val="24"/>
          <w:szCs w:val="24"/>
          <w:lang w:val="en-US"/>
        </w:rPr>
        <w:t>radi</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Programa</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rada</w:t>
      </w:r>
      <w:proofErr w:type="spellEnd"/>
      <w:r w:rsidR="00980668">
        <w:rPr>
          <w:rFonts w:ascii="Arial Narrow" w:hAnsi="Arial Narrow"/>
          <w:sz w:val="24"/>
          <w:szCs w:val="24"/>
          <w:lang w:val="en-US"/>
        </w:rPr>
        <w:t xml:space="preserve"> Vlade za 2021.</w:t>
      </w:r>
      <w:r w:rsidR="00B94EC4">
        <w:rPr>
          <w:rFonts w:ascii="Arial Narrow" w:hAnsi="Arial Narrow"/>
          <w:sz w:val="24"/>
          <w:szCs w:val="24"/>
          <w:lang w:val="en-US"/>
        </w:rPr>
        <w:t>g</w:t>
      </w:r>
      <w:r w:rsidR="00980668">
        <w:rPr>
          <w:rFonts w:ascii="Arial Narrow" w:hAnsi="Arial Narrow"/>
          <w:sz w:val="24"/>
          <w:szCs w:val="24"/>
          <w:lang w:val="en-US"/>
        </w:rPr>
        <w:t xml:space="preserve">odinu, </w:t>
      </w:r>
      <w:proofErr w:type="spellStart"/>
      <w:r w:rsidR="00980668">
        <w:rPr>
          <w:rFonts w:ascii="Arial Narrow" w:hAnsi="Arial Narrow"/>
          <w:sz w:val="24"/>
          <w:szCs w:val="24"/>
          <w:lang w:val="en-US"/>
        </w:rPr>
        <w:t>kada</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su</w:t>
      </w:r>
      <w:proofErr w:type="spellEnd"/>
      <w:r w:rsidR="00980668">
        <w:rPr>
          <w:rFonts w:ascii="Arial Narrow" w:hAnsi="Arial Narrow"/>
          <w:sz w:val="24"/>
          <w:szCs w:val="24"/>
          <w:lang w:val="en-US"/>
        </w:rPr>
        <w:t xml:space="preserve"> bile </w:t>
      </w:r>
      <w:proofErr w:type="spellStart"/>
      <w:r w:rsidR="00980668">
        <w:rPr>
          <w:rFonts w:ascii="Arial Narrow" w:hAnsi="Arial Narrow"/>
          <w:sz w:val="24"/>
          <w:szCs w:val="24"/>
          <w:lang w:val="en-US"/>
        </w:rPr>
        <w:t>realizovane</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javne</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konsultacije</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koje</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su</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rezultirale</w:t>
      </w:r>
      <w:proofErr w:type="spellEnd"/>
      <w:r w:rsidR="00980668">
        <w:rPr>
          <w:rFonts w:ascii="Arial Narrow" w:hAnsi="Arial Narrow"/>
          <w:sz w:val="24"/>
          <w:szCs w:val="24"/>
          <w:lang w:val="en-US"/>
        </w:rPr>
        <w:t xml:space="preserve"> </w:t>
      </w:r>
      <w:r w:rsidR="00B94EC4">
        <w:rPr>
          <w:rFonts w:ascii="Arial Narrow" w:hAnsi="Arial Narrow"/>
          <w:sz w:val="24"/>
          <w:szCs w:val="24"/>
          <w:lang w:val="en-US"/>
        </w:rPr>
        <w:t xml:space="preserve">361 </w:t>
      </w:r>
      <w:proofErr w:type="spellStart"/>
      <w:r w:rsidR="00B94EC4">
        <w:rPr>
          <w:rFonts w:ascii="Arial Narrow" w:hAnsi="Arial Narrow"/>
          <w:sz w:val="24"/>
          <w:szCs w:val="24"/>
          <w:lang w:val="en-US"/>
        </w:rPr>
        <w:t>predlogom</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javnosti</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bilo</w:t>
      </w:r>
      <w:proofErr w:type="spellEnd"/>
      <w:r w:rsidR="00B94EC4">
        <w:rPr>
          <w:rFonts w:ascii="Arial Narrow" w:hAnsi="Arial Narrow"/>
          <w:sz w:val="24"/>
          <w:szCs w:val="24"/>
          <w:lang w:val="en-US"/>
        </w:rPr>
        <w:t xml:space="preserve"> je </w:t>
      </w:r>
      <w:proofErr w:type="spellStart"/>
      <w:r w:rsidR="00B94EC4">
        <w:rPr>
          <w:rFonts w:ascii="Arial Narrow" w:hAnsi="Arial Narrow"/>
          <w:sz w:val="24"/>
          <w:szCs w:val="24"/>
          <w:lang w:val="en-US"/>
        </w:rPr>
        <w:t>jasno</w:t>
      </w:r>
      <w:proofErr w:type="spellEnd"/>
      <w:r w:rsidR="00B94EC4">
        <w:rPr>
          <w:rFonts w:ascii="Arial Narrow" w:hAnsi="Arial Narrow"/>
          <w:sz w:val="24"/>
          <w:szCs w:val="24"/>
          <w:lang w:val="en-US"/>
        </w:rPr>
        <w:t xml:space="preserve"> da je </w:t>
      </w:r>
      <w:proofErr w:type="spellStart"/>
      <w:r w:rsidR="00B94EC4">
        <w:rPr>
          <w:rFonts w:ascii="Arial Narrow" w:hAnsi="Arial Narrow"/>
          <w:sz w:val="24"/>
          <w:szCs w:val="24"/>
          <w:lang w:val="en-US"/>
        </w:rPr>
        <w:t>i</w:t>
      </w:r>
      <w:proofErr w:type="spellEnd"/>
      <w:r w:rsidR="00B94EC4">
        <w:rPr>
          <w:rFonts w:ascii="Arial Narrow" w:hAnsi="Arial Narrow"/>
          <w:sz w:val="24"/>
          <w:szCs w:val="24"/>
          <w:lang w:val="en-US"/>
        </w:rPr>
        <w:t xml:space="preserve"> u </w:t>
      </w:r>
      <w:proofErr w:type="spellStart"/>
      <w:r w:rsidR="00B94EC4">
        <w:rPr>
          <w:rFonts w:ascii="Arial Narrow" w:hAnsi="Arial Narrow"/>
          <w:sz w:val="24"/>
          <w:szCs w:val="24"/>
          <w:lang w:val="en-US"/>
        </w:rPr>
        <w:t>ovom</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slučaju</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neophodno</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uključiti</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sve</w:t>
      </w:r>
      <w:proofErr w:type="spellEnd"/>
      <w:r w:rsidR="00B94EC4">
        <w:rPr>
          <w:rFonts w:ascii="Arial Narrow" w:hAnsi="Arial Narrow"/>
          <w:sz w:val="24"/>
          <w:szCs w:val="24"/>
          <w:lang w:val="en-US"/>
        </w:rPr>
        <w:t xml:space="preserve"> one koji </w:t>
      </w:r>
      <w:proofErr w:type="spellStart"/>
      <w:r w:rsidR="00B94EC4">
        <w:rPr>
          <w:rFonts w:ascii="Arial Narrow" w:hAnsi="Arial Narrow"/>
          <w:sz w:val="24"/>
          <w:szCs w:val="24"/>
          <w:lang w:val="en-US"/>
        </w:rPr>
        <w:t>žele</w:t>
      </w:r>
      <w:proofErr w:type="spellEnd"/>
      <w:r w:rsidR="00B94EC4">
        <w:rPr>
          <w:rFonts w:ascii="Arial Narrow" w:hAnsi="Arial Narrow"/>
          <w:sz w:val="24"/>
          <w:szCs w:val="24"/>
          <w:lang w:val="en-US"/>
        </w:rPr>
        <w:t xml:space="preserve"> da </w:t>
      </w:r>
      <w:proofErr w:type="spellStart"/>
      <w:r w:rsidR="00B94EC4">
        <w:rPr>
          <w:rFonts w:ascii="Arial Narrow" w:hAnsi="Arial Narrow"/>
          <w:sz w:val="24"/>
          <w:szCs w:val="24"/>
          <w:lang w:val="en-US"/>
        </w:rPr>
        <w:t>daju</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svoj</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doprinos</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izradi</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jednog</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od</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ključnih</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dokumenata</w:t>
      </w:r>
      <w:proofErr w:type="spellEnd"/>
      <w:r w:rsidR="00B94EC4">
        <w:rPr>
          <w:rFonts w:ascii="Arial Narrow" w:hAnsi="Arial Narrow"/>
          <w:sz w:val="24"/>
          <w:szCs w:val="24"/>
          <w:lang w:val="en-US"/>
        </w:rPr>
        <w:t xml:space="preserve"> Vlade. </w:t>
      </w:r>
      <w:r w:rsidR="00E1353B" w:rsidRPr="00E1353B">
        <w:rPr>
          <w:rFonts w:ascii="Arial Narrow" w:hAnsi="Arial Narrow"/>
          <w:i/>
          <w:iCs/>
          <w:sz w:val="24"/>
          <w:szCs w:val="24"/>
          <w:lang w:val="en-US"/>
        </w:rPr>
        <w:t xml:space="preserve">U </w:t>
      </w:r>
      <w:proofErr w:type="spellStart"/>
      <w:r w:rsidR="00E1353B" w:rsidRPr="00E1353B">
        <w:rPr>
          <w:rFonts w:ascii="Arial Narrow" w:hAnsi="Arial Narrow"/>
          <w:i/>
          <w:iCs/>
          <w:sz w:val="24"/>
          <w:szCs w:val="24"/>
          <w:lang w:val="en-US"/>
        </w:rPr>
        <w:t>skladu</w:t>
      </w:r>
      <w:proofErr w:type="spellEnd"/>
      <w:r w:rsidR="00E1353B" w:rsidRPr="00E1353B">
        <w:rPr>
          <w:rFonts w:ascii="Arial Narrow" w:hAnsi="Arial Narrow"/>
          <w:i/>
          <w:iCs/>
          <w:sz w:val="24"/>
          <w:szCs w:val="24"/>
          <w:lang w:val="en-US"/>
        </w:rPr>
        <w:t xml:space="preserve"> s </w:t>
      </w:r>
      <w:proofErr w:type="spellStart"/>
      <w:r w:rsidR="00E1353B" w:rsidRPr="00E1353B">
        <w:rPr>
          <w:rFonts w:ascii="Arial Narrow" w:hAnsi="Arial Narrow"/>
          <w:i/>
          <w:iCs/>
          <w:sz w:val="24"/>
          <w:szCs w:val="24"/>
          <w:lang w:val="en-US"/>
        </w:rPr>
        <w:t>dobrom</w:t>
      </w:r>
      <w:proofErr w:type="spellEnd"/>
      <w:r w:rsidR="00E1353B" w:rsidRPr="00E1353B">
        <w:rPr>
          <w:rFonts w:ascii="Arial Narrow" w:hAnsi="Arial Narrow"/>
          <w:i/>
          <w:iCs/>
          <w:sz w:val="24"/>
          <w:szCs w:val="24"/>
          <w:lang w:val="en-US"/>
        </w:rPr>
        <w:t xml:space="preserve"> </w:t>
      </w:r>
      <w:proofErr w:type="spellStart"/>
      <w:r w:rsidR="00E1353B" w:rsidRPr="00E1353B">
        <w:rPr>
          <w:rFonts w:ascii="Arial Narrow" w:hAnsi="Arial Narrow"/>
          <w:i/>
          <w:iCs/>
          <w:sz w:val="24"/>
          <w:szCs w:val="24"/>
          <w:lang w:val="en-US"/>
        </w:rPr>
        <w:t>praksom</w:t>
      </w:r>
      <w:proofErr w:type="spellEnd"/>
      <w:r w:rsidR="00E1353B" w:rsidRPr="00E1353B">
        <w:rPr>
          <w:rFonts w:ascii="Arial Narrow" w:hAnsi="Arial Narrow"/>
          <w:i/>
          <w:iCs/>
          <w:sz w:val="24"/>
          <w:szCs w:val="24"/>
          <w:lang w:val="en-US"/>
        </w:rPr>
        <w:t>, o</w:t>
      </w:r>
      <w:r w:rsidR="00B94EC4" w:rsidRPr="00E1353B">
        <w:rPr>
          <w:rFonts w:ascii="Arial Narrow" w:hAnsi="Arial Narrow"/>
          <w:i/>
          <w:iCs/>
          <w:sz w:val="24"/>
          <w:szCs w:val="24"/>
          <w:lang w:val="en-US"/>
        </w:rPr>
        <w:t>v</w:t>
      </w:r>
      <w:r w:rsidR="00B94EC4" w:rsidRPr="00B94EC4">
        <w:rPr>
          <w:rFonts w:ascii="Arial Narrow" w:hAnsi="Arial Narrow"/>
          <w:i/>
          <w:iCs/>
          <w:sz w:val="24"/>
          <w:szCs w:val="24"/>
          <w:lang w:val="en-US"/>
        </w:rPr>
        <w:t xml:space="preserve">a </w:t>
      </w:r>
      <w:proofErr w:type="spellStart"/>
      <w:r w:rsidR="00B94EC4" w:rsidRPr="00B94EC4">
        <w:rPr>
          <w:rFonts w:ascii="Arial Narrow" w:hAnsi="Arial Narrow"/>
          <w:i/>
          <w:iCs/>
          <w:sz w:val="24"/>
          <w:szCs w:val="24"/>
          <w:lang w:val="en-US"/>
        </w:rPr>
        <w:t>Vlada</w:t>
      </w:r>
      <w:proofErr w:type="spellEnd"/>
      <w:r w:rsidR="00B94EC4" w:rsidRPr="00B94EC4">
        <w:rPr>
          <w:rFonts w:ascii="Arial Narrow" w:hAnsi="Arial Narrow"/>
          <w:i/>
          <w:iCs/>
          <w:sz w:val="24"/>
          <w:szCs w:val="24"/>
          <w:lang w:val="en-US"/>
        </w:rPr>
        <w:t xml:space="preserve"> je u </w:t>
      </w:r>
      <w:proofErr w:type="spellStart"/>
      <w:r w:rsidR="00B94EC4" w:rsidRPr="00B94EC4">
        <w:rPr>
          <w:rFonts w:ascii="Arial Narrow" w:hAnsi="Arial Narrow"/>
          <w:i/>
          <w:iCs/>
          <w:sz w:val="24"/>
          <w:szCs w:val="24"/>
          <w:lang w:val="en-US"/>
        </w:rPr>
        <w:t>potp</w:t>
      </w:r>
      <w:r w:rsidR="00E1353B">
        <w:rPr>
          <w:rFonts w:ascii="Arial Narrow" w:hAnsi="Arial Narrow"/>
          <w:i/>
          <w:iCs/>
          <w:sz w:val="24"/>
          <w:szCs w:val="24"/>
          <w:lang w:val="en-US"/>
        </w:rPr>
        <w:t>un</w:t>
      </w:r>
      <w:r w:rsidR="00B94EC4" w:rsidRPr="00B94EC4">
        <w:rPr>
          <w:rFonts w:ascii="Arial Narrow" w:hAnsi="Arial Narrow"/>
          <w:i/>
          <w:iCs/>
          <w:sz w:val="24"/>
          <w:szCs w:val="24"/>
          <w:lang w:val="en-US"/>
        </w:rPr>
        <w:t>o</w:t>
      </w:r>
      <w:r w:rsidR="00E1353B">
        <w:rPr>
          <w:rFonts w:ascii="Arial Narrow" w:hAnsi="Arial Narrow"/>
          <w:i/>
          <w:iCs/>
          <w:sz w:val="24"/>
          <w:szCs w:val="24"/>
          <w:lang w:val="en-US"/>
        </w:rPr>
        <w:t>s</w:t>
      </w:r>
      <w:r w:rsidR="00B94EC4" w:rsidRPr="00B94EC4">
        <w:rPr>
          <w:rFonts w:ascii="Arial Narrow" w:hAnsi="Arial Narrow"/>
          <w:i/>
          <w:iCs/>
          <w:sz w:val="24"/>
          <w:szCs w:val="24"/>
          <w:lang w:val="en-US"/>
        </w:rPr>
        <w:t>ti</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posvećena</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povećanju</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transparentnosti</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i</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ima</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jasnu</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namjeru</w:t>
      </w:r>
      <w:proofErr w:type="spellEnd"/>
      <w:r w:rsidR="00B94EC4" w:rsidRPr="00B94EC4">
        <w:rPr>
          <w:rFonts w:ascii="Arial Narrow" w:hAnsi="Arial Narrow"/>
          <w:i/>
          <w:iCs/>
          <w:sz w:val="24"/>
          <w:szCs w:val="24"/>
          <w:lang w:val="en-US"/>
        </w:rPr>
        <w:t xml:space="preserve"> da </w:t>
      </w:r>
      <w:proofErr w:type="spellStart"/>
      <w:r w:rsidR="00B94EC4" w:rsidRPr="00B94EC4">
        <w:rPr>
          <w:rFonts w:ascii="Arial Narrow" w:hAnsi="Arial Narrow"/>
          <w:i/>
          <w:iCs/>
          <w:sz w:val="24"/>
          <w:szCs w:val="24"/>
          <w:lang w:val="en-US"/>
        </w:rPr>
        <w:t>krajnje</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korisnike</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javnih</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politika</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građanke</w:t>
      </w:r>
      <w:proofErr w:type="spellEnd"/>
      <w:r w:rsidR="00B94EC4" w:rsidRPr="00B94EC4">
        <w:rPr>
          <w:rFonts w:ascii="Arial Narrow" w:hAnsi="Arial Narrow"/>
          <w:i/>
          <w:iCs/>
          <w:sz w:val="24"/>
          <w:szCs w:val="24"/>
          <w:lang w:val="en-US"/>
        </w:rPr>
        <w:t xml:space="preserve"> i </w:t>
      </w:r>
      <w:proofErr w:type="spellStart"/>
      <w:r w:rsidR="00B94EC4" w:rsidRPr="00B94EC4">
        <w:rPr>
          <w:rFonts w:ascii="Arial Narrow" w:hAnsi="Arial Narrow"/>
          <w:i/>
          <w:iCs/>
          <w:sz w:val="24"/>
          <w:szCs w:val="24"/>
          <w:lang w:val="en-US"/>
        </w:rPr>
        <w:t>građane</w:t>
      </w:r>
      <w:proofErr w:type="spellEnd"/>
      <w:r w:rsidR="00B94EC4" w:rsidRPr="00B94EC4">
        <w:rPr>
          <w:rFonts w:ascii="Arial Narrow" w:hAnsi="Arial Narrow"/>
          <w:i/>
          <w:iCs/>
          <w:sz w:val="24"/>
          <w:szCs w:val="24"/>
          <w:lang w:val="en-US"/>
        </w:rPr>
        <w:t xml:space="preserve">, </w:t>
      </w:r>
      <w:proofErr w:type="spellStart"/>
      <w:r w:rsidR="00B94EC4" w:rsidRPr="00B94EC4">
        <w:rPr>
          <w:rFonts w:ascii="Arial Narrow" w:hAnsi="Arial Narrow"/>
          <w:i/>
          <w:iCs/>
          <w:sz w:val="24"/>
          <w:szCs w:val="24"/>
          <w:lang w:val="en-US"/>
        </w:rPr>
        <w:t>stavi</w:t>
      </w:r>
      <w:proofErr w:type="spellEnd"/>
      <w:r w:rsidR="00B94EC4" w:rsidRPr="00B94EC4">
        <w:rPr>
          <w:rFonts w:ascii="Arial Narrow" w:hAnsi="Arial Narrow"/>
          <w:i/>
          <w:iCs/>
          <w:sz w:val="24"/>
          <w:szCs w:val="24"/>
          <w:lang w:val="en-US"/>
        </w:rPr>
        <w:t xml:space="preserve"> u </w:t>
      </w:r>
      <w:proofErr w:type="spellStart"/>
      <w:r w:rsidR="00B94EC4" w:rsidRPr="00B94EC4">
        <w:rPr>
          <w:rFonts w:ascii="Arial Narrow" w:hAnsi="Arial Narrow"/>
          <w:i/>
          <w:iCs/>
          <w:sz w:val="24"/>
          <w:szCs w:val="24"/>
          <w:lang w:val="en-US"/>
        </w:rPr>
        <w:t>prvi</w:t>
      </w:r>
      <w:proofErr w:type="spellEnd"/>
      <w:r w:rsidR="00B94EC4" w:rsidRPr="00B94EC4">
        <w:rPr>
          <w:rFonts w:ascii="Arial Narrow" w:hAnsi="Arial Narrow"/>
          <w:i/>
          <w:iCs/>
          <w:sz w:val="24"/>
          <w:szCs w:val="24"/>
          <w:lang w:val="en-US"/>
        </w:rPr>
        <w:t xml:space="preserve"> plan</w:t>
      </w:r>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Upravo</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zbog</w:t>
      </w:r>
      <w:proofErr w:type="spellEnd"/>
      <w:r w:rsidR="00B94EC4">
        <w:rPr>
          <w:rFonts w:ascii="Arial Narrow" w:hAnsi="Arial Narrow"/>
          <w:sz w:val="24"/>
          <w:szCs w:val="24"/>
          <w:lang w:val="en-US"/>
        </w:rPr>
        <w:t xml:space="preserve"> toga je </w:t>
      </w:r>
      <w:proofErr w:type="spellStart"/>
      <w:r w:rsidR="00B94EC4">
        <w:rPr>
          <w:rFonts w:ascii="Arial Narrow" w:hAnsi="Arial Narrow"/>
          <w:sz w:val="24"/>
          <w:szCs w:val="24"/>
          <w:lang w:val="en-US"/>
        </w:rPr>
        <w:t>proces</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javne</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rasprave</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planiran</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na</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način</w:t>
      </w:r>
      <w:proofErr w:type="spellEnd"/>
      <w:r w:rsidR="00B94EC4">
        <w:rPr>
          <w:rFonts w:ascii="Arial Narrow" w:hAnsi="Arial Narrow"/>
          <w:sz w:val="24"/>
          <w:szCs w:val="24"/>
          <w:lang w:val="en-US"/>
        </w:rPr>
        <w:t xml:space="preserve"> da </w:t>
      </w:r>
      <w:proofErr w:type="spellStart"/>
      <w:r w:rsidR="00B94EC4">
        <w:rPr>
          <w:rFonts w:ascii="Arial Narrow" w:hAnsi="Arial Narrow"/>
          <w:sz w:val="24"/>
          <w:szCs w:val="24"/>
          <w:lang w:val="en-US"/>
        </w:rPr>
        <w:t>okupi</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preds</w:t>
      </w:r>
      <w:r w:rsidR="00E1353B">
        <w:rPr>
          <w:rFonts w:ascii="Arial Narrow" w:hAnsi="Arial Narrow"/>
          <w:sz w:val="24"/>
          <w:szCs w:val="24"/>
          <w:lang w:val="en-US"/>
        </w:rPr>
        <w:t>ta</w:t>
      </w:r>
      <w:r w:rsidR="00B94EC4">
        <w:rPr>
          <w:rFonts w:ascii="Arial Narrow" w:hAnsi="Arial Narrow"/>
          <w:sz w:val="24"/>
          <w:szCs w:val="24"/>
          <w:lang w:val="en-US"/>
        </w:rPr>
        <w:t>vnike</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civilnog</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društva</w:t>
      </w:r>
      <w:proofErr w:type="spellEnd"/>
      <w:r w:rsidR="00B94EC4">
        <w:rPr>
          <w:rFonts w:ascii="Arial Narrow" w:hAnsi="Arial Narrow"/>
          <w:sz w:val="24"/>
          <w:szCs w:val="24"/>
          <w:lang w:val="en-US"/>
        </w:rPr>
        <w:t xml:space="preserve"> / NVO, </w:t>
      </w:r>
      <w:proofErr w:type="spellStart"/>
      <w:r w:rsidR="00B94EC4">
        <w:rPr>
          <w:rFonts w:ascii="Arial Narrow" w:hAnsi="Arial Narrow"/>
          <w:sz w:val="24"/>
          <w:szCs w:val="24"/>
          <w:lang w:val="en-US"/>
        </w:rPr>
        <w:t>privrede</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akademske</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zajednice</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studenata</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lokalnih</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samouprava</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državnih</w:t>
      </w:r>
      <w:proofErr w:type="spellEnd"/>
      <w:r w:rsidR="00B94EC4">
        <w:rPr>
          <w:rFonts w:ascii="Arial Narrow" w:hAnsi="Arial Narrow"/>
          <w:sz w:val="24"/>
          <w:szCs w:val="24"/>
          <w:lang w:val="en-US"/>
        </w:rPr>
        <w:t xml:space="preserve"> organa s </w:t>
      </w:r>
      <w:proofErr w:type="spellStart"/>
      <w:r w:rsidR="00B94EC4">
        <w:rPr>
          <w:rFonts w:ascii="Arial Narrow" w:hAnsi="Arial Narrow"/>
          <w:sz w:val="24"/>
          <w:szCs w:val="24"/>
          <w:lang w:val="en-US"/>
        </w:rPr>
        <w:t>fokusom</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na</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oblasti</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koje</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su</w:t>
      </w:r>
      <w:proofErr w:type="spellEnd"/>
      <w:r w:rsidR="00B94EC4">
        <w:rPr>
          <w:rFonts w:ascii="Arial Narrow" w:hAnsi="Arial Narrow"/>
          <w:sz w:val="24"/>
          <w:szCs w:val="24"/>
          <w:lang w:val="en-US"/>
        </w:rPr>
        <w:t xml:space="preserve"> </w:t>
      </w:r>
      <w:proofErr w:type="spellStart"/>
      <w:r w:rsidR="00B94EC4">
        <w:rPr>
          <w:rFonts w:ascii="Arial Narrow" w:hAnsi="Arial Narrow"/>
          <w:sz w:val="24"/>
          <w:szCs w:val="24"/>
          <w:lang w:val="en-US"/>
        </w:rPr>
        <w:t>usko</w:t>
      </w:r>
      <w:proofErr w:type="spellEnd"/>
      <w:r w:rsidR="00B94EC4">
        <w:rPr>
          <w:rFonts w:ascii="Arial Narrow" w:hAnsi="Arial Narrow"/>
          <w:sz w:val="24"/>
          <w:szCs w:val="24"/>
          <w:lang w:val="en-US"/>
        </w:rPr>
        <w:t xml:space="preserve"> </w:t>
      </w:r>
      <w:proofErr w:type="spellStart"/>
      <w:r>
        <w:rPr>
          <w:rFonts w:ascii="Arial Narrow" w:hAnsi="Arial Narrow"/>
          <w:sz w:val="24"/>
          <w:szCs w:val="24"/>
          <w:lang w:val="en-US"/>
        </w:rPr>
        <w:t>vezane</w:t>
      </w:r>
      <w:proofErr w:type="spellEnd"/>
      <w:r>
        <w:rPr>
          <w:rFonts w:ascii="Arial Narrow" w:hAnsi="Arial Narrow"/>
          <w:sz w:val="24"/>
          <w:szCs w:val="24"/>
          <w:lang w:val="en-US"/>
        </w:rPr>
        <w:t xml:space="preserve"> za </w:t>
      </w:r>
      <w:proofErr w:type="spellStart"/>
      <w:r>
        <w:rPr>
          <w:rFonts w:ascii="Arial Narrow" w:hAnsi="Arial Narrow"/>
          <w:sz w:val="24"/>
          <w:szCs w:val="24"/>
          <w:lang w:val="en-US"/>
        </w:rPr>
        <w:t>prioritete</w:t>
      </w:r>
      <w:proofErr w:type="spellEnd"/>
      <w:r>
        <w:rPr>
          <w:rFonts w:ascii="Arial Narrow" w:hAnsi="Arial Narrow"/>
          <w:sz w:val="24"/>
          <w:szCs w:val="24"/>
          <w:lang w:val="en-US"/>
        </w:rPr>
        <w:t xml:space="preserve"> Vlade.</w:t>
      </w:r>
    </w:p>
    <w:p w14:paraId="788BB71C" w14:textId="77777777" w:rsidR="00EB2A14" w:rsidRPr="00EB2A14" w:rsidRDefault="00EB2A14" w:rsidP="00EB2A14">
      <w:pPr>
        <w:jc w:val="both"/>
        <w:rPr>
          <w:rFonts w:ascii="Arial Narrow" w:hAnsi="Arial Narrow"/>
          <w:sz w:val="24"/>
          <w:szCs w:val="24"/>
          <w:lang w:val="en-US"/>
        </w:rPr>
      </w:pPr>
      <w:proofErr w:type="spellStart"/>
      <w:r w:rsidRPr="00EB2A14">
        <w:rPr>
          <w:rFonts w:ascii="Arial Narrow" w:hAnsi="Arial Narrow"/>
          <w:sz w:val="24"/>
          <w:szCs w:val="24"/>
          <w:lang w:val="en-US"/>
        </w:rPr>
        <w:t>Ključni</w:t>
      </w:r>
      <w:proofErr w:type="spellEnd"/>
      <w:r w:rsidRPr="00EB2A14">
        <w:rPr>
          <w:rFonts w:ascii="Arial Narrow" w:hAnsi="Arial Narrow"/>
          <w:sz w:val="24"/>
          <w:szCs w:val="24"/>
          <w:lang w:val="en-US"/>
        </w:rPr>
        <w:t xml:space="preserve"> </w:t>
      </w:r>
      <w:proofErr w:type="spellStart"/>
      <w:r w:rsidRPr="00EB2A14">
        <w:rPr>
          <w:rFonts w:ascii="Arial Narrow" w:hAnsi="Arial Narrow"/>
          <w:sz w:val="24"/>
          <w:szCs w:val="24"/>
          <w:lang w:val="en-US"/>
        </w:rPr>
        <w:t>prioriteti</w:t>
      </w:r>
      <w:proofErr w:type="spellEnd"/>
      <w:r w:rsidRPr="00EB2A14">
        <w:rPr>
          <w:rFonts w:ascii="Arial Narrow" w:hAnsi="Arial Narrow"/>
          <w:sz w:val="24"/>
          <w:szCs w:val="24"/>
          <w:lang w:val="en-US"/>
        </w:rPr>
        <w:t xml:space="preserve"> Vlade</w:t>
      </w:r>
      <w:r w:rsidR="001F257C">
        <w:rPr>
          <w:rFonts w:ascii="Arial Narrow" w:hAnsi="Arial Narrow"/>
          <w:sz w:val="24"/>
          <w:szCs w:val="24"/>
          <w:lang w:val="en-US"/>
        </w:rPr>
        <w:t xml:space="preserve">, </w:t>
      </w:r>
      <w:proofErr w:type="spellStart"/>
      <w:r w:rsidR="001F257C">
        <w:rPr>
          <w:rFonts w:ascii="Arial Narrow" w:hAnsi="Arial Narrow"/>
          <w:sz w:val="24"/>
          <w:szCs w:val="24"/>
          <w:lang w:val="en-US"/>
        </w:rPr>
        <w:t>nastavno</w:t>
      </w:r>
      <w:proofErr w:type="spellEnd"/>
      <w:r w:rsidR="001F257C">
        <w:rPr>
          <w:rFonts w:ascii="Arial Narrow" w:hAnsi="Arial Narrow"/>
          <w:sz w:val="24"/>
          <w:szCs w:val="24"/>
          <w:lang w:val="en-US"/>
        </w:rPr>
        <w:t xml:space="preserve"> </w:t>
      </w:r>
      <w:proofErr w:type="spellStart"/>
      <w:r w:rsidR="001F257C">
        <w:rPr>
          <w:rFonts w:ascii="Arial Narrow" w:hAnsi="Arial Narrow"/>
          <w:sz w:val="24"/>
          <w:szCs w:val="24"/>
          <w:lang w:val="en-US"/>
        </w:rPr>
        <w:t>na</w:t>
      </w:r>
      <w:proofErr w:type="spellEnd"/>
      <w:r w:rsidR="001F257C">
        <w:rPr>
          <w:rFonts w:ascii="Arial Narrow" w:hAnsi="Arial Narrow"/>
          <w:sz w:val="24"/>
          <w:szCs w:val="24"/>
          <w:lang w:val="en-US"/>
        </w:rPr>
        <w:t xml:space="preserve"> </w:t>
      </w:r>
      <w:proofErr w:type="spellStart"/>
      <w:r w:rsidR="001F257C">
        <w:rPr>
          <w:rFonts w:ascii="Arial Narrow" w:hAnsi="Arial Narrow"/>
          <w:sz w:val="24"/>
          <w:szCs w:val="24"/>
          <w:lang w:val="en-US"/>
        </w:rPr>
        <w:t>dosadašnjim</w:t>
      </w:r>
      <w:proofErr w:type="spellEnd"/>
      <w:r w:rsidR="001F257C">
        <w:rPr>
          <w:rFonts w:ascii="Arial Narrow" w:hAnsi="Arial Narrow"/>
          <w:sz w:val="24"/>
          <w:szCs w:val="24"/>
          <w:lang w:val="en-US"/>
        </w:rPr>
        <w:t xml:space="preserve"> </w:t>
      </w:r>
      <w:proofErr w:type="spellStart"/>
      <w:r w:rsidR="001F257C">
        <w:rPr>
          <w:rFonts w:ascii="Arial Narrow" w:hAnsi="Arial Narrow"/>
          <w:sz w:val="24"/>
          <w:szCs w:val="24"/>
          <w:lang w:val="en-US"/>
        </w:rPr>
        <w:t>principima</w:t>
      </w:r>
      <w:proofErr w:type="spellEnd"/>
      <w:r w:rsidR="001F257C">
        <w:rPr>
          <w:rFonts w:ascii="Arial Narrow" w:hAnsi="Arial Narrow"/>
          <w:sz w:val="24"/>
          <w:szCs w:val="24"/>
          <w:lang w:val="en-US"/>
        </w:rPr>
        <w:t xml:space="preserve"> </w:t>
      </w:r>
      <w:proofErr w:type="spellStart"/>
      <w:r w:rsidR="001F257C">
        <w:rPr>
          <w:rFonts w:ascii="Arial Narrow" w:hAnsi="Arial Narrow"/>
          <w:sz w:val="24"/>
          <w:szCs w:val="24"/>
          <w:lang w:val="en-US"/>
        </w:rPr>
        <w:t>razvoja</w:t>
      </w:r>
      <w:proofErr w:type="spellEnd"/>
      <w:r w:rsidR="001F257C">
        <w:rPr>
          <w:rFonts w:ascii="Arial Narrow" w:hAnsi="Arial Narrow"/>
          <w:sz w:val="24"/>
          <w:szCs w:val="24"/>
          <w:lang w:val="en-US"/>
        </w:rPr>
        <w:t xml:space="preserve"> </w:t>
      </w:r>
      <w:proofErr w:type="spellStart"/>
      <w:r w:rsidR="001F257C">
        <w:rPr>
          <w:rFonts w:ascii="Arial Narrow" w:hAnsi="Arial Narrow"/>
          <w:sz w:val="24"/>
          <w:szCs w:val="24"/>
          <w:lang w:val="en-US"/>
        </w:rPr>
        <w:t>su</w:t>
      </w:r>
      <w:proofErr w:type="spellEnd"/>
      <w:r w:rsidR="001F257C">
        <w:rPr>
          <w:rFonts w:ascii="Arial Narrow" w:hAnsi="Arial Narrow"/>
          <w:sz w:val="24"/>
          <w:szCs w:val="24"/>
          <w:lang w:val="en-US"/>
        </w:rPr>
        <w:t>:</w:t>
      </w:r>
    </w:p>
    <w:p w14:paraId="22FCAAAE" w14:textId="77777777" w:rsidR="001F257C" w:rsidRPr="00605A99" w:rsidRDefault="00980668" w:rsidP="00980668">
      <w:pPr>
        <w:pStyle w:val="ListParagraph"/>
        <w:jc w:val="both"/>
        <w:rPr>
          <w:rFonts w:ascii="Arial Narrow" w:hAnsi="Arial Narrow"/>
          <w:b/>
          <w:bCs/>
          <w:sz w:val="24"/>
          <w:szCs w:val="24"/>
          <w:lang w:val="en-US"/>
        </w:rPr>
      </w:pPr>
      <w:r w:rsidRPr="00605A99">
        <w:rPr>
          <w:rFonts w:ascii="Arial Narrow" w:hAnsi="Arial Narrow" w:cs="TimesNewRoman"/>
          <w:b/>
          <w:bCs/>
          <w:noProof/>
          <w:lang w:val="en-US"/>
        </w:rPr>
        <w:drawing>
          <wp:anchor distT="0" distB="0" distL="114300" distR="114300" simplePos="0" relativeHeight="251659264" behindDoc="0" locked="0" layoutInCell="1" allowOverlap="1" wp14:anchorId="766E507D" wp14:editId="0112BA3C">
            <wp:simplePos x="0" y="0"/>
            <wp:positionH relativeFrom="margin">
              <wp:posOffset>225425</wp:posOffset>
            </wp:positionH>
            <wp:positionV relativeFrom="paragraph">
              <wp:posOffset>5080</wp:posOffset>
            </wp:positionV>
            <wp:extent cx="381000" cy="395605"/>
            <wp:effectExtent l="0" t="0" r="0" b="4445"/>
            <wp:wrapSquare wrapText="bothSides"/>
            <wp:docPr id="5" name="Picture 5" descr="D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95605"/>
                    </a:xfrm>
                    <a:prstGeom prst="rect">
                      <a:avLst/>
                    </a:prstGeom>
                    <a:noFill/>
                    <a:ln>
                      <a:noFill/>
                    </a:ln>
                  </pic:spPr>
                </pic:pic>
              </a:graphicData>
            </a:graphic>
          </wp:anchor>
        </w:drawing>
      </w:r>
      <w:r w:rsidR="00605A99" w:rsidRPr="00605A99">
        <w:rPr>
          <w:rFonts w:ascii="Arial Narrow" w:hAnsi="Arial Narrow"/>
          <w:b/>
          <w:bCs/>
          <w:sz w:val="24"/>
          <w:szCs w:val="24"/>
          <w:lang w:val="en-US"/>
        </w:rPr>
        <w:t>VLADAVINA PRAVA I JEDNAKE ŠANSE</w:t>
      </w:r>
    </w:p>
    <w:p w14:paraId="522C9247" w14:textId="77777777" w:rsidR="00EB2A14" w:rsidRPr="001F257C" w:rsidRDefault="001F257C" w:rsidP="001F257C">
      <w:pPr>
        <w:jc w:val="both"/>
        <w:rPr>
          <w:rFonts w:ascii="Arial Narrow" w:hAnsi="Arial Narrow"/>
          <w:sz w:val="24"/>
          <w:szCs w:val="24"/>
          <w:lang w:val="en-US"/>
        </w:rPr>
      </w:pPr>
      <w:r>
        <w:rPr>
          <w:rFonts w:ascii="Arial Narrow" w:hAnsi="Arial Narrow"/>
          <w:sz w:val="24"/>
          <w:szCs w:val="24"/>
          <w:lang w:val="en-US"/>
        </w:rPr>
        <w:t xml:space="preserve">U </w:t>
      </w:r>
      <w:proofErr w:type="spellStart"/>
      <w:r>
        <w:rPr>
          <w:rFonts w:ascii="Arial Narrow" w:hAnsi="Arial Narrow"/>
          <w:sz w:val="24"/>
          <w:szCs w:val="24"/>
          <w:lang w:val="en-US"/>
        </w:rPr>
        <w:t>ovom</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prioritetu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objedinjene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ključne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politike</w:t>
      </w:r>
      <w:proofErr w:type="spellEnd"/>
      <w:r w:rsidR="00EB2A14" w:rsidRPr="001F257C">
        <w:rPr>
          <w:rFonts w:ascii="Arial Narrow" w:hAnsi="Arial Narrow"/>
          <w:sz w:val="24"/>
          <w:szCs w:val="24"/>
          <w:lang w:val="en-US"/>
        </w:rPr>
        <w:t xml:space="preserve"> za </w:t>
      </w:r>
      <w:proofErr w:type="spellStart"/>
      <w:r w:rsidR="00EB2A14" w:rsidRPr="001F257C">
        <w:rPr>
          <w:rFonts w:ascii="Arial Narrow" w:hAnsi="Arial Narrow"/>
          <w:sz w:val="24"/>
          <w:szCs w:val="24"/>
          <w:lang w:val="en-US"/>
        </w:rPr>
        <w:t>razvoj</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oblasti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na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kojima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počiva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svaka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demokratski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uređena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drzava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Najvažniji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zadaci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vezani</w:t>
      </w:r>
      <w:proofErr w:type="spellEnd"/>
      <w:r w:rsidR="00EB2A14" w:rsidRPr="001F257C">
        <w:rPr>
          <w:rFonts w:ascii="Arial Narrow" w:hAnsi="Arial Narrow"/>
          <w:sz w:val="24"/>
          <w:szCs w:val="24"/>
          <w:lang w:val="en-US"/>
        </w:rPr>
        <w:t xml:space="preserve"> za </w:t>
      </w:r>
      <w:proofErr w:type="spellStart"/>
      <w:r w:rsidR="00EB2A14" w:rsidRPr="001F257C">
        <w:rPr>
          <w:rFonts w:ascii="Arial Narrow" w:hAnsi="Arial Narrow"/>
          <w:sz w:val="24"/>
          <w:szCs w:val="24"/>
          <w:lang w:val="en-US"/>
        </w:rPr>
        <w:t>ovaj</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prioritet</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odnose</w:t>
      </w:r>
      <w:proofErr w:type="spellEnd"/>
      <w:r w:rsidR="00EB2A14" w:rsidRPr="001F257C">
        <w:rPr>
          <w:rFonts w:ascii="Arial Narrow" w:hAnsi="Arial Narrow"/>
          <w:sz w:val="24"/>
          <w:szCs w:val="24"/>
          <w:lang w:val="en-US"/>
        </w:rPr>
        <w:t xml:space="preserve"> se </w:t>
      </w:r>
      <w:proofErr w:type="spellStart"/>
      <w:r w:rsidR="00EB2A14" w:rsidRPr="001F257C">
        <w:rPr>
          <w:rFonts w:ascii="Arial Narrow" w:hAnsi="Arial Narrow"/>
          <w:sz w:val="24"/>
          <w:szCs w:val="24"/>
          <w:lang w:val="en-US"/>
        </w:rPr>
        <w:t>na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obezbjeđivanje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jednakosti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građana</w:t>
      </w:r>
      <w:proofErr w:type="spellEnd"/>
      <w:r w:rsidR="00EB2A14" w:rsidRPr="001F257C">
        <w:rPr>
          <w:rFonts w:ascii="Arial Narrow" w:hAnsi="Arial Narrow"/>
          <w:sz w:val="24"/>
          <w:szCs w:val="24"/>
          <w:lang w:val="en-US"/>
        </w:rPr>
        <w:t xml:space="preserve"> u </w:t>
      </w:r>
      <w:proofErr w:type="spellStart"/>
      <w:r w:rsidR="00EB2A14" w:rsidRPr="001F257C">
        <w:rPr>
          <w:rFonts w:ascii="Arial Narrow" w:hAnsi="Arial Narrow"/>
          <w:sz w:val="24"/>
          <w:szCs w:val="24"/>
          <w:lang w:val="en-US"/>
        </w:rPr>
        <w:t>pravima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i</w:t>
      </w:r>
      <w:proofErr w:type="spellEnd"/>
      <w:r w:rsidR="00EB2A14" w:rsidRPr="001F257C">
        <w:rPr>
          <w:rFonts w:ascii="Arial Narrow" w:hAnsi="Arial Narrow"/>
          <w:sz w:val="24"/>
          <w:szCs w:val="24"/>
          <w:lang w:val="en-US"/>
        </w:rPr>
        <w:t xml:space="preserve"> pred </w:t>
      </w:r>
      <w:proofErr w:type="spellStart"/>
      <w:r w:rsidR="00EB2A14" w:rsidRPr="001F257C">
        <w:rPr>
          <w:rFonts w:ascii="Arial Narrow" w:hAnsi="Arial Narrow"/>
          <w:sz w:val="24"/>
          <w:szCs w:val="24"/>
          <w:lang w:val="en-US"/>
        </w:rPr>
        <w:t>zakonom</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izgradnju</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jakih</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efikasnih</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institucija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očuvanje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bezbjednosti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borbu</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protiv</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korupcije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organizovanog</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kriminala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snaženje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nezavisnosti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pravosuđa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unapređenju</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položaja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pripadnika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manjina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obezbjeđivanju</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jednakih</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prava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svim</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građanima</w:t>
      </w:r>
      <w:proofErr w:type="spellEnd"/>
      <w:r w:rsidR="00EB2A14" w:rsidRPr="001F257C">
        <w:rPr>
          <w:rFonts w:ascii="Arial Narrow" w:hAnsi="Arial Narrow"/>
          <w:sz w:val="24"/>
          <w:szCs w:val="24"/>
          <w:lang w:val="en-US"/>
        </w:rPr>
        <w:t>.</w:t>
      </w:r>
      <w:r>
        <w:rPr>
          <w:rFonts w:ascii="Arial Narrow" w:hAnsi="Arial Narrow"/>
          <w:sz w:val="24"/>
          <w:szCs w:val="24"/>
          <w:lang w:val="en-US"/>
        </w:rPr>
        <w:t xml:space="preserve"> </w:t>
      </w:r>
      <w:proofErr w:type="spellStart"/>
      <w:r>
        <w:rPr>
          <w:rFonts w:ascii="Arial Narrow" w:hAnsi="Arial Narrow"/>
          <w:sz w:val="24"/>
          <w:szCs w:val="24"/>
          <w:lang w:val="en-US"/>
        </w:rPr>
        <w:t>Podjednako</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važan</w:t>
      </w:r>
      <w:proofErr w:type="spellEnd"/>
      <w:r>
        <w:rPr>
          <w:rFonts w:ascii="Arial Narrow" w:hAnsi="Arial Narrow"/>
          <w:sz w:val="24"/>
          <w:szCs w:val="24"/>
          <w:lang w:val="en-US"/>
        </w:rPr>
        <w:t xml:space="preserve"> segment je </w:t>
      </w:r>
      <w:proofErr w:type="spellStart"/>
      <w:r>
        <w:rPr>
          <w:rFonts w:ascii="Arial Narrow" w:hAnsi="Arial Narrow"/>
          <w:sz w:val="24"/>
          <w:szCs w:val="24"/>
          <w:lang w:val="en-US"/>
        </w:rPr>
        <w: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obezbjeđenje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socijalne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sigurnosti</w:t>
      </w:r>
      <w:proofErr w:type="spellEnd"/>
      <w:r>
        <w:rPr>
          <w:rFonts w:ascii="Arial Narrow" w:hAnsi="Arial Narrow"/>
          <w:sz w:val="24"/>
          <w:szCs w:val="24"/>
          <w:lang w:val="en-US"/>
        </w:rPr>
        <w:t xml:space="preserve"> za </w:t>
      </w:r>
      <w:proofErr w:type="spellStart"/>
      <w:r>
        <w:rPr>
          <w:rFonts w:ascii="Arial Narrow" w:hAnsi="Arial Narrow"/>
          <w:sz w:val="24"/>
          <w:szCs w:val="24"/>
          <w:lang w:val="en-US"/>
        </w:rPr>
        <w:t>ranjive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kategorije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i</w:t>
      </w:r>
      <w:proofErr w:type="spellEnd"/>
      <w:r>
        <w:rPr>
          <w:rFonts w:ascii="Arial Narrow" w:hAnsi="Arial Narrow"/>
          <w:sz w:val="24"/>
          <w:szCs w:val="24"/>
          <w:lang w:val="en-US"/>
        </w:rPr>
        <w:t xml:space="preserve"> one </w:t>
      </w:r>
      <w:proofErr w:type="spellStart"/>
      <w:r>
        <w:rPr>
          <w:rFonts w:ascii="Arial Narrow" w:hAnsi="Arial Narrow"/>
          <w:sz w:val="24"/>
          <w:szCs w:val="24"/>
          <w:lang w:val="en-US"/>
        </w:rPr>
        <w:t>kojima</w:t>
      </w:r>
      <w:proofErr w:type="spellEnd"/>
      <w:r>
        <w:rPr>
          <w:rFonts w:ascii="Arial Narrow" w:hAnsi="Arial Narrow"/>
          <w:sz w:val="24"/>
          <w:szCs w:val="24"/>
          <w:lang w:val="en-US"/>
        </w:rPr>
        <w:t xml:space="preserve"> je </w:t>
      </w:r>
      <w:proofErr w:type="spellStart"/>
      <w:r>
        <w:rPr>
          <w:rFonts w:ascii="Arial Narrow" w:hAnsi="Arial Narrow"/>
          <w:sz w:val="24"/>
          <w:szCs w:val="24"/>
          <w:lang w:val="en-US"/>
        </w:rPr>
        <w:t>podrška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najviše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potrebna</w:t>
      </w:r>
      <w:proofErr w:type="spellEnd"/>
      <w:r>
        <w:rPr>
          <w:rFonts w:ascii="Arial Narrow" w:hAnsi="Arial Narrow"/>
          <w:sz w:val="24"/>
          <w:szCs w:val="24"/>
          <w:lang w:val="en-US"/>
        </w:rPr>
        <w:t>.</w:t>
      </w:r>
    </w:p>
    <w:p w14:paraId="12F4890F" w14:textId="77777777" w:rsidR="001F257C" w:rsidRPr="00605A99" w:rsidRDefault="005B4BE7" w:rsidP="005B4BE7">
      <w:pPr>
        <w:pStyle w:val="ListParagraph"/>
        <w:jc w:val="both"/>
        <w:rPr>
          <w:rFonts w:ascii="Arial Narrow" w:hAnsi="Arial Narrow"/>
          <w:b/>
          <w:bCs/>
          <w:sz w:val="24"/>
          <w:szCs w:val="24"/>
          <w:lang w:val="en-US"/>
        </w:rPr>
      </w:pPr>
      <w:r w:rsidRPr="00605A99">
        <w:rPr>
          <w:rFonts w:ascii="Arial Narrow" w:hAnsi="Arial Narrow"/>
          <w:b/>
          <w:bCs/>
          <w:noProof/>
          <w:lang w:val="en-US"/>
        </w:rPr>
        <w:drawing>
          <wp:anchor distT="0" distB="0" distL="114300" distR="114300" simplePos="0" relativeHeight="251665408" behindDoc="0" locked="0" layoutInCell="1" allowOverlap="1" wp14:anchorId="467F35C9" wp14:editId="193F3D62">
            <wp:simplePos x="0" y="0"/>
            <wp:positionH relativeFrom="column">
              <wp:posOffset>243840</wp:posOffset>
            </wp:positionH>
            <wp:positionV relativeFrom="paragraph">
              <wp:posOffset>24511</wp:posOffset>
            </wp:positionV>
            <wp:extent cx="457200" cy="466725"/>
            <wp:effectExtent l="0" t="0" r="0" b="9525"/>
            <wp:wrapSquare wrapText="bothSides"/>
            <wp:docPr id="96" name="Picture 96" descr="EŽ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Ž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anchor>
        </w:drawing>
      </w:r>
      <w:r w:rsidR="00605A99" w:rsidRPr="00605A99">
        <w:rPr>
          <w:rFonts w:ascii="Arial Narrow" w:hAnsi="Arial Narrow"/>
          <w:b/>
          <w:bCs/>
          <w:sz w:val="24"/>
          <w:szCs w:val="24"/>
          <w:lang w:val="en-US"/>
        </w:rPr>
        <w:t>ZDRAVE FINANSIJE I EKONOMSKI RAZVOJ</w:t>
      </w:r>
    </w:p>
    <w:p w14:paraId="4A3AC111" w14:textId="77777777" w:rsidR="00EB2A14" w:rsidRPr="001F257C" w:rsidRDefault="001F257C" w:rsidP="001F257C">
      <w:pPr>
        <w:jc w:val="both"/>
        <w:rPr>
          <w:rFonts w:ascii="Arial Narrow" w:hAnsi="Arial Narrow"/>
          <w:sz w:val="24"/>
          <w:szCs w:val="24"/>
          <w:lang w:val="en-US"/>
        </w:rPr>
      </w:pPr>
      <w:proofErr w:type="spellStart"/>
      <w:r>
        <w:rPr>
          <w:rFonts w:ascii="Arial Narrow" w:hAnsi="Arial Narrow"/>
          <w:sz w:val="24"/>
          <w:szCs w:val="24"/>
          <w:lang w:val="en-US"/>
        </w:rPr>
        <w:t>Kroz</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ciljeve</w:t>
      </w:r>
      <w:proofErr w:type="spellEnd"/>
      <w:r>
        <w:rPr>
          <w:rFonts w:ascii="Arial Narrow" w:hAnsi="Arial Narrow"/>
          <w:sz w:val="24"/>
          <w:szCs w:val="24"/>
          <w:lang w:val="en-US"/>
        </w:rPr>
        <w:t xml:space="preserve"> u </w:t>
      </w:r>
      <w:proofErr w:type="spellStart"/>
      <w:r>
        <w:rPr>
          <w:rFonts w:ascii="Arial Narrow" w:hAnsi="Arial Narrow"/>
          <w:sz w:val="24"/>
          <w:szCs w:val="24"/>
          <w:lang w:val="en-US"/>
        </w:rPr>
        <w:t>okviru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ovog</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prioriteta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ć</w:t>
      </w:r>
      <w:r w:rsidR="00EB2A14" w:rsidRPr="001F257C">
        <w:rPr>
          <w:rFonts w:ascii="Arial Narrow" w:hAnsi="Arial Narrow"/>
          <w:sz w:val="24"/>
          <w:szCs w:val="24"/>
          <w:lang w:val="en-US"/>
        </w:rPr>
        <w:t>e</w:t>
      </w:r>
      <w:proofErr w:type="spellEnd"/>
      <w:r w:rsidR="00EB2A14" w:rsidRPr="001F257C">
        <w:rPr>
          <w:rFonts w:ascii="Arial Narrow" w:hAnsi="Arial Narrow"/>
          <w:sz w:val="24"/>
          <w:szCs w:val="24"/>
          <w:lang w:val="en-US"/>
        </w:rPr>
        <w:t xml:space="preserve"> se </w:t>
      </w:r>
      <w:proofErr w:type="spellStart"/>
      <w:r w:rsidR="00EB2A14" w:rsidRPr="001F257C">
        <w:rPr>
          <w:rFonts w:ascii="Arial Narrow" w:hAnsi="Arial Narrow"/>
          <w:sz w:val="24"/>
          <w:szCs w:val="24"/>
          <w:lang w:val="en-US"/>
        </w:rPr>
        <w:t>postići</w:t>
      </w:r>
      <w:proofErr w:type="spellEnd"/>
      <w:r w:rsidR="00EB2A14" w:rsidRPr="001F257C">
        <w:rPr>
          <w:rFonts w:ascii="Arial Narrow" w:hAnsi="Arial Narrow"/>
          <w:sz w:val="24"/>
          <w:szCs w:val="24"/>
          <w:lang w:val="en-US"/>
        </w:rPr>
        <w:t xml:space="preserve"> da </w:t>
      </w:r>
      <w:proofErr w:type="spellStart"/>
      <w:r w:rsidR="00EB2A14" w:rsidRPr="001F257C">
        <w:rPr>
          <w:rFonts w:ascii="Arial Narrow" w:hAnsi="Arial Narrow"/>
          <w:sz w:val="24"/>
          <w:szCs w:val="24"/>
          <w:lang w:val="en-US"/>
        </w:rPr>
        <w:t>finansije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budu</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stabilne</w:t>
      </w:r>
      <w:proofErr w:type="spellEnd"/>
      <w:r w:rsidR="00EB2A14" w:rsidRPr="001F257C">
        <w:rPr>
          <w:rFonts w:ascii="Arial Narrow" w:hAnsi="Arial Narrow"/>
          <w:sz w:val="24"/>
          <w:szCs w:val="24"/>
          <w:lang w:val="en-US"/>
        </w:rPr>
        <w:t xml:space="preserve">, a </w:t>
      </w:r>
      <w:proofErr w:type="spellStart"/>
      <w:r w:rsidR="00EB2A14" w:rsidRPr="001F257C">
        <w:rPr>
          <w:rFonts w:ascii="Arial Narrow" w:hAnsi="Arial Narrow"/>
          <w:sz w:val="24"/>
          <w:szCs w:val="24"/>
          <w:lang w:val="en-US"/>
        </w:rPr>
        <w:t>ekonomija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održiva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Dio</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ovog</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prioriteta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čine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unapređenje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konkurentnosti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regionalna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povezanost</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zelena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ekonomija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što</w:t>
      </w:r>
      <w:proofErr w:type="spellEnd"/>
      <w:r w:rsidR="00EB2A14" w:rsidRPr="001F257C">
        <w:rPr>
          <w:rFonts w:ascii="Arial Narrow" w:hAnsi="Arial Narrow"/>
          <w:sz w:val="24"/>
          <w:szCs w:val="24"/>
          <w:lang w:val="en-US"/>
        </w:rPr>
        <w:t xml:space="preserve"> za </w:t>
      </w:r>
      <w:proofErr w:type="spellStart"/>
      <w:r w:rsidR="00EB2A14" w:rsidRPr="001F257C">
        <w:rPr>
          <w:rFonts w:ascii="Arial Narrow" w:hAnsi="Arial Narrow"/>
          <w:sz w:val="24"/>
          <w:szCs w:val="24"/>
          <w:lang w:val="en-US"/>
        </w:rPr>
        <w:t>cilj</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ima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pametan</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održiv</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inkluzivan</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rast</w:t>
      </w:r>
      <w:proofErr w:type="spellEnd"/>
      <w:r w:rsidR="00EB2A14" w:rsidRPr="001F257C">
        <w:rPr>
          <w:rFonts w:ascii="Arial Narrow" w:hAnsi="Arial Narrow"/>
          <w:sz w:val="24"/>
          <w:szCs w:val="24"/>
          <w:lang w:val="en-US"/>
        </w:rPr>
        <w:t xml:space="preserve"> koji </w:t>
      </w:r>
      <w:proofErr w:type="spellStart"/>
      <w:r w:rsidR="00EB2A14" w:rsidRPr="001F257C">
        <w:rPr>
          <w:rFonts w:ascii="Arial Narrow" w:hAnsi="Arial Narrow"/>
          <w:sz w:val="24"/>
          <w:szCs w:val="24"/>
          <w:lang w:val="en-US"/>
        </w:rPr>
        <w:t>će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doprinijeti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kvalitetu</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života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svih</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građana</w:t>
      </w:r>
      <w:proofErr w:type="spellEnd"/>
      <w:r w:rsidR="00EB2A14" w:rsidRPr="001F257C">
        <w:rPr>
          <w:rFonts w:ascii="Arial Narrow" w:hAnsi="Arial Narrow"/>
          <w:sz w:val="24"/>
          <w:szCs w:val="24"/>
          <w:lang w:val="en-US"/>
        </w:rPr>
        <w:t xml:space="preserve">. </w:t>
      </w:r>
    </w:p>
    <w:p w14:paraId="4B0D80FE" w14:textId="77777777" w:rsidR="001F257C" w:rsidRPr="00605A99" w:rsidRDefault="005B4BE7" w:rsidP="005B4BE7">
      <w:pPr>
        <w:pStyle w:val="ListParagraph"/>
        <w:jc w:val="both"/>
        <w:rPr>
          <w:rFonts w:ascii="Arial Narrow" w:hAnsi="Arial Narrow"/>
          <w:b/>
          <w:bCs/>
          <w:sz w:val="24"/>
          <w:szCs w:val="24"/>
          <w:lang w:val="en-US"/>
        </w:rPr>
      </w:pPr>
      <w:r w:rsidRPr="00605A99">
        <w:rPr>
          <w:rFonts w:ascii="Arial Narrow" w:hAnsi="Arial Narrow"/>
          <w:b/>
          <w:bCs/>
          <w:noProof/>
          <w:lang w:val="en-US"/>
        </w:rPr>
        <w:drawing>
          <wp:anchor distT="0" distB="0" distL="114300" distR="114300" simplePos="0" relativeHeight="251667456" behindDoc="0" locked="0" layoutInCell="1" allowOverlap="1" wp14:anchorId="2A22A3FB" wp14:editId="0DF9A3B0">
            <wp:simplePos x="0" y="0"/>
            <wp:positionH relativeFrom="margin">
              <wp:posOffset>261620</wp:posOffset>
            </wp:positionH>
            <wp:positionV relativeFrom="paragraph">
              <wp:posOffset>60198</wp:posOffset>
            </wp:positionV>
            <wp:extent cx="504825" cy="479425"/>
            <wp:effectExtent l="0" t="0" r="9525" b="0"/>
            <wp:wrapSquare wrapText="bothSides"/>
            <wp:docPr id="112" name="Picture 112" descr="Z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5A99" w:rsidRPr="00605A99">
        <w:rPr>
          <w:rFonts w:ascii="Arial Narrow" w:hAnsi="Arial Narrow"/>
          <w:b/>
          <w:bCs/>
          <w:sz w:val="24"/>
          <w:szCs w:val="24"/>
          <w:lang w:val="en-US"/>
        </w:rPr>
        <w:t>ZDRAVLJE I ZDRAVA ŽIVOTNA SREDINA</w:t>
      </w:r>
    </w:p>
    <w:p w14:paraId="601A659D" w14:textId="77777777" w:rsidR="00EB2A14" w:rsidRPr="001F257C" w:rsidRDefault="001F257C" w:rsidP="001F257C">
      <w:pPr>
        <w:jc w:val="both"/>
        <w:rPr>
          <w:rFonts w:ascii="Arial Narrow" w:hAnsi="Arial Narrow"/>
          <w:sz w:val="24"/>
          <w:szCs w:val="24"/>
          <w:lang w:val="en-US"/>
        </w:rPr>
      </w:pPr>
      <w:r>
        <w:rPr>
          <w:rFonts w:ascii="Arial Narrow" w:hAnsi="Arial Narrow"/>
          <w:sz w:val="24"/>
          <w:szCs w:val="24"/>
          <w:lang w:val="en-US"/>
        </w:rPr>
        <w:t xml:space="preserve">U </w:t>
      </w:r>
      <w:proofErr w:type="spellStart"/>
      <w:r>
        <w:rPr>
          <w:rFonts w:ascii="Arial Narrow" w:hAnsi="Arial Narrow"/>
          <w:sz w:val="24"/>
          <w:szCs w:val="24"/>
          <w:lang w:val="en-US"/>
        </w:rPr>
        <w:t>uslovima</w:t>
      </w:r>
      <w:proofErr w:type="spellEnd"/>
      <w:r>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kada</w:t>
      </w:r>
      <w:proofErr w:type="spellEnd"/>
      <w:r w:rsidR="00EB2A14" w:rsidRPr="001F257C">
        <w:rPr>
          <w:rFonts w:ascii="Arial Narrow" w:hAnsi="Arial Narrow"/>
          <w:sz w:val="24"/>
          <w:szCs w:val="24"/>
          <w:lang w:val="en-US"/>
        </w:rPr>
        <w:t xml:space="preserve"> je </w:t>
      </w:r>
      <w:proofErr w:type="spellStart"/>
      <w:r w:rsidR="00EB2A14" w:rsidRPr="001F257C">
        <w:rPr>
          <w:rFonts w:ascii="Arial Narrow" w:hAnsi="Arial Narrow"/>
          <w:sz w:val="24"/>
          <w:szCs w:val="24"/>
          <w:lang w:val="en-US"/>
        </w:rPr>
        <w:t>zdravlje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građana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ugroženo</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pandemijom</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virusa</w:t>
      </w:r>
      <w:proofErr w:type="spellEnd"/>
      <w:r w:rsidR="00EB2A14" w:rsidRPr="001F257C">
        <w:rPr>
          <w:rFonts w:ascii="Arial Narrow" w:hAnsi="Arial Narrow"/>
          <w:sz w:val="24"/>
          <w:szCs w:val="24"/>
          <w:lang w:val="en-US"/>
        </w:rPr>
        <w:t xml:space="preserve"> Covid </w:t>
      </w:r>
      <w:r>
        <w:rPr>
          <w:rFonts w:ascii="Arial Narrow" w:hAnsi="Arial Narrow"/>
          <w:sz w:val="24"/>
          <w:szCs w:val="24"/>
          <w:lang w:val="en-US"/>
        </w:rPr>
        <w:t>–</w:t>
      </w:r>
      <w:r w:rsidR="00EB2A14" w:rsidRPr="001F257C">
        <w:rPr>
          <w:rFonts w:ascii="Arial Narrow" w:hAnsi="Arial Narrow"/>
          <w:sz w:val="24"/>
          <w:szCs w:val="24"/>
          <w:lang w:val="en-US"/>
        </w:rPr>
        <w:t xml:space="preserve"> 19</w:t>
      </w:r>
      <w:r>
        <w:rPr>
          <w:rFonts w:ascii="Arial Narrow" w:hAnsi="Arial Narrow"/>
          <w:sz w:val="24"/>
          <w:szCs w:val="24"/>
          <w:lang w:val="en-US"/>
        </w:rPr>
        <w:t xml:space="preserve"> I </w:t>
      </w:r>
      <w:proofErr w:type="spellStart"/>
      <w:r>
        <w:rPr>
          <w:rFonts w:ascii="Arial Narrow" w:hAnsi="Arial Narrow"/>
          <w:sz w:val="24"/>
          <w:szCs w:val="24"/>
          <w:lang w:val="en-US"/>
        </w:rPr>
        <w:t>kada</w:t>
      </w:r>
      <w:proofErr w:type="spellEnd"/>
      <w:r>
        <w:rPr>
          <w:rFonts w:ascii="Arial Narrow" w:hAnsi="Arial Narrow"/>
          <w:sz w:val="24"/>
          <w:szCs w:val="24"/>
          <w:lang w:val="en-US"/>
        </w:rPr>
        <w:t xml:space="preserve"> je </w:t>
      </w:r>
      <w:proofErr w:type="spellStart"/>
      <w:r>
        <w:rPr>
          <w:rFonts w:ascii="Arial Narrow" w:hAnsi="Arial Narrow"/>
          <w:sz w:val="24"/>
          <w:szCs w:val="24"/>
          <w:lang w:val="en-US"/>
        </w:rPr>
        <w:t>cijeli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zdravstveni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sistem</w:t>
      </w:r>
      <w:proofErr w:type="spellEnd"/>
      <w:r>
        <w:rPr>
          <w:rFonts w:ascii="Arial Narrow" w:hAnsi="Arial Narrow"/>
          <w:sz w:val="24"/>
          <w:szCs w:val="24"/>
          <w:lang w:val="en-US"/>
        </w:rPr>
        <w:t xml:space="preserve"> pod </w:t>
      </w:r>
      <w:proofErr w:type="spellStart"/>
      <w:r>
        <w:rPr>
          <w:rFonts w:ascii="Arial Narrow" w:hAnsi="Arial Narrow"/>
          <w:sz w:val="24"/>
          <w:szCs w:val="24"/>
          <w:lang w:val="en-US"/>
        </w:rPr>
        <w:t>pritiskom</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ovo</w:t>
      </w:r>
      <w:proofErr w:type="spellEnd"/>
      <w:r>
        <w:rPr>
          <w:rFonts w:ascii="Arial Narrow" w:hAnsi="Arial Narrow"/>
          <w:sz w:val="24"/>
          <w:szCs w:val="24"/>
          <w:lang w:val="en-US"/>
        </w:rPr>
        <w:t xml:space="preserve"> se </w:t>
      </w:r>
      <w:proofErr w:type="spellStart"/>
      <w:r>
        <w:rPr>
          <w:rFonts w:ascii="Arial Narrow" w:hAnsi="Arial Narrow"/>
          <w:sz w:val="24"/>
          <w:szCs w:val="24"/>
          <w:lang w:val="en-US"/>
        </w:rPr>
        <w:t>nameće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kao</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jedan</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od</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ključnih</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prioriteta</w:t>
      </w:r>
      <w:proofErr w:type="spellEnd"/>
      <w:r>
        <w:rPr>
          <w:rFonts w:ascii="Arial Narrow" w:hAnsi="Arial Narrow"/>
          <w:sz w:val="24"/>
          <w:szCs w:val="24"/>
          <w:lang w:val="en-US"/>
        </w:rPr>
        <w:t xml:space="preserve"> Vlade</w:t>
      </w:r>
      <w:r w:rsidR="00EB2A14" w:rsidRPr="001F257C">
        <w:rPr>
          <w:rFonts w:ascii="Arial Narrow" w:hAnsi="Arial Narrow"/>
          <w:sz w:val="24"/>
          <w:szCs w:val="24"/>
          <w:lang w:val="en-US"/>
        </w:rPr>
        <w:t xml:space="preserve">. U </w:t>
      </w:r>
      <w:proofErr w:type="spellStart"/>
      <w:r w:rsidR="00EB2A14" w:rsidRPr="001F257C">
        <w:rPr>
          <w:rFonts w:ascii="Arial Narrow" w:hAnsi="Arial Narrow"/>
          <w:sz w:val="24"/>
          <w:szCs w:val="24"/>
          <w:lang w:val="en-US"/>
        </w:rPr>
        <w:t>njegovoj</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osnovi</w:t>
      </w:r>
      <w:proofErr w:type="spellEnd"/>
      <w:r w:rsidR="00EB2A14" w:rsidRPr="001F257C">
        <w:rPr>
          <w:rFonts w:ascii="Arial Narrow" w:hAnsi="Arial Narrow"/>
          <w:sz w:val="24"/>
          <w:szCs w:val="24"/>
          <w:lang w:val="en-US"/>
        </w:rPr>
        <w:t xml:space="preserve"> je </w:t>
      </w:r>
      <w:proofErr w:type="spellStart"/>
      <w:r w:rsidR="00EB2A14" w:rsidRPr="001F257C">
        <w:rPr>
          <w:rFonts w:ascii="Arial Narrow" w:hAnsi="Arial Narrow"/>
          <w:sz w:val="24"/>
          <w:szCs w:val="24"/>
          <w:lang w:val="en-US"/>
        </w:rPr>
        <w:t>zdravlje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svakog</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pojedinca</w:t>
      </w:r>
      <w:proofErr w:type="spellEnd"/>
      <w:r w:rsidR="00EB2A14" w:rsidRPr="001F257C">
        <w:rPr>
          <w:rFonts w:ascii="Arial Narrow" w:hAnsi="Arial Narrow"/>
          <w:sz w:val="24"/>
          <w:szCs w:val="24"/>
          <w:lang w:val="en-US"/>
        </w:rPr>
        <w:t>.</w:t>
      </w:r>
      <w:r w:rsidR="00B801BE">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Preduslov</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dobrog</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zdravlja</w:t>
      </w:r>
      <w:proofErr w:type="spellEnd"/>
      <w:r w:rsidR="00EB2A14" w:rsidRPr="001F257C">
        <w:rPr>
          <w:rFonts w:ascii="Arial Narrow" w:hAnsi="Arial Narrow"/>
          <w:sz w:val="24"/>
          <w:szCs w:val="24"/>
          <w:lang w:val="en-US"/>
        </w:rPr>
        <w:t xml:space="preserve"> je </w:t>
      </w:r>
      <w:proofErr w:type="spellStart"/>
      <w:r w:rsidR="00EB2A14" w:rsidRPr="001F257C">
        <w:rPr>
          <w:rFonts w:ascii="Arial Narrow" w:hAnsi="Arial Narrow"/>
          <w:sz w:val="24"/>
          <w:szCs w:val="24"/>
          <w:lang w:val="en-US"/>
        </w:rPr>
        <w: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zdrava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životna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sredina</w:t>
      </w:r>
      <w:proofErr w:type="spellEnd"/>
      <w:r w:rsidR="00EB2A14" w:rsidRPr="001F257C">
        <w:rPr>
          <w:rFonts w:ascii="Arial Narrow" w:hAnsi="Arial Narrow"/>
          <w:sz w:val="24"/>
          <w:szCs w:val="24"/>
          <w:lang w:val="en-US"/>
        </w:rPr>
        <w:t xml:space="preserve">, pa </w:t>
      </w:r>
      <w:proofErr w:type="spellStart"/>
      <w:r w:rsidR="00EB2A14" w:rsidRPr="001F257C">
        <w:rPr>
          <w:rFonts w:ascii="Arial Narrow" w:hAnsi="Arial Narrow"/>
          <w:sz w:val="24"/>
          <w:szCs w:val="24"/>
          <w:lang w:val="en-US"/>
        </w:rPr>
        <w:t>ce</w:t>
      </w:r>
      <w:proofErr w:type="spellEnd"/>
      <w:r w:rsidR="00EB2A14" w:rsidRPr="001F257C">
        <w:rPr>
          <w:rFonts w:ascii="Arial Narrow" w:hAnsi="Arial Narrow"/>
          <w:sz w:val="24"/>
          <w:szCs w:val="24"/>
          <w:lang w:val="en-US"/>
        </w:rPr>
        <w:t xml:space="preserve"> se u tom </w:t>
      </w:r>
      <w:proofErr w:type="spellStart"/>
      <w:r w:rsidR="00EB2A14" w:rsidRPr="001F257C">
        <w:rPr>
          <w:rFonts w:ascii="Arial Narrow" w:hAnsi="Arial Narrow"/>
          <w:sz w:val="24"/>
          <w:szCs w:val="24"/>
          <w:lang w:val="en-US"/>
        </w:rPr>
        <w:t>smislu</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raditi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na</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podizanju</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svijesti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građana</w:t>
      </w:r>
      <w:proofErr w:type="spellEnd"/>
      <w:r w:rsidR="00EB2A14" w:rsidRPr="001F257C">
        <w:rPr>
          <w:rFonts w:ascii="Arial Narrow" w:hAnsi="Arial Narrow"/>
          <w:sz w:val="24"/>
          <w:szCs w:val="24"/>
          <w:lang w:val="en-US"/>
        </w:rPr>
        <w:t xml:space="preserve"> o </w:t>
      </w:r>
      <w:proofErr w:type="spellStart"/>
      <w:r w:rsidR="00EB2A14" w:rsidRPr="001F257C">
        <w:rPr>
          <w:rFonts w:ascii="Arial Narrow" w:hAnsi="Arial Narrow"/>
          <w:sz w:val="24"/>
          <w:szCs w:val="24"/>
          <w:lang w:val="en-US"/>
        </w:rPr>
        <w:t>očuvanju</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zaštiti</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životne</w:t>
      </w:r>
      <w:proofErr w:type="spellEnd"/>
      <w:r w:rsidR="00EB2A14" w:rsidRPr="001F257C">
        <w:rPr>
          <w:rFonts w:ascii="Arial Narrow" w:hAnsi="Arial Narrow"/>
          <w:sz w:val="24"/>
          <w:szCs w:val="24"/>
          <w:lang w:val="en-US"/>
        </w:rPr>
        <w:t xml:space="preserve"> </w:t>
      </w:r>
      <w:proofErr w:type="spellStart"/>
      <w:r w:rsidR="00EB2A14" w:rsidRPr="001F257C">
        <w:rPr>
          <w:rFonts w:ascii="Arial Narrow" w:hAnsi="Arial Narrow"/>
          <w:sz w:val="24"/>
          <w:szCs w:val="24"/>
          <w:lang w:val="en-US"/>
        </w:rPr>
        <w:t>sredine</w:t>
      </w:r>
      <w:proofErr w:type="spellEnd"/>
      <w:r w:rsidR="00EB2A14" w:rsidRPr="001F257C">
        <w:rPr>
          <w:rFonts w:ascii="Arial Narrow" w:hAnsi="Arial Narrow"/>
          <w:sz w:val="24"/>
          <w:szCs w:val="24"/>
          <w:lang w:val="en-US"/>
        </w:rPr>
        <w:t>.</w:t>
      </w:r>
    </w:p>
    <w:p w14:paraId="6FB933F7" w14:textId="77777777" w:rsidR="00B801BE" w:rsidRPr="00605A99" w:rsidRDefault="0015677D" w:rsidP="005B4BE7">
      <w:pPr>
        <w:pStyle w:val="ListParagraph"/>
        <w:jc w:val="both"/>
        <w:rPr>
          <w:rFonts w:ascii="Arial Narrow" w:hAnsi="Arial Narrow"/>
          <w:b/>
          <w:bCs/>
          <w:sz w:val="24"/>
          <w:szCs w:val="24"/>
          <w:lang w:val="en-US"/>
        </w:rPr>
      </w:pPr>
      <w:r w:rsidRPr="00605A99">
        <w:rPr>
          <w:rFonts w:ascii="Arial Narrow" w:hAnsi="Arial Narrow"/>
          <w:b/>
          <w:bCs/>
          <w:noProof/>
          <w:lang w:val="en-US"/>
        </w:rPr>
        <w:drawing>
          <wp:anchor distT="0" distB="0" distL="114300" distR="114300" simplePos="0" relativeHeight="251669504" behindDoc="0" locked="0" layoutInCell="1" allowOverlap="1" wp14:anchorId="3D093FB3" wp14:editId="26DD88AD">
            <wp:simplePos x="0" y="0"/>
            <wp:positionH relativeFrom="margin">
              <wp:posOffset>336501</wp:posOffset>
            </wp:positionH>
            <wp:positionV relativeFrom="paragraph">
              <wp:posOffset>4549</wp:posOffset>
            </wp:positionV>
            <wp:extent cx="447675" cy="415925"/>
            <wp:effectExtent l="0" t="0" r="9525" b="3175"/>
            <wp:wrapSquare wrapText="bothSides"/>
            <wp:docPr id="113" name="Picture 113" descr="N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5A99" w:rsidRPr="00605A99">
        <w:rPr>
          <w:rFonts w:ascii="Arial Narrow" w:hAnsi="Arial Narrow"/>
          <w:b/>
          <w:bCs/>
          <w:sz w:val="24"/>
          <w:szCs w:val="24"/>
          <w:lang w:val="en-US"/>
        </w:rPr>
        <w:t xml:space="preserve">OBRAZOVANJE I DRUŠTVO ZASNOVANO NA ZNANJU </w:t>
      </w:r>
    </w:p>
    <w:p w14:paraId="2F0B7534" w14:textId="77777777" w:rsidR="00EB2A14" w:rsidRPr="00B801BE" w:rsidRDefault="00B801BE" w:rsidP="00B801BE">
      <w:pPr>
        <w:jc w:val="both"/>
        <w:rPr>
          <w:rFonts w:ascii="Arial Narrow" w:hAnsi="Arial Narrow"/>
          <w:sz w:val="24"/>
          <w:szCs w:val="24"/>
          <w:lang w:val="en-US"/>
        </w:rPr>
      </w:pPr>
      <w:r>
        <w:rPr>
          <w:rFonts w:ascii="Arial Narrow" w:hAnsi="Arial Narrow"/>
          <w:sz w:val="24"/>
          <w:szCs w:val="24"/>
          <w:lang w:val="en-US"/>
        </w:rPr>
        <w:lastRenderedPageBreak/>
        <w:t>K</w:t>
      </w:r>
      <w:r w:rsidR="00EB2A14" w:rsidRPr="00B801BE">
        <w:rPr>
          <w:rFonts w:ascii="Arial Narrow" w:hAnsi="Arial Narrow"/>
          <w:sz w:val="24"/>
          <w:szCs w:val="24"/>
          <w:lang w:val="en-US"/>
        </w:rPr>
        <w:t xml:space="preserve">ao </w:t>
      </w:r>
      <w:proofErr w:type="spellStart"/>
      <w:r w:rsidR="00EB2A14" w:rsidRPr="00B801BE">
        <w:rPr>
          <w:rFonts w:ascii="Arial Narrow" w:hAnsi="Arial Narrow"/>
          <w:sz w:val="24"/>
          <w:szCs w:val="24"/>
          <w:lang w:val="en-US"/>
        </w:rPr>
        <w:t>četvrti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prioritet</w:t>
      </w:r>
      <w:proofErr w:type="spellEnd"/>
      <w:r>
        <w:rPr>
          <w:rFonts w:ascii="Arial Narrow" w:hAnsi="Arial Narrow"/>
          <w:sz w:val="24"/>
          <w:szCs w:val="24"/>
          <w:lang w:val="en-US"/>
        </w:rPr>
        <w:t>,</w:t>
      </w:r>
      <w:r w:rsidR="00EB2A14" w:rsidRPr="00B801BE">
        <w:rPr>
          <w:rFonts w:ascii="Arial Narrow" w:hAnsi="Arial Narrow"/>
          <w:sz w:val="24"/>
          <w:szCs w:val="24"/>
          <w:lang w:val="en-US"/>
        </w:rPr>
        <w:t xml:space="preserve"> u </w:t>
      </w:r>
      <w:proofErr w:type="spellStart"/>
      <w:r w:rsidR="00EB2A14" w:rsidRPr="00B801BE">
        <w:rPr>
          <w:rFonts w:ascii="Arial Narrow" w:hAnsi="Arial Narrow"/>
          <w:sz w:val="24"/>
          <w:szCs w:val="24"/>
          <w:lang w:val="en-US"/>
        </w:rPr>
        <w:t>svojoj</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osnovi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ima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obrazovanje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fokusirano</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na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kreativnost</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prepoznavanje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talenata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sportski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razvoj</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djece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omladine</w:t>
      </w:r>
      <w:proofErr w:type="spellEnd"/>
      <w:r w:rsidR="00EB2A14" w:rsidRPr="00B801BE">
        <w:rPr>
          <w:rFonts w:ascii="Arial Narrow" w:hAnsi="Arial Narrow"/>
          <w:sz w:val="24"/>
          <w:szCs w:val="24"/>
          <w:lang w:val="en-US"/>
        </w:rPr>
        <w:t xml:space="preserve"> U </w:t>
      </w:r>
      <w:proofErr w:type="spellStart"/>
      <w:r w:rsidR="00EB2A14" w:rsidRPr="00B801BE">
        <w:rPr>
          <w:rFonts w:ascii="Arial Narrow" w:hAnsi="Arial Narrow"/>
          <w:sz w:val="24"/>
          <w:szCs w:val="24"/>
          <w:lang w:val="en-US"/>
        </w:rPr>
        <w:t>okviru</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ovog</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prioriteta</w:t>
      </w:r>
      <w:proofErr w:type="spellEnd"/>
      <w:r w:rsidR="00EB2A14" w:rsidRPr="00B801BE">
        <w:rPr>
          <w:rFonts w:ascii="Arial Narrow" w:hAnsi="Arial Narrow"/>
          <w:sz w:val="24"/>
          <w:szCs w:val="24"/>
          <w:lang w:val="en-US"/>
        </w:rPr>
        <w:t xml:space="preserve"> se </w:t>
      </w:r>
      <w:proofErr w:type="spellStart"/>
      <w:r w:rsidR="00EB2A14" w:rsidRPr="00B801BE">
        <w:rPr>
          <w:rFonts w:ascii="Arial Narrow" w:hAnsi="Arial Narrow"/>
          <w:sz w:val="24"/>
          <w:szCs w:val="24"/>
          <w:lang w:val="en-US"/>
        </w:rPr>
        <w:t>sažima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sveobuhvatan</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društveni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ekonomski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razvoj</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zasnovan</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na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inovacijama</w:t>
      </w:r>
      <w:proofErr w:type="spellEnd"/>
      <w:r>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jakoj</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naučno</w:t>
      </w:r>
      <w:r>
        <w:rPr>
          <w:rFonts w:ascii="Arial Narrow" w:hAnsi="Arial Narrow"/>
          <w:sz w:val="24"/>
          <w:szCs w:val="24"/>
          <w:lang w:val="en-US"/>
        </w:rPr>
        <w:t>-</w:t>
      </w:r>
      <w:r w:rsidR="00EB2A14" w:rsidRPr="00B801BE">
        <w:rPr>
          <w:rFonts w:ascii="Arial Narrow" w:hAnsi="Arial Narrow"/>
          <w:sz w:val="24"/>
          <w:szCs w:val="24"/>
          <w:lang w:val="en-US"/>
        </w:rPr>
        <w:t>istraživackoj</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djelatnosti</w:t>
      </w:r>
      <w:proofErr w:type="spellEnd"/>
      <w:r w:rsidR="00EB2A14" w:rsidRPr="00B801BE">
        <w:rPr>
          <w:rFonts w:ascii="Arial Narrow" w:hAnsi="Arial Narrow"/>
          <w:sz w:val="24"/>
          <w:szCs w:val="24"/>
          <w:lang w:val="en-US"/>
        </w:rPr>
        <w:t xml:space="preserve"> </w:t>
      </w:r>
      <w:proofErr w:type="spellStart"/>
      <w:r>
        <w:rPr>
          <w:rFonts w:ascii="Arial Narrow" w:hAnsi="Arial Narrow"/>
          <w:sz w:val="24"/>
          <w:szCs w:val="24"/>
          <w:lang w:val="en-US"/>
        </w:rPr>
        <w:t>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kvalitetnom</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sistemu</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obrazovanja</w:t>
      </w:r>
      <w:proofErr w:type="spellEnd"/>
      <w:r>
        <w:rPr>
          <w:rFonts w:ascii="Arial Narrow" w:hAnsi="Arial Narrow"/>
          <w:sz w:val="24"/>
          <w:szCs w:val="24"/>
          <w:lang w:val="en-US"/>
        </w:rPr>
        <w:t>.</w:t>
      </w:r>
    </w:p>
    <w:p w14:paraId="659C2A13" w14:textId="77777777" w:rsidR="00B801BE" w:rsidRPr="00605A99" w:rsidRDefault="005B4BE7" w:rsidP="005B4BE7">
      <w:pPr>
        <w:pStyle w:val="ListParagraph"/>
        <w:jc w:val="both"/>
        <w:rPr>
          <w:rFonts w:ascii="Arial Narrow" w:hAnsi="Arial Narrow"/>
          <w:b/>
          <w:bCs/>
          <w:sz w:val="24"/>
          <w:szCs w:val="24"/>
          <w:lang w:val="en-US"/>
        </w:rPr>
      </w:pPr>
      <w:r w:rsidRPr="00605A99">
        <w:rPr>
          <w:rFonts w:ascii="Arial Narrow" w:hAnsi="Arial Narrow" w:cs="TimesNewRoman"/>
          <w:b/>
          <w:bCs/>
          <w:noProof/>
          <w:lang w:val="en-US"/>
        </w:rPr>
        <w:drawing>
          <wp:anchor distT="0" distB="0" distL="114300" distR="114300" simplePos="0" relativeHeight="251671552" behindDoc="0" locked="0" layoutInCell="1" allowOverlap="1" wp14:anchorId="1BD115BD" wp14:editId="3F3BB2AD">
            <wp:simplePos x="0" y="0"/>
            <wp:positionH relativeFrom="margin">
              <wp:posOffset>310642</wp:posOffset>
            </wp:positionH>
            <wp:positionV relativeFrom="paragraph">
              <wp:posOffset>11430</wp:posOffset>
            </wp:positionV>
            <wp:extent cx="474980" cy="474980"/>
            <wp:effectExtent l="0" t="0" r="1270" b="1270"/>
            <wp:wrapSquare wrapText="bothSides"/>
            <wp:docPr id="123" name="Picture 1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054-technology-innovation-digital-data-information-51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4980" cy="474980"/>
                    </a:xfrm>
                    <a:prstGeom prst="rect">
                      <a:avLst/>
                    </a:prstGeom>
                  </pic:spPr>
                </pic:pic>
              </a:graphicData>
            </a:graphic>
            <wp14:sizeRelH relativeFrom="margin">
              <wp14:pctWidth>0</wp14:pctWidth>
            </wp14:sizeRelH>
          </wp:anchor>
        </w:drawing>
      </w:r>
      <w:r w:rsidR="00605A99" w:rsidRPr="00605A99">
        <w:rPr>
          <w:rFonts w:ascii="Arial Narrow" w:hAnsi="Arial Narrow"/>
          <w:b/>
          <w:bCs/>
          <w:sz w:val="24"/>
          <w:szCs w:val="24"/>
          <w:lang w:val="en-US"/>
        </w:rPr>
        <w:t>DIGITALNA TRANSFORMACIJA</w:t>
      </w:r>
    </w:p>
    <w:p w14:paraId="3307011B" w14:textId="77777777" w:rsidR="00EB2A14" w:rsidRPr="00B801BE" w:rsidRDefault="00B801BE" w:rsidP="00B801BE">
      <w:pPr>
        <w:jc w:val="both"/>
        <w:rPr>
          <w:rFonts w:ascii="Arial Narrow" w:hAnsi="Arial Narrow"/>
          <w:sz w:val="24"/>
          <w:szCs w:val="24"/>
          <w:lang w:val="en-US"/>
        </w:rPr>
      </w:pPr>
      <w:r>
        <w:rPr>
          <w:rFonts w:ascii="Arial Narrow" w:hAnsi="Arial Narrow"/>
          <w:sz w:val="24"/>
          <w:szCs w:val="24"/>
          <w:lang w:val="en-US"/>
        </w:rPr>
        <w:t xml:space="preserve">U </w:t>
      </w:r>
      <w:proofErr w:type="spellStart"/>
      <w:r>
        <w:rPr>
          <w:rFonts w:ascii="Arial Narrow" w:hAnsi="Arial Narrow"/>
          <w:sz w:val="24"/>
          <w:szCs w:val="24"/>
          <w:lang w:val="en-US"/>
        </w:rPr>
        <w:t>savremenom</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dobu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digitalna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transformacija</w:t>
      </w:r>
      <w:proofErr w:type="spellEnd"/>
      <w:r>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predstavlja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pokretač</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inovacija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modernizacije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konkurentnosti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sveobuhvatnog</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društveno</w:t>
      </w:r>
      <w:proofErr w:type="spellEnd"/>
      <w:r w:rsidR="00EB2A14" w:rsidRPr="00B801BE">
        <w:rPr>
          <w:rFonts w:ascii="Arial Narrow" w:hAnsi="Arial Narrow"/>
          <w:sz w:val="24"/>
          <w:szCs w:val="24"/>
          <w:lang w:val="en-US"/>
        </w:rPr>
        <w:t xml:space="preserve"> - </w:t>
      </w:r>
      <w:proofErr w:type="spellStart"/>
      <w:r w:rsidR="00EB2A14" w:rsidRPr="00B801BE">
        <w:rPr>
          <w:rFonts w:ascii="Arial Narrow" w:hAnsi="Arial Narrow"/>
          <w:sz w:val="24"/>
          <w:szCs w:val="24"/>
          <w:lang w:val="en-US"/>
        </w:rPr>
        <w:t>ekonomskog</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razvoja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Razvoj</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digitalnog</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društva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treba</w:t>
      </w:r>
      <w:proofErr w:type="spellEnd"/>
      <w:r w:rsidR="00EB2A14" w:rsidRPr="00B801BE">
        <w:rPr>
          <w:rFonts w:ascii="Arial Narrow" w:hAnsi="Arial Narrow"/>
          <w:sz w:val="24"/>
          <w:szCs w:val="24"/>
          <w:lang w:val="en-US"/>
        </w:rPr>
        <w:t xml:space="preserve"> da se </w:t>
      </w:r>
      <w:proofErr w:type="spellStart"/>
      <w:r w:rsidR="00EB2A14" w:rsidRPr="00B801BE">
        <w:rPr>
          <w:rFonts w:ascii="Arial Narrow" w:hAnsi="Arial Narrow"/>
          <w:sz w:val="24"/>
          <w:szCs w:val="24"/>
          <w:lang w:val="en-US"/>
        </w:rPr>
        <w:t>temelji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na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prethodno</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optimizovanim</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procesima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uslugama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usmjerenim</w:t>
      </w:r>
      <w:proofErr w:type="spellEnd"/>
      <w:r w:rsidR="00EB2A14" w:rsidRPr="00B801BE">
        <w:rPr>
          <w:rFonts w:ascii="Arial Narrow" w:hAnsi="Arial Narrow"/>
          <w:sz w:val="24"/>
          <w:szCs w:val="24"/>
          <w:lang w:val="en-US"/>
        </w:rPr>
        <w:t xml:space="preserve"> ka </w:t>
      </w:r>
      <w:proofErr w:type="spellStart"/>
      <w:r w:rsidR="00EB2A14" w:rsidRPr="00B801BE">
        <w:rPr>
          <w:rFonts w:ascii="Arial Narrow" w:hAnsi="Arial Narrow"/>
          <w:sz w:val="24"/>
          <w:szCs w:val="24"/>
          <w:lang w:val="en-US"/>
        </w:rPr>
        <w:t>potrebama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građana</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privrede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javne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administracije</w:t>
      </w:r>
      <w:proofErr w:type="spellEnd"/>
      <w:r w:rsidR="00EB2A14" w:rsidRPr="00B801BE">
        <w:rPr>
          <w:rFonts w:ascii="Arial Narrow" w:hAnsi="Arial Narrow"/>
          <w:sz w:val="24"/>
          <w:szCs w:val="24"/>
          <w:lang w:val="en-US"/>
        </w:rPr>
        <w:t xml:space="preserve">. U </w:t>
      </w:r>
      <w:proofErr w:type="spellStart"/>
      <w:r w:rsidR="00EB2A14" w:rsidRPr="00B801BE">
        <w:rPr>
          <w:rFonts w:ascii="Arial Narrow" w:hAnsi="Arial Narrow"/>
          <w:sz w:val="24"/>
          <w:szCs w:val="24"/>
          <w:lang w:val="en-US"/>
        </w:rPr>
        <w:t>fokusu</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digitalne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transformacije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biće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uklanjanje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postoje</w:t>
      </w:r>
      <w:r>
        <w:rPr>
          <w:rFonts w:ascii="Arial Narrow" w:hAnsi="Arial Narrow"/>
          <w:sz w:val="24"/>
          <w:szCs w:val="24"/>
          <w:lang w:val="en-US"/>
        </w:rPr>
        <w:t>ć</w:t>
      </w:r>
      <w:r w:rsidR="00EB2A14" w:rsidRPr="00B801BE">
        <w:rPr>
          <w:rFonts w:ascii="Arial Narrow" w:hAnsi="Arial Narrow"/>
          <w:sz w:val="24"/>
          <w:szCs w:val="24"/>
          <w:lang w:val="en-US"/>
        </w:rPr>
        <w:t>ih</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rano</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prepoznavanje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budućih</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barijera</w:t>
      </w:r>
      <w:proofErr w:type="spellEnd"/>
      <w:r w:rsidR="00EB2A14" w:rsidRPr="00B801BE">
        <w:rPr>
          <w:rFonts w:ascii="Arial Narrow" w:hAnsi="Arial Narrow"/>
          <w:sz w:val="24"/>
          <w:szCs w:val="24"/>
          <w:lang w:val="en-US"/>
        </w:rPr>
        <w:t xml:space="preserve"> za </w:t>
      </w:r>
      <w:proofErr w:type="spellStart"/>
      <w:r w:rsidR="00EB2A14" w:rsidRPr="00B801BE">
        <w:rPr>
          <w:rFonts w:ascii="Arial Narrow" w:hAnsi="Arial Narrow"/>
          <w:sz w:val="24"/>
          <w:szCs w:val="24"/>
          <w:lang w:val="en-US"/>
        </w:rPr>
        <w:t>poslovanje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kako</w:t>
      </w:r>
      <w:proofErr w:type="spellEnd"/>
      <w:r w:rsidR="00EB2A14" w:rsidRPr="00B801BE">
        <w:rPr>
          <w:rFonts w:ascii="Arial Narrow" w:hAnsi="Arial Narrow"/>
          <w:sz w:val="24"/>
          <w:szCs w:val="24"/>
          <w:lang w:val="en-US"/>
        </w:rPr>
        <w:t xml:space="preserve"> za </w:t>
      </w:r>
      <w:proofErr w:type="spellStart"/>
      <w:r w:rsidR="00EB2A14" w:rsidRPr="00B801BE">
        <w:rPr>
          <w:rFonts w:ascii="Arial Narrow" w:hAnsi="Arial Narrow"/>
          <w:sz w:val="24"/>
          <w:szCs w:val="24"/>
          <w:lang w:val="en-US"/>
        </w:rPr>
        <w:t>crnogorsku</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privredu</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tako</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w:t>
      </w:r>
      <w:proofErr w:type="spellEnd"/>
      <w:r w:rsidR="00EB2A14" w:rsidRPr="00B801BE">
        <w:rPr>
          <w:rFonts w:ascii="Arial Narrow" w:hAnsi="Arial Narrow"/>
          <w:sz w:val="24"/>
          <w:szCs w:val="24"/>
          <w:lang w:val="en-US"/>
        </w:rPr>
        <w:t xml:space="preserve"> za </w:t>
      </w:r>
      <w:proofErr w:type="spellStart"/>
      <w:r w:rsidR="00EB2A14" w:rsidRPr="00B801BE">
        <w:rPr>
          <w:rFonts w:ascii="Arial Narrow" w:hAnsi="Arial Narrow"/>
          <w:sz w:val="24"/>
          <w:szCs w:val="24"/>
          <w:lang w:val="en-US"/>
        </w:rPr>
        <w:t>strane</w:t>
      </w:r>
      <w:proofErr w:type="spellEnd"/>
      <w:r w:rsidR="00EB2A14" w:rsidRPr="00B801BE">
        <w:rPr>
          <w:rFonts w:ascii="Arial Narrow" w:hAnsi="Arial Narrow"/>
          <w:sz w:val="24"/>
          <w:szCs w:val="24"/>
          <w:lang w:val="en-US"/>
        </w:rPr>
        <w:t xml:space="preserve"> </w:t>
      </w:r>
      <w:proofErr w:type="spellStart"/>
      <w:r w:rsidR="00EB2A14" w:rsidRPr="00B801BE">
        <w:rPr>
          <w:rFonts w:ascii="Arial Narrow" w:hAnsi="Arial Narrow"/>
          <w:sz w:val="24"/>
          <w:szCs w:val="24"/>
          <w:lang w:val="en-US"/>
        </w:rPr>
        <w:t>investitore</w:t>
      </w:r>
      <w:proofErr w:type="spellEnd"/>
      <w:r w:rsidR="00EB2A14" w:rsidRPr="00B801BE">
        <w:rPr>
          <w:rFonts w:ascii="Arial Narrow" w:hAnsi="Arial Narrow"/>
          <w:sz w:val="24"/>
          <w:szCs w:val="24"/>
          <w:lang w:val="en-US"/>
        </w:rPr>
        <w:t>.</w:t>
      </w:r>
    </w:p>
    <w:p w14:paraId="2EC2395C" w14:textId="77777777" w:rsidR="00EB2A14" w:rsidRPr="00605A99" w:rsidRDefault="005B4BE7" w:rsidP="005B4BE7">
      <w:pPr>
        <w:pStyle w:val="ListParagraph"/>
        <w:jc w:val="both"/>
        <w:rPr>
          <w:rFonts w:ascii="Arial Narrow" w:hAnsi="Arial Narrow"/>
          <w:b/>
          <w:bCs/>
          <w:sz w:val="24"/>
          <w:szCs w:val="24"/>
          <w:lang w:val="en-US"/>
        </w:rPr>
      </w:pPr>
      <w:r w:rsidRPr="00605A99">
        <w:rPr>
          <w:b/>
          <w:bCs/>
          <w:noProof/>
          <w:color w:val="1F3864" w:themeColor="accent1" w:themeShade="80"/>
          <w:lang w:val="en-US"/>
        </w:rPr>
        <w:drawing>
          <wp:anchor distT="0" distB="0" distL="114300" distR="114300" simplePos="0" relativeHeight="251673600" behindDoc="0" locked="0" layoutInCell="1" allowOverlap="1" wp14:anchorId="70426778" wp14:editId="3E885184">
            <wp:simplePos x="0" y="0"/>
            <wp:positionH relativeFrom="margin">
              <wp:posOffset>310896</wp:posOffset>
            </wp:positionH>
            <wp:positionV relativeFrom="paragraph">
              <wp:posOffset>5334</wp:posOffset>
            </wp:positionV>
            <wp:extent cx="438150" cy="438150"/>
            <wp:effectExtent l="0" t="0" r="0" b="0"/>
            <wp:wrapSquare wrapText="bothSides"/>
            <wp:docPr id="7" name="Picture 7" descr="Circle, country, eu, europe, european, flag, uni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rcle, country, eu, europe, european, flag, union icon - Download on  Iconfind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5A99" w:rsidRPr="00605A99">
        <w:rPr>
          <w:rFonts w:ascii="Arial Narrow" w:hAnsi="Arial Narrow"/>
          <w:b/>
          <w:bCs/>
          <w:sz w:val="24"/>
          <w:szCs w:val="24"/>
          <w:lang w:val="en-US"/>
        </w:rPr>
        <w:t>CRNA GORA – BUDUĆA ČLANICA EVROPSKE UNIJE, S OSNAŽENOM POZICIJOM NA MEĐUNARODNOJ SCENI</w:t>
      </w:r>
    </w:p>
    <w:p w14:paraId="6C1F3C03" w14:textId="77777777" w:rsidR="00A34D26" w:rsidRDefault="007C3A34" w:rsidP="00EB2A14">
      <w:pPr>
        <w:jc w:val="both"/>
        <w:rPr>
          <w:rFonts w:ascii="Arial Narrow" w:hAnsi="Arial Narrow"/>
          <w:sz w:val="24"/>
          <w:szCs w:val="24"/>
          <w:lang w:val="en-US"/>
        </w:rPr>
      </w:pPr>
      <w:r>
        <w:rPr>
          <w:b/>
          <w:bCs/>
          <w:noProof/>
          <w:color w:val="1F3864" w:themeColor="accent1" w:themeShade="80"/>
          <w:lang w:val="en-US"/>
        </w:rPr>
        <w:drawing>
          <wp:anchor distT="0" distB="0" distL="114300" distR="114300" simplePos="0" relativeHeight="251674624" behindDoc="0" locked="0" layoutInCell="1" allowOverlap="1" wp14:anchorId="0EAC1697" wp14:editId="7AEB45F7">
            <wp:simplePos x="0" y="0"/>
            <wp:positionH relativeFrom="margin">
              <wp:align>right</wp:align>
            </wp:positionH>
            <wp:positionV relativeFrom="paragraph">
              <wp:posOffset>961390</wp:posOffset>
            </wp:positionV>
            <wp:extent cx="560705" cy="560705"/>
            <wp:effectExtent l="0" t="0" r="0" b="0"/>
            <wp:wrapSquare wrapText="bothSides"/>
            <wp:docPr id="1" name="Graphic 1" descr="Earth globe: Africa and Eur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arth globe: Africa and Europ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60705" cy="560705"/>
                    </a:xfrm>
                    <a:prstGeom prst="rect">
                      <a:avLst/>
                    </a:prstGeom>
                  </pic:spPr>
                </pic:pic>
              </a:graphicData>
            </a:graphic>
          </wp:anchor>
        </w:drawing>
      </w:r>
      <w:proofErr w:type="spellStart"/>
      <w:r w:rsidR="00EB2A14" w:rsidRPr="00EB2A14">
        <w:rPr>
          <w:rFonts w:ascii="Arial Narrow" w:hAnsi="Arial Narrow"/>
          <w:sz w:val="24"/>
          <w:szCs w:val="24"/>
          <w:lang w:val="en-US"/>
        </w:rPr>
        <w:t>Čvrsto</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opredjeljenje</w:t>
      </w:r>
      <w:proofErr w:type="spellEnd"/>
      <w:r w:rsidR="00EB2A14" w:rsidRPr="00EB2A14">
        <w:rPr>
          <w:rFonts w:ascii="Arial Narrow" w:hAnsi="Arial Narrow"/>
          <w:sz w:val="24"/>
          <w:szCs w:val="24"/>
          <w:lang w:val="en-US"/>
        </w:rPr>
        <w:t xml:space="preserve"> Vlade je da </w:t>
      </w:r>
      <w:proofErr w:type="spellStart"/>
      <w:r w:rsidR="00EB2A14" w:rsidRPr="00EB2A14">
        <w:rPr>
          <w:rFonts w:ascii="Arial Narrow" w:hAnsi="Arial Narrow"/>
          <w:sz w:val="24"/>
          <w:szCs w:val="24"/>
          <w:lang w:val="en-US"/>
        </w:rPr>
        <w:t>Crna</w:t>
      </w:r>
      <w:proofErr w:type="spellEnd"/>
      <w:r w:rsidR="00EB2A14" w:rsidRPr="00EB2A14">
        <w:rPr>
          <w:rFonts w:ascii="Arial Narrow" w:hAnsi="Arial Narrow"/>
          <w:sz w:val="24"/>
          <w:szCs w:val="24"/>
          <w:lang w:val="en-US"/>
        </w:rPr>
        <w:t xml:space="preserve"> Gora </w:t>
      </w:r>
      <w:proofErr w:type="spellStart"/>
      <w:r w:rsidR="00EB2A14" w:rsidRPr="00EB2A14">
        <w:rPr>
          <w:rFonts w:ascii="Arial Narrow" w:hAnsi="Arial Narrow"/>
          <w:sz w:val="24"/>
          <w:szCs w:val="24"/>
          <w:lang w:val="en-US"/>
        </w:rPr>
        <w:t>postane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sljedeca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članica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Evropske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unije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i</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stoga</w:t>
      </w:r>
      <w:proofErr w:type="spellEnd"/>
      <w:r w:rsidR="00EB2A14" w:rsidRPr="00EB2A14">
        <w:rPr>
          <w:rFonts w:ascii="Arial Narrow" w:hAnsi="Arial Narrow"/>
          <w:sz w:val="24"/>
          <w:szCs w:val="24"/>
          <w:lang w:val="en-US"/>
        </w:rPr>
        <w:t xml:space="preserve"> je </w:t>
      </w:r>
      <w:proofErr w:type="spellStart"/>
      <w:r w:rsidR="00EB2A14" w:rsidRPr="00EB2A14">
        <w:rPr>
          <w:rFonts w:ascii="Arial Narrow" w:hAnsi="Arial Narrow"/>
          <w:sz w:val="24"/>
          <w:szCs w:val="24"/>
          <w:lang w:val="en-US"/>
        </w:rPr>
        <w:t>potrebno</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kroz</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prizmu</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pristupanja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Crne</w:t>
      </w:r>
      <w:proofErr w:type="spellEnd"/>
      <w:r w:rsidR="00EB2A14" w:rsidRPr="00EB2A14">
        <w:rPr>
          <w:rFonts w:ascii="Arial Narrow" w:hAnsi="Arial Narrow"/>
          <w:sz w:val="24"/>
          <w:szCs w:val="24"/>
          <w:lang w:val="en-US"/>
        </w:rPr>
        <w:t xml:space="preserve"> Gore EU </w:t>
      </w:r>
      <w:proofErr w:type="spellStart"/>
      <w:r w:rsidR="00EB2A14" w:rsidRPr="00EB2A14">
        <w:rPr>
          <w:rFonts w:ascii="Arial Narrow" w:hAnsi="Arial Narrow"/>
          <w:sz w:val="24"/>
          <w:szCs w:val="24"/>
          <w:lang w:val="en-US"/>
        </w:rPr>
        <w:t>posmatrati</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sve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planirane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aktivnosti</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Krovni</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strateški</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dokument</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kojim</w:t>
      </w:r>
      <w:proofErr w:type="spellEnd"/>
      <w:r w:rsidR="00EB2A14" w:rsidRPr="00EB2A14">
        <w:rPr>
          <w:rFonts w:ascii="Arial Narrow" w:hAnsi="Arial Narrow"/>
          <w:sz w:val="24"/>
          <w:szCs w:val="24"/>
          <w:lang w:val="en-US"/>
        </w:rPr>
        <w:t xml:space="preserve"> se </w:t>
      </w:r>
      <w:proofErr w:type="spellStart"/>
      <w:r w:rsidR="00EB2A14" w:rsidRPr="00EB2A14">
        <w:rPr>
          <w:rFonts w:ascii="Arial Narrow" w:hAnsi="Arial Narrow"/>
          <w:sz w:val="24"/>
          <w:szCs w:val="24"/>
          <w:lang w:val="en-US"/>
        </w:rPr>
        <w:t>definišu</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obaveze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Crne</w:t>
      </w:r>
      <w:proofErr w:type="spellEnd"/>
      <w:r w:rsidR="00EB2A14" w:rsidRPr="00EB2A14">
        <w:rPr>
          <w:rFonts w:ascii="Arial Narrow" w:hAnsi="Arial Narrow"/>
          <w:sz w:val="24"/>
          <w:szCs w:val="24"/>
          <w:lang w:val="en-US"/>
        </w:rPr>
        <w:t xml:space="preserve"> Gore u </w:t>
      </w:r>
      <w:proofErr w:type="spellStart"/>
      <w:r w:rsidR="00EB2A14" w:rsidRPr="00EB2A14">
        <w:rPr>
          <w:rFonts w:ascii="Arial Narrow" w:hAnsi="Arial Narrow"/>
          <w:sz w:val="24"/>
          <w:szCs w:val="24"/>
          <w:lang w:val="en-US"/>
        </w:rPr>
        <w:t>procesu</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pristupanja</w:t>
      </w:r>
      <w:proofErr w:type="spellEnd"/>
      <w:r w:rsidR="00EB2A14" w:rsidRPr="00EB2A14">
        <w:rPr>
          <w:rFonts w:ascii="Arial Narrow" w:hAnsi="Arial Narrow"/>
          <w:sz w:val="24"/>
          <w:szCs w:val="24"/>
          <w:lang w:val="en-US"/>
        </w:rPr>
        <w:t xml:space="preserve"> je Program </w:t>
      </w:r>
      <w:proofErr w:type="spellStart"/>
      <w:r w:rsidR="00EB2A14" w:rsidRPr="00EB2A14">
        <w:rPr>
          <w:rFonts w:ascii="Arial Narrow" w:hAnsi="Arial Narrow"/>
          <w:sz w:val="24"/>
          <w:szCs w:val="24"/>
          <w:lang w:val="en-US"/>
        </w:rPr>
        <w:t>pristupanja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Crne</w:t>
      </w:r>
      <w:proofErr w:type="spellEnd"/>
      <w:r w:rsidR="00EB2A14" w:rsidRPr="00EB2A14">
        <w:rPr>
          <w:rFonts w:ascii="Arial Narrow" w:hAnsi="Arial Narrow"/>
          <w:sz w:val="24"/>
          <w:szCs w:val="24"/>
          <w:lang w:val="en-US"/>
        </w:rPr>
        <w:t xml:space="preserve"> Gore EU 2021 - 2023 koji u </w:t>
      </w:r>
      <w:proofErr w:type="spellStart"/>
      <w:r w:rsidR="00EB2A14" w:rsidRPr="00EB2A14">
        <w:rPr>
          <w:rFonts w:ascii="Arial Narrow" w:hAnsi="Arial Narrow"/>
          <w:sz w:val="24"/>
          <w:szCs w:val="24"/>
          <w:lang w:val="en-US"/>
        </w:rPr>
        <w:t>značajnoj</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mjeri</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daje</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okvir</w:t>
      </w:r>
      <w:proofErr w:type="spellEnd"/>
      <w:r w:rsidR="00EB2A14" w:rsidRPr="00EB2A14">
        <w:rPr>
          <w:rFonts w:ascii="Arial Narrow" w:hAnsi="Arial Narrow"/>
          <w:sz w:val="24"/>
          <w:szCs w:val="24"/>
          <w:lang w:val="en-US"/>
        </w:rPr>
        <w:t xml:space="preserve"> za </w:t>
      </w:r>
      <w:proofErr w:type="spellStart"/>
      <w:r w:rsidR="00EB2A14" w:rsidRPr="00EB2A14">
        <w:rPr>
          <w:rFonts w:ascii="Arial Narrow" w:hAnsi="Arial Narrow"/>
          <w:sz w:val="24"/>
          <w:szCs w:val="24"/>
          <w:lang w:val="en-US"/>
        </w:rPr>
        <w:t>izradu</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Programa</w:t>
      </w:r>
      <w:proofErr w:type="spellEnd"/>
      <w:r w:rsidR="00EB2A14" w:rsidRPr="00EB2A14">
        <w:rPr>
          <w:rFonts w:ascii="Arial Narrow" w:hAnsi="Arial Narrow"/>
          <w:sz w:val="24"/>
          <w:szCs w:val="24"/>
          <w:lang w:val="en-US"/>
        </w:rPr>
        <w:t xml:space="preserve"> </w:t>
      </w:r>
      <w:proofErr w:type="spellStart"/>
      <w:r w:rsidR="00EB2A14" w:rsidRPr="00EB2A14">
        <w:rPr>
          <w:rFonts w:ascii="Arial Narrow" w:hAnsi="Arial Narrow"/>
          <w:sz w:val="24"/>
          <w:szCs w:val="24"/>
          <w:lang w:val="en-US"/>
        </w:rPr>
        <w:t>rada</w:t>
      </w:r>
      <w:proofErr w:type="spellEnd"/>
      <w:r w:rsidR="00EB2A14" w:rsidRPr="00EB2A14">
        <w:rPr>
          <w:rFonts w:ascii="Arial Narrow" w:hAnsi="Arial Narrow"/>
          <w:sz w:val="24"/>
          <w:szCs w:val="24"/>
          <w:lang w:val="en-US"/>
        </w:rPr>
        <w:t xml:space="preserve"> Vlade.</w:t>
      </w:r>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Ovime</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ali</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i</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kroz</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brojne</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spoljnopolitičke</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aktivnosti</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Crna</w:t>
      </w:r>
      <w:proofErr w:type="spellEnd"/>
      <w:r w:rsidR="00B801BE">
        <w:rPr>
          <w:rFonts w:ascii="Arial Narrow" w:hAnsi="Arial Narrow"/>
          <w:sz w:val="24"/>
          <w:szCs w:val="24"/>
          <w:lang w:val="en-US"/>
        </w:rPr>
        <w:t xml:space="preserve"> Gora </w:t>
      </w:r>
      <w:proofErr w:type="spellStart"/>
      <w:r w:rsidR="00B801BE">
        <w:rPr>
          <w:rFonts w:ascii="Arial Narrow" w:hAnsi="Arial Narrow"/>
          <w:sz w:val="24"/>
          <w:szCs w:val="24"/>
          <w:lang w:val="en-US"/>
        </w:rPr>
        <w:t>jača</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svoje</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prisustvo</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na</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globalnom</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nivou</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učestvuje</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kao</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poštovana</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i</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ravnopravna</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članica</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međunarodnih</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organizacija</w:t>
      </w:r>
      <w:proofErr w:type="spellEnd"/>
      <w:r w:rsidR="00B801BE">
        <w:rPr>
          <w:rFonts w:ascii="Arial Narrow" w:hAnsi="Arial Narrow"/>
          <w:sz w:val="24"/>
          <w:szCs w:val="24"/>
          <w:lang w:val="en-US"/>
        </w:rPr>
        <w:t xml:space="preserve"> u </w:t>
      </w:r>
      <w:proofErr w:type="spellStart"/>
      <w:r w:rsidR="00B801BE">
        <w:rPr>
          <w:rFonts w:ascii="Arial Narrow" w:hAnsi="Arial Narrow"/>
          <w:sz w:val="24"/>
          <w:szCs w:val="24"/>
          <w:lang w:val="en-US"/>
        </w:rPr>
        <w:t>brojnim</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angažmanima</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i</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potvrđuje</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svoju</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posvećenost</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demokratskim</w:t>
      </w:r>
      <w:proofErr w:type="spellEnd"/>
      <w:r w:rsidR="00B801BE">
        <w:rPr>
          <w:rFonts w:ascii="Arial Narrow" w:hAnsi="Arial Narrow"/>
          <w:sz w:val="24"/>
          <w:szCs w:val="24"/>
          <w:lang w:val="en-US"/>
        </w:rPr>
        <w:t xml:space="preserve"> </w:t>
      </w:r>
      <w:proofErr w:type="spellStart"/>
      <w:r w:rsidR="00B801BE">
        <w:rPr>
          <w:rFonts w:ascii="Arial Narrow" w:hAnsi="Arial Narrow"/>
          <w:sz w:val="24"/>
          <w:szCs w:val="24"/>
          <w:lang w:val="en-US"/>
        </w:rPr>
        <w:t>vrijednostima</w:t>
      </w:r>
      <w:proofErr w:type="spellEnd"/>
      <w:r w:rsidR="00294CE6">
        <w:rPr>
          <w:rFonts w:ascii="Arial Narrow" w:hAnsi="Arial Narrow"/>
          <w:sz w:val="24"/>
          <w:szCs w:val="24"/>
          <w:lang w:val="en-US"/>
        </w:rPr>
        <w:t xml:space="preserve">. </w:t>
      </w:r>
      <w:proofErr w:type="spellStart"/>
      <w:r w:rsidR="00980668">
        <w:rPr>
          <w:rFonts w:ascii="Arial Narrow" w:hAnsi="Arial Narrow"/>
          <w:sz w:val="24"/>
          <w:szCs w:val="24"/>
          <w:lang w:val="en-US"/>
        </w:rPr>
        <w:t>Crna</w:t>
      </w:r>
      <w:proofErr w:type="spellEnd"/>
      <w:r w:rsidR="00980668">
        <w:rPr>
          <w:rFonts w:ascii="Arial Narrow" w:hAnsi="Arial Narrow"/>
          <w:sz w:val="24"/>
          <w:szCs w:val="24"/>
          <w:lang w:val="en-US"/>
        </w:rPr>
        <w:t xml:space="preserve"> Gora je </w:t>
      </w:r>
      <w:proofErr w:type="spellStart"/>
      <w:r w:rsidR="00980668">
        <w:rPr>
          <w:rFonts w:ascii="Arial Narrow" w:hAnsi="Arial Narrow"/>
          <w:sz w:val="24"/>
          <w:szCs w:val="24"/>
          <w:lang w:val="en-US"/>
        </w:rPr>
        <w:t>aktivna</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članica</w:t>
      </w:r>
      <w:proofErr w:type="spellEnd"/>
      <w:r w:rsidR="00980668">
        <w:rPr>
          <w:rFonts w:ascii="Arial Narrow" w:hAnsi="Arial Narrow"/>
          <w:sz w:val="24"/>
          <w:szCs w:val="24"/>
          <w:lang w:val="en-US"/>
        </w:rPr>
        <w:t xml:space="preserve"> NATO </w:t>
      </w:r>
      <w:proofErr w:type="spellStart"/>
      <w:r w:rsidR="00980668">
        <w:rPr>
          <w:rFonts w:ascii="Arial Narrow" w:hAnsi="Arial Narrow"/>
          <w:sz w:val="24"/>
          <w:szCs w:val="24"/>
          <w:lang w:val="en-US"/>
        </w:rPr>
        <w:t>saveža</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koja</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djeluje</w:t>
      </w:r>
      <w:proofErr w:type="spellEnd"/>
      <w:r w:rsidR="00980668">
        <w:rPr>
          <w:rFonts w:ascii="Arial Narrow" w:hAnsi="Arial Narrow"/>
          <w:sz w:val="24"/>
          <w:szCs w:val="24"/>
          <w:lang w:val="en-US"/>
        </w:rPr>
        <w:t xml:space="preserve"> u </w:t>
      </w:r>
      <w:proofErr w:type="spellStart"/>
      <w:r w:rsidR="00980668">
        <w:rPr>
          <w:rFonts w:ascii="Arial Narrow" w:hAnsi="Arial Narrow"/>
          <w:sz w:val="24"/>
          <w:szCs w:val="24"/>
          <w:lang w:val="en-US"/>
        </w:rPr>
        <w:t>skladu</w:t>
      </w:r>
      <w:proofErr w:type="spellEnd"/>
      <w:r w:rsidR="00980668">
        <w:rPr>
          <w:rFonts w:ascii="Arial Narrow" w:hAnsi="Arial Narrow"/>
          <w:sz w:val="24"/>
          <w:szCs w:val="24"/>
          <w:lang w:val="en-US"/>
        </w:rPr>
        <w:t xml:space="preserve"> s </w:t>
      </w:r>
      <w:proofErr w:type="spellStart"/>
      <w:r w:rsidR="00980668">
        <w:rPr>
          <w:rFonts w:ascii="Arial Narrow" w:hAnsi="Arial Narrow"/>
          <w:sz w:val="24"/>
          <w:szCs w:val="24"/>
          <w:lang w:val="en-US"/>
        </w:rPr>
        <w:t>tim</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standardima</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pokreće</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brojne</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regionalne</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inicijative</w:t>
      </w:r>
      <w:proofErr w:type="spellEnd"/>
      <w:r w:rsidR="00980668">
        <w:rPr>
          <w:rFonts w:ascii="Arial Narrow" w:hAnsi="Arial Narrow"/>
          <w:sz w:val="24"/>
          <w:szCs w:val="24"/>
          <w:lang w:val="en-US"/>
        </w:rPr>
        <w:t xml:space="preserve"> I </w:t>
      </w:r>
      <w:proofErr w:type="spellStart"/>
      <w:r w:rsidR="00980668">
        <w:rPr>
          <w:rFonts w:ascii="Arial Narrow" w:hAnsi="Arial Narrow"/>
          <w:sz w:val="24"/>
          <w:szCs w:val="24"/>
          <w:lang w:val="en-US"/>
        </w:rPr>
        <w:t>igra</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važnu</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ulogu</w:t>
      </w:r>
      <w:proofErr w:type="spellEnd"/>
      <w:r w:rsidR="00980668">
        <w:rPr>
          <w:rFonts w:ascii="Arial Narrow" w:hAnsi="Arial Narrow"/>
          <w:sz w:val="24"/>
          <w:szCs w:val="24"/>
          <w:lang w:val="en-US"/>
        </w:rPr>
        <w:t xml:space="preserve"> u </w:t>
      </w:r>
      <w:proofErr w:type="spellStart"/>
      <w:r w:rsidR="00980668">
        <w:rPr>
          <w:rFonts w:ascii="Arial Narrow" w:hAnsi="Arial Narrow"/>
          <w:sz w:val="24"/>
          <w:szCs w:val="24"/>
          <w:lang w:val="en-US"/>
        </w:rPr>
        <w:t>očuvanju</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stabilnosti</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i</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bezbjednosti</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Zapadnog</w:t>
      </w:r>
      <w:proofErr w:type="spellEnd"/>
      <w:r w:rsidR="00980668">
        <w:rPr>
          <w:rFonts w:ascii="Arial Narrow" w:hAnsi="Arial Narrow"/>
          <w:sz w:val="24"/>
          <w:szCs w:val="24"/>
          <w:lang w:val="en-US"/>
        </w:rPr>
        <w:t xml:space="preserve"> </w:t>
      </w:r>
      <w:proofErr w:type="spellStart"/>
      <w:r w:rsidR="00980668">
        <w:rPr>
          <w:rFonts w:ascii="Arial Narrow" w:hAnsi="Arial Narrow"/>
          <w:sz w:val="24"/>
          <w:szCs w:val="24"/>
          <w:lang w:val="en-US"/>
        </w:rPr>
        <w:t>Balkana</w:t>
      </w:r>
      <w:proofErr w:type="spellEnd"/>
      <w:r w:rsidR="00980668">
        <w:rPr>
          <w:rFonts w:ascii="Arial Narrow" w:hAnsi="Arial Narrow"/>
          <w:sz w:val="24"/>
          <w:szCs w:val="24"/>
          <w:lang w:val="en-US"/>
        </w:rPr>
        <w:t xml:space="preserve">. </w:t>
      </w:r>
    </w:p>
    <w:p w14:paraId="054E24C5" w14:textId="77777777" w:rsidR="002B1040" w:rsidRDefault="002B1040" w:rsidP="00EB2A14">
      <w:pPr>
        <w:jc w:val="both"/>
        <w:rPr>
          <w:rFonts w:ascii="Arial Narrow" w:hAnsi="Arial Narrow"/>
          <w:sz w:val="24"/>
          <w:szCs w:val="24"/>
          <w:lang w:val="en-US"/>
        </w:rPr>
      </w:pPr>
    </w:p>
    <w:p w14:paraId="21E55FC7" w14:textId="3CA9CE5B" w:rsidR="002B1040" w:rsidRPr="002B1040" w:rsidRDefault="00E15B62" w:rsidP="002B1040">
      <w:pPr>
        <w:pStyle w:val="Heading2"/>
        <w:jc w:val="center"/>
        <w:rPr>
          <w:rFonts w:ascii="Arial Narrow" w:hAnsi="Arial Narrow"/>
          <w:lang w:val="en-US"/>
        </w:rPr>
      </w:pPr>
      <w:r>
        <w:rPr>
          <w:rFonts w:ascii="Arial Narrow" w:hAnsi="Arial Narrow"/>
          <w:lang w:val="en-US"/>
        </w:rPr>
        <w:t xml:space="preserve">IMPLEMENTACIJA </w:t>
      </w:r>
      <w:r w:rsidR="007C3A34" w:rsidRPr="00A34D26">
        <w:rPr>
          <w:rFonts w:ascii="Arial Narrow" w:hAnsi="Arial Narrow"/>
          <w:lang w:val="en-US"/>
        </w:rPr>
        <w:t>CILJEV</w:t>
      </w:r>
      <w:r>
        <w:rPr>
          <w:rFonts w:ascii="Arial Narrow" w:hAnsi="Arial Narrow"/>
          <w:lang w:val="en-US"/>
        </w:rPr>
        <w:t>A</w:t>
      </w:r>
      <w:r w:rsidR="007C3A34" w:rsidRPr="00A34D26">
        <w:rPr>
          <w:rFonts w:ascii="Arial Narrow" w:hAnsi="Arial Narrow"/>
          <w:lang w:val="en-US"/>
        </w:rPr>
        <w:t xml:space="preserve"> ODRŽIVOG RAZVOJA</w:t>
      </w:r>
    </w:p>
    <w:p w14:paraId="77981055" w14:textId="067A5E38" w:rsidR="007C3A34" w:rsidRDefault="007C3A34" w:rsidP="00EB2A14">
      <w:pPr>
        <w:jc w:val="both"/>
        <w:rPr>
          <w:noProof/>
          <w:lang w:val="en-GB" w:eastAsia="en-GB"/>
        </w:rPr>
      </w:pPr>
      <w:r>
        <w:rPr>
          <w:noProof/>
          <w:lang w:val="en-US"/>
        </w:rPr>
        <w:drawing>
          <wp:anchor distT="0" distB="0" distL="114300" distR="114300" simplePos="0" relativeHeight="251676672" behindDoc="0" locked="0" layoutInCell="1" allowOverlap="1" wp14:anchorId="2EE80DE4" wp14:editId="1769B2BB">
            <wp:simplePos x="0" y="0"/>
            <wp:positionH relativeFrom="margin">
              <wp:posOffset>-24384</wp:posOffset>
            </wp:positionH>
            <wp:positionV relativeFrom="paragraph">
              <wp:posOffset>16256</wp:posOffset>
            </wp:positionV>
            <wp:extent cx="759460" cy="670560"/>
            <wp:effectExtent l="0" t="0" r="2540" b="0"/>
            <wp:wrapSquare wrapText="bothSides"/>
            <wp:docPr id="23" name="Picture 23" descr="Supporting Tomorrow's Leaders the Canadian Way | Lead Generation Company &amp;  Marketing Agency To Grow Your Sales | Leader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pporting Tomorrow's Leaders the Canadian Way | Lead Generation Company &amp;  Marketing Agency To Grow Your Sales | Leaderves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59460" cy="670560"/>
                    </a:xfrm>
                    <a:prstGeom prst="rect">
                      <a:avLst/>
                    </a:prstGeom>
                    <a:noFill/>
                    <a:ln>
                      <a:noFill/>
                    </a:ln>
                  </pic:spPr>
                </pic:pic>
              </a:graphicData>
            </a:graphic>
          </wp:anchor>
        </w:drawing>
      </w:r>
      <w:proofErr w:type="spellStart"/>
      <w:r w:rsidRPr="007C3A34">
        <w:rPr>
          <w:rFonts w:ascii="Arial Narrow" w:hAnsi="Arial Narrow"/>
          <w:sz w:val="24"/>
          <w:szCs w:val="24"/>
          <w:lang w:val="en-US"/>
        </w:rPr>
        <w:t>Naposletku</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prioriteti</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su</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definisani</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i</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tako</w:t>
      </w:r>
      <w:proofErr w:type="spellEnd"/>
      <w:r w:rsidRPr="007C3A34">
        <w:rPr>
          <w:rFonts w:ascii="Arial Narrow" w:hAnsi="Arial Narrow"/>
          <w:sz w:val="24"/>
          <w:szCs w:val="24"/>
          <w:lang w:val="en-US"/>
        </w:rPr>
        <w:t xml:space="preserve"> da </w:t>
      </w:r>
      <w:proofErr w:type="spellStart"/>
      <w:r w:rsidRPr="007C3A34">
        <w:rPr>
          <w:rFonts w:ascii="Arial Narrow" w:hAnsi="Arial Narrow"/>
          <w:sz w:val="24"/>
          <w:szCs w:val="24"/>
          <w:lang w:val="en-US"/>
        </w:rPr>
        <w:t>odražavaju</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posvećenost</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Crne</w:t>
      </w:r>
      <w:proofErr w:type="spellEnd"/>
      <w:r w:rsidRPr="007C3A34">
        <w:rPr>
          <w:rFonts w:ascii="Arial Narrow" w:hAnsi="Arial Narrow"/>
          <w:sz w:val="24"/>
          <w:szCs w:val="24"/>
          <w:lang w:val="en-US"/>
        </w:rPr>
        <w:t xml:space="preserve"> Gore u </w:t>
      </w:r>
      <w:proofErr w:type="spellStart"/>
      <w:r w:rsidRPr="007C3A34">
        <w:rPr>
          <w:rFonts w:ascii="Arial Narrow" w:hAnsi="Arial Narrow"/>
          <w:sz w:val="24"/>
          <w:szCs w:val="24"/>
          <w:lang w:val="en-US"/>
        </w:rPr>
        <w:t>dostizanju</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Ciljeva</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održivog</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razvoja</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Ujedinjenih</w:t>
      </w:r>
      <w:proofErr w:type="spellEnd"/>
      <w:r w:rsidRPr="007C3A34">
        <w:rPr>
          <w:rFonts w:ascii="Arial Narrow" w:hAnsi="Arial Narrow"/>
          <w:sz w:val="24"/>
          <w:szCs w:val="24"/>
          <w:lang w:val="en-US"/>
        </w:rPr>
        <w:t xml:space="preserve"> </w:t>
      </w:r>
      <w:proofErr w:type="spellStart"/>
      <w:r w:rsidRPr="007C3A34">
        <w:rPr>
          <w:rFonts w:ascii="Arial Narrow" w:hAnsi="Arial Narrow"/>
          <w:sz w:val="24"/>
          <w:szCs w:val="24"/>
          <w:lang w:val="en-US"/>
        </w:rPr>
        <w:t>nacija</w:t>
      </w:r>
      <w:proofErr w:type="spellEnd"/>
      <w:r w:rsidRPr="007C3A34">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Jasno</w:t>
      </w:r>
      <w:proofErr w:type="spellEnd"/>
      <w:r w:rsidR="00E15B62" w:rsidRPr="00E15B62">
        <w:rPr>
          <w:rFonts w:ascii="Arial Narrow" w:hAnsi="Arial Narrow"/>
          <w:sz w:val="24"/>
          <w:szCs w:val="24"/>
          <w:lang w:val="en-US"/>
        </w:rPr>
        <w:t xml:space="preserve"> je da je </w:t>
      </w:r>
      <w:proofErr w:type="spellStart"/>
      <w:r w:rsidR="00E15B62" w:rsidRPr="00E15B62">
        <w:rPr>
          <w:rFonts w:ascii="Arial Narrow" w:hAnsi="Arial Narrow"/>
          <w:sz w:val="24"/>
          <w:szCs w:val="24"/>
          <w:lang w:val="en-US"/>
        </w:rPr>
        <w:t>ravojni</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pravac</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Evropske</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unije</w:t>
      </w:r>
      <w:proofErr w:type="spellEnd"/>
      <w:r w:rsidR="00E15B62" w:rsidRPr="00E15B62">
        <w:rPr>
          <w:rFonts w:ascii="Arial Narrow" w:hAnsi="Arial Narrow"/>
          <w:sz w:val="24"/>
          <w:szCs w:val="24"/>
          <w:lang w:val="en-US"/>
        </w:rPr>
        <w:t xml:space="preserve"> u </w:t>
      </w:r>
      <w:proofErr w:type="spellStart"/>
      <w:r w:rsidR="00E15B62" w:rsidRPr="00E15B62">
        <w:rPr>
          <w:rFonts w:ascii="Arial Narrow" w:hAnsi="Arial Narrow"/>
          <w:sz w:val="24"/>
          <w:szCs w:val="24"/>
          <w:lang w:val="en-US"/>
        </w:rPr>
        <w:t>sinergiji</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sa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zahtjevima</w:t>
      </w:r>
      <w:proofErr w:type="spellEnd"/>
      <w:r w:rsidR="00E15B62" w:rsidRPr="00E15B62">
        <w:rPr>
          <w:rFonts w:ascii="Arial Narrow" w:hAnsi="Arial Narrow"/>
          <w:sz w:val="24"/>
          <w:szCs w:val="24"/>
          <w:lang w:val="en-US"/>
        </w:rPr>
        <w:t xml:space="preserve"> UN </w:t>
      </w:r>
      <w:proofErr w:type="spellStart"/>
      <w:r w:rsidR="00E15B62" w:rsidRPr="00E15B62">
        <w:rPr>
          <w:rFonts w:ascii="Arial Narrow" w:hAnsi="Arial Narrow"/>
          <w:sz w:val="24"/>
          <w:szCs w:val="24"/>
          <w:lang w:val="en-US"/>
        </w:rPr>
        <w:t>Agende</w:t>
      </w:r>
      <w:proofErr w:type="spellEnd"/>
      <w:r w:rsidR="00E15B62" w:rsidRPr="00E15B62">
        <w:rPr>
          <w:rFonts w:ascii="Arial Narrow" w:hAnsi="Arial Narrow"/>
          <w:sz w:val="24"/>
          <w:szCs w:val="24"/>
          <w:lang w:val="en-US"/>
        </w:rPr>
        <w:t xml:space="preserve"> 2030, s </w:t>
      </w:r>
      <w:proofErr w:type="spellStart"/>
      <w:r w:rsidR="00E15B62" w:rsidRPr="00E15B62">
        <w:rPr>
          <w:rFonts w:ascii="Arial Narrow" w:hAnsi="Arial Narrow"/>
          <w:sz w:val="24"/>
          <w:szCs w:val="24"/>
          <w:lang w:val="en-US"/>
        </w:rPr>
        <w:t>tim</w:t>
      </w:r>
      <w:proofErr w:type="spellEnd"/>
      <w:r w:rsidR="00E15B62" w:rsidRPr="00E15B62">
        <w:rPr>
          <w:rFonts w:ascii="Arial Narrow" w:hAnsi="Arial Narrow"/>
          <w:sz w:val="24"/>
          <w:szCs w:val="24"/>
          <w:lang w:val="en-US"/>
        </w:rPr>
        <w:t xml:space="preserve"> u </w:t>
      </w:r>
      <w:proofErr w:type="spellStart"/>
      <w:r w:rsidR="00E15B62" w:rsidRPr="00E15B62">
        <w:rPr>
          <w:rFonts w:ascii="Arial Narrow" w:hAnsi="Arial Narrow"/>
          <w:sz w:val="24"/>
          <w:szCs w:val="24"/>
          <w:lang w:val="en-US"/>
        </w:rPr>
        <w:t>vezi</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neophodno</w:t>
      </w:r>
      <w:proofErr w:type="spellEnd"/>
      <w:r w:rsidR="00E15B62" w:rsidRPr="00E15B62">
        <w:rPr>
          <w:rFonts w:ascii="Arial Narrow" w:hAnsi="Arial Narrow"/>
          <w:sz w:val="24"/>
          <w:szCs w:val="24"/>
          <w:lang w:val="en-US"/>
        </w:rPr>
        <w:t xml:space="preserve"> je da </w:t>
      </w:r>
      <w:proofErr w:type="spellStart"/>
      <w:r w:rsidR="00E15B62" w:rsidRPr="00E15B62">
        <w:rPr>
          <w:rFonts w:ascii="Arial Narrow" w:hAnsi="Arial Narrow"/>
          <w:sz w:val="24"/>
          <w:szCs w:val="24"/>
          <w:lang w:val="en-US"/>
        </w:rPr>
        <w:t>kreiranje</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prioriteta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razvoja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Crne</w:t>
      </w:r>
      <w:proofErr w:type="spellEnd"/>
      <w:r w:rsidR="00E15B62" w:rsidRPr="00E15B62">
        <w:rPr>
          <w:rFonts w:ascii="Arial Narrow" w:hAnsi="Arial Narrow"/>
          <w:sz w:val="24"/>
          <w:szCs w:val="24"/>
          <w:lang w:val="en-US"/>
        </w:rPr>
        <w:t xml:space="preserve"> Gore </w:t>
      </w:r>
      <w:proofErr w:type="spellStart"/>
      <w:r w:rsidR="00E15B62" w:rsidRPr="00E15B62">
        <w:rPr>
          <w:rFonts w:ascii="Arial Narrow" w:hAnsi="Arial Narrow"/>
          <w:sz w:val="24"/>
          <w:szCs w:val="24"/>
          <w:lang w:val="en-US"/>
        </w:rPr>
        <w:t>kao</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buduće</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članice</w:t>
      </w:r>
      <w:proofErr w:type="spellEnd"/>
      <w:r w:rsidR="00E15B62" w:rsidRPr="00E15B62">
        <w:rPr>
          <w:rFonts w:ascii="Arial Narrow" w:hAnsi="Arial Narrow"/>
          <w:sz w:val="24"/>
          <w:szCs w:val="24"/>
          <w:lang w:val="en-US"/>
        </w:rPr>
        <w:t xml:space="preserve"> EU, </w:t>
      </w:r>
      <w:proofErr w:type="spellStart"/>
      <w:r w:rsidR="00E15B62" w:rsidRPr="00E15B62">
        <w:rPr>
          <w:rFonts w:ascii="Arial Narrow" w:hAnsi="Arial Narrow"/>
          <w:sz w:val="24"/>
          <w:szCs w:val="24"/>
          <w:lang w:val="en-US"/>
        </w:rPr>
        <w:t>bude</w:t>
      </w:r>
      <w:proofErr w:type="spellEnd"/>
      <w:r w:rsidR="00E15B62" w:rsidRPr="00E15B62">
        <w:rPr>
          <w:rFonts w:ascii="Arial Narrow" w:hAnsi="Arial Narrow"/>
          <w:sz w:val="24"/>
          <w:szCs w:val="24"/>
          <w:lang w:val="en-US"/>
        </w:rPr>
        <w:t xml:space="preserve"> u </w:t>
      </w:r>
      <w:proofErr w:type="spellStart"/>
      <w:r w:rsidR="00E15B62" w:rsidRPr="00E15B62">
        <w:rPr>
          <w:rFonts w:ascii="Arial Narrow" w:hAnsi="Arial Narrow"/>
          <w:sz w:val="24"/>
          <w:szCs w:val="24"/>
          <w:lang w:val="en-US"/>
        </w:rPr>
        <w:t>skladu</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sa</w:t>
      </w:r>
      <w:proofErr w:type="spellEnd"/>
      <w:r w:rsidR="00E15B62" w:rsidRPr="00E15B62">
        <w:rPr>
          <w:rFonts w:ascii="Arial Narrow" w:hAnsi="Arial Narrow"/>
          <w:sz w:val="24"/>
          <w:szCs w:val="24"/>
          <w:lang w:val="en-US"/>
        </w:rPr>
        <w:t xml:space="preserve"> tom </w:t>
      </w:r>
      <w:proofErr w:type="spellStart"/>
      <w:r w:rsidR="00E15B62" w:rsidRPr="00E15B62">
        <w:rPr>
          <w:rFonts w:ascii="Arial Narrow" w:hAnsi="Arial Narrow"/>
          <w:sz w:val="24"/>
          <w:szCs w:val="24"/>
          <w:lang w:val="en-US"/>
        </w:rPr>
        <w:t>sinergijom</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Štaviše</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harmonizacija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zakonodavstva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i</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politika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sa</w:t>
      </w:r>
      <w:proofErr w:type="spellEnd"/>
      <w:r w:rsidR="00E15B62" w:rsidRPr="00E15B62">
        <w:rPr>
          <w:rFonts w:ascii="Arial Narrow" w:hAnsi="Arial Narrow"/>
          <w:sz w:val="24"/>
          <w:szCs w:val="24"/>
          <w:lang w:val="en-US"/>
        </w:rPr>
        <w:t xml:space="preserve"> EU de facto </w:t>
      </w:r>
      <w:proofErr w:type="spellStart"/>
      <w:r w:rsidR="00E15B62" w:rsidRPr="00E15B62">
        <w:rPr>
          <w:rFonts w:ascii="Arial Narrow" w:hAnsi="Arial Narrow"/>
          <w:sz w:val="24"/>
          <w:szCs w:val="24"/>
          <w:lang w:val="en-US"/>
        </w:rPr>
        <w:t>predstavlja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i</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ispunjavanje</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zahtjeva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Agende</w:t>
      </w:r>
      <w:proofErr w:type="spellEnd"/>
      <w:r w:rsidR="00E15B62" w:rsidRPr="00E15B62">
        <w:rPr>
          <w:rFonts w:ascii="Arial Narrow" w:hAnsi="Arial Narrow"/>
          <w:sz w:val="24"/>
          <w:szCs w:val="24"/>
          <w:lang w:val="en-US"/>
        </w:rPr>
        <w:t xml:space="preserve"> za </w:t>
      </w:r>
      <w:proofErr w:type="spellStart"/>
      <w:r w:rsidR="00E15B62" w:rsidRPr="00E15B62">
        <w:rPr>
          <w:rFonts w:ascii="Arial Narrow" w:hAnsi="Arial Narrow"/>
          <w:sz w:val="24"/>
          <w:szCs w:val="24"/>
          <w:lang w:val="en-US"/>
        </w:rPr>
        <w:t>održivi</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razvoj</w:t>
      </w:r>
      <w:proofErr w:type="spellEnd"/>
      <w:r w:rsidR="00E15B62" w:rsidRPr="00E15B62">
        <w:rPr>
          <w:rFonts w:ascii="Arial Narrow" w:hAnsi="Arial Narrow"/>
          <w:sz w:val="24"/>
          <w:szCs w:val="24"/>
          <w:lang w:val="en-US"/>
        </w:rPr>
        <w:t xml:space="preserve"> 2030 </w:t>
      </w:r>
      <w:proofErr w:type="spellStart"/>
      <w:r w:rsidR="00E15B62" w:rsidRPr="00E15B62">
        <w:rPr>
          <w:rFonts w:ascii="Arial Narrow" w:hAnsi="Arial Narrow"/>
          <w:sz w:val="24"/>
          <w:szCs w:val="24"/>
          <w:lang w:val="en-US"/>
        </w:rPr>
        <w:t>i</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snažan</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impuls</w:t>
      </w:r>
      <w:proofErr w:type="spellEnd"/>
      <w:r w:rsidR="00E15B62" w:rsidRPr="00E15B62">
        <w:rPr>
          <w:rFonts w:ascii="Arial Narrow" w:hAnsi="Arial Narrow"/>
          <w:sz w:val="24"/>
          <w:szCs w:val="24"/>
          <w:lang w:val="en-US"/>
        </w:rPr>
        <w:t xml:space="preserve"> u </w:t>
      </w:r>
      <w:proofErr w:type="spellStart"/>
      <w:r w:rsidR="00E15B62" w:rsidRPr="00E15B62">
        <w:rPr>
          <w:rFonts w:ascii="Arial Narrow" w:hAnsi="Arial Narrow"/>
          <w:sz w:val="24"/>
          <w:szCs w:val="24"/>
          <w:lang w:val="en-US"/>
        </w:rPr>
        <w:t>pravcu</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dostizanja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ciljeva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održivog</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razvoja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koje</w:t>
      </w:r>
      <w:proofErr w:type="spellEnd"/>
      <w:r w:rsidR="00E15B62" w:rsidRPr="00E15B62">
        <w:rPr>
          <w:rFonts w:ascii="Arial Narrow" w:hAnsi="Arial Narrow"/>
          <w:sz w:val="24"/>
          <w:szCs w:val="24"/>
          <w:lang w:val="en-US"/>
        </w:rPr>
        <w:t xml:space="preserve"> je </w:t>
      </w:r>
      <w:proofErr w:type="spellStart"/>
      <w:r w:rsidR="00E15B62" w:rsidRPr="00E15B62">
        <w:rPr>
          <w:rFonts w:ascii="Arial Narrow" w:hAnsi="Arial Narrow"/>
          <w:sz w:val="24"/>
          <w:szCs w:val="24"/>
          <w:lang w:val="en-US"/>
        </w:rPr>
        <w:t>Crna</w:t>
      </w:r>
      <w:proofErr w:type="spellEnd"/>
      <w:r w:rsidR="00E15B62" w:rsidRPr="00E15B62">
        <w:rPr>
          <w:rFonts w:ascii="Arial Narrow" w:hAnsi="Arial Narrow"/>
          <w:sz w:val="24"/>
          <w:szCs w:val="24"/>
          <w:lang w:val="en-US"/>
        </w:rPr>
        <w:t xml:space="preserve"> Gora </w:t>
      </w:r>
      <w:proofErr w:type="spellStart"/>
      <w:r w:rsidR="00E15B62" w:rsidRPr="00E15B62">
        <w:rPr>
          <w:rFonts w:ascii="Arial Narrow" w:hAnsi="Arial Narrow"/>
          <w:sz w:val="24"/>
          <w:szCs w:val="24"/>
          <w:lang w:val="en-US"/>
        </w:rPr>
        <w:t>prenijela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na</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nacionalni</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nivo</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kroz</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Nacionalnu</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strategiju</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održivog</w:t>
      </w:r>
      <w:proofErr w:type="spellEnd"/>
      <w:r w:rsidR="00E15B62" w:rsidRPr="00E15B62">
        <w:rPr>
          <w:rFonts w:ascii="Arial Narrow" w:hAnsi="Arial Narrow"/>
          <w:sz w:val="24"/>
          <w:szCs w:val="24"/>
          <w:lang w:val="en-US"/>
        </w:rPr>
        <w:t xml:space="preserve"> </w:t>
      </w:r>
      <w:proofErr w:type="spellStart"/>
      <w:r w:rsidR="00E15B62" w:rsidRPr="00E15B62">
        <w:rPr>
          <w:rFonts w:ascii="Arial Narrow" w:hAnsi="Arial Narrow"/>
          <w:sz w:val="24"/>
          <w:szCs w:val="24"/>
          <w:lang w:val="en-US"/>
        </w:rPr>
        <w:t>razvoja</w:t>
      </w:r>
      <w:proofErr w:type="spellEnd"/>
      <w:r w:rsidR="00E15B62" w:rsidRPr="00E15B62">
        <w:rPr>
          <w:rFonts w:ascii="Arial Narrow" w:hAnsi="Arial Narrow"/>
          <w:sz w:val="24"/>
          <w:szCs w:val="24"/>
          <w:lang w:val="en-US"/>
        </w:rPr>
        <w:t xml:space="preserve"> do 2030. </w:t>
      </w:r>
      <w:proofErr w:type="spellStart"/>
      <w:r w:rsidR="00E15B62" w:rsidRPr="00E15B62">
        <w:rPr>
          <w:rFonts w:ascii="Arial Narrow" w:hAnsi="Arial Narrow"/>
          <w:sz w:val="24"/>
          <w:szCs w:val="24"/>
          <w:lang w:val="en-US"/>
        </w:rPr>
        <w:t>godine</w:t>
      </w:r>
      <w:proofErr w:type="spellEnd"/>
      <w:r w:rsidR="00E15B62" w:rsidRPr="00E15B62">
        <w:rPr>
          <w:rFonts w:ascii="Arial Narrow" w:hAnsi="Arial Narrow"/>
          <w:sz w:val="24"/>
          <w:szCs w:val="24"/>
          <w:lang w:val="en-US"/>
        </w:rPr>
        <w:t>.</w:t>
      </w:r>
    </w:p>
    <w:p w14:paraId="1FB7922E" w14:textId="77777777" w:rsidR="007C3A34" w:rsidRDefault="007C3A34" w:rsidP="00EB2A14">
      <w:pPr>
        <w:jc w:val="both"/>
        <w:rPr>
          <w:rFonts w:ascii="Arial Narrow" w:hAnsi="Arial Narrow"/>
          <w:noProof/>
          <w:sz w:val="24"/>
          <w:szCs w:val="24"/>
          <w:lang w:val="en-GB" w:eastAsia="en-GB"/>
        </w:rPr>
      </w:pPr>
      <w:r>
        <w:rPr>
          <w:rFonts w:ascii="Arial Narrow" w:hAnsi="Arial Narrow"/>
          <w:noProof/>
          <w:sz w:val="24"/>
          <w:szCs w:val="24"/>
          <w:lang w:val="en-GB" w:eastAsia="en-GB"/>
        </w:rPr>
        <w:t>U tom smislu, Crna Gor a će u narednom periodu biti prvenstveno fokusiranja na dvije stvari:</w:t>
      </w:r>
    </w:p>
    <w:p w14:paraId="606FA794" w14:textId="77777777" w:rsidR="00DD290C" w:rsidRPr="00605A99" w:rsidRDefault="007C3A34" w:rsidP="00605A99">
      <w:pPr>
        <w:pStyle w:val="ListParagraph"/>
        <w:numPr>
          <w:ilvl w:val="0"/>
          <w:numId w:val="3"/>
        </w:numPr>
        <w:jc w:val="both"/>
        <w:rPr>
          <w:rFonts w:ascii="Arial Narrow" w:hAnsi="Arial Narrow"/>
          <w:noProof/>
          <w:sz w:val="24"/>
          <w:szCs w:val="24"/>
          <w:lang w:val="en-GB" w:eastAsia="en-GB"/>
        </w:rPr>
      </w:pPr>
      <w:r w:rsidRPr="00605A99">
        <w:rPr>
          <w:rFonts w:ascii="Arial Narrow" w:hAnsi="Arial Narrow"/>
          <w:b/>
          <w:bCs/>
          <w:noProof/>
          <w:sz w:val="24"/>
          <w:szCs w:val="24"/>
          <w:lang w:val="en-GB" w:eastAsia="en-GB"/>
        </w:rPr>
        <w:t xml:space="preserve">Unapređenje </w:t>
      </w:r>
      <w:r w:rsidR="00DD290C" w:rsidRPr="00605A99">
        <w:rPr>
          <w:rFonts w:ascii="Arial Narrow" w:hAnsi="Arial Narrow"/>
          <w:b/>
          <w:bCs/>
          <w:noProof/>
          <w:sz w:val="24"/>
          <w:szCs w:val="24"/>
          <w:lang w:val="en-GB" w:eastAsia="en-GB"/>
        </w:rPr>
        <w:t>i</w:t>
      </w:r>
      <w:r w:rsidRPr="00605A99">
        <w:rPr>
          <w:rFonts w:ascii="Arial Narrow" w:hAnsi="Arial Narrow"/>
          <w:b/>
          <w:bCs/>
          <w:noProof/>
          <w:sz w:val="24"/>
          <w:szCs w:val="24"/>
          <w:lang w:val="en-GB" w:eastAsia="en-GB"/>
        </w:rPr>
        <w:t xml:space="preserve"> jačanje strateškog </w:t>
      </w:r>
      <w:r w:rsidR="00DD290C" w:rsidRPr="00605A99">
        <w:rPr>
          <w:rFonts w:ascii="Arial Narrow" w:hAnsi="Arial Narrow"/>
          <w:b/>
          <w:bCs/>
          <w:noProof/>
          <w:sz w:val="24"/>
          <w:szCs w:val="24"/>
          <w:lang w:val="en-GB" w:eastAsia="en-GB"/>
        </w:rPr>
        <w:t>i</w:t>
      </w:r>
      <w:r w:rsidRPr="00605A99">
        <w:rPr>
          <w:rFonts w:ascii="Arial Narrow" w:hAnsi="Arial Narrow"/>
          <w:b/>
          <w:bCs/>
          <w:noProof/>
          <w:sz w:val="24"/>
          <w:szCs w:val="24"/>
          <w:lang w:val="en-GB" w:eastAsia="en-GB"/>
        </w:rPr>
        <w:t xml:space="preserve"> institucionalnog okvira za održvi razvoj</w:t>
      </w:r>
      <w:r w:rsidR="00DD290C" w:rsidRPr="00605A99">
        <w:rPr>
          <w:rFonts w:ascii="Arial Narrow" w:hAnsi="Arial Narrow"/>
          <w:noProof/>
          <w:sz w:val="24"/>
          <w:szCs w:val="24"/>
          <w:lang w:val="en-GB" w:eastAsia="en-GB"/>
        </w:rPr>
        <w:t xml:space="preserve">, na način da se </w:t>
      </w:r>
      <w:r w:rsidR="00DD290C" w:rsidRPr="00605A99">
        <w:rPr>
          <w:rFonts w:ascii="Arial Narrow" w:hAnsi="Arial Narrow"/>
          <w:i/>
          <w:noProof/>
          <w:sz w:val="24"/>
          <w:szCs w:val="24"/>
          <w:lang w:val="en-US" w:eastAsia="en-GB"/>
        </w:rPr>
        <w:t>stepen realizacije mjera/podmjera Akcionog plana Nacionalne strategije održivog razvoja do 2030. godine</w:t>
      </w:r>
      <w:r w:rsidR="00DD290C" w:rsidRPr="007C3A34">
        <w:rPr>
          <w:noProof/>
          <w:vertAlign w:val="superscript"/>
          <w:lang w:val="en-US" w:eastAsia="en-GB"/>
        </w:rPr>
        <w:footnoteReference w:id="1"/>
      </w:r>
      <w:r w:rsidR="00DD290C" w:rsidRPr="00605A99">
        <w:rPr>
          <w:rFonts w:ascii="Arial Narrow" w:hAnsi="Arial Narrow"/>
          <w:i/>
          <w:noProof/>
          <w:sz w:val="24"/>
          <w:szCs w:val="24"/>
          <w:lang w:val="en-US" w:eastAsia="en-GB"/>
        </w:rPr>
        <w:t xml:space="preserve"> sa 16,4% u 2019, poveća na 21% u 2022, 28% u 2023. I 37% do kraja 2024. godine.</w:t>
      </w:r>
    </w:p>
    <w:p w14:paraId="4EBDA197" w14:textId="77777777" w:rsidR="00E15B62" w:rsidRDefault="00823656" w:rsidP="00E15B62">
      <w:pPr>
        <w:jc w:val="both"/>
        <w:rPr>
          <w:rFonts w:ascii="Arial Narrow" w:hAnsi="Arial Narrow"/>
          <w:noProof/>
          <w:sz w:val="24"/>
          <w:szCs w:val="24"/>
          <w:lang w:val="en-GB" w:eastAsia="en-GB"/>
        </w:rPr>
      </w:pPr>
      <w:r w:rsidRPr="00605A99">
        <w:rPr>
          <w:rFonts w:ascii="Arial Narrow" w:hAnsi="Arial Narrow"/>
          <w:noProof/>
          <w:sz w:val="24"/>
          <w:szCs w:val="24"/>
          <w:lang w:val="en-GB" w:eastAsia="en-GB"/>
        </w:rPr>
        <w:t xml:space="preserve">Za ostvarenje ovog cilja je ključno usvajanje </w:t>
      </w:r>
      <w:r w:rsidRPr="00605A99">
        <w:rPr>
          <w:rFonts w:ascii="Arial Narrow" w:hAnsi="Arial Narrow"/>
          <w:i/>
          <w:iCs/>
          <w:noProof/>
          <w:sz w:val="24"/>
          <w:szCs w:val="24"/>
          <w:lang w:val="en-GB" w:eastAsia="en-GB"/>
        </w:rPr>
        <w:t>Drugog nacionalnog dobrovoljnog izvještaja (pregleda) za sprovođenje ciljeva održivog razvoja</w:t>
      </w:r>
      <w:r w:rsidRPr="00605A99">
        <w:rPr>
          <w:rFonts w:ascii="Arial Narrow" w:hAnsi="Arial Narrow"/>
          <w:noProof/>
          <w:sz w:val="24"/>
          <w:szCs w:val="24"/>
          <w:lang w:val="en-GB" w:eastAsia="en-GB"/>
        </w:rPr>
        <w:t xml:space="preserve"> do kraja II kvartala 2022. </w:t>
      </w:r>
      <w:r w:rsidR="00605A99">
        <w:rPr>
          <w:rFonts w:ascii="Arial Narrow" w:hAnsi="Arial Narrow"/>
          <w:noProof/>
          <w:sz w:val="24"/>
          <w:szCs w:val="24"/>
          <w:lang w:val="en-GB" w:eastAsia="en-GB"/>
        </w:rPr>
        <w:t>g</w:t>
      </w:r>
      <w:r w:rsidRPr="00605A99">
        <w:rPr>
          <w:rFonts w:ascii="Arial Narrow" w:hAnsi="Arial Narrow"/>
          <w:noProof/>
          <w:sz w:val="24"/>
          <w:szCs w:val="24"/>
          <w:lang w:val="en-GB" w:eastAsia="en-GB"/>
        </w:rPr>
        <w:t xml:space="preserve">odine, za šta će biti opredijeljeno 10.000 eura </w:t>
      </w:r>
      <w:r w:rsidRPr="00605A99">
        <w:rPr>
          <w:rFonts w:ascii="Arial Narrow" w:hAnsi="Arial Narrow"/>
          <w:noProof/>
          <w:sz w:val="24"/>
          <w:szCs w:val="24"/>
          <w:lang w:val="en-GB" w:eastAsia="en-GB"/>
        </w:rPr>
        <w:lastRenderedPageBreak/>
        <w:t>iz Budžeta Crne Gore.</w:t>
      </w:r>
      <w:r w:rsidR="00605A99">
        <w:rPr>
          <w:rStyle w:val="FootnoteReference"/>
          <w:rFonts w:ascii="Arial Narrow" w:hAnsi="Arial Narrow"/>
          <w:noProof/>
          <w:sz w:val="24"/>
          <w:szCs w:val="24"/>
          <w:lang w:val="en-GB" w:eastAsia="en-GB"/>
        </w:rPr>
        <w:footnoteReference w:id="2"/>
      </w:r>
      <w:r w:rsidRPr="00823656">
        <w:t xml:space="preserve"> </w:t>
      </w:r>
      <w:r w:rsidR="00E15B62" w:rsidRPr="00E15B62">
        <w:rPr>
          <w:rFonts w:ascii="Arial Narrow" w:hAnsi="Arial Narrow"/>
          <w:noProof/>
          <w:sz w:val="24"/>
          <w:szCs w:val="24"/>
          <w:lang w:val="en-GB" w:eastAsia="en-GB"/>
        </w:rPr>
        <w:t>U skladu s obavezom sporovođenja NSOR 2030 predviđena je izrada izvještaja o njenom sprovođenju, koji će ukazati na stanje, stepen realizacije mjera/aktivnosti NSOR 2030, te ukazati na izazove u implementaciji ovog dokumenta što će doprinjeti u kreiranju razvojne politike Crne Gore i otvaranju ideja za buduće razvojne projekte." Imajući u vidu da je NSOR 2030 svojevrsna platforma za sprovođenje Ciljeva odrzivog razvoja do 2030. godine, realizacijom mjera i aktivnosti ovog dokumenta doprinjeće se i većem nivou sprovođenja UN Ciljeva održivog razvoja.</w:t>
      </w:r>
    </w:p>
    <w:p w14:paraId="6DD61CB0" w14:textId="50AB17D2" w:rsidR="00DD290C" w:rsidRPr="00E15B62" w:rsidRDefault="00DD290C" w:rsidP="00E15B62">
      <w:pPr>
        <w:pStyle w:val="ListParagraph"/>
        <w:numPr>
          <w:ilvl w:val="0"/>
          <w:numId w:val="3"/>
        </w:numPr>
        <w:jc w:val="both"/>
        <w:rPr>
          <w:rFonts w:ascii="Arial Narrow" w:hAnsi="Arial Narrow"/>
          <w:noProof/>
          <w:sz w:val="24"/>
          <w:szCs w:val="24"/>
          <w:lang w:val="en-GB" w:eastAsia="en-GB"/>
        </w:rPr>
      </w:pPr>
      <w:r w:rsidRPr="00E15B62">
        <w:rPr>
          <w:rFonts w:ascii="Arial Narrow" w:hAnsi="Arial Narrow"/>
          <w:b/>
          <w:bCs/>
          <w:noProof/>
          <w:sz w:val="24"/>
          <w:szCs w:val="24"/>
          <w:lang w:val="en-GB" w:eastAsia="en-GB"/>
        </w:rPr>
        <w:t>Dostizanje ve</w:t>
      </w:r>
      <w:r w:rsidR="00823656" w:rsidRPr="00E15B62">
        <w:rPr>
          <w:rFonts w:ascii="Arial Narrow" w:hAnsi="Arial Narrow"/>
          <w:b/>
          <w:bCs/>
          <w:noProof/>
          <w:sz w:val="24"/>
          <w:szCs w:val="24"/>
          <w:lang w:val="en-GB" w:eastAsia="en-GB"/>
        </w:rPr>
        <w:t>ć</w:t>
      </w:r>
      <w:r w:rsidRPr="00E15B62">
        <w:rPr>
          <w:rFonts w:ascii="Arial Narrow" w:hAnsi="Arial Narrow"/>
          <w:b/>
          <w:bCs/>
          <w:noProof/>
          <w:sz w:val="24"/>
          <w:szCs w:val="24"/>
          <w:lang w:val="en-GB" w:eastAsia="en-GB"/>
        </w:rPr>
        <w:t>eg nivoa sprovođenja ciljeva održivog razvoja</w:t>
      </w:r>
      <w:r w:rsidRPr="00E15B62">
        <w:rPr>
          <w:rFonts w:ascii="Arial Narrow" w:hAnsi="Arial Narrow"/>
          <w:noProof/>
          <w:sz w:val="24"/>
          <w:szCs w:val="24"/>
          <w:lang w:val="en-GB" w:eastAsia="en-GB"/>
        </w:rPr>
        <w:t xml:space="preserve">, koje će unaprijediti poziciju Crne Gore i njen SDG indeks i indeks prelivanja </w:t>
      </w:r>
      <w:r w:rsidRPr="00E15B62">
        <w:rPr>
          <w:rFonts w:ascii="Arial Narrow" w:hAnsi="Arial Narrow"/>
          <w:i/>
          <w:noProof/>
          <w:sz w:val="24"/>
          <w:szCs w:val="24"/>
          <w:lang w:val="en-US" w:eastAsia="en-GB"/>
        </w:rPr>
        <w:t>(eng. Spillover index)</w:t>
      </w:r>
      <w:r w:rsidRPr="007C3A34">
        <w:rPr>
          <w:i/>
          <w:noProof/>
          <w:vertAlign w:val="superscript"/>
          <w:lang w:val="en-US" w:eastAsia="en-GB"/>
        </w:rPr>
        <w:footnoteReference w:id="3"/>
      </w:r>
      <w:r w:rsidRPr="00E15B62">
        <w:rPr>
          <w:rFonts w:ascii="Arial Narrow" w:hAnsi="Arial Narrow"/>
          <w:i/>
          <w:noProof/>
          <w:sz w:val="24"/>
          <w:szCs w:val="24"/>
          <w:lang w:val="en-US" w:eastAsia="en-GB"/>
        </w:rPr>
        <w:t xml:space="preserve"> sa 85.</w:t>
      </w:r>
      <w:r w:rsidR="00605A99" w:rsidRPr="00E15B62">
        <w:rPr>
          <w:rFonts w:ascii="Arial Narrow" w:hAnsi="Arial Narrow"/>
          <w:i/>
          <w:noProof/>
          <w:sz w:val="24"/>
          <w:szCs w:val="24"/>
          <w:lang w:val="en-US" w:eastAsia="en-GB"/>
        </w:rPr>
        <w:t xml:space="preserve"> pomjeriti</w:t>
      </w:r>
      <w:r w:rsidRPr="00E15B62">
        <w:rPr>
          <w:rFonts w:ascii="Arial Narrow" w:hAnsi="Arial Narrow"/>
          <w:i/>
          <w:noProof/>
          <w:sz w:val="24"/>
          <w:szCs w:val="24"/>
          <w:lang w:val="en-US" w:eastAsia="en-GB"/>
        </w:rPr>
        <w:t xml:space="preserve"> na 84. mjesto u 2023. i 2024. godini.</w:t>
      </w:r>
    </w:p>
    <w:p w14:paraId="00F59A75" w14:textId="4995DE53" w:rsidR="000E7AA0" w:rsidRDefault="00E15B62" w:rsidP="00605A99">
      <w:pPr>
        <w:jc w:val="both"/>
        <w:rPr>
          <w:rFonts w:ascii="Arial Narrow" w:hAnsi="Arial Narrow"/>
          <w:noProof/>
          <w:sz w:val="24"/>
          <w:szCs w:val="24"/>
          <w:lang w:val="en-GB" w:eastAsia="en-GB"/>
        </w:rPr>
      </w:pPr>
      <w:r w:rsidRPr="00E15B62">
        <w:rPr>
          <w:rFonts w:ascii="Arial Narrow" w:hAnsi="Arial Narrow"/>
          <w:noProof/>
          <w:sz w:val="24"/>
          <w:szCs w:val="24"/>
          <w:lang w:val="en-GB" w:eastAsia="en-GB"/>
        </w:rPr>
        <w:t xml:space="preserve">Kao članica UN-a, donošenjem Agende za održivi razvoj do 2030. godine i njenim transponovanjem u okviru Nacionalne strategije održivog razvoja do 2030. godine Crna Gora se obavezala na izvještavanje ka UN-u kroz dobrovoljni nacionalni pregled/izvještaj. S tim u vezi usvajanje Drugog nacionalnog dobrovoljnog izvještaja (pregleda) za sprovođenje Ciljeva održivog razvoja predviđeno je do kraja II kvartala 2022. godine, za šta će biti opredijeljeno 10.000 eura iz Budžeta Crne Gore. Izradom ovog izvještaja daće se pregled stanja u svim oblastima te na osnovu toga mogućnost unapređenje dostizanja svih 17 Ciljeva održivog razvoja, te </w:t>
      </w:r>
      <w:r>
        <w:rPr>
          <w:rFonts w:ascii="Arial Narrow" w:hAnsi="Arial Narrow"/>
          <w:noProof/>
          <w:sz w:val="24"/>
          <w:szCs w:val="24"/>
          <w:lang w:val="en-GB" w:eastAsia="en-GB"/>
        </w:rPr>
        <w:t>I</w:t>
      </w:r>
      <w:r w:rsidRPr="00E15B62">
        <w:rPr>
          <w:rFonts w:ascii="Arial Narrow" w:hAnsi="Arial Narrow"/>
          <w:noProof/>
          <w:sz w:val="24"/>
          <w:szCs w:val="24"/>
          <w:lang w:val="en-GB" w:eastAsia="en-GB"/>
        </w:rPr>
        <w:t xml:space="preserve"> bolje pozicioniranje Crne Gore u odnosu na SDG indeks i indeks prelivanja među članicama UN-a</w:t>
      </w:r>
      <w:r>
        <w:rPr>
          <w:rFonts w:ascii="Arial Narrow" w:hAnsi="Arial Narrow"/>
          <w:noProof/>
          <w:sz w:val="24"/>
          <w:szCs w:val="24"/>
          <w:lang w:val="en-GB" w:eastAsia="en-GB"/>
        </w:rPr>
        <w:t>.</w:t>
      </w:r>
    </w:p>
    <w:p w14:paraId="73AE7343" w14:textId="77777777" w:rsidR="00E15B62" w:rsidRPr="00605A99" w:rsidRDefault="00E15B62" w:rsidP="00605A99">
      <w:pPr>
        <w:jc w:val="both"/>
        <w:rPr>
          <w:rFonts w:ascii="Arial Narrow" w:hAnsi="Arial Narrow"/>
          <w:sz w:val="24"/>
          <w:szCs w:val="24"/>
        </w:rPr>
      </w:pPr>
    </w:p>
    <w:p w14:paraId="69332CB4" w14:textId="77777777" w:rsidR="006078E0" w:rsidRPr="000E7AA0" w:rsidRDefault="006078E0" w:rsidP="001137ED">
      <w:pPr>
        <w:jc w:val="center"/>
        <w:rPr>
          <w:rFonts w:ascii="Arial Narrow" w:hAnsi="Arial Narrow"/>
          <w:i/>
          <w:iCs/>
          <w:noProof/>
          <w:sz w:val="24"/>
          <w:szCs w:val="24"/>
          <w:lang w:val="en-GB" w:eastAsia="en-GB"/>
        </w:rPr>
      </w:pPr>
      <w:r w:rsidRPr="000E7AA0">
        <w:rPr>
          <w:rFonts w:ascii="Arial Narrow" w:hAnsi="Arial Narrow"/>
          <w:i/>
          <w:iCs/>
          <w:noProof/>
          <w:sz w:val="24"/>
          <w:szCs w:val="24"/>
          <w:lang w:val="en-GB" w:eastAsia="en-GB"/>
        </w:rPr>
        <w:t>Sa svim navedenim, nastavljamo putem razvoja, reforms</w:t>
      </w:r>
      <w:r w:rsidR="00605A99" w:rsidRPr="000E7AA0">
        <w:rPr>
          <w:rFonts w:ascii="Arial Narrow" w:hAnsi="Arial Narrow"/>
          <w:i/>
          <w:iCs/>
          <w:noProof/>
          <w:sz w:val="24"/>
          <w:szCs w:val="24"/>
          <w:lang w:val="en-GB" w:eastAsia="en-GB"/>
        </w:rPr>
        <w:t>k</w:t>
      </w:r>
      <w:r w:rsidRPr="000E7AA0">
        <w:rPr>
          <w:rFonts w:ascii="Arial Narrow" w:hAnsi="Arial Narrow"/>
          <w:i/>
          <w:iCs/>
          <w:noProof/>
          <w:sz w:val="24"/>
          <w:szCs w:val="24"/>
          <w:lang w:val="en-GB" w:eastAsia="en-GB"/>
        </w:rPr>
        <w:t>ih procesa i snažnog napretka u poboljšanju uslova ž</w:t>
      </w:r>
      <w:r w:rsidR="000E7AA0" w:rsidRPr="000E7AA0">
        <w:rPr>
          <w:rFonts w:ascii="Arial Narrow" w:hAnsi="Arial Narrow"/>
          <w:i/>
          <w:iCs/>
          <w:noProof/>
          <w:sz w:val="24"/>
          <w:szCs w:val="24"/>
          <w:lang w:val="en-GB" w:eastAsia="en-GB"/>
        </w:rPr>
        <w:t>i</w:t>
      </w:r>
      <w:r w:rsidRPr="000E7AA0">
        <w:rPr>
          <w:rFonts w:ascii="Arial Narrow" w:hAnsi="Arial Narrow"/>
          <w:i/>
          <w:iCs/>
          <w:noProof/>
          <w:sz w:val="24"/>
          <w:szCs w:val="24"/>
          <w:lang w:val="en-GB" w:eastAsia="en-GB"/>
        </w:rPr>
        <w:t xml:space="preserve">vota </w:t>
      </w:r>
      <w:r w:rsidR="000E7AA0" w:rsidRPr="000E7AA0">
        <w:rPr>
          <w:rFonts w:ascii="Arial Narrow" w:hAnsi="Arial Narrow"/>
          <w:i/>
          <w:iCs/>
          <w:noProof/>
          <w:sz w:val="24"/>
          <w:szCs w:val="24"/>
          <w:lang w:val="en-GB" w:eastAsia="en-GB"/>
        </w:rPr>
        <w:t>i</w:t>
      </w:r>
      <w:r w:rsidRPr="000E7AA0">
        <w:rPr>
          <w:rFonts w:ascii="Arial Narrow" w:hAnsi="Arial Narrow"/>
          <w:i/>
          <w:iCs/>
          <w:noProof/>
          <w:sz w:val="24"/>
          <w:szCs w:val="24"/>
          <w:lang w:val="en-GB" w:eastAsia="en-GB"/>
        </w:rPr>
        <w:t xml:space="preserve"> standarda svih građanki i građana Crne Gore. </w:t>
      </w:r>
      <w:r w:rsidR="001137ED" w:rsidRPr="001137ED">
        <w:rPr>
          <w:rFonts w:ascii="Arial Narrow" w:hAnsi="Arial Narrow"/>
          <w:i/>
          <w:iCs/>
          <w:noProof/>
          <w:sz w:val="24"/>
          <w:szCs w:val="24"/>
          <w:lang w:val="en-GB" w:eastAsia="en-GB"/>
        </w:rPr>
        <w:t>Naši građani</w:t>
      </w:r>
      <w:r w:rsidR="001137ED">
        <w:rPr>
          <w:rFonts w:ascii="Arial Narrow" w:hAnsi="Arial Narrow"/>
          <w:i/>
          <w:iCs/>
          <w:noProof/>
          <w:sz w:val="24"/>
          <w:szCs w:val="24"/>
          <w:lang w:val="en-GB" w:eastAsia="en-GB"/>
        </w:rPr>
        <w:t xml:space="preserve"> i građanke</w:t>
      </w:r>
      <w:r w:rsidR="001137ED" w:rsidRPr="001137ED">
        <w:rPr>
          <w:rFonts w:ascii="Arial Narrow" w:hAnsi="Arial Narrow"/>
          <w:i/>
          <w:iCs/>
          <w:noProof/>
          <w:sz w:val="24"/>
          <w:szCs w:val="24"/>
          <w:lang w:val="en-GB" w:eastAsia="en-GB"/>
        </w:rPr>
        <w:t xml:space="preserve"> traže sigurno i slobodno društvo, efikasno zdravstvo i kvalitetno obrazovanje. Oni žele da rade i žive od svoga rada</w:t>
      </w:r>
      <w:r w:rsidR="001137ED">
        <w:rPr>
          <w:rFonts w:ascii="Arial Narrow" w:hAnsi="Arial Narrow"/>
          <w:i/>
          <w:iCs/>
          <w:noProof/>
          <w:sz w:val="24"/>
          <w:szCs w:val="24"/>
          <w:lang w:val="en-GB" w:eastAsia="en-GB"/>
        </w:rPr>
        <w:t xml:space="preserve"> i naša</w:t>
      </w:r>
      <w:r w:rsidR="001137ED" w:rsidRPr="001137ED">
        <w:rPr>
          <w:rFonts w:ascii="Arial Narrow" w:hAnsi="Arial Narrow"/>
          <w:i/>
          <w:iCs/>
          <w:noProof/>
          <w:sz w:val="24"/>
          <w:szCs w:val="24"/>
          <w:lang w:val="en-GB" w:eastAsia="en-GB"/>
        </w:rPr>
        <w:t xml:space="preserve"> je dužnost </w:t>
      </w:r>
      <w:r w:rsidR="001137ED">
        <w:rPr>
          <w:rFonts w:ascii="Arial Narrow" w:hAnsi="Arial Narrow"/>
          <w:i/>
          <w:iCs/>
          <w:noProof/>
          <w:sz w:val="24"/>
          <w:szCs w:val="24"/>
          <w:lang w:val="en-GB" w:eastAsia="en-GB"/>
        </w:rPr>
        <w:t>im</w:t>
      </w:r>
      <w:r w:rsidR="001137ED" w:rsidRPr="001137ED">
        <w:rPr>
          <w:rFonts w:ascii="Arial Narrow" w:hAnsi="Arial Narrow"/>
          <w:i/>
          <w:iCs/>
          <w:noProof/>
          <w:sz w:val="24"/>
          <w:szCs w:val="24"/>
          <w:lang w:val="en-GB" w:eastAsia="en-GB"/>
        </w:rPr>
        <w:t xml:space="preserve"> obezbijedimo sve slobode, sigurnost i egzistenciju dostojnu čovjeka. </w:t>
      </w:r>
      <w:r w:rsidRPr="000E7AA0">
        <w:rPr>
          <w:rFonts w:ascii="Arial Narrow" w:hAnsi="Arial Narrow"/>
          <w:i/>
          <w:iCs/>
          <w:noProof/>
          <w:sz w:val="24"/>
          <w:szCs w:val="24"/>
          <w:lang w:val="en-GB" w:eastAsia="en-GB"/>
        </w:rPr>
        <w:t>To je ideja</w:t>
      </w:r>
      <w:r w:rsidR="000E7AA0" w:rsidRPr="000E7AA0">
        <w:rPr>
          <w:rFonts w:ascii="Arial Narrow" w:hAnsi="Arial Narrow"/>
          <w:i/>
          <w:iCs/>
          <w:noProof/>
          <w:sz w:val="24"/>
          <w:szCs w:val="24"/>
          <w:lang w:val="en-GB" w:eastAsia="en-GB"/>
        </w:rPr>
        <w:t xml:space="preserve"> vodilja</w:t>
      </w:r>
      <w:r w:rsidRPr="000E7AA0">
        <w:rPr>
          <w:rFonts w:ascii="Arial Narrow" w:hAnsi="Arial Narrow"/>
          <w:i/>
          <w:iCs/>
          <w:noProof/>
          <w:sz w:val="24"/>
          <w:szCs w:val="24"/>
          <w:lang w:val="en-GB" w:eastAsia="en-GB"/>
        </w:rPr>
        <w:t xml:space="preserve"> ove Vlade.</w:t>
      </w:r>
    </w:p>
    <w:p w14:paraId="6B46EA0E" w14:textId="77777777" w:rsidR="006078E0" w:rsidRDefault="006078E0" w:rsidP="006078E0">
      <w:pPr>
        <w:jc w:val="both"/>
        <w:rPr>
          <w:rFonts w:ascii="Arial Narrow" w:hAnsi="Arial Narrow"/>
          <w:noProof/>
          <w:sz w:val="24"/>
          <w:szCs w:val="24"/>
          <w:lang w:val="en-GB" w:eastAsia="en-GB"/>
        </w:rPr>
      </w:pPr>
    </w:p>
    <w:p w14:paraId="1A8DF946" w14:textId="77777777" w:rsidR="006078E0" w:rsidRDefault="006078E0" w:rsidP="006078E0">
      <w:pPr>
        <w:jc w:val="both"/>
        <w:rPr>
          <w:rFonts w:ascii="Arial Narrow" w:hAnsi="Arial Narrow"/>
          <w:noProof/>
          <w:sz w:val="24"/>
          <w:szCs w:val="24"/>
          <w:lang w:val="en-GB" w:eastAsia="en-GB"/>
        </w:rPr>
      </w:pPr>
    </w:p>
    <w:p w14:paraId="53A0B258" w14:textId="77777777" w:rsidR="006078E0" w:rsidRDefault="006078E0" w:rsidP="006078E0">
      <w:pPr>
        <w:jc w:val="both"/>
        <w:rPr>
          <w:rFonts w:ascii="Arial Narrow" w:hAnsi="Arial Narrow"/>
          <w:noProof/>
          <w:sz w:val="24"/>
          <w:szCs w:val="24"/>
          <w:lang w:val="en-GB" w:eastAsia="en-GB"/>
        </w:rPr>
      </w:pPr>
    </w:p>
    <w:p w14:paraId="56E6B17C" w14:textId="77777777" w:rsidR="006078E0" w:rsidRDefault="006078E0" w:rsidP="006078E0">
      <w:pPr>
        <w:jc w:val="both"/>
        <w:rPr>
          <w:rFonts w:ascii="Arial Narrow" w:hAnsi="Arial Narrow"/>
          <w:noProof/>
          <w:sz w:val="24"/>
          <w:szCs w:val="24"/>
          <w:lang w:val="en-GB" w:eastAsia="en-GB"/>
        </w:rPr>
      </w:pPr>
    </w:p>
    <w:p w14:paraId="6B33C1E1" w14:textId="77777777" w:rsidR="006078E0" w:rsidRDefault="006078E0" w:rsidP="006078E0">
      <w:pPr>
        <w:jc w:val="both"/>
        <w:rPr>
          <w:rFonts w:ascii="Arial Narrow" w:hAnsi="Arial Narrow"/>
          <w:noProof/>
          <w:sz w:val="24"/>
          <w:szCs w:val="24"/>
          <w:lang w:val="en-GB" w:eastAsia="en-GB"/>
        </w:rPr>
      </w:pPr>
    </w:p>
    <w:p w14:paraId="3BA1BACB" w14:textId="77777777" w:rsidR="006078E0" w:rsidRDefault="006078E0" w:rsidP="006078E0">
      <w:pPr>
        <w:jc w:val="both"/>
        <w:rPr>
          <w:rFonts w:ascii="Arial Narrow" w:hAnsi="Arial Narrow"/>
          <w:noProof/>
          <w:sz w:val="24"/>
          <w:szCs w:val="24"/>
          <w:lang w:val="en-GB" w:eastAsia="en-GB"/>
        </w:rPr>
      </w:pPr>
    </w:p>
    <w:p w14:paraId="4687C082" w14:textId="77777777" w:rsidR="006078E0" w:rsidRDefault="006078E0" w:rsidP="006078E0">
      <w:pPr>
        <w:jc w:val="both"/>
        <w:rPr>
          <w:rFonts w:ascii="Arial Narrow" w:hAnsi="Arial Narrow"/>
          <w:noProof/>
          <w:sz w:val="24"/>
          <w:szCs w:val="24"/>
          <w:lang w:val="en-GB" w:eastAsia="en-GB"/>
        </w:rPr>
      </w:pPr>
    </w:p>
    <w:p w14:paraId="60F10EFF" w14:textId="77777777" w:rsidR="006078E0" w:rsidRDefault="006078E0" w:rsidP="006078E0">
      <w:pPr>
        <w:jc w:val="both"/>
        <w:rPr>
          <w:rFonts w:ascii="Arial Narrow" w:hAnsi="Arial Narrow"/>
          <w:noProof/>
          <w:sz w:val="24"/>
          <w:szCs w:val="24"/>
          <w:lang w:val="en-GB" w:eastAsia="en-GB"/>
        </w:rPr>
      </w:pPr>
    </w:p>
    <w:p w14:paraId="1AD92953" w14:textId="77777777" w:rsidR="006078E0" w:rsidRDefault="006078E0" w:rsidP="006078E0">
      <w:pPr>
        <w:jc w:val="both"/>
        <w:rPr>
          <w:rFonts w:ascii="Arial Narrow" w:hAnsi="Arial Narrow"/>
          <w:noProof/>
          <w:sz w:val="24"/>
          <w:szCs w:val="24"/>
          <w:lang w:val="en-GB" w:eastAsia="en-GB"/>
        </w:rPr>
      </w:pPr>
    </w:p>
    <w:p w14:paraId="18132315" w14:textId="77777777" w:rsidR="000E7AA0" w:rsidRDefault="000E7AA0" w:rsidP="006078E0">
      <w:pPr>
        <w:jc w:val="both"/>
        <w:rPr>
          <w:rFonts w:ascii="Arial Narrow" w:hAnsi="Arial Narrow"/>
          <w:noProof/>
          <w:sz w:val="24"/>
          <w:szCs w:val="24"/>
          <w:lang w:val="en-GB" w:eastAsia="en-GB"/>
        </w:rPr>
      </w:pPr>
    </w:p>
    <w:p w14:paraId="31358C82" w14:textId="77777777" w:rsidR="006078E0" w:rsidRPr="006078E0" w:rsidRDefault="006078E0" w:rsidP="006078E0">
      <w:pPr>
        <w:pStyle w:val="Heading1"/>
        <w:jc w:val="center"/>
        <w:rPr>
          <w:rFonts w:ascii="Arial Narrow" w:hAnsi="Arial Narrow"/>
          <w:noProof/>
          <w:lang w:val="en-GB" w:eastAsia="en-GB"/>
        </w:rPr>
      </w:pPr>
      <w:r w:rsidRPr="006078E0">
        <w:rPr>
          <w:rFonts w:ascii="Arial Narrow" w:hAnsi="Arial Narrow"/>
          <w:noProof/>
          <w:lang w:val="en-GB" w:eastAsia="en-GB"/>
        </w:rPr>
        <w:lastRenderedPageBreak/>
        <w:t>Crna Gora danas</w:t>
      </w:r>
    </w:p>
    <w:p w14:paraId="6E5C33B0" w14:textId="77777777" w:rsidR="007019AC" w:rsidRDefault="007019AC" w:rsidP="007019AC">
      <w:pPr>
        <w:jc w:val="both"/>
        <w:rPr>
          <w:rFonts w:ascii="Arial Narrow" w:hAnsi="Arial Narrow"/>
          <w:sz w:val="24"/>
          <w:szCs w:val="24"/>
          <w:lang w:val="en-GB" w:eastAsia="en-GB"/>
        </w:rPr>
      </w:pPr>
      <w:proofErr w:type="spellStart"/>
      <w:r>
        <w:rPr>
          <w:rFonts w:ascii="Arial Narrow" w:hAnsi="Arial Narrow"/>
          <w:sz w:val="24"/>
          <w:szCs w:val="24"/>
          <w:lang w:val="en-GB" w:eastAsia="en-GB"/>
        </w:rPr>
        <w:t>Vlada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Crne</w:t>
      </w:r>
      <w:proofErr w:type="spellEnd"/>
      <w:r>
        <w:rPr>
          <w:rFonts w:ascii="Arial Narrow" w:hAnsi="Arial Narrow"/>
          <w:sz w:val="24"/>
          <w:szCs w:val="24"/>
          <w:lang w:val="en-GB" w:eastAsia="en-GB"/>
        </w:rPr>
        <w:t xml:space="preserve"> Gore je, </w:t>
      </w:r>
      <w:proofErr w:type="spellStart"/>
      <w:r>
        <w:rPr>
          <w:rFonts w:ascii="Arial Narrow" w:hAnsi="Arial Narrow"/>
          <w:sz w:val="24"/>
          <w:szCs w:val="24"/>
          <w:lang w:val="en-GB" w:eastAsia="en-GB"/>
        </w:rPr>
        <w:t>kao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potrebu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uvođenja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reformskih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procesa</w:t>
      </w:r>
      <w:proofErr w:type="spellEnd"/>
      <w:r>
        <w:rPr>
          <w:rFonts w:ascii="Arial Narrow" w:hAnsi="Arial Narrow"/>
          <w:sz w:val="24"/>
          <w:szCs w:val="24"/>
          <w:lang w:val="en-GB" w:eastAsia="en-GB"/>
        </w:rPr>
        <w:t xml:space="preserve"> u rad </w:t>
      </w:r>
      <w:proofErr w:type="spellStart"/>
      <w:r>
        <w:rPr>
          <w:rFonts w:ascii="Arial Narrow" w:hAnsi="Arial Narrow"/>
          <w:sz w:val="24"/>
          <w:szCs w:val="24"/>
          <w:lang w:val="en-GB" w:eastAsia="en-GB"/>
        </w:rPr>
        <w:t>državne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uprave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tokom</w:t>
      </w:r>
      <w:proofErr w:type="spellEnd"/>
      <w:r>
        <w:rPr>
          <w:rFonts w:ascii="Arial Narrow" w:hAnsi="Arial Narrow"/>
          <w:sz w:val="24"/>
          <w:szCs w:val="24"/>
          <w:lang w:val="en-GB" w:eastAsia="en-GB"/>
        </w:rPr>
        <w:t xml:space="preserve"> 2021. </w:t>
      </w:r>
      <w:proofErr w:type="spellStart"/>
      <w:r>
        <w:rPr>
          <w:rFonts w:ascii="Arial Narrow" w:hAnsi="Arial Narrow"/>
          <w:sz w:val="24"/>
          <w:szCs w:val="24"/>
          <w:lang w:val="en-GB" w:eastAsia="en-GB"/>
        </w:rPr>
        <w:t>donijela</w:t>
      </w:r>
      <w:proofErr w:type="spellEnd"/>
      <w:r>
        <w:rPr>
          <w:rFonts w:ascii="Arial Narrow" w:hAnsi="Arial Narrow"/>
          <w:sz w:val="24"/>
          <w:szCs w:val="24"/>
          <w:lang w:val="en-GB" w:eastAsia="en-GB"/>
        </w:rPr>
        <w:t xml:space="preserve"> program </w:t>
      </w:r>
      <w:proofErr w:type="spellStart"/>
      <w:r>
        <w:rPr>
          <w:rFonts w:ascii="Arial Narrow" w:hAnsi="Arial Narrow"/>
          <w:sz w:val="24"/>
          <w:szCs w:val="24"/>
          <w:lang w:val="en-GB" w:eastAsia="en-GB"/>
        </w:rPr>
        <w:t>rada</w:t>
      </w:r>
      <w:proofErr w:type="spellEnd"/>
      <w:r>
        <w:rPr>
          <w:rFonts w:ascii="Arial Narrow" w:hAnsi="Arial Narrow"/>
          <w:sz w:val="24"/>
          <w:szCs w:val="24"/>
          <w:lang w:val="en-GB" w:eastAsia="en-GB"/>
        </w:rPr>
        <w:t xml:space="preserve"> za </w:t>
      </w:r>
      <w:proofErr w:type="spellStart"/>
      <w:r>
        <w:rPr>
          <w:rFonts w:ascii="Arial Narrow" w:hAnsi="Arial Narrow"/>
          <w:sz w:val="24"/>
          <w:szCs w:val="24"/>
          <w:lang w:val="en-GB" w:eastAsia="en-GB"/>
        </w:rPr>
        <w:t>tu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godinu</w:t>
      </w:r>
      <w:proofErr w:type="spellEnd"/>
      <w:r>
        <w:rPr>
          <w:rFonts w:ascii="Arial Narrow" w:hAnsi="Arial Narrow"/>
          <w:sz w:val="24"/>
          <w:szCs w:val="24"/>
          <w:lang w:val="en-GB" w:eastAsia="en-GB"/>
        </w:rPr>
        <w:t xml:space="preserve"> koji je, pored </w:t>
      </w:r>
      <w:proofErr w:type="spellStart"/>
      <w:r>
        <w:rPr>
          <w:rFonts w:ascii="Arial Narrow" w:hAnsi="Arial Narrow"/>
          <w:sz w:val="24"/>
          <w:szCs w:val="24"/>
          <w:lang w:val="en-GB" w:eastAsia="en-GB"/>
        </w:rPr>
        <w:t>obaveza</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tematskom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normativnom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dijelu</w:t>
      </w:r>
      <w:proofErr w:type="spellEnd"/>
      <w:r>
        <w:rPr>
          <w:rFonts w:ascii="Arial Narrow" w:hAnsi="Arial Narrow"/>
          <w:sz w:val="24"/>
          <w:szCs w:val="24"/>
          <w:lang w:val="en-GB" w:eastAsia="en-GB"/>
        </w:rPr>
        <w:t xml:space="preserve">, po </w:t>
      </w:r>
      <w:proofErr w:type="spellStart"/>
      <w:r>
        <w:rPr>
          <w:rFonts w:ascii="Arial Narrow" w:hAnsi="Arial Narrow"/>
          <w:sz w:val="24"/>
          <w:szCs w:val="24"/>
          <w:lang w:val="en-GB" w:eastAsia="en-GB"/>
        </w:rPr>
        <w:t>prvi</w:t>
      </w:r>
      <w:proofErr w:type="spellEnd"/>
      <w:r>
        <w:rPr>
          <w:rFonts w:ascii="Arial Narrow" w:hAnsi="Arial Narrow"/>
          <w:sz w:val="24"/>
          <w:szCs w:val="24"/>
          <w:lang w:val="en-GB" w:eastAsia="en-GB"/>
        </w:rPr>
        <w:t xml:space="preserve"> put </w:t>
      </w:r>
      <w:proofErr w:type="spellStart"/>
      <w:r>
        <w:rPr>
          <w:rFonts w:ascii="Arial Narrow" w:hAnsi="Arial Narrow"/>
          <w:sz w:val="24"/>
          <w:szCs w:val="24"/>
          <w:lang w:val="en-GB" w:eastAsia="en-GB"/>
        </w:rPr>
        <w:t>sadržao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ciljeve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mjerljive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indikatore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Takođe</w:t>
      </w:r>
      <w:proofErr w:type="spellEnd"/>
      <w:r>
        <w:rPr>
          <w:rFonts w:ascii="Arial Narrow" w:hAnsi="Arial Narrow"/>
          <w:sz w:val="24"/>
          <w:szCs w:val="24"/>
          <w:lang w:val="en-GB" w:eastAsia="en-GB"/>
        </w:rPr>
        <w:t xml:space="preserve">, po </w:t>
      </w:r>
      <w:proofErr w:type="spellStart"/>
      <w:r>
        <w:rPr>
          <w:rFonts w:ascii="Arial Narrow" w:hAnsi="Arial Narrow"/>
          <w:sz w:val="24"/>
          <w:szCs w:val="24"/>
          <w:lang w:val="en-GB" w:eastAsia="en-GB"/>
        </w:rPr>
        <w:t>prvi</w:t>
      </w:r>
      <w:proofErr w:type="spellEnd"/>
      <w:r>
        <w:rPr>
          <w:rFonts w:ascii="Arial Narrow" w:hAnsi="Arial Narrow"/>
          <w:sz w:val="24"/>
          <w:szCs w:val="24"/>
          <w:lang w:val="en-GB" w:eastAsia="en-GB"/>
        </w:rPr>
        <w:t xml:space="preserve"> put je za taj </w:t>
      </w:r>
      <w:proofErr w:type="spellStart"/>
      <w:r>
        <w:rPr>
          <w:rFonts w:ascii="Arial Narrow" w:hAnsi="Arial Narrow"/>
          <w:sz w:val="24"/>
          <w:szCs w:val="24"/>
          <w:lang w:val="en-GB" w:eastAsia="en-GB"/>
        </w:rPr>
        <w:t>proces</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organizovano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javno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konsultovanje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što</w:t>
      </w:r>
      <w:proofErr w:type="spellEnd"/>
      <w:r>
        <w:rPr>
          <w:rFonts w:ascii="Arial Narrow" w:hAnsi="Arial Narrow"/>
          <w:sz w:val="24"/>
          <w:szCs w:val="24"/>
          <w:lang w:val="en-GB" w:eastAsia="en-GB"/>
        </w:rPr>
        <w:t xml:space="preserve"> je </w:t>
      </w:r>
      <w:proofErr w:type="spellStart"/>
      <w:r>
        <w:rPr>
          <w:rFonts w:ascii="Arial Narrow" w:hAnsi="Arial Narrow"/>
          <w:sz w:val="24"/>
          <w:szCs w:val="24"/>
          <w:lang w:val="en-GB" w:eastAsia="en-GB"/>
        </w:rPr>
        <w:t>praksa</w:t>
      </w:r>
      <w:proofErr w:type="spellEnd"/>
      <w:r>
        <w:rPr>
          <w:rFonts w:ascii="Arial Narrow" w:hAnsi="Arial Narrow"/>
          <w:sz w:val="24"/>
          <w:szCs w:val="24"/>
          <w:lang w:val="en-GB" w:eastAsia="en-GB"/>
        </w:rPr>
        <w:t xml:space="preserve"> s </w:t>
      </w:r>
      <w:proofErr w:type="spellStart"/>
      <w:r>
        <w:rPr>
          <w:rFonts w:ascii="Arial Narrow" w:hAnsi="Arial Narrow"/>
          <w:sz w:val="24"/>
          <w:szCs w:val="24"/>
          <w:lang w:val="en-GB" w:eastAsia="en-GB"/>
        </w:rPr>
        <w:t>kojom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će</w:t>
      </w:r>
      <w:proofErr w:type="spellEnd"/>
      <w:r>
        <w:rPr>
          <w:rFonts w:ascii="Arial Narrow" w:hAnsi="Arial Narrow"/>
          <w:sz w:val="24"/>
          <w:szCs w:val="24"/>
          <w:lang w:val="en-GB" w:eastAsia="en-GB"/>
        </w:rPr>
        <w:t xml:space="preserve"> se </w:t>
      </w:r>
      <w:proofErr w:type="spellStart"/>
      <w:r>
        <w:rPr>
          <w:rFonts w:ascii="Arial Narrow" w:hAnsi="Arial Narrow"/>
          <w:sz w:val="24"/>
          <w:szCs w:val="24"/>
          <w:lang w:val="en-GB" w:eastAsia="en-GB"/>
        </w:rPr>
        <w:t>nastaviti</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narednom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periodu</w:t>
      </w:r>
      <w:proofErr w:type="spellEnd"/>
      <w:r>
        <w:rPr>
          <w:rFonts w:ascii="Arial Narrow" w:hAnsi="Arial Narrow"/>
          <w:sz w:val="24"/>
          <w:szCs w:val="24"/>
          <w:lang w:val="en-GB" w:eastAsia="en-GB"/>
        </w:rPr>
        <w:t>.</w:t>
      </w:r>
    </w:p>
    <w:p w14:paraId="6237C652" w14:textId="77777777" w:rsidR="007019AC" w:rsidRDefault="007019AC" w:rsidP="007019AC">
      <w:pPr>
        <w:jc w:val="both"/>
        <w:rPr>
          <w:rFonts w:ascii="Arial Narrow" w:hAnsi="Arial Narrow"/>
          <w:sz w:val="24"/>
          <w:szCs w:val="24"/>
          <w:lang w:val="en-GB" w:eastAsia="en-GB"/>
        </w:rPr>
      </w:pPr>
      <w:proofErr w:type="spellStart"/>
      <w:r>
        <w:rPr>
          <w:rFonts w:ascii="Arial Narrow" w:hAnsi="Arial Narrow"/>
          <w:sz w:val="24"/>
          <w:szCs w:val="24"/>
          <w:lang w:val="en-GB" w:eastAsia="en-GB"/>
        </w:rPr>
        <w:t>Srednjoročni</w:t>
      </w:r>
      <w:proofErr w:type="spellEnd"/>
      <w:r>
        <w:rPr>
          <w:rFonts w:ascii="Arial Narrow" w:hAnsi="Arial Narrow"/>
          <w:sz w:val="24"/>
          <w:szCs w:val="24"/>
          <w:lang w:val="en-GB" w:eastAsia="en-GB"/>
        </w:rPr>
        <w:t xml:space="preserve"> program </w:t>
      </w:r>
      <w:proofErr w:type="spellStart"/>
      <w:r>
        <w:rPr>
          <w:rFonts w:ascii="Arial Narrow" w:hAnsi="Arial Narrow"/>
          <w:sz w:val="24"/>
          <w:szCs w:val="24"/>
          <w:lang w:val="en-GB" w:eastAsia="en-GB"/>
        </w:rPr>
        <w:t>rada</w:t>
      </w:r>
      <w:proofErr w:type="spellEnd"/>
      <w:r>
        <w:rPr>
          <w:rFonts w:ascii="Arial Narrow" w:hAnsi="Arial Narrow"/>
          <w:sz w:val="24"/>
          <w:szCs w:val="24"/>
          <w:lang w:val="en-GB" w:eastAsia="en-GB"/>
        </w:rPr>
        <w:t xml:space="preserve"> Vlade za period 2022-2024. je </w:t>
      </w:r>
      <w:proofErr w:type="spellStart"/>
      <w:r>
        <w:rPr>
          <w:rFonts w:ascii="Arial Narrow" w:hAnsi="Arial Narrow"/>
          <w:sz w:val="24"/>
          <w:szCs w:val="24"/>
          <w:lang w:val="en-GB" w:eastAsia="en-GB"/>
        </w:rPr>
        <w:t>izraz</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težnji</w:t>
      </w:r>
      <w:proofErr w:type="spellEnd"/>
      <w:r>
        <w:rPr>
          <w:rFonts w:ascii="Arial Narrow" w:hAnsi="Arial Narrow"/>
          <w:sz w:val="24"/>
          <w:szCs w:val="24"/>
          <w:lang w:val="en-GB" w:eastAsia="en-GB"/>
        </w:rPr>
        <w:t xml:space="preserve"> da se do </w:t>
      </w:r>
      <w:proofErr w:type="spellStart"/>
      <w:r>
        <w:rPr>
          <w:rFonts w:ascii="Arial Narrow" w:hAnsi="Arial Narrow"/>
          <w:sz w:val="24"/>
          <w:szCs w:val="24"/>
          <w:lang w:val="en-GB" w:eastAsia="en-GB"/>
        </w:rPr>
        <w:t>kraja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mandata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definiše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smjer</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kretanja</w:t>
      </w:r>
      <w:proofErr w:type="spellEnd"/>
      <w:r>
        <w:rPr>
          <w:rFonts w:ascii="Arial Narrow" w:hAnsi="Arial Narrow"/>
          <w:sz w:val="24"/>
          <w:szCs w:val="24"/>
          <w:lang w:val="en-GB" w:eastAsia="en-GB"/>
        </w:rPr>
        <w:t xml:space="preserve"> Vlade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pravac</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razvoja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Crne</w:t>
      </w:r>
      <w:proofErr w:type="spellEnd"/>
      <w:r>
        <w:rPr>
          <w:rFonts w:ascii="Arial Narrow" w:hAnsi="Arial Narrow"/>
          <w:sz w:val="24"/>
          <w:szCs w:val="24"/>
          <w:lang w:val="en-GB" w:eastAsia="en-GB"/>
        </w:rPr>
        <w:t xml:space="preserve"> Gore do </w:t>
      </w:r>
      <w:proofErr w:type="spellStart"/>
      <w:r>
        <w:rPr>
          <w:rFonts w:ascii="Arial Narrow" w:hAnsi="Arial Narrow"/>
          <w:sz w:val="24"/>
          <w:szCs w:val="24"/>
          <w:lang w:val="en-GB" w:eastAsia="en-GB"/>
        </w:rPr>
        <w:t>kraja</w:t>
      </w:r>
      <w:proofErr w:type="spellEnd"/>
      <w:r>
        <w:rPr>
          <w:rFonts w:ascii="Arial Narrow" w:hAnsi="Arial Narrow"/>
          <w:sz w:val="24"/>
          <w:szCs w:val="24"/>
          <w:lang w:val="en-GB" w:eastAsia="en-GB"/>
        </w:rPr>
        <w:t xml:space="preserve"> 2024. </w:t>
      </w:r>
      <w:proofErr w:type="spellStart"/>
      <w:r>
        <w:rPr>
          <w:rFonts w:ascii="Arial Narrow" w:hAnsi="Arial Narrow"/>
          <w:sz w:val="24"/>
          <w:szCs w:val="24"/>
          <w:lang w:val="en-GB" w:eastAsia="en-GB"/>
        </w:rPr>
        <w:t>godine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osnovu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definisanih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prioriteta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ciljeva</w:t>
      </w:r>
      <w:proofErr w:type="spellEnd"/>
      <w:r>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Polazne</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osnove</w:t>
      </w:r>
      <w:proofErr w:type="spellEnd"/>
      <w:r w:rsidRPr="00900492">
        <w:rPr>
          <w:rFonts w:ascii="Arial Narrow" w:hAnsi="Arial Narrow"/>
          <w:sz w:val="24"/>
          <w:szCs w:val="24"/>
          <w:lang w:val="en-GB" w:eastAsia="en-GB"/>
        </w:rPr>
        <w:t xml:space="preserve"> za </w:t>
      </w:r>
      <w:proofErr w:type="spellStart"/>
      <w:r w:rsidRPr="00900492">
        <w:rPr>
          <w:rFonts w:ascii="Arial Narrow" w:hAnsi="Arial Narrow"/>
          <w:sz w:val="24"/>
          <w:szCs w:val="24"/>
          <w:lang w:val="en-GB" w:eastAsia="en-GB"/>
        </w:rPr>
        <w:t>pripremu</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srednjoročnog</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programa</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rada</w:t>
      </w:r>
      <w:proofErr w:type="spellEnd"/>
      <w:r w:rsidRPr="00900492">
        <w:rPr>
          <w:rFonts w:ascii="Arial Narrow" w:hAnsi="Arial Narrow"/>
          <w:sz w:val="24"/>
          <w:szCs w:val="24"/>
          <w:lang w:val="en-GB" w:eastAsia="en-GB"/>
        </w:rPr>
        <w:t xml:space="preserve"> Vlade </w:t>
      </w:r>
      <w:proofErr w:type="spellStart"/>
      <w:r w:rsidRPr="00900492">
        <w:rPr>
          <w:rFonts w:ascii="Arial Narrow" w:hAnsi="Arial Narrow"/>
          <w:sz w:val="24"/>
          <w:szCs w:val="24"/>
          <w:lang w:val="en-GB" w:eastAsia="en-GB"/>
        </w:rPr>
        <w:t>su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Ekspoze</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predsjednika</w:t>
      </w:r>
      <w:proofErr w:type="spellEnd"/>
      <w:r w:rsidRPr="00900492">
        <w:rPr>
          <w:rFonts w:ascii="Arial Narrow" w:hAnsi="Arial Narrow"/>
          <w:sz w:val="24"/>
          <w:szCs w:val="24"/>
          <w:lang w:val="en-GB" w:eastAsia="en-GB"/>
        </w:rPr>
        <w:t xml:space="preserve"> Vlad</w:t>
      </w:r>
      <w:r>
        <w:rPr>
          <w:rFonts w:ascii="Arial Narrow" w:hAnsi="Arial Narrow"/>
          <w:sz w:val="24"/>
          <w:szCs w:val="24"/>
          <w:lang w:val="en-GB" w:eastAsia="en-GB"/>
        </w:rPr>
        <w:t xml:space="preserve">e, </w:t>
      </w:r>
      <w:proofErr w:type="spellStart"/>
      <w:r w:rsidRPr="00900492">
        <w:rPr>
          <w:rFonts w:ascii="Arial Narrow" w:hAnsi="Arial Narrow"/>
          <w:sz w:val="24"/>
          <w:szCs w:val="24"/>
          <w:lang w:val="en-GB" w:eastAsia="en-GB"/>
        </w:rPr>
        <w:t>mjere</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ekonomske</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politike</w:t>
      </w:r>
      <w:proofErr w:type="spellEnd"/>
      <w:r w:rsidRPr="00900492">
        <w:rPr>
          <w:rFonts w:ascii="Arial Narrow" w:hAnsi="Arial Narrow"/>
          <w:sz w:val="24"/>
          <w:szCs w:val="24"/>
          <w:lang w:val="en-GB" w:eastAsia="en-GB"/>
        </w:rPr>
        <w:t xml:space="preserve"> za </w:t>
      </w:r>
      <w:proofErr w:type="spellStart"/>
      <w:r w:rsidRPr="00900492">
        <w:rPr>
          <w:rFonts w:ascii="Arial Narrow" w:hAnsi="Arial Narrow"/>
          <w:sz w:val="24"/>
          <w:szCs w:val="24"/>
          <w:lang w:val="en-GB" w:eastAsia="en-GB"/>
        </w:rPr>
        <w:t>srednjoročni</w:t>
      </w:r>
      <w:proofErr w:type="spellEnd"/>
      <w:r w:rsidRPr="00900492">
        <w:rPr>
          <w:rFonts w:ascii="Arial Narrow" w:hAnsi="Arial Narrow"/>
          <w:sz w:val="24"/>
          <w:szCs w:val="24"/>
          <w:lang w:val="en-GB" w:eastAsia="en-GB"/>
        </w:rPr>
        <w:t xml:space="preserve"> period </w:t>
      </w:r>
      <w:proofErr w:type="spellStart"/>
      <w:r w:rsidRPr="00900492">
        <w:rPr>
          <w:rFonts w:ascii="Arial Narrow" w:hAnsi="Arial Narrow"/>
          <w:sz w:val="24"/>
          <w:szCs w:val="24"/>
          <w:lang w:val="en-GB" w:eastAsia="en-GB"/>
        </w:rPr>
        <w:t>i</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obaveze</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koje</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proizilaze</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iz</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zakona</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strateških</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dokumenata</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i</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procesa</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pristupanja</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Crne</w:t>
      </w:r>
      <w:proofErr w:type="spellEnd"/>
      <w:r w:rsidRPr="00900492">
        <w:rPr>
          <w:rFonts w:ascii="Arial Narrow" w:hAnsi="Arial Narrow"/>
          <w:sz w:val="24"/>
          <w:szCs w:val="24"/>
          <w:lang w:val="en-GB" w:eastAsia="en-GB"/>
        </w:rPr>
        <w:t xml:space="preserve"> Gore </w:t>
      </w:r>
      <w:proofErr w:type="spellStart"/>
      <w:r w:rsidRPr="00900492">
        <w:rPr>
          <w:rFonts w:ascii="Arial Narrow" w:hAnsi="Arial Narrow"/>
          <w:sz w:val="24"/>
          <w:szCs w:val="24"/>
          <w:lang w:val="en-GB" w:eastAsia="en-GB"/>
        </w:rPr>
        <w:t>Evropskoj</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uniji</w:t>
      </w:r>
      <w:proofErr w:type="spellEnd"/>
      <w:r w:rsidRPr="00900492">
        <w:rPr>
          <w:rFonts w:ascii="Arial Narrow" w:hAnsi="Arial Narrow"/>
          <w:sz w:val="24"/>
          <w:szCs w:val="24"/>
          <w:lang w:val="en-GB" w:eastAsia="en-GB"/>
        </w:rPr>
        <w:t>.</w:t>
      </w:r>
    </w:p>
    <w:p w14:paraId="10C01A79" w14:textId="77777777" w:rsidR="007019AC" w:rsidRDefault="007019AC" w:rsidP="007019AC">
      <w:pPr>
        <w:jc w:val="both"/>
        <w:rPr>
          <w:rFonts w:ascii="Arial Narrow" w:hAnsi="Arial Narrow"/>
          <w:sz w:val="24"/>
          <w:szCs w:val="24"/>
          <w:lang w:val="en-GB" w:eastAsia="en-GB"/>
        </w:rPr>
      </w:pPr>
      <w:r>
        <w:rPr>
          <w:rFonts w:ascii="Arial Narrow" w:hAnsi="Arial Narrow"/>
          <w:sz w:val="24"/>
          <w:szCs w:val="24"/>
          <w:lang w:val="en-GB" w:eastAsia="en-GB"/>
        </w:rPr>
        <w:t xml:space="preserve">Na </w:t>
      </w:r>
      <w:proofErr w:type="spellStart"/>
      <w:r>
        <w:rPr>
          <w:rFonts w:ascii="Arial Narrow" w:hAnsi="Arial Narrow"/>
          <w:sz w:val="24"/>
          <w:szCs w:val="24"/>
          <w:lang w:val="en-GB" w:eastAsia="en-GB"/>
        </w:rPr>
        <w:t>osnovu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srednjoročnog</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programa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mjera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ekonomske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politike</w:t>
      </w:r>
      <w:proofErr w:type="spellEnd"/>
      <w:r>
        <w:rPr>
          <w:rFonts w:ascii="Arial Narrow" w:hAnsi="Arial Narrow"/>
          <w:sz w:val="24"/>
          <w:szCs w:val="24"/>
          <w:lang w:val="en-GB" w:eastAsia="en-GB"/>
        </w:rPr>
        <w:t xml:space="preserve"> za </w:t>
      </w:r>
      <w:proofErr w:type="spellStart"/>
      <w:r>
        <w:rPr>
          <w:rFonts w:ascii="Arial Narrow" w:hAnsi="Arial Narrow"/>
          <w:sz w:val="24"/>
          <w:szCs w:val="24"/>
          <w:lang w:val="en-GB" w:eastAsia="en-GB"/>
        </w:rPr>
        <w:t>tekuću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godinu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priprema</w:t>
      </w:r>
      <w:proofErr w:type="spellEnd"/>
      <w:r>
        <w:rPr>
          <w:rFonts w:ascii="Arial Narrow" w:hAnsi="Arial Narrow"/>
          <w:sz w:val="24"/>
          <w:szCs w:val="24"/>
          <w:lang w:val="en-GB" w:eastAsia="en-GB"/>
        </w:rPr>
        <w:t xml:space="preserve"> se </w:t>
      </w:r>
      <w:proofErr w:type="spellStart"/>
      <w:r>
        <w:rPr>
          <w:rFonts w:ascii="Arial Narrow" w:hAnsi="Arial Narrow"/>
          <w:sz w:val="24"/>
          <w:szCs w:val="24"/>
          <w:lang w:val="en-GB" w:eastAsia="en-GB"/>
        </w:rPr>
        <w:t>godišnji</w:t>
      </w:r>
      <w:proofErr w:type="spellEnd"/>
      <w:r>
        <w:rPr>
          <w:rFonts w:ascii="Arial Narrow" w:hAnsi="Arial Narrow"/>
          <w:sz w:val="24"/>
          <w:szCs w:val="24"/>
          <w:lang w:val="en-GB" w:eastAsia="en-GB"/>
        </w:rPr>
        <w:t xml:space="preserve"> program </w:t>
      </w:r>
      <w:proofErr w:type="spellStart"/>
      <w:r>
        <w:rPr>
          <w:rFonts w:ascii="Arial Narrow" w:hAnsi="Arial Narrow"/>
          <w:sz w:val="24"/>
          <w:szCs w:val="24"/>
          <w:lang w:val="en-GB" w:eastAsia="en-GB"/>
        </w:rPr>
        <w:t>rada</w:t>
      </w:r>
      <w:proofErr w:type="spellEnd"/>
      <w:r>
        <w:rPr>
          <w:rFonts w:ascii="Arial Narrow" w:hAnsi="Arial Narrow"/>
          <w:sz w:val="24"/>
          <w:szCs w:val="24"/>
          <w:lang w:val="en-GB" w:eastAsia="en-GB"/>
        </w:rPr>
        <w:t xml:space="preserve">, koji se </w:t>
      </w:r>
      <w:proofErr w:type="spellStart"/>
      <w:r>
        <w:rPr>
          <w:rFonts w:ascii="Arial Narrow" w:hAnsi="Arial Narrow"/>
          <w:sz w:val="24"/>
          <w:szCs w:val="24"/>
          <w:lang w:val="en-GB" w:eastAsia="en-GB"/>
        </w:rPr>
        <w:t>ove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godine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razvija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paralelno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kako</w:t>
      </w:r>
      <w:proofErr w:type="spellEnd"/>
      <w:r>
        <w:rPr>
          <w:rFonts w:ascii="Arial Narrow" w:hAnsi="Arial Narrow"/>
          <w:sz w:val="24"/>
          <w:szCs w:val="24"/>
          <w:lang w:val="en-GB" w:eastAsia="en-GB"/>
        </w:rPr>
        <w:t xml:space="preserve"> bi se </w:t>
      </w:r>
      <w:proofErr w:type="spellStart"/>
      <w:r>
        <w:rPr>
          <w:rFonts w:ascii="Arial Narrow" w:hAnsi="Arial Narrow"/>
          <w:sz w:val="24"/>
          <w:szCs w:val="24"/>
          <w:lang w:val="en-GB" w:eastAsia="en-GB"/>
        </w:rPr>
        <w:t>obezbijedilo</w:t>
      </w:r>
      <w:proofErr w:type="spellEnd"/>
      <w:r>
        <w:rPr>
          <w:rFonts w:ascii="Arial Narrow" w:hAnsi="Arial Narrow"/>
          <w:sz w:val="24"/>
          <w:szCs w:val="24"/>
          <w:lang w:val="en-GB" w:eastAsia="en-GB"/>
        </w:rPr>
        <w:t xml:space="preserve"> da </w:t>
      </w:r>
      <w:proofErr w:type="spellStart"/>
      <w:r>
        <w:rPr>
          <w:rFonts w:ascii="Arial Narrow" w:hAnsi="Arial Narrow"/>
          <w:sz w:val="24"/>
          <w:szCs w:val="24"/>
          <w:lang w:val="en-GB" w:eastAsia="en-GB"/>
        </w:rPr>
        <w:t>aktivnosti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prepoznate</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njemu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jasno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doprinose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realizaciji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ciljeva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postavljenih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srednjoročnim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programom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Godišnji</w:t>
      </w:r>
      <w:proofErr w:type="spellEnd"/>
      <w:r>
        <w:rPr>
          <w:rFonts w:ascii="Arial Narrow" w:hAnsi="Arial Narrow"/>
          <w:sz w:val="24"/>
          <w:szCs w:val="24"/>
          <w:lang w:val="en-GB" w:eastAsia="en-GB"/>
        </w:rPr>
        <w:t xml:space="preserve"> program </w:t>
      </w:r>
      <w:proofErr w:type="spellStart"/>
      <w:r>
        <w:rPr>
          <w:rFonts w:ascii="Arial Narrow" w:hAnsi="Arial Narrow"/>
          <w:sz w:val="24"/>
          <w:szCs w:val="24"/>
          <w:lang w:val="en-GB" w:eastAsia="en-GB"/>
        </w:rPr>
        <w:t>rada</w:t>
      </w:r>
      <w:proofErr w:type="spellEnd"/>
      <w:r>
        <w:rPr>
          <w:rFonts w:ascii="Arial Narrow" w:hAnsi="Arial Narrow"/>
          <w:sz w:val="24"/>
          <w:szCs w:val="24"/>
          <w:lang w:val="en-GB" w:eastAsia="en-GB"/>
        </w:rPr>
        <w:t xml:space="preserve"> Vlade </w:t>
      </w:r>
      <w:proofErr w:type="spellStart"/>
      <w:r>
        <w:rPr>
          <w:rFonts w:ascii="Arial Narrow" w:hAnsi="Arial Narrow"/>
          <w:sz w:val="24"/>
          <w:szCs w:val="24"/>
          <w:lang w:val="en-GB" w:eastAsia="en-GB"/>
        </w:rPr>
        <w:t>obuhvata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tematski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normativni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dio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nosioce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zadataka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rokove</w:t>
      </w:r>
      <w:proofErr w:type="spellEnd"/>
      <w:r>
        <w:rPr>
          <w:rFonts w:ascii="Arial Narrow" w:hAnsi="Arial Narrow"/>
          <w:sz w:val="24"/>
          <w:szCs w:val="24"/>
          <w:lang w:val="en-GB" w:eastAsia="en-GB"/>
        </w:rPr>
        <w:t xml:space="preserve"> za </w:t>
      </w:r>
      <w:proofErr w:type="spellStart"/>
      <w:r>
        <w:rPr>
          <w:rFonts w:ascii="Arial Narrow" w:hAnsi="Arial Narrow"/>
          <w:sz w:val="24"/>
          <w:szCs w:val="24"/>
          <w:lang w:val="en-GB" w:eastAsia="en-GB"/>
        </w:rPr>
        <w:t>njihovo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izvršenje</w:t>
      </w:r>
      <w:proofErr w:type="spellEnd"/>
      <w:r>
        <w:rPr>
          <w:rFonts w:ascii="Arial Narrow" w:hAnsi="Arial Narrow"/>
          <w:sz w:val="24"/>
          <w:szCs w:val="24"/>
          <w:lang w:val="en-GB" w:eastAsia="en-GB"/>
        </w:rPr>
        <w:t>.</w:t>
      </w:r>
    </w:p>
    <w:p w14:paraId="34C44FE7" w14:textId="77777777" w:rsidR="007019AC" w:rsidRDefault="007019AC" w:rsidP="007019AC">
      <w:pPr>
        <w:jc w:val="both"/>
        <w:rPr>
          <w:rFonts w:ascii="Arial Narrow" w:hAnsi="Arial Narrow"/>
          <w:sz w:val="24"/>
          <w:szCs w:val="24"/>
          <w:lang w:val="en-GB" w:eastAsia="en-GB"/>
        </w:rPr>
      </w:pPr>
      <w:proofErr w:type="spellStart"/>
      <w:r>
        <w:rPr>
          <w:rFonts w:ascii="Arial Narrow" w:hAnsi="Arial Narrow"/>
          <w:sz w:val="24"/>
          <w:szCs w:val="24"/>
          <w:lang w:val="en-GB" w:eastAsia="en-GB"/>
        </w:rPr>
        <w:t>Nacrt</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srednjoročnog</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godišnjeg</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programa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rada</w:t>
      </w:r>
      <w:proofErr w:type="spellEnd"/>
      <w:r>
        <w:rPr>
          <w:rFonts w:ascii="Arial Narrow" w:hAnsi="Arial Narrow"/>
          <w:sz w:val="24"/>
          <w:szCs w:val="24"/>
          <w:lang w:val="en-GB" w:eastAsia="en-GB"/>
        </w:rPr>
        <w:t xml:space="preserve"> Vlade </w:t>
      </w:r>
      <w:proofErr w:type="spellStart"/>
      <w:r>
        <w:rPr>
          <w:rFonts w:ascii="Arial Narrow" w:hAnsi="Arial Narrow"/>
          <w:sz w:val="24"/>
          <w:szCs w:val="24"/>
          <w:lang w:val="en-GB" w:eastAsia="en-GB"/>
        </w:rPr>
        <w:t>priprema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Generalni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sekretarijat</w:t>
      </w:r>
      <w:proofErr w:type="spellEnd"/>
      <w:r>
        <w:rPr>
          <w:rFonts w:ascii="Arial Narrow" w:hAnsi="Arial Narrow"/>
          <w:sz w:val="24"/>
          <w:szCs w:val="24"/>
          <w:lang w:val="en-GB" w:eastAsia="en-GB"/>
        </w:rPr>
        <w:t xml:space="preserve"> Vlade </w:t>
      </w:r>
      <w:proofErr w:type="spellStart"/>
      <w:r>
        <w:rPr>
          <w:rFonts w:ascii="Arial Narrow" w:hAnsi="Arial Narrow"/>
          <w:sz w:val="24"/>
          <w:szCs w:val="24"/>
          <w:lang w:val="en-GB" w:eastAsia="en-GB"/>
        </w:rPr>
        <w:t>prema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konceptu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metodološkim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smjernicama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pripremljenim</w:t>
      </w:r>
      <w:proofErr w:type="spellEnd"/>
      <w:r>
        <w:rPr>
          <w:rFonts w:ascii="Arial Narrow" w:hAnsi="Arial Narrow"/>
          <w:sz w:val="24"/>
          <w:szCs w:val="24"/>
          <w:lang w:val="en-GB" w:eastAsia="en-GB"/>
        </w:rPr>
        <w:t xml:space="preserve"> za </w:t>
      </w:r>
      <w:proofErr w:type="spellStart"/>
      <w:r>
        <w:rPr>
          <w:rFonts w:ascii="Arial Narrow" w:hAnsi="Arial Narrow"/>
          <w:sz w:val="24"/>
          <w:szCs w:val="24"/>
          <w:lang w:val="en-GB" w:eastAsia="en-GB"/>
        </w:rPr>
        <w:t>tu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svrhu</w:t>
      </w:r>
      <w:proofErr w:type="spellEnd"/>
      <w:r>
        <w:rPr>
          <w:rFonts w:ascii="Arial Narrow" w:hAnsi="Arial Narrow"/>
          <w:sz w:val="24"/>
          <w:szCs w:val="24"/>
          <w:lang w:val="en-GB" w:eastAsia="en-GB"/>
        </w:rPr>
        <w:t xml:space="preserve">, a </w:t>
      </w:r>
      <w:proofErr w:type="spellStart"/>
      <w:r>
        <w:rPr>
          <w:rFonts w:ascii="Arial Narrow" w:hAnsi="Arial Narrow"/>
          <w:sz w:val="24"/>
          <w:szCs w:val="24"/>
          <w:lang w:val="en-GB" w:eastAsia="en-GB"/>
        </w:rPr>
        <w:t>na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osnovu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predloga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ministarstava</w:t>
      </w:r>
      <w:proofErr w:type="spellEnd"/>
      <w:r>
        <w:rPr>
          <w:rFonts w:ascii="Arial Narrow" w:hAnsi="Arial Narrow"/>
          <w:sz w:val="24"/>
          <w:szCs w:val="24"/>
          <w:lang w:val="en-GB" w:eastAsia="en-GB"/>
        </w:rPr>
        <w:t>.</w:t>
      </w:r>
      <w:r w:rsidRPr="00900492">
        <w:t xml:space="preserve"> </w:t>
      </w:r>
      <w:proofErr w:type="spellStart"/>
      <w:r w:rsidRPr="00900492">
        <w:rPr>
          <w:rFonts w:ascii="Arial Narrow" w:hAnsi="Arial Narrow"/>
          <w:sz w:val="24"/>
          <w:szCs w:val="24"/>
          <w:lang w:val="en-GB" w:eastAsia="en-GB"/>
        </w:rPr>
        <w:t>Nacrt</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srednjoročnog</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i</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godišnjeg</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programa</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rada</w:t>
      </w:r>
      <w:proofErr w:type="spellEnd"/>
      <w:r w:rsidRPr="00900492">
        <w:rPr>
          <w:rFonts w:ascii="Arial Narrow" w:hAnsi="Arial Narrow"/>
          <w:sz w:val="24"/>
          <w:szCs w:val="24"/>
          <w:lang w:val="en-GB" w:eastAsia="en-GB"/>
        </w:rPr>
        <w:t xml:space="preserve"> Vlade </w:t>
      </w:r>
      <w:proofErr w:type="spellStart"/>
      <w:r w:rsidRPr="00900492">
        <w:rPr>
          <w:rFonts w:ascii="Arial Narrow" w:hAnsi="Arial Narrow"/>
          <w:sz w:val="24"/>
          <w:szCs w:val="24"/>
          <w:lang w:val="en-GB" w:eastAsia="en-GB"/>
        </w:rPr>
        <w:t>dostavlja</w:t>
      </w:r>
      <w:proofErr w:type="spellEnd"/>
      <w:r w:rsidRPr="00900492">
        <w:rPr>
          <w:rFonts w:ascii="Arial Narrow" w:hAnsi="Arial Narrow"/>
          <w:sz w:val="24"/>
          <w:szCs w:val="24"/>
          <w:lang w:val="en-GB" w:eastAsia="en-GB"/>
        </w:rPr>
        <w:t xml:space="preserve"> se </w:t>
      </w:r>
      <w:proofErr w:type="spellStart"/>
      <w:r w:rsidRPr="00900492">
        <w:rPr>
          <w:rFonts w:ascii="Arial Narrow" w:hAnsi="Arial Narrow"/>
          <w:sz w:val="24"/>
          <w:szCs w:val="24"/>
          <w:lang w:val="en-GB" w:eastAsia="en-GB"/>
        </w:rPr>
        <w:t>komisijama</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radi</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razmatranj</w:t>
      </w:r>
      <w:r>
        <w:rPr>
          <w:rFonts w:ascii="Arial Narrow" w:hAnsi="Arial Narrow"/>
          <w:sz w:val="24"/>
          <w:szCs w:val="24"/>
          <w:lang w:val="en-GB" w:eastAsia="en-GB"/>
        </w:rPr>
        <w:t>a</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okviru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njihovog</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djelokruga</w:t>
      </w:r>
      <w:proofErr w:type="spellEnd"/>
      <w:r>
        <w:rPr>
          <w:rFonts w:ascii="Arial Narrow" w:hAnsi="Arial Narrow"/>
          <w:sz w:val="24"/>
          <w:szCs w:val="24"/>
          <w:lang w:val="en-GB" w:eastAsia="en-GB"/>
        </w:rPr>
        <w:t xml:space="preserve">. </w:t>
      </w:r>
    </w:p>
    <w:p w14:paraId="6A3A1061" w14:textId="77777777" w:rsidR="007019AC" w:rsidRPr="00900492" w:rsidRDefault="007019AC" w:rsidP="007019AC">
      <w:pPr>
        <w:jc w:val="both"/>
        <w:rPr>
          <w:rFonts w:ascii="Arial Narrow" w:hAnsi="Arial Narrow"/>
          <w:sz w:val="24"/>
          <w:szCs w:val="24"/>
          <w:lang w:val="en-GB" w:eastAsia="en-GB"/>
        </w:rPr>
      </w:pPr>
      <w:r>
        <w:rPr>
          <w:rFonts w:ascii="Arial Narrow" w:hAnsi="Arial Narrow"/>
          <w:sz w:val="24"/>
          <w:szCs w:val="24"/>
          <w:lang w:val="en-GB" w:eastAsia="en-GB"/>
        </w:rPr>
        <w:t xml:space="preserve">U </w:t>
      </w:r>
      <w:proofErr w:type="spellStart"/>
      <w:r>
        <w:rPr>
          <w:rFonts w:ascii="Arial Narrow" w:hAnsi="Arial Narrow"/>
          <w:sz w:val="24"/>
          <w:szCs w:val="24"/>
          <w:lang w:val="en-GB" w:eastAsia="en-GB"/>
        </w:rPr>
        <w:t>proces</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pripreme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srednjoročnog</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godišnjeg</w:t>
      </w:r>
      <w:proofErr w:type="spellEnd"/>
      <w:r>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rograma</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rada</w:t>
      </w:r>
      <w:proofErr w:type="spellEnd"/>
      <w:r w:rsidRPr="00900492">
        <w:rPr>
          <w:rFonts w:ascii="Arial Narrow" w:hAnsi="Arial Narrow"/>
          <w:sz w:val="24"/>
          <w:szCs w:val="24"/>
          <w:lang w:val="en-GB" w:eastAsia="en-GB"/>
        </w:rPr>
        <w:t xml:space="preserve"> Vlade,</w:t>
      </w:r>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biće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uključena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šira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javnost</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će</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svojim</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predlozima</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i</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sugestijama</w:t>
      </w:r>
      <w:proofErr w:type="spellEnd"/>
      <w:r w:rsidRPr="00900492">
        <w:rPr>
          <w:rFonts w:ascii="Arial Narrow" w:hAnsi="Arial Narrow"/>
          <w:sz w:val="24"/>
          <w:szCs w:val="24"/>
          <w:lang w:val="en-GB" w:eastAsia="en-GB"/>
        </w:rPr>
        <w:t xml:space="preserve"> </w:t>
      </w:r>
      <w:proofErr w:type="spellStart"/>
      <w:r>
        <w:rPr>
          <w:rFonts w:ascii="Arial Narrow" w:hAnsi="Arial Narrow"/>
          <w:sz w:val="24"/>
          <w:szCs w:val="24"/>
          <w:lang w:val="en-GB" w:eastAsia="en-GB"/>
        </w:rPr>
        <w:t>značajno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doprinijeti</w:t>
      </w:r>
      <w:proofErr w:type="spellEnd"/>
      <w:r>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unapre</w:t>
      </w:r>
      <w:r>
        <w:rPr>
          <w:rFonts w:ascii="Arial Narrow" w:hAnsi="Arial Narrow"/>
          <w:sz w:val="24"/>
          <w:szCs w:val="24"/>
          <w:lang w:val="en-GB" w:eastAsia="en-GB"/>
        </w:rPr>
        <w:t>đenju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kvaliteta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ovoga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dokumenta</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i</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utvrđivanju</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budućeg</w:t>
      </w:r>
      <w:proofErr w:type="spellEnd"/>
      <w:r w:rsidRPr="00900492">
        <w:rPr>
          <w:rFonts w:ascii="Arial Narrow" w:hAnsi="Arial Narrow"/>
          <w:sz w:val="24"/>
          <w:szCs w:val="24"/>
          <w:lang w:val="en-GB" w:eastAsia="en-GB"/>
        </w:rPr>
        <w:t xml:space="preserve"> </w:t>
      </w:r>
      <w:proofErr w:type="spellStart"/>
      <w:r w:rsidRPr="00900492">
        <w:rPr>
          <w:rFonts w:ascii="Arial Narrow" w:hAnsi="Arial Narrow"/>
          <w:sz w:val="24"/>
          <w:szCs w:val="24"/>
          <w:lang w:val="en-GB" w:eastAsia="en-GB"/>
        </w:rPr>
        <w:t>djelovanja</w:t>
      </w:r>
      <w:proofErr w:type="spellEnd"/>
      <w:r w:rsidRPr="00900492">
        <w:rPr>
          <w:rFonts w:ascii="Arial Narrow" w:hAnsi="Arial Narrow"/>
          <w:sz w:val="24"/>
          <w:szCs w:val="24"/>
          <w:lang w:val="en-GB" w:eastAsia="en-GB"/>
        </w:rPr>
        <w:t xml:space="preserve"> Vlade. </w:t>
      </w:r>
    </w:p>
    <w:p w14:paraId="509353AC" w14:textId="77777777" w:rsidR="007019AC" w:rsidRPr="004D4BDF" w:rsidRDefault="007019AC" w:rsidP="007019AC">
      <w:pPr>
        <w:rPr>
          <w:rFonts w:ascii="Arial Narrow" w:hAnsi="Arial Narrow"/>
          <w:sz w:val="24"/>
          <w:szCs w:val="24"/>
          <w:lang w:val="en-GB" w:eastAsia="en-GB"/>
        </w:rPr>
      </w:pPr>
      <w:r>
        <w:rPr>
          <w:rFonts w:ascii="Arial Narrow" w:hAnsi="Arial Narrow"/>
          <w:sz w:val="24"/>
          <w:szCs w:val="24"/>
          <w:lang w:val="en-GB" w:eastAsia="en-GB"/>
        </w:rPr>
        <w:t xml:space="preserve">U </w:t>
      </w:r>
      <w:proofErr w:type="spellStart"/>
      <w:r>
        <w:rPr>
          <w:rFonts w:ascii="Arial Narrow" w:hAnsi="Arial Narrow"/>
          <w:sz w:val="24"/>
          <w:szCs w:val="24"/>
          <w:lang w:val="en-GB" w:eastAsia="en-GB"/>
        </w:rPr>
        <w:t>proteklom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periodu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ostvareni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značajni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rezultati</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različitim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oblastima</w:t>
      </w:r>
      <w:proofErr w:type="spellEnd"/>
      <w:r>
        <w:rPr>
          <w:rFonts w:ascii="Arial Narrow" w:hAnsi="Arial Narrow"/>
          <w:sz w:val="24"/>
          <w:szCs w:val="24"/>
          <w:lang w:val="en-GB" w:eastAsia="en-GB"/>
        </w:rPr>
        <w:t xml:space="preserve">, pa </w:t>
      </w:r>
      <w:proofErr w:type="spellStart"/>
      <w:r>
        <w:rPr>
          <w:rFonts w:ascii="Arial Narrow" w:hAnsi="Arial Narrow"/>
          <w:sz w:val="24"/>
          <w:szCs w:val="24"/>
          <w:lang w:val="en-GB" w:eastAsia="en-GB"/>
        </w:rPr>
        <w:t>smo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uspjeli</w:t>
      </w:r>
      <w:proofErr w:type="spellEnd"/>
      <w:r>
        <w:rPr>
          <w:rFonts w:ascii="Arial Narrow" w:hAnsi="Arial Narrow"/>
          <w:sz w:val="24"/>
          <w:szCs w:val="24"/>
          <w:lang w:val="en-GB" w:eastAsia="en-GB"/>
        </w:rPr>
        <w:t xml:space="preserve"> da:</w:t>
      </w:r>
    </w:p>
    <w:p w14:paraId="3EFDBFAE" w14:textId="77777777" w:rsidR="007019AC" w:rsidRDefault="007019AC" w:rsidP="007019AC">
      <w:pPr>
        <w:pStyle w:val="ListParagraph"/>
        <w:numPr>
          <w:ilvl w:val="0"/>
          <w:numId w:val="5"/>
        </w:numPr>
        <w:jc w:val="both"/>
        <w:rPr>
          <w:rFonts w:ascii="Arial Narrow" w:hAnsi="Arial Narrow"/>
          <w:sz w:val="24"/>
          <w:szCs w:val="24"/>
          <w:lang w:val="en-GB" w:eastAsia="en-GB"/>
        </w:rPr>
      </w:pPr>
      <w:proofErr w:type="spellStart"/>
      <w:r w:rsidRPr="007019AC">
        <w:rPr>
          <w:rFonts w:ascii="Arial Narrow" w:hAnsi="Arial Narrow"/>
          <w:sz w:val="24"/>
          <w:szCs w:val="24"/>
          <w:lang w:val="en-GB" w:eastAsia="en-GB"/>
        </w:rPr>
        <w:t>Obezbijedimo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suzbijanje</w:t>
      </w:r>
      <w:proofErr w:type="spellEnd"/>
      <w:r w:rsidRPr="007019AC">
        <w:rPr>
          <w:rFonts w:ascii="Arial Narrow" w:hAnsi="Arial Narrow"/>
          <w:sz w:val="24"/>
          <w:szCs w:val="24"/>
          <w:lang w:val="en-GB" w:eastAsia="en-GB"/>
        </w:rPr>
        <w:t xml:space="preserve"> COVID </w:t>
      </w:r>
      <w:proofErr w:type="spellStart"/>
      <w:r w:rsidRPr="007019AC">
        <w:rPr>
          <w:rFonts w:ascii="Arial Narrow" w:hAnsi="Arial Narrow"/>
          <w:sz w:val="24"/>
          <w:szCs w:val="24"/>
          <w:lang w:val="en-GB" w:eastAsia="en-GB"/>
        </w:rPr>
        <w:t>pandemije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i</w:t>
      </w:r>
      <w:proofErr w:type="spellEnd"/>
      <w:r w:rsidRPr="007019AC">
        <w:rPr>
          <w:rFonts w:ascii="Arial Narrow" w:hAnsi="Arial Narrow"/>
          <w:sz w:val="24"/>
          <w:szCs w:val="24"/>
          <w:lang w:val="en-GB" w:eastAsia="en-GB"/>
        </w:rPr>
        <w:t xml:space="preserve"> da </w:t>
      </w:r>
      <w:proofErr w:type="spellStart"/>
      <w:r w:rsidRPr="007019AC">
        <w:rPr>
          <w:rFonts w:ascii="Arial Narrow" w:hAnsi="Arial Narrow"/>
          <w:sz w:val="24"/>
          <w:szCs w:val="24"/>
          <w:lang w:val="en-GB" w:eastAsia="en-GB"/>
        </w:rPr>
        <w:t>ljetnju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sezonu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uđemo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sa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malim</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brojem</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zaraženih</w:t>
      </w:r>
      <w:proofErr w:type="spellEnd"/>
      <w:r>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Omogućimo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vakcinisanje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značajnog</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dijela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populacije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i</w:t>
      </w:r>
      <w:proofErr w:type="spellEnd"/>
      <w:r w:rsidRPr="007019AC">
        <w:rPr>
          <w:rFonts w:ascii="Arial Narrow" w:hAnsi="Arial Narrow"/>
          <w:sz w:val="24"/>
          <w:szCs w:val="24"/>
          <w:lang w:val="en-GB" w:eastAsia="en-GB"/>
        </w:rPr>
        <w:t xml:space="preserve"> time </w:t>
      </w:r>
      <w:proofErr w:type="spellStart"/>
      <w:r w:rsidRPr="007019AC">
        <w:rPr>
          <w:rFonts w:ascii="Arial Narrow" w:hAnsi="Arial Narrow"/>
          <w:sz w:val="24"/>
          <w:szCs w:val="24"/>
          <w:lang w:val="en-GB" w:eastAsia="en-GB"/>
        </w:rPr>
        <w:t>stvorimo</w:t>
      </w:r>
      <w:proofErr w:type="spellEnd"/>
      <w:r>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preduslove</w:t>
      </w:r>
      <w:proofErr w:type="spellEnd"/>
      <w:r w:rsidRPr="007019AC">
        <w:rPr>
          <w:rFonts w:ascii="Arial Narrow" w:hAnsi="Arial Narrow"/>
          <w:sz w:val="24"/>
          <w:szCs w:val="24"/>
          <w:lang w:val="en-GB" w:eastAsia="en-GB"/>
        </w:rPr>
        <w:t xml:space="preserve"> za</w:t>
      </w:r>
      <w:r>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dugoročno</w:t>
      </w:r>
      <w:proofErr w:type="spellEnd"/>
      <w:r>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stabilnom</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situacijom</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kada</w:t>
      </w:r>
      <w:proofErr w:type="spellEnd"/>
      <w:r w:rsidRPr="007019AC">
        <w:rPr>
          <w:rFonts w:ascii="Arial Narrow" w:hAnsi="Arial Narrow"/>
          <w:sz w:val="24"/>
          <w:szCs w:val="24"/>
          <w:lang w:val="en-GB" w:eastAsia="en-GB"/>
        </w:rPr>
        <w:t xml:space="preserve"> je u </w:t>
      </w:r>
      <w:proofErr w:type="spellStart"/>
      <w:r w:rsidRPr="007019AC">
        <w:rPr>
          <w:rFonts w:ascii="Arial Narrow" w:hAnsi="Arial Narrow"/>
          <w:sz w:val="24"/>
          <w:szCs w:val="24"/>
          <w:lang w:val="en-GB" w:eastAsia="en-GB"/>
        </w:rPr>
        <w:t>pitanju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prisutnost</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ove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bolesti</w:t>
      </w:r>
      <w:proofErr w:type="spellEnd"/>
      <w:r w:rsidRPr="007019AC">
        <w:rPr>
          <w:rFonts w:ascii="Arial Narrow" w:hAnsi="Arial Narrow"/>
          <w:sz w:val="24"/>
          <w:szCs w:val="24"/>
          <w:lang w:val="en-GB" w:eastAsia="en-GB"/>
        </w:rPr>
        <w:t>.</w:t>
      </w:r>
      <w:r>
        <w:rPr>
          <w:rFonts w:ascii="Arial Narrow" w:hAnsi="Arial Narrow"/>
          <w:sz w:val="24"/>
          <w:szCs w:val="24"/>
          <w:lang w:val="en-GB" w:eastAsia="en-GB"/>
        </w:rPr>
        <w:t xml:space="preserve"> </w:t>
      </w:r>
      <w:r w:rsidRPr="00151F4E">
        <w:rPr>
          <w:rFonts w:ascii="Arial Narrow" w:hAnsi="Arial Narrow"/>
          <w:sz w:val="24"/>
          <w:szCs w:val="24"/>
        </w:rPr>
        <w:t xml:space="preserve">Masovna imunizacija je počela 4. maja, a </w:t>
      </w:r>
      <w:r w:rsidRPr="00151F4E">
        <w:rPr>
          <w:rFonts w:ascii="Arial Narrow" w:hAnsi="Arial Narrow"/>
          <w:b/>
          <w:bCs/>
          <w:sz w:val="24"/>
          <w:szCs w:val="24"/>
        </w:rPr>
        <w:t xml:space="preserve">do </w:t>
      </w:r>
      <w:r>
        <w:rPr>
          <w:rFonts w:ascii="Arial Narrow" w:hAnsi="Arial Narrow"/>
          <w:b/>
          <w:bCs/>
          <w:sz w:val="24"/>
          <w:szCs w:val="24"/>
        </w:rPr>
        <w:t xml:space="preserve">1. decembra </w:t>
      </w:r>
      <w:r w:rsidRPr="00151F4E">
        <w:rPr>
          <w:rFonts w:ascii="Arial Narrow" w:hAnsi="Arial Narrow"/>
          <w:b/>
          <w:bCs/>
          <w:sz w:val="24"/>
          <w:szCs w:val="24"/>
        </w:rPr>
        <w:t>2021, prvu dozu vakcine protiv COVID-19 je primil</w:t>
      </w:r>
      <w:r>
        <w:rPr>
          <w:rFonts w:ascii="Arial Narrow" w:hAnsi="Arial Narrow"/>
          <w:b/>
          <w:bCs/>
          <w:sz w:val="24"/>
          <w:szCs w:val="24"/>
        </w:rPr>
        <w:t xml:space="preserve">o 275.632, </w:t>
      </w:r>
      <w:r w:rsidRPr="00151F4E">
        <w:rPr>
          <w:rFonts w:ascii="Arial Narrow" w:hAnsi="Arial Narrow"/>
          <w:b/>
          <w:bCs/>
          <w:sz w:val="24"/>
          <w:szCs w:val="24"/>
        </w:rPr>
        <w:t xml:space="preserve">a drugu dozu </w:t>
      </w:r>
      <w:r>
        <w:rPr>
          <w:rFonts w:ascii="Arial Narrow" w:hAnsi="Arial Narrow"/>
          <w:b/>
          <w:bCs/>
          <w:sz w:val="24"/>
          <w:szCs w:val="24"/>
        </w:rPr>
        <w:t>257.284 odraslih u C</w:t>
      </w:r>
      <w:r w:rsidRPr="00151F4E">
        <w:rPr>
          <w:rFonts w:ascii="Arial Narrow" w:hAnsi="Arial Narrow"/>
          <w:b/>
          <w:bCs/>
          <w:sz w:val="24"/>
          <w:szCs w:val="24"/>
        </w:rPr>
        <w:t>rnoj Gori</w:t>
      </w:r>
      <w:r w:rsidRPr="00151F4E">
        <w:rPr>
          <w:rFonts w:ascii="Arial Narrow" w:hAnsi="Arial Narrow"/>
          <w:sz w:val="24"/>
          <w:szCs w:val="24"/>
        </w:rPr>
        <w:t>.</w:t>
      </w:r>
      <w:r>
        <w:rPr>
          <w:rFonts w:ascii="Arial Narrow" w:hAnsi="Arial Narrow"/>
          <w:sz w:val="24"/>
          <w:szCs w:val="24"/>
        </w:rPr>
        <w:t xml:space="preserve"> </w:t>
      </w:r>
      <w:r w:rsidRPr="00F24EC5">
        <w:rPr>
          <w:rFonts w:ascii="Arial Narrow" w:hAnsi="Arial Narrow"/>
          <w:b/>
          <w:bCs/>
          <w:sz w:val="24"/>
          <w:szCs w:val="24"/>
        </w:rPr>
        <w:t>Treću dozu vakcine primilo je 49.226 odraslih građana</w:t>
      </w:r>
      <w:r>
        <w:rPr>
          <w:rFonts w:ascii="Arial Narrow" w:hAnsi="Arial Narrow"/>
          <w:b/>
          <w:bCs/>
          <w:sz w:val="24"/>
          <w:szCs w:val="24"/>
        </w:rPr>
        <w:t>.</w:t>
      </w:r>
    </w:p>
    <w:p w14:paraId="27AF5A04" w14:textId="77777777" w:rsidR="007019AC" w:rsidRPr="007019AC" w:rsidRDefault="007019AC" w:rsidP="007019AC">
      <w:pPr>
        <w:pStyle w:val="ListParagraph"/>
        <w:numPr>
          <w:ilvl w:val="0"/>
          <w:numId w:val="5"/>
        </w:numPr>
        <w:jc w:val="both"/>
        <w:rPr>
          <w:rFonts w:ascii="Arial Narrow" w:hAnsi="Arial Narrow"/>
          <w:sz w:val="24"/>
          <w:szCs w:val="24"/>
          <w:lang w:val="en-GB" w:eastAsia="en-GB"/>
        </w:rPr>
      </w:pPr>
      <w:proofErr w:type="spellStart"/>
      <w:r w:rsidRPr="007019AC">
        <w:rPr>
          <w:rFonts w:ascii="Arial Narrow" w:hAnsi="Arial Narrow"/>
          <w:sz w:val="24"/>
          <w:szCs w:val="24"/>
          <w:lang w:val="en-GB" w:eastAsia="en-GB"/>
        </w:rPr>
        <w:t>Osiguramo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finansijsku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stabilnost</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države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emitovanjem</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obveznica</w:t>
      </w:r>
      <w:proofErr w:type="spellEnd"/>
      <w:r w:rsidRPr="007019AC">
        <w:rPr>
          <w:rFonts w:ascii="Arial Narrow" w:hAnsi="Arial Narrow"/>
          <w:sz w:val="24"/>
          <w:szCs w:val="24"/>
          <w:lang w:val="en-GB" w:eastAsia="en-GB"/>
        </w:rPr>
        <w:t xml:space="preserve"> po </w:t>
      </w:r>
      <w:proofErr w:type="spellStart"/>
      <w:r w:rsidRPr="007019AC">
        <w:rPr>
          <w:rFonts w:ascii="Arial Narrow" w:hAnsi="Arial Narrow"/>
          <w:sz w:val="24"/>
          <w:szCs w:val="24"/>
          <w:lang w:val="en-GB" w:eastAsia="en-GB"/>
        </w:rPr>
        <w:t>povoljnim</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uslovima</w:t>
      </w:r>
      <w:proofErr w:type="spellEnd"/>
      <w:r w:rsidRPr="007019AC">
        <w:rPr>
          <w:rFonts w:ascii="Arial Narrow" w:hAnsi="Arial Narrow"/>
          <w:sz w:val="24"/>
          <w:szCs w:val="24"/>
          <w:lang w:val="en-GB" w:eastAsia="en-GB"/>
        </w:rPr>
        <w:t>,</w:t>
      </w:r>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sidRPr="007019AC">
        <w:rPr>
          <w:rFonts w:ascii="Arial Narrow" w:hAnsi="Arial Narrow"/>
          <w:sz w:val="24"/>
          <w:szCs w:val="24"/>
          <w:lang w:val="en-GB" w:eastAsia="en-GB"/>
        </w:rPr>
        <w:t xml:space="preserve"> time </w:t>
      </w:r>
      <w:proofErr w:type="spellStart"/>
      <w:r w:rsidRPr="007019AC">
        <w:rPr>
          <w:rFonts w:ascii="Arial Narrow" w:hAnsi="Arial Narrow"/>
          <w:sz w:val="24"/>
          <w:szCs w:val="24"/>
          <w:lang w:val="en-GB" w:eastAsia="en-GB"/>
        </w:rPr>
        <w:t>izbjegnempo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bankrot</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javnih</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finansija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omogućimo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servisiranje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zatečenih</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kreditnih</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obaveza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Pripremimo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predlog</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budežta</w:t>
      </w:r>
      <w:proofErr w:type="spellEnd"/>
      <w:r>
        <w:rPr>
          <w:rFonts w:ascii="Arial Narrow" w:hAnsi="Arial Narrow"/>
          <w:sz w:val="24"/>
          <w:szCs w:val="24"/>
          <w:lang w:val="en-GB" w:eastAsia="en-GB"/>
        </w:rPr>
        <w:t xml:space="preserve"> za 2022. </w:t>
      </w:r>
      <w:proofErr w:type="spellStart"/>
      <w:r>
        <w:rPr>
          <w:rFonts w:ascii="Arial Narrow" w:hAnsi="Arial Narrow"/>
          <w:sz w:val="24"/>
          <w:szCs w:val="24"/>
          <w:lang w:val="en-GB" w:eastAsia="en-GB"/>
        </w:rPr>
        <w:t>godinu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Fiskalnu</w:t>
      </w:r>
      <w:proofErr w:type="spellEnd"/>
      <w:r>
        <w:rPr>
          <w:rFonts w:ascii="Arial Narrow" w:hAnsi="Arial Narrow"/>
          <w:sz w:val="24"/>
          <w:szCs w:val="24"/>
          <w:lang w:val="en-GB" w:eastAsia="en-GB"/>
        </w:rPr>
        <w:t xml:space="preserve"> </w:t>
      </w:r>
      <w:proofErr w:type="spellStart"/>
      <w:r w:rsidR="005E2B4E">
        <w:rPr>
          <w:rFonts w:ascii="Arial Narrow" w:hAnsi="Arial Narrow"/>
          <w:sz w:val="24"/>
          <w:szCs w:val="24"/>
          <w:lang w:val="en-GB" w:eastAsia="en-GB"/>
        </w:rPr>
        <w:t>startegiju</w:t>
      </w:r>
      <w:proofErr w:type="spellEnd"/>
      <w:r w:rsidR="005E2B4E">
        <w:rPr>
          <w:rFonts w:ascii="Arial Narrow" w:hAnsi="Arial Narrow"/>
          <w:sz w:val="24"/>
          <w:szCs w:val="24"/>
          <w:lang w:val="en-GB" w:eastAsia="en-GB"/>
        </w:rPr>
        <w:t xml:space="preserve"> 2021-2024.</w:t>
      </w:r>
    </w:p>
    <w:p w14:paraId="0D1D2333" w14:textId="77777777" w:rsidR="005E2B4E" w:rsidRPr="005E2B4E" w:rsidRDefault="007019AC" w:rsidP="005E2B4E">
      <w:pPr>
        <w:pStyle w:val="ListParagraph"/>
        <w:numPr>
          <w:ilvl w:val="0"/>
          <w:numId w:val="4"/>
        </w:numPr>
        <w:jc w:val="both"/>
        <w:rPr>
          <w:rFonts w:ascii="Arial Narrow" w:hAnsi="Arial Narrow"/>
          <w:sz w:val="24"/>
          <w:szCs w:val="24"/>
          <w:lang w:val="en-GB" w:eastAsia="en-GB"/>
        </w:rPr>
      </w:pPr>
      <w:proofErr w:type="spellStart"/>
      <w:r w:rsidRPr="007019AC">
        <w:rPr>
          <w:rFonts w:ascii="Arial Narrow" w:hAnsi="Arial Narrow"/>
          <w:sz w:val="24"/>
          <w:szCs w:val="24"/>
          <w:lang w:val="en-GB" w:eastAsia="en-GB"/>
        </w:rPr>
        <w:t>Realizujemo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dva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paketa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ekonomske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pomoći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građanima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privredi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uslijed</w:t>
      </w:r>
      <w:proofErr w:type="spellEnd"/>
      <w:r w:rsidRPr="007019AC">
        <w:rPr>
          <w:rFonts w:ascii="Arial Narrow" w:hAnsi="Arial Narrow"/>
          <w:sz w:val="24"/>
          <w:szCs w:val="24"/>
          <w:lang w:val="en-GB" w:eastAsia="en-GB"/>
        </w:rPr>
        <w:t xml:space="preserve"> COVID </w:t>
      </w:r>
      <w:proofErr w:type="spellStart"/>
      <w:r w:rsidRPr="007019AC">
        <w:rPr>
          <w:rFonts w:ascii="Arial Narrow" w:hAnsi="Arial Narrow"/>
          <w:sz w:val="24"/>
          <w:szCs w:val="24"/>
          <w:lang w:val="en-GB" w:eastAsia="en-GB"/>
        </w:rPr>
        <w:t>pandemije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ukupne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vrijednosti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od</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preko</w:t>
      </w:r>
      <w:proofErr w:type="spellEnd"/>
      <w:r w:rsidRPr="007019AC">
        <w:rPr>
          <w:rFonts w:ascii="Arial Narrow" w:hAnsi="Arial Narrow"/>
          <w:sz w:val="24"/>
          <w:szCs w:val="24"/>
          <w:lang w:val="en-GB" w:eastAsia="en-GB"/>
        </w:rPr>
        <w:t xml:space="preserve"> </w:t>
      </w:r>
      <w:r w:rsidRPr="007019AC">
        <w:rPr>
          <w:rFonts w:ascii="Arial Narrow" w:hAnsi="Arial Narrow"/>
          <w:b/>
          <w:sz w:val="24"/>
          <w:szCs w:val="24"/>
          <w:lang w:val="en-GB" w:eastAsia="en-GB"/>
        </w:rPr>
        <w:t xml:space="preserve">300 </w:t>
      </w:r>
      <w:proofErr w:type="spellStart"/>
      <w:r w:rsidRPr="007019AC">
        <w:rPr>
          <w:rFonts w:ascii="Arial Narrow" w:hAnsi="Arial Narrow"/>
          <w:b/>
          <w:sz w:val="24"/>
          <w:szCs w:val="24"/>
          <w:lang w:val="en-GB" w:eastAsia="en-GB"/>
        </w:rPr>
        <w:t>miliona</w:t>
      </w:r>
      <w:proofErr w:type="spellEnd"/>
      <w:r w:rsidRPr="007019AC">
        <w:rPr>
          <w:rFonts w:ascii="Arial Narrow" w:hAnsi="Arial Narrow"/>
          <w:b/>
          <w:sz w:val="24"/>
          <w:szCs w:val="24"/>
          <w:lang w:val="en-GB" w:eastAsia="en-GB"/>
        </w:rPr>
        <w:t xml:space="preserve"> EUR</w:t>
      </w:r>
      <w:r>
        <w:rPr>
          <w:rFonts w:ascii="Arial Narrow" w:hAnsi="Arial Narrow"/>
          <w:b/>
          <w:sz w:val="24"/>
          <w:szCs w:val="24"/>
          <w:lang w:val="en-GB" w:eastAsia="en-GB"/>
        </w:rPr>
        <w:t>.</w:t>
      </w:r>
    </w:p>
    <w:p w14:paraId="31DC038A" w14:textId="77777777" w:rsidR="005E2B4E" w:rsidRDefault="007019AC" w:rsidP="005E2B4E">
      <w:pPr>
        <w:pStyle w:val="ListParagraph"/>
        <w:numPr>
          <w:ilvl w:val="0"/>
          <w:numId w:val="4"/>
        </w:numPr>
        <w:jc w:val="both"/>
        <w:rPr>
          <w:rFonts w:ascii="Arial Narrow" w:hAnsi="Arial Narrow"/>
          <w:sz w:val="24"/>
          <w:szCs w:val="24"/>
          <w:lang w:val="en-GB" w:eastAsia="en-GB"/>
        </w:rPr>
      </w:pPr>
      <w:proofErr w:type="spellStart"/>
      <w:r w:rsidRPr="005E2B4E">
        <w:rPr>
          <w:rFonts w:ascii="Arial Narrow" w:hAnsi="Arial Narrow"/>
          <w:sz w:val="24"/>
          <w:szCs w:val="24"/>
          <w:lang w:val="en-GB" w:eastAsia="en-GB"/>
        </w:rPr>
        <w:t>Uvedemo</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dječji</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dodatak</w:t>
      </w:r>
      <w:proofErr w:type="spellEnd"/>
      <w:r w:rsidRPr="005E2B4E">
        <w:rPr>
          <w:rFonts w:ascii="Arial Narrow" w:hAnsi="Arial Narrow"/>
          <w:sz w:val="24"/>
          <w:szCs w:val="24"/>
          <w:lang w:val="en-GB" w:eastAsia="en-GB"/>
        </w:rPr>
        <w:t xml:space="preserve"> za </w:t>
      </w:r>
      <w:proofErr w:type="spellStart"/>
      <w:r w:rsidRPr="005E2B4E">
        <w:rPr>
          <w:rFonts w:ascii="Arial Narrow" w:hAnsi="Arial Narrow"/>
          <w:sz w:val="24"/>
          <w:szCs w:val="24"/>
          <w:lang w:val="en-GB" w:eastAsia="en-GB"/>
        </w:rPr>
        <w:t>svu</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djecu</w:t>
      </w:r>
      <w:proofErr w:type="spellEnd"/>
      <w:r w:rsidRPr="005E2B4E">
        <w:rPr>
          <w:rFonts w:ascii="Arial Narrow" w:hAnsi="Arial Narrow"/>
          <w:sz w:val="24"/>
          <w:szCs w:val="24"/>
          <w:lang w:val="en-GB" w:eastAsia="en-GB"/>
        </w:rPr>
        <w:t xml:space="preserve"> do </w:t>
      </w:r>
      <w:proofErr w:type="spellStart"/>
      <w:r w:rsidRPr="005E2B4E">
        <w:rPr>
          <w:rFonts w:ascii="Arial Narrow" w:hAnsi="Arial Narrow"/>
          <w:sz w:val="24"/>
          <w:szCs w:val="24"/>
          <w:lang w:val="en-GB" w:eastAsia="en-GB"/>
        </w:rPr>
        <w:t>navršene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šeste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godine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Djeca</w:t>
      </w:r>
      <w:proofErr w:type="spellEnd"/>
      <w:r w:rsidRPr="005E2B4E">
        <w:rPr>
          <w:rFonts w:ascii="Arial Narrow" w:hAnsi="Arial Narrow"/>
          <w:sz w:val="24"/>
          <w:szCs w:val="24"/>
          <w:lang w:val="en-GB" w:eastAsia="en-GB"/>
        </w:rPr>
        <w:t xml:space="preserve"> u </w:t>
      </w:r>
      <w:proofErr w:type="spellStart"/>
      <w:r w:rsidRPr="005E2B4E">
        <w:rPr>
          <w:rFonts w:ascii="Arial Narrow" w:hAnsi="Arial Narrow"/>
          <w:sz w:val="24"/>
          <w:szCs w:val="24"/>
          <w:lang w:val="en-GB" w:eastAsia="en-GB"/>
        </w:rPr>
        <w:t>stanju</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materijalnih</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i</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drugih</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potreba</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će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primati</w:t>
      </w:r>
      <w:proofErr w:type="spellEnd"/>
      <w:r w:rsidRPr="005E2B4E">
        <w:rPr>
          <w:rFonts w:ascii="Arial Narrow" w:hAnsi="Arial Narrow"/>
          <w:sz w:val="24"/>
          <w:szCs w:val="24"/>
          <w:lang w:val="en-GB" w:eastAsia="en-GB"/>
        </w:rPr>
        <w:t xml:space="preserve"> od 44 EUR do 60 EUR (</w:t>
      </w:r>
      <w:proofErr w:type="spellStart"/>
      <w:r w:rsidRPr="005E2B4E">
        <w:rPr>
          <w:rFonts w:ascii="Arial Narrow" w:hAnsi="Arial Narrow"/>
          <w:sz w:val="24"/>
          <w:szCs w:val="24"/>
          <w:lang w:val="en-GB" w:eastAsia="en-GB"/>
        </w:rPr>
        <w:t>što</w:t>
      </w:r>
      <w:proofErr w:type="spellEnd"/>
      <w:r w:rsidRPr="005E2B4E">
        <w:rPr>
          <w:rFonts w:ascii="Arial Narrow" w:hAnsi="Arial Narrow"/>
          <w:sz w:val="24"/>
          <w:szCs w:val="24"/>
          <w:lang w:val="en-GB" w:eastAsia="en-GB"/>
        </w:rPr>
        <w:t xml:space="preserve"> je </w:t>
      </w:r>
      <w:proofErr w:type="spellStart"/>
      <w:r w:rsidRPr="005E2B4E">
        <w:rPr>
          <w:rFonts w:ascii="Arial Narrow" w:hAnsi="Arial Narrow"/>
          <w:sz w:val="24"/>
          <w:szCs w:val="24"/>
          <w:lang w:val="en-GB" w:eastAsia="en-GB"/>
        </w:rPr>
        <w:t>značajno</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povećanje</w:t>
      </w:r>
      <w:proofErr w:type="spellEnd"/>
      <w:r w:rsidRPr="005E2B4E">
        <w:rPr>
          <w:rFonts w:ascii="Arial Narrow" w:hAnsi="Arial Narrow"/>
          <w:sz w:val="24"/>
          <w:szCs w:val="24"/>
          <w:lang w:val="en-GB" w:eastAsia="en-GB"/>
        </w:rPr>
        <w:t xml:space="preserve"> u </w:t>
      </w:r>
      <w:proofErr w:type="spellStart"/>
      <w:r w:rsidRPr="005E2B4E">
        <w:rPr>
          <w:rFonts w:ascii="Arial Narrow" w:hAnsi="Arial Narrow"/>
          <w:sz w:val="24"/>
          <w:szCs w:val="24"/>
          <w:lang w:val="en-GB" w:eastAsia="en-GB"/>
        </w:rPr>
        <w:t>odnosu</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na</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trenutno</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stanje</w:t>
      </w:r>
      <w:proofErr w:type="spellEnd"/>
      <w:r w:rsidRPr="005E2B4E">
        <w:rPr>
          <w:rFonts w:ascii="Arial Narrow" w:hAnsi="Arial Narrow"/>
          <w:sz w:val="24"/>
          <w:szCs w:val="24"/>
          <w:lang w:val="en-GB" w:eastAsia="en-GB"/>
        </w:rPr>
        <w:t>)</w:t>
      </w:r>
      <w:r w:rsidR="005E2B4E">
        <w:rPr>
          <w:rFonts w:ascii="Arial Narrow" w:hAnsi="Arial Narrow"/>
          <w:sz w:val="24"/>
          <w:szCs w:val="24"/>
          <w:lang w:val="en-GB" w:eastAsia="en-GB"/>
        </w:rPr>
        <w:t>.</w:t>
      </w:r>
    </w:p>
    <w:p w14:paraId="60809ED2" w14:textId="77777777" w:rsidR="007019AC" w:rsidRPr="005E2B4E" w:rsidRDefault="007019AC" w:rsidP="007019AC">
      <w:pPr>
        <w:pStyle w:val="ListParagraph"/>
        <w:numPr>
          <w:ilvl w:val="0"/>
          <w:numId w:val="4"/>
        </w:numPr>
        <w:jc w:val="both"/>
        <w:rPr>
          <w:rFonts w:ascii="Arial Narrow" w:hAnsi="Arial Narrow"/>
          <w:sz w:val="24"/>
          <w:szCs w:val="24"/>
          <w:lang w:val="en-GB" w:eastAsia="en-GB"/>
        </w:rPr>
      </w:pPr>
      <w:proofErr w:type="spellStart"/>
      <w:r w:rsidRPr="005E2B4E">
        <w:rPr>
          <w:rFonts w:ascii="Arial Narrow" w:hAnsi="Arial Narrow"/>
          <w:sz w:val="24"/>
          <w:szCs w:val="24"/>
          <w:lang w:val="en-GB" w:eastAsia="en-GB"/>
        </w:rPr>
        <w:t>Obezbijedimo</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besplatne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udžbenikeza</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sve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osnovce</w:t>
      </w:r>
      <w:proofErr w:type="spellEnd"/>
      <w:r w:rsidRPr="005E2B4E">
        <w:rPr>
          <w:rFonts w:ascii="Arial Narrow" w:hAnsi="Arial Narrow"/>
          <w:sz w:val="24"/>
          <w:szCs w:val="24"/>
          <w:lang w:val="en-GB" w:eastAsia="en-GB"/>
        </w:rPr>
        <w:t xml:space="preserve"> u </w:t>
      </w:r>
      <w:proofErr w:type="spellStart"/>
      <w:r w:rsidRPr="005E2B4E">
        <w:rPr>
          <w:rFonts w:ascii="Arial Narrow" w:hAnsi="Arial Narrow"/>
          <w:sz w:val="24"/>
          <w:szCs w:val="24"/>
          <w:lang w:val="en-GB" w:eastAsia="en-GB"/>
        </w:rPr>
        <w:t>Crnoj</w:t>
      </w:r>
      <w:proofErr w:type="spellEnd"/>
      <w:r w:rsidRPr="005E2B4E">
        <w:rPr>
          <w:rFonts w:ascii="Arial Narrow" w:hAnsi="Arial Narrow"/>
          <w:sz w:val="24"/>
          <w:szCs w:val="24"/>
          <w:lang w:val="en-GB" w:eastAsia="en-GB"/>
        </w:rPr>
        <w:t xml:space="preserve"> Gori</w:t>
      </w:r>
      <w:r w:rsidR="005E2B4E">
        <w:rPr>
          <w:rFonts w:ascii="Arial Narrow" w:hAnsi="Arial Narrow"/>
          <w:sz w:val="24"/>
          <w:szCs w:val="24"/>
          <w:lang w:val="en-GB" w:eastAsia="en-GB"/>
        </w:rPr>
        <w:t>.</w:t>
      </w:r>
    </w:p>
    <w:p w14:paraId="4159C863" w14:textId="77777777" w:rsidR="007019AC" w:rsidRPr="005E2B4E" w:rsidRDefault="007019AC" w:rsidP="007019AC">
      <w:pPr>
        <w:pStyle w:val="ListParagraph"/>
        <w:numPr>
          <w:ilvl w:val="0"/>
          <w:numId w:val="4"/>
        </w:numPr>
        <w:jc w:val="both"/>
        <w:rPr>
          <w:rFonts w:ascii="Arial Narrow" w:hAnsi="Arial Narrow"/>
          <w:sz w:val="24"/>
          <w:szCs w:val="24"/>
          <w:lang w:val="en-GB" w:eastAsia="en-GB"/>
        </w:rPr>
      </w:pPr>
      <w:proofErr w:type="spellStart"/>
      <w:r w:rsidRPr="007019AC">
        <w:rPr>
          <w:rFonts w:ascii="Arial Narrow" w:hAnsi="Arial Narrow"/>
          <w:sz w:val="24"/>
          <w:szCs w:val="24"/>
          <w:lang w:val="en-GB" w:eastAsia="en-GB"/>
        </w:rPr>
        <w:t>Povećamo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minimalnu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zaradu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sa</w:t>
      </w:r>
      <w:proofErr w:type="spellEnd"/>
      <w:r w:rsidRPr="007019AC">
        <w:rPr>
          <w:rFonts w:ascii="Arial Narrow" w:hAnsi="Arial Narrow"/>
          <w:sz w:val="24"/>
          <w:szCs w:val="24"/>
          <w:lang w:val="en-GB" w:eastAsia="en-GB"/>
        </w:rPr>
        <w:t xml:space="preserve"> </w:t>
      </w:r>
      <w:r w:rsidRPr="007019AC">
        <w:rPr>
          <w:rFonts w:ascii="Arial Narrow" w:hAnsi="Arial Narrow"/>
          <w:b/>
          <w:sz w:val="24"/>
          <w:szCs w:val="24"/>
          <w:lang w:val="en-GB" w:eastAsia="en-GB"/>
        </w:rPr>
        <w:t xml:space="preserve">222 </w:t>
      </w:r>
      <w:proofErr w:type="spellStart"/>
      <w:r w:rsidRPr="007019AC">
        <w:rPr>
          <w:rFonts w:ascii="Arial Narrow" w:hAnsi="Arial Narrow"/>
          <w:b/>
          <w:sz w:val="24"/>
          <w:szCs w:val="24"/>
          <w:lang w:val="en-GB" w:eastAsia="en-GB"/>
        </w:rPr>
        <w:t>na</w:t>
      </w:r>
      <w:proofErr w:type="spellEnd"/>
      <w:r w:rsidRPr="007019AC">
        <w:rPr>
          <w:rFonts w:ascii="Arial Narrow" w:hAnsi="Arial Narrow"/>
          <w:b/>
          <w:sz w:val="24"/>
          <w:szCs w:val="24"/>
          <w:lang w:val="en-GB" w:eastAsia="en-GB"/>
        </w:rPr>
        <w:t xml:space="preserve"> 250 EUR</w:t>
      </w:r>
      <w:r w:rsidR="005E2B4E">
        <w:rPr>
          <w:rFonts w:ascii="Arial Narrow" w:hAnsi="Arial Narrow"/>
          <w:sz w:val="24"/>
          <w:szCs w:val="24"/>
          <w:lang w:val="en-GB" w:eastAsia="en-GB"/>
        </w:rPr>
        <w:t>.</w:t>
      </w:r>
    </w:p>
    <w:p w14:paraId="2C695F99" w14:textId="77777777" w:rsidR="007019AC" w:rsidRPr="007019AC" w:rsidRDefault="007019AC" w:rsidP="007019AC">
      <w:pPr>
        <w:pStyle w:val="ListParagraph"/>
        <w:numPr>
          <w:ilvl w:val="0"/>
          <w:numId w:val="4"/>
        </w:numPr>
        <w:jc w:val="both"/>
        <w:rPr>
          <w:rFonts w:ascii="Arial Narrow" w:hAnsi="Arial Narrow"/>
          <w:sz w:val="24"/>
          <w:szCs w:val="24"/>
          <w:lang w:val="en-GB" w:eastAsia="en-GB"/>
        </w:rPr>
      </w:pPr>
      <w:proofErr w:type="spellStart"/>
      <w:r w:rsidRPr="007019AC">
        <w:rPr>
          <w:rFonts w:ascii="Arial Narrow" w:hAnsi="Arial Narrow"/>
          <w:sz w:val="24"/>
          <w:szCs w:val="24"/>
          <w:lang w:val="en-GB" w:eastAsia="en-GB"/>
        </w:rPr>
        <w:t>Osnujemo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nacionalnu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avio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kompaniu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kupimo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dva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aviona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koja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predstavljaju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vlasništvo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države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Crne</w:t>
      </w:r>
      <w:proofErr w:type="spellEnd"/>
      <w:r w:rsidRPr="007019AC">
        <w:rPr>
          <w:rFonts w:ascii="Arial Narrow" w:hAnsi="Arial Narrow"/>
          <w:sz w:val="24"/>
          <w:szCs w:val="24"/>
          <w:lang w:val="en-GB" w:eastAsia="en-GB"/>
        </w:rPr>
        <w:t xml:space="preserve"> Gore</w:t>
      </w:r>
      <w:r w:rsidR="005E2B4E">
        <w:rPr>
          <w:rFonts w:ascii="Arial Narrow" w:hAnsi="Arial Narrow"/>
          <w:sz w:val="24"/>
          <w:szCs w:val="24"/>
          <w:lang w:val="en-GB" w:eastAsia="en-GB"/>
        </w:rPr>
        <w:t>.</w:t>
      </w:r>
    </w:p>
    <w:p w14:paraId="61853E0E" w14:textId="77777777" w:rsidR="007019AC" w:rsidRPr="004D4BDF" w:rsidRDefault="007019AC" w:rsidP="007019AC">
      <w:pPr>
        <w:jc w:val="both"/>
        <w:rPr>
          <w:rFonts w:ascii="Arial Narrow" w:hAnsi="Arial Narrow"/>
          <w:sz w:val="24"/>
          <w:szCs w:val="24"/>
          <w:lang w:val="en-GB" w:eastAsia="en-GB"/>
        </w:rPr>
      </w:pPr>
    </w:p>
    <w:p w14:paraId="4FAA983F" w14:textId="77777777" w:rsidR="007019AC" w:rsidRPr="005E2B4E" w:rsidRDefault="007019AC" w:rsidP="007019AC">
      <w:pPr>
        <w:pStyle w:val="ListParagraph"/>
        <w:numPr>
          <w:ilvl w:val="0"/>
          <w:numId w:val="4"/>
        </w:numPr>
        <w:jc w:val="both"/>
        <w:rPr>
          <w:rFonts w:ascii="Arial Narrow" w:hAnsi="Arial Narrow"/>
          <w:sz w:val="24"/>
          <w:szCs w:val="24"/>
          <w:lang w:val="en-GB" w:eastAsia="en-GB"/>
        </w:rPr>
      </w:pPr>
      <w:proofErr w:type="spellStart"/>
      <w:r w:rsidRPr="007019AC">
        <w:rPr>
          <w:rFonts w:ascii="Arial Narrow" w:hAnsi="Arial Narrow"/>
          <w:sz w:val="24"/>
          <w:szCs w:val="24"/>
          <w:lang w:val="en-GB" w:eastAsia="en-GB"/>
        </w:rPr>
        <w:lastRenderedPageBreak/>
        <w:t>Sprovodimo</w:t>
      </w:r>
      <w:proofErr w:type="spellEnd"/>
      <w:r w:rsidR="005E2B4E">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reforme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bezbjednosnog</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sektora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izvršimo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kadrovske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organizacione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promjene</w:t>
      </w:r>
      <w:proofErr w:type="spellEnd"/>
      <w:r w:rsidRPr="007019AC">
        <w:rPr>
          <w:rFonts w:ascii="Arial Narrow" w:hAnsi="Arial Narrow"/>
          <w:sz w:val="24"/>
          <w:szCs w:val="24"/>
          <w:lang w:val="en-GB" w:eastAsia="en-GB"/>
        </w:rPr>
        <w:t xml:space="preserve"> u </w:t>
      </w:r>
      <w:proofErr w:type="spellStart"/>
      <w:r w:rsidRPr="007019AC">
        <w:rPr>
          <w:rFonts w:ascii="Arial Narrow" w:hAnsi="Arial Narrow"/>
          <w:sz w:val="24"/>
          <w:szCs w:val="24"/>
          <w:lang w:val="en-GB" w:eastAsia="en-GB"/>
        </w:rPr>
        <w:t>Upravi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policije</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i</w:t>
      </w:r>
      <w:proofErr w:type="spellEnd"/>
      <w:r w:rsidRPr="007019AC">
        <w:rPr>
          <w:rFonts w:ascii="Arial Narrow" w:hAnsi="Arial Narrow"/>
          <w:sz w:val="24"/>
          <w:szCs w:val="24"/>
          <w:lang w:val="en-GB" w:eastAsia="en-GB"/>
        </w:rPr>
        <w:t xml:space="preserve"> ANB-u, </w:t>
      </w:r>
      <w:proofErr w:type="spellStart"/>
      <w:r w:rsidRPr="007019AC">
        <w:rPr>
          <w:rFonts w:ascii="Arial Narrow" w:hAnsi="Arial Narrow"/>
          <w:sz w:val="24"/>
          <w:szCs w:val="24"/>
          <w:lang w:val="en-GB" w:eastAsia="en-GB"/>
        </w:rPr>
        <w:t>ksko</w:t>
      </w:r>
      <w:proofErr w:type="spellEnd"/>
      <w:r w:rsidRPr="007019AC">
        <w:rPr>
          <w:rFonts w:ascii="Arial Narrow" w:hAnsi="Arial Narrow"/>
          <w:sz w:val="24"/>
          <w:szCs w:val="24"/>
          <w:lang w:val="en-GB" w:eastAsia="en-GB"/>
        </w:rPr>
        <w:t xml:space="preserve"> bi </w:t>
      </w:r>
      <w:proofErr w:type="spellStart"/>
      <w:r w:rsidRPr="007019AC">
        <w:rPr>
          <w:rFonts w:ascii="Arial Narrow" w:hAnsi="Arial Narrow"/>
          <w:sz w:val="24"/>
          <w:szCs w:val="24"/>
          <w:lang w:val="en-GB" w:eastAsia="en-GB"/>
        </w:rPr>
        <w:t>doprinijeli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njihovom</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efikasnijem</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radu</w:t>
      </w:r>
      <w:proofErr w:type="spellEnd"/>
      <w:r w:rsidRPr="007019AC">
        <w:rPr>
          <w:rFonts w:ascii="Arial Narrow" w:hAnsi="Arial Narrow"/>
          <w:sz w:val="24"/>
          <w:szCs w:val="24"/>
          <w:lang w:val="en-GB" w:eastAsia="en-GB"/>
        </w:rPr>
        <w:t xml:space="preserve"> u </w:t>
      </w:r>
      <w:proofErr w:type="spellStart"/>
      <w:r w:rsidRPr="007019AC">
        <w:rPr>
          <w:rFonts w:ascii="Arial Narrow" w:hAnsi="Arial Narrow"/>
          <w:sz w:val="24"/>
          <w:szCs w:val="24"/>
          <w:lang w:val="en-GB" w:eastAsia="en-GB"/>
        </w:rPr>
        <w:t>korist</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svih</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građana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Crne</w:t>
      </w:r>
      <w:proofErr w:type="spellEnd"/>
      <w:r w:rsidRPr="007019AC">
        <w:rPr>
          <w:rFonts w:ascii="Arial Narrow" w:hAnsi="Arial Narrow"/>
          <w:sz w:val="24"/>
          <w:szCs w:val="24"/>
          <w:lang w:val="en-GB" w:eastAsia="en-GB"/>
        </w:rPr>
        <w:t xml:space="preserve"> Gore</w:t>
      </w:r>
      <w:r w:rsidR="005E2B4E">
        <w:rPr>
          <w:rFonts w:ascii="Arial Narrow" w:hAnsi="Arial Narrow"/>
          <w:sz w:val="24"/>
          <w:szCs w:val="24"/>
          <w:lang w:val="en-GB" w:eastAsia="en-GB"/>
        </w:rPr>
        <w:t>.</w:t>
      </w:r>
    </w:p>
    <w:p w14:paraId="5E9F77B6" w14:textId="77777777" w:rsidR="007019AC" w:rsidRPr="005E2B4E" w:rsidRDefault="007019AC" w:rsidP="005E2B4E">
      <w:pPr>
        <w:pStyle w:val="ListParagraph"/>
        <w:numPr>
          <w:ilvl w:val="0"/>
          <w:numId w:val="4"/>
        </w:numPr>
        <w:jc w:val="both"/>
        <w:rPr>
          <w:rFonts w:ascii="Arial Narrow" w:hAnsi="Arial Narrow"/>
          <w:sz w:val="24"/>
          <w:szCs w:val="24"/>
          <w:lang w:val="en-GB" w:eastAsia="en-GB"/>
        </w:rPr>
      </w:pPr>
      <w:proofErr w:type="spellStart"/>
      <w:r w:rsidRPr="005E2B4E">
        <w:rPr>
          <w:rFonts w:ascii="Arial Narrow" w:hAnsi="Arial Narrow"/>
          <w:sz w:val="24"/>
          <w:szCs w:val="24"/>
          <w:lang w:val="en-GB" w:eastAsia="en-GB"/>
        </w:rPr>
        <w:t>Donesemo</w:t>
      </w:r>
      <w:proofErr w:type="spellEnd"/>
      <w:r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o</w:t>
      </w:r>
      <w:r w:rsidRPr="005E2B4E">
        <w:rPr>
          <w:rFonts w:ascii="Arial Narrow" w:hAnsi="Arial Narrow"/>
          <w:sz w:val="24"/>
          <w:szCs w:val="24"/>
          <w:lang w:val="en-GB" w:eastAsia="en-GB"/>
        </w:rPr>
        <w:t>dluku</w:t>
      </w:r>
      <w:proofErr w:type="spellEnd"/>
      <w:r w:rsidRPr="005E2B4E">
        <w:rPr>
          <w:rFonts w:ascii="Arial Narrow" w:hAnsi="Arial Narrow"/>
          <w:sz w:val="24"/>
          <w:szCs w:val="24"/>
          <w:lang w:val="en-GB" w:eastAsia="en-GB"/>
        </w:rPr>
        <w:t xml:space="preserve"> da se </w:t>
      </w:r>
      <w:proofErr w:type="spellStart"/>
      <w:r w:rsidRPr="005E2B4E">
        <w:rPr>
          <w:rFonts w:ascii="Arial Narrow" w:hAnsi="Arial Narrow"/>
          <w:sz w:val="24"/>
          <w:szCs w:val="24"/>
          <w:lang w:val="en-GB" w:eastAsia="en-GB"/>
        </w:rPr>
        <w:t>područje</w:t>
      </w:r>
      <w:proofErr w:type="spellEnd"/>
      <w:r w:rsidRPr="005E2B4E">
        <w:rPr>
          <w:rFonts w:ascii="Arial Narrow" w:hAnsi="Arial Narrow"/>
          <w:sz w:val="24"/>
          <w:szCs w:val="24"/>
          <w:lang w:val="en-GB" w:eastAsia="en-GB"/>
        </w:rPr>
        <w:t xml:space="preserve"> Parka </w:t>
      </w:r>
      <w:proofErr w:type="spellStart"/>
      <w:r w:rsidRPr="005E2B4E">
        <w:rPr>
          <w:rFonts w:ascii="Arial Narrow" w:hAnsi="Arial Narrow"/>
          <w:sz w:val="24"/>
          <w:szCs w:val="24"/>
          <w:lang w:val="en-GB" w:eastAsia="en-GB"/>
        </w:rPr>
        <w:t>prirode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Platamuni</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proglasi</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kao</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prvo</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zaštićeno</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morsko</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područje</w:t>
      </w:r>
      <w:proofErr w:type="spellEnd"/>
      <w:r w:rsidRPr="005E2B4E">
        <w:rPr>
          <w:rFonts w:ascii="Arial Narrow" w:hAnsi="Arial Narrow"/>
          <w:sz w:val="24"/>
          <w:szCs w:val="24"/>
          <w:lang w:val="en-GB" w:eastAsia="en-GB"/>
        </w:rPr>
        <w:t xml:space="preserve"> u </w:t>
      </w:r>
      <w:proofErr w:type="spellStart"/>
      <w:r w:rsidRPr="005E2B4E">
        <w:rPr>
          <w:rFonts w:ascii="Arial Narrow" w:hAnsi="Arial Narrow"/>
          <w:sz w:val="24"/>
          <w:szCs w:val="24"/>
          <w:lang w:val="en-GB" w:eastAsia="en-GB"/>
        </w:rPr>
        <w:t>Crnoj</w:t>
      </w:r>
      <w:proofErr w:type="spellEnd"/>
      <w:r w:rsidRPr="005E2B4E">
        <w:rPr>
          <w:rFonts w:ascii="Arial Narrow" w:hAnsi="Arial Narrow"/>
          <w:sz w:val="24"/>
          <w:szCs w:val="24"/>
          <w:lang w:val="en-GB" w:eastAsia="en-GB"/>
        </w:rPr>
        <w:t xml:space="preserve"> Gori</w:t>
      </w:r>
      <w:r w:rsidR="005E2B4E" w:rsidRPr="005E2B4E">
        <w:rPr>
          <w:rFonts w:ascii="Arial Narrow" w:hAnsi="Arial Narrow"/>
          <w:sz w:val="24"/>
          <w:szCs w:val="24"/>
          <w:lang w:val="en-GB" w:eastAsia="en-GB"/>
        </w:rPr>
        <w:t xml:space="preserve">, </w:t>
      </w:r>
      <w:proofErr w:type="spellStart"/>
      <w:r w:rsidR="005E2B4E">
        <w:rPr>
          <w:rFonts w:ascii="Arial Narrow" w:hAnsi="Arial Narrow"/>
          <w:sz w:val="24"/>
          <w:szCs w:val="24"/>
          <w:lang w:val="en-GB" w:eastAsia="en-GB"/>
        </w:rPr>
        <w:t>nakon</w:t>
      </w:r>
      <w:proofErr w:type="spellEnd"/>
      <w:r w:rsidR="005E2B4E">
        <w:rPr>
          <w:rFonts w:ascii="Arial Narrow" w:hAnsi="Arial Narrow"/>
          <w:sz w:val="24"/>
          <w:szCs w:val="24"/>
          <w:lang w:val="en-GB" w:eastAsia="en-GB"/>
        </w:rPr>
        <w:t xml:space="preserve"> toga </w:t>
      </w:r>
      <w:proofErr w:type="spellStart"/>
      <w:r w:rsidR="005E2B4E">
        <w:rPr>
          <w:rFonts w:ascii="Arial Narrow" w:hAnsi="Arial Narrow"/>
          <w:sz w:val="24"/>
          <w:szCs w:val="24"/>
          <w:lang w:val="en-GB" w:eastAsia="en-GB"/>
        </w:rPr>
        <w:t>i</w:t>
      </w:r>
      <w:proofErr w:type="spellEnd"/>
      <w:r w:rsidR="005E2B4E">
        <w:rPr>
          <w:rFonts w:ascii="Arial Narrow" w:hAnsi="Arial Narrow"/>
          <w:sz w:val="24"/>
          <w:szCs w:val="24"/>
          <w:lang w:val="en-GB" w:eastAsia="en-GB"/>
        </w:rPr>
        <w:t xml:space="preserve"> </w:t>
      </w:r>
      <w:proofErr w:type="spellStart"/>
      <w:r w:rsidR="005E2B4E">
        <w:rPr>
          <w:rFonts w:ascii="Arial Narrow" w:hAnsi="Arial Narrow"/>
          <w:sz w:val="24"/>
          <w:szCs w:val="24"/>
          <w:lang w:val="en-GB" w:eastAsia="en-GB"/>
        </w:rPr>
        <w:t>odluku</w:t>
      </w:r>
      <w:proofErr w:type="spellEnd"/>
      <w:r w:rsidR="005E2B4E" w:rsidRPr="005E2B4E">
        <w:rPr>
          <w:rFonts w:ascii="Arial Narrow" w:hAnsi="Arial Narrow"/>
          <w:sz w:val="24"/>
          <w:szCs w:val="24"/>
          <w:lang w:val="en-GB" w:eastAsia="en-GB"/>
        </w:rPr>
        <w:t xml:space="preserve"> o </w:t>
      </w:r>
      <w:proofErr w:type="spellStart"/>
      <w:r w:rsidR="005E2B4E" w:rsidRPr="005E2B4E">
        <w:rPr>
          <w:rFonts w:ascii="Arial Narrow" w:hAnsi="Arial Narrow"/>
          <w:sz w:val="24"/>
          <w:szCs w:val="24"/>
          <w:lang w:val="en-GB" w:eastAsia="en-GB"/>
        </w:rPr>
        <w:t>proglašavanju</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zaštićenog</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područja</w:t>
      </w:r>
      <w:proofErr w:type="spellEnd"/>
      <w:r w:rsidR="005E2B4E" w:rsidRPr="005E2B4E">
        <w:rPr>
          <w:rFonts w:ascii="Arial Narrow" w:hAnsi="Arial Narrow"/>
          <w:sz w:val="24"/>
          <w:szCs w:val="24"/>
          <w:lang w:val="en-GB" w:eastAsia="en-GB"/>
        </w:rPr>
        <w:t xml:space="preserve"> Park </w:t>
      </w:r>
      <w:proofErr w:type="spellStart"/>
      <w:r w:rsidR="005E2B4E" w:rsidRPr="005E2B4E">
        <w:rPr>
          <w:rFonts w:ascii="Arial Narrow" w:hAnsi="Arial Narrow"/>
          <w:sz w:val="24"/>
          <w:szCs w:val="24"/>
          <w:lang w:val="en-GB" w:eastAsia="en-GB"/>
        </w:rPr>
        <w:t>prirode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Katič</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dok</w:t>
      </w:r>
      <w:proofErr w:type="spellEnd"/>
      <w:r w:rsidR="005E2B4E" w:rsidRPr="005E2B4E">
        <w:rPr>
          <w:rFonts w:ascii="Arial Narrow" w:hAnsi="Arial Narrow"/>
          <w:sz w:val="24"/>
          <w:szCs w:val="24"/>
          <w:lang w:val="en-GB" w:eastAsia="en-GB"/>
        </w:rPr>
        <w:t xml:space="preserve"> je u </w:t>
      </w:r>
      <w:proofErr w:type="spellStart"/>
      <w:r w:rsidR="005E2B4E" w:rsidRPr="005E2B4E">
        <w:rPr>
          <w:rFonts w:ascii="Arial Narrow" w:hAnsi="Arial Narrow"/>
          <w:sz w:val="24"/>
          <w:szCs w:val="24"/>
          <w:lang w:val="en-GB" w:eastAsia="en-GB"/>
        </w:rPr>
        <w:t>toku</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javna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rasprava</w:t>
      </w:r>
      <w:proofErr w:type="spellEnd"/>
      <w:r w:rsidR="005E2B4E" w:rsidRPr="005E2B4E">
        <w:rPr>
          <w:rFonts w:ascii="Arial Narrow" w:hAnsi="Arial Narrow"/>
          <w:sz w:val="24"/>
          <w:szCs w:val="24"/>
          <w:lang w:val="en-GB" w:eastAsia="en-GB"/>
        </w:rPr>
        <w:t xml:space="preserve"> za </w:t>
      </w:r>
      <w:proofErr w:type="spellStart"/>
      <w:r w:rsidR="005E2B4E" w:rsidRPr="005E2B4E">
        <w:rPr>
          <w:rFonts w:ascii="Arial Narrow" w:hAnsi="Arial Narrow"/>
          <w:sz w:val="24"/>
          <w:szCs w:val="24"/>
          <w:lang w:val="en-GB" w:eastAsia="en-GB"/>
        </w:rPr>
        <w:t>buduće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morsko</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zaštićeno</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područje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Stari</w:t>
      </w:r>
      <w:proofErr w:type="spellEnd"/>
      <w:r w:rsidR="005E2B4E" w:rsidRPr="005E2B4E">
        <w:rPr>
          <w:rFonts w:ascii="Arial Narrow" w:hAnsi="Arial Narrow"/>
          <w:sz w:val="24"/>
          <w:szCs w:val="24"/>
          <w:lang w:val="en-GB" w:eastAsia="en-GB"/>
        </w:rPr>
        <w:t xml:space="preserve"> Ulcinj. Na </w:t>
      </w:r>
      <w:proofErr w:type="spellStart"/>
      <w:r w:rsidR="005E2B4E" w:rsidRPr="005E2B4E">
        <w:rPr>
          <w:rFonts w:ascii="Arial Narrow" w:hAnsi="Arial Narrow"/>
          <w:sz w:val="24"/>
          <w:szCs w:val="24"/>
          <w:lang w:val="en-GB" w:eastAsia="en-GB"/>
        </w:rPr>
        <w:t>ovaj</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način</w:t>
      </w:r>
      <w:proofErr w:type="spellEnd"/>
      <w:r w:rsidR="005E2B4E" w:rsidRPr="005E2B4E">
        <w:rPr>
          <w:rFonts w:ascii="Arial Narrow" w:hAnsi="Arial Narrow"/>
          <w:sz w:val="24"/>
          <w:szCs w:val="24"/>
          <w:lang w:val="en-GB" w:eastAsia="en-GB"/>
        </w:rPr>
        <w:t xml:space="preserve"> se do </w:t>
      </w:r>
      <w:proofErr w:type="spellStart"/>
      <w:r w:rsidR="005E2B4E" w:rsidRPr="005E2B4E">
        <w:rPr>
          <w:rFonts w:ascii="Arial Narrow" w:hAnsi="Arial Narrow"/>
          <w:sz w:val="24"/>
          <w:szCs w:val="24"/>
          <w:lang w:val="en-GB" w:eastAsia="en-GB"/>
        </w:rPr>
        <w:t>sada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površina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zaštićenih</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područja</w:t>
      </w:r>
      <w:proofErr w:type="spellEnd"/>
      <w:r w:rsidR="005E2B4E" w:rsidRPr="005E2B4E">
        <w:rPr>
          <w:rFonts w:ascii="Arial Narrow" w:hAnsi="Arial Narrow"/>
          <w:sz w:val="24"/>
          <w:szCs w:val="24"/>
          <w:lang w:val="en-GB" w:eastAsia="en-GB"/>
        </w:rPr>
        <w:t xml:space="preserve"> u </w:t>
      </w:r>
      <w:proofErr w:type="spellStart"/>
      <w:r w:rsidR="005E2B4E" w:rsidRPr="005E2B4E">
        <w:rPr>
          <w:rFonts w:ascii="Arial Narrow" w:hAnsi="Arial Narrow"/>
          <w:sz w:val="24"/>
          <w:szCs w:val="24"/>
          <w:lang w:val="en-GB" w:eastAsia="en-GB"/>
        </w:rPr>
        <w:t>Crnoj</w:t>
      </w:r>
      <w:proofErr w:type="spellEnd"/>
      <w:r w:rsidR="005E2B4E" w:rsidRPr="005E2B4E">
        <w:rPr>
          <w:rFonts w:ascii="Arial Narrow" w:hAnsi="Arial Narrow"/>
          <w:sz w:val="24"/>
          <w:szCs w:val="24"/>
          <w:lang w:val="en-GB" w:eastAsia="en-GB"/>
        </w:rPr>
        <w:t xml:space="preserve"> Gori </w:t>
      </w:r>
      <w:proofErr w:type="spellStart"/>
      <w:r w:rsidR="005E2B4E" w:rsidRPr="005E2B4E">
        <w:rPr>
          <w:rFonts w:ascii="Arial Narrow" w:hAnsi="Arial Narrow"/>
          <w:sz w:val="24"/>
          <w:szCs w:val="24"/>
          <w:lang w:val="en-GB" w:eastAsia="en-GB"/>
        </w:rPr>
        <w:t>povećala</w:t>
      </w:r>
      <w:proofErr w:type="spellEnd"/>
      <w:r w:rsidR="005E2B4E" w:rsidRPr="005E2B4E">
        <w:rPr>
          <w:rFonts w:ascii="Arial Narrow" w:hAnsi="Arial Narrow"/>
          <w:sz w:val="24"/>
          <w:szCs w:val="24"/>
          <w:lang w:val="en-GB" w:eastAsia="en-GB"/>
        </w:rPr>
        <w:t xml:space="preserve"> za 3.832,06 ha.</w:t>
      </w:r>
    </w:p>
    <w:p w14:paraId="26C05E41" w14:textId="77777777" w:rsidR="007019AC" w:rsidRPr="005E2B4E" w:rsidRDefault="007019AC" w:rsidP="007019AC">
      <w:pPr>
        <w:pStyle w:val="ListParagraph"/>
        <w:numPr>
          <w:ilvl w:val="0"/>
          <w:numId w:val="4"/>
        </w:numPr>
        <w:jc w:val="both"/>
        <w:rPr>
          <w:rFonts w:ascii="Arial Narrow" w:hAnsi="Arial Narrow"/>
          <w:sz w:val="24"/>
          <w:szCs w:val="24"/>
          <w:lang w:val="en-GB" w:eastAsia="en-GB"/>
        </w:rPr>
      </w:pPr>
      <w:proofErr w:type="spellStart"/>
      <w:r w:rsidRPr="007019AC">
        <w:rPr>
          <w:rFonts w:ascii="Arial Narrow" w:hAnsi="Arial Narrow"/>
          <w:sz w:val="24"/>
          <w:szCs w:val="24"/>
          <w:lang w:val="en-GB" w:eastAsia="en-GB"/>
        </w:rPr>
        <w:t>Stavimo</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moratorijum</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na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detaljni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urbanistički</w:t>
      </w:r>
      <w:proofErr w:type="spellEnd"/>
      <w:r w:rsidRPr="007019AC">
        <w:rPr>
          <w:rFonts w:ascii="Arial Narrow" w:hAnsi="Arial Narrow"/>
          <w:sz w:val="24"/>
          <w:szCs w:val="24"/>
          <w:lang w:val="en-GB" w:eastAsia="en-GB"/>
        </w:rPr>
        <w:t xml:space="preserve"> plan (DUP) </w:t>
      </w:r>
      <w:proofErr w:type="spellStart"/>
      <w:r w:rsidRPr="007019AC">
        <w:rPr>
          <w:rFonts w:ascii="Arial Narrow" w:hAnsi="Arial Narrow"/>
          <w:sz w:val="24"/>
          <w:szCs w:val="24"/>
          <w:lang w:val="en-GB" w:eastAsia="en-GB"/>
        </w:rPr>
        <w:t>Budva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Centar</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i</w:t>
      </w:r>
      <w:proofErr w:type="spellEnd"/>
      <w:r w:rsidRPr="007019AC">
        <w:rPr>
          <w:rFonts w:ascii="Arial Narrow" w:hAnsi="Arial Narrow"/>
          <w:sz w:val="24"/>
          <w:szCs w:val="24"/>
          <w:lang w:val="en-GB" w:eastAsia="en-GB"/>
        </w:rPr>
        <w:t xml:space="preserve"> DUP </w:t>
      </w:r>
      <w:proofErr w:type="spellStart"/>
      <w:r w:rsidRPr="007019AC">
        <w:rPr>
          <w:rFonts w:ascii="Arial Narrow" w:hAnsi="Arial Narrow"/>
          <w:sz w:val="24"/>
          <w:szCs w:val="24"/>
          <w:lang w:val="en-GB" w:eastAsia="en-GB"/>
        </w:rPr>
        <w:t>Bečići</w:t>
      </w:r>
      <w:proofErr w:type="spellEnd"/>
      <w:r w:rsidRPr="007019AC">
        <w:rPr>
          <w:rFonts w:ascii="Arial Narrow" w:hAnsi="Arial Narrow"/>
          <w:sz w:val="24"/>
          <w:szCs w:val="24"/>
          <w:lang w:val="en-GB" w:eastAsia="en-GB"/>
        </w:rPr>
        <w:t xml:space="preserve">, do </w:t>
      </w:r>
      <w:proofErr w:type="spellStart"/>
      <w:r w:rsidRPr="007019AC">
        <w:rPr>
          <w:rFonts w:ascii="Arial Narrow" w:hAnsi="Arial Narrow"/>
          <w:sz w:val="24"/>
          <w:szCs w:val="24"/>
          <w:lang w:val="en-GB" w:eastAsia="en-GB"/>
        </w:rPr>
        <w:t>donošenja</w:t>
      </w:r>
      <w:proofErr w:type="spellEnd"/>
      <w:r w:rsidRPr="007019AC">
        <w:rPr>
          <w:rFonts w:ascii="Arial Narrow" w:hAnsi="Arial Narrow"/>
          <w:sz w:val="24"/>
          <w:szCs w:val="24"/>
          <w:lang w:val="en-GB" w:eastAsia="en-GB"/>
        </w:rPr>
        <w:t xml:space="preserve"> PUP </w:t>
      </w:r>
      <w:proofErr w:type="spellStart"/>
      <w:r w:rsidRPr="007019AC">
        <w:rPr>
          <w:rFonts w:ascii="Arial Narrow" w:hAnsi="Arial Narrow"/>
          <w:sz w:val="24"/>
          <w:szCs w:val="24"/>
          <w:lang w:val="en-GB" w:eastAsia="en-GB"/>
        </w:rPr>
        <w:t>Budva</w:t>
      </w:r>
      <w:proofErr w:type="spellEnd"/>
      <w:r w:rsidR="005E2B4E">
        <w:rPr>
          <w:rFonts w:ascii="Arial Narrow" w:hAnsi="Arial Narrow"/>
          <w:sz w:val="24"/>
          <w:szCs w:val="24"/>
          <w:lang w:val="en-GB" w:eastAsia="en-GB"/>
        </w:rPr>
        <w:t>.</w:t>
      </w:r>
    </w:p>
    <w:p w14:paraId="3CECB4FC" w14:textId="77777777" w:rsidR="007019AC" w:rsidRDefault="007019AC" w:rsidP="007019AC">
      <w:pPr>
        <w:pStyle w:val="ListParagraph"/>
        <w:numPr>
          <w:ilvl w:val="0"/>
          <w:numId w:val="4"/>
        </w:numPr>
        <w:jc w:val="both"/>
        <w:rPr>
          <w:rFonts w:ascii="Arial Narrow" w:hAnsi="Arial Narrow"/>
          <w:sz w:val="24"/>
          <w:szCs w:val="24"/>
          <w:lang w:val="en-GB" w:eastAsia="en-GB"/>
        </w:rPr>
      </w:pPr>
      <w:proofErr w:type="spellStart"/>
      <w:r w:rsidRPr="007019AC">
        <w:rPr>
          <w:rFonts w:ascii="Arial Narrow" w:hAnsi="Arial Narrow"/>
          <w:sz w:val="24"/>
          <w:szCs w:val="24"/>
          <w:lang w:val="en-GB" w:eastAsia="en-GB"/>
        </w:rPr>
        <w:t>Raskinemoi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ugovore</w:t>
      </w:r>
      <w:proofErr w:type="spellEnd"/>
      <w:r w:rsidRPr="007019AC">
        <w:rPr>
          <w:rFonts w:ascii="Arial Narrow" w:hAnsi="Arial Narrow"/>
          <w:sz w:val="24"/>
          <w:szCs w:val="24"/>
          <w:lang w:val="en-GB" w:eastAsia="en-GB"/>
        </w:rPr>
        <w:t xml:space="preserve"> o </w:t>
      </w:r>
      <w:proofErr w:type="spellStart"/>
      <w:r w:rsidRPr="007019AC">
        <w:rPr>
          <w:rFonts w:ascii="Arial Narrow" w:hAnsi="Arial Narrow"/>
          <w:sz w:val="24"/>
          <w:szCs w:val="24"/>
          <w:lang w:val="en-GB" w:eastAsia="en-GB"/>
        </w:rPr>
        <w:t>izgradnji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malih</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hidroelektrana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na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vodotocima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Đurička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rijeka</w:t>
      </w:r>
      <w:proofErr w:type="spellEnd"/>
      <w:r w:rsidRPr="007019AC">
        <w:rPr>
          <w:rFonts w:ascii="Arial Narrow" w:hAnsi="Arial Narrow"/>
          <w:sz w:val="24"/>
          <w:szCs w:val="24"/>
          <w:lang w:val="en-GB" w:eastAsia="en-GB"/>
        </w:rPr>
        <w:t xml:space="preserve"> u </w:t>
      </w:r>
      <w:proofErr w:type="spellStart"/>
      <w:r w:rsidRPr="007019AC">
        <w:rPr>
          <w:rFonts w:ascii="Arial Narrow" w:hAnsi="Arial Narrow"/>
          <w:sz w:val="24"/>
          <w:szCs w:val="24"/>
          <w:lang w:val="en-GB" w:eastAsia="en-GB"/>
        </w:rPr>
        <w:t>Plavu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Bistrici</w:t>
      </w:r>
      <w:proofErr w:type="spellEnd"/>
      <w:r w:rsidRPr="007019AC">
        <w:rPr>
          <w:rFonts w:ascii="Arial Narrow" w:hAnsi="Arial Narrow"/>
          <w:sz w:val="24"/>
          <w:szCs w:val="24"/>
          <w:lang w:val="en-GB" w:eastAsia="en-GB"/>
        </w:rPr>
        <w:t xml:space="preserve"> u </w:t>
      </w:r>
      <w:proofErr w:type="spellStart"/>
      <w:r w:rsidRPr="007019AC">
        <w:rPr>
          <w:rFonts w:ascii="Arial Narrow" w:hAnsi="Arial Narrow"/>
          <w:sz w:val="24"/>
          <w:szCs w:val="24"/>
          <w:lang w:val="en-GB" w:eastAsia="en-GB"/>
        </w:rPr>
        <w:t>Bijelom</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Polju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Bukovici</w:t>
      </w:r>
      <w:proofErr w:type="spellEnd"/>
      <w:r w:rsidRPr="007019AC">
        <w:rPr>
          <w:rFonts w:ascii="Arial Narrow" w:hAnsi="Arial Narrow"/>
          <w:sz w:val="24"/>
          <w:szCs w:val="24"/>
          <w:lang w:val="en-GB" w:eastAsia="en-GB"/>
        </w:rPr>
        <w:t xml:space="preserve"> u </w:t>
      </w:r>
      <w:proofErr w:type="spellStart"/>
      <w:r w:rsidRPr="007019AC">
        <w:rPr>
          <w:rFonts w:ascii="Arial Narrow" w:hAnsi="Arial Narrow"/>
          <w:sz w:val="24"/>
          <w:szCs w:val="24"/>
          <w:lang w:val="en-GB" w:eastAsia="en-GB"/>
        </w:rPr>
        <w:t>Šavniku</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Reževića</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rijeci</w:t>
      </w:r>
      <w:proofErr w:type="spellEnd"/>
      <w:r w:rsidRPr="007019AC">
        <w:rPr>
          <w:rFonts w:ascii="Arial Narrow" w:hAnsi="Arial Narrow"/>
          <w:sz w:val="24"/>
          <w:szCs w:val="24"/>
          <w:lang w:val="en-GB" w:eastAsia="en-GB"/>
        </w:rPr>
        <w:t xml:space="preserve"> u </w:t>
      </w:r>
      <w:proofErr w:type="spellStart"/>
      <w:r w:rsidRPr="007019AC">
        <w:rPr>
          <w:rFonts w:ascii="Arial Narrow" w:hAnsi="Arial Narrow"/>
          <w:sz w:val="24"/>
          <w:szCs w:val="24"/>
          <w:lang w:val="en-GB" w:eastAsia="en-GB"/>
        </w:rPr>
        <w:t>Budvi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Ljeviškoj</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i</w:t>
      </w:r>
      <w:proofErr w:type="spellEnd"/>
      <w:r w:rsidRPr="007019AC">
        <w:rPr>
          <w:rFonts w:ascii="Arial Narrow" w:hAnsi="Arial Narrow"/>
          <w:sz w:val="24"/>
          <w:szCs w:val="24"/>
          <w:lang w:val="en-GB" w:eastAsia="en-GB"/>
        </w:rPr>
        <w:t xml:space="preserve"> </w:t>
      </w:r>
      <w:proofErr w:type="spellStart"/>
      <w:r w:rsidRPr="007019AC">
        <w:rPr>
          <w:rFonts w:ascii="Arial Narrow" w:hAnsi="Arial Narrow"/>
          <w:sz w:val="24"/>
          <w:szCs w:val="24"/>
          <w:lang w:val="en-GB" w:eastAsia="en-GB"/>
        </w:rPr>
        <w:t>Raštaku</w:t>
      </w:r>
      <w:proofErr w:type="spellEnd"/>
      <w:r w:rsidRPr="007019AC">
        <w:rPr>
          <w:rFonts w:ascii="Arial Narrow" w:hAnsi="Arial Narrow"/>
          <w:sz w:val="24"/>
          <w:szCs w:val="24"/>
          <w:lang w:val="en-GB" w:eastAsia="en-GB"/>
        </w:rPr>
        <w:t xml:space="preserve"> u </w:t>
      </w:r>
      <w:proofErr w:type="spellStart"/>
      <w:r w:rsidRPr="007019AC">
        <w:rPr>
          <w:rFonts w:ascii="Arial Narrow" w:hAnsi="Arial Narrow"/>
          <w:sz w:val="24"/>
          <w:szCs w:val="24"/>
          <w:lang w:val="en-GB" w:eastAsia="en-GB"/>
        </w:rPr>
        <w:t>Kolašinu</w:t>
      </w:r>
      <w:proofErr w:type="spellEnd"/>
      <w:r w:rsidRPr="007019AC">
        <w:rPr>
          <w:rFonts w:ascii="Arial Narrow" w:hAnsi="Arial Narrow"/>
          <w:sz w:val="24"/>
          <w:szCs w:val="24"/>
          <w:lang w:val="en-GB" w:eastAsia="en-GB"/>
        </w:rPr>
        <w:t>“.</w:t>
      </w:r>
    </w:p>
    <w:p w14:paraId="5FE80B6D" w14:textId="77777777" w:rsidR="005E2B4E" w:rsidRPr="007019AC" w:rsidRDefault="005E2B4E" w:rsidP="005E2B4E">
      <w:pPr>
        <w:pStyle w:val="ListParagraph"/>
        <w:jc w:val="both"/>
        <w:rPr>
          <w:rFonts w:ascii="Arial Narrow" w:hAnsi="Arial Narrow"/>
          <w:sz w:val="24"/>
          <w:szCs w:val="24"/>
          <w:lang w:val="en-GB" w:eastAsia="en-GB"/>
        </w:rPr>
      </w:pPr>
    </w:p>
    <w:p w14:paraId="640B334E" w14:textId="77777777" w:rsidR="006078E0" w:rsidRPr="00BF6C97" w:rsidRDefault="006078E0" w:rsidP="00BF6C97">
      <w:pPr>
        <w:pStyle w:val="Heading1"/>
        <w:jc w:val="center"/>
        <w:rPr>
          <w:rFonts w:ascii="Arial Narrow" w:hAnsi="Arial Narrow"/>
          <w:lang w:val="en-GB" w:eastAsia="en-GB"/>
        </w:rPr>
      </w:pPr>
      <w:proofErr w:type="spellStart"/>
      <w:r w:rsidRPr="00BF6C97">
        <w:rPr>
          <w:rFonts w:ascii="Arial Narrow" w:hAnsi="Arial Narrow"/>
          <w:lang w:val="en-GB" w:eastAsia="en-GB"/>
        </w:rPr>
        <w:t>Vizija</w:t>
      </w:r>
      <w:proofErr w:type="spellEnd"/>
      <w:r w:rsidRPr="00BF6C97">
        <w:rPr>
          <w:rFonts w:ascii="Arial Narrow" w:hAnsi="Arial Narrow"/>
          <w:lang w:val="en-GB" w:eastAsia="en-GB"/>
        </w:rPr>
        <w:t xml:space="preserve"> </w:t>
      </w:r>
      <w:proofErr w:type="spellStart"/>
      <w:r w:rsidRPr="00BF6C97">
        <w:rPr>
          <w:rFonts w:ascii="Arial Narrow" w:hAnsi="Arial Narrow"/>
          <w:lang w:val="en-GB" w:eastAsia="en-GB"/>
        </w:rPr>
        <w:t>Crne</w:t>
      </w:r>
      <w:proofErr w:type="spellEnd"/>
      <w:r w:rsidRPr="00BF6C97">
        <w:rPr>
          <w:rFonts w:ascii="Arial Narrow" w:hAnsi="Arial Narrow"/>
          <w:lang w:val="en-GB" w:eastAsia="en-GB"/>
        </w:rPr>
        <w:t xml:space="preserve"> Gore</w:t>
      </w:r>
    </w:p>
    <w:p w14:paraId="1CBC27F5" w14:textId="77777777" w:rsidR="005E2B4E" w:rsidRDefault="005E2B4E" w:rsidP="005E2B4E">
      <w:pPr>
        <w:jc w:val="both"/>
        <w:rPr>
          <w:rFonts w:ascii="Arial Narrow" w:hAnsi="Arial Narrow"/>
          <w:sz w:val="24"/>
          <w:szCs w:val="24"/>
          <w:lang w:val="en-GB" w:eastAsia="en-GB"/>
        </w:rPr>
      </w:pPr>
      <w:proofErr w:type="spellStart"/>
      <w:r w:rsidRPr="005E390A">
        <w:rPr>
          <w:rFonts w:ascii="Arial Narrow" w:hAnsi="Arial Narrow"/>
          <w:sz w:val="24"/>
          <w:szCs w:val="24"/>
          <w:lang w:val="en-GB" w:eastAsia="en-GB"/>
        </w:rPr>
        <w:t>Cilj</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nam</w:t>
      </w:r>
      <w:proofErr w:type="spellEnd"/>
      <w:r w:rsidRPr="005E390A">
        <w:rPr>
          <w:rFonts w:ascii="Arial Narrow" w:hAnsi="Arial Narrow"/>
          <w:sz w:val="24"/>
          <w:szCs w:val="24"/>
          <w:lang w:val="en-GB" w:eastAsia="en-GB"/>
        </w:rPr>
        <w:t xml:space="preserve"> je da </w:t>
      </w:r>
      <w:proofErr w:type="spellStart"/>
      <w:r w:rsidRPr="005E390A">
        <w:rPr>
          <w:rFonts w:ascii="Arial Narrow" w:hAnsi="Arial Narrow"/>
          <w:sz w:val="24"/>
          <w:szCs w:val="24"/>
          <w:lang w:val="en-GB" w:eastAsia="en-GB"/>
        </w:rPr>
        <w:t>Crna</w:t>
      </w:r>
      <w:proofErr w:type="spellEnd"/>
      <w:r w:rsidRPr="005E390A">
        <w:rPr>
          <w:rFonts w:ascii="Arial Narrow" w:hAnsi="Arial Narrow"/>
          <w:sz w:val="24"/>
          <w:szCs w:val="24"/>
          <w:lang w:val="en-GB" w:eastAsia="en-GB"/>
        </w:rPr>
        <w:t xml:space="preserve"> Gora </w:t>
      </w:r>
      <w:proofErr w:type="spellStart"/>
      <w:r w:rsidRPr="005E390A">
        <w:rPr>
          <w:rFonts w:ascii="Arial Narrow" w:hAnsi="Arial Narrow"/>
          <w:sz w:val="24"/>
          <w:szCs w:val="24"/>
          <w:lang w:val="en-GB" w:eastAsia="en-GB"/>
        </w:rPr>
        <w:t>bude</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država</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ostvarenih</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i</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zadovoljnih</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ljudi</w:t>
      </w:r>
      <w:proofErr w:type="spellEnd"/>
      <w:r w:rsidRPr="005E390A">
        <w:rPr>
          <w:rFonts w:ascii="Arial Narrow" w:hAnsi="Arial Narrow"/>
          <w:sz w:val="24"/>
          <w:szCs w:val="24"/>
          <w:lang w:val="en-GB" w:eastAsia="en-GB"/>
        </w:rPr>
        <w:t xml:space="preserve">, koji </w:t>
      </w:r>
      <w:proofErr w:type="spellStart"/>
      <w:r w:rsidRPr="005E390A">
        <w:rPr>
          <w:rFonts w:ascii="Arial Narrow" w:hAnsi="Arial Narrow"/>
          <w:sz w:val="24"/>
          <w:szCs w:val="24"/>
          <w:lang w:val="en-GB" w:eastAsia="en-GB"/>
        </w:rPr>
        <w:t>će</w:t>
      </w:r>
      <w:proofErr w:type="spellEnd"/>
      <w:r w:rsidRPr="005E390A">
        <w:rPr>
          <w:rFonts w:ascii="Arial Narrow" w:hAnsi="Arial Narrow"/>
          <w:sz w:val="24"/>
          <w:szCs w:val="24"/>
          <w:lang w:val="en-GB" w:eastAsia="en-GB"/>
        </w:rPr>
        <w:t xml:space="preserve"> se </w:t>
      </w:r>
      <w:proofErr w:type="spellStart"/>
      <w:r w:rsidRPr="005E390A">
        <w:rPr>
          <w:rFonts w:ascii="Arial Narrow" w:hAnsi="Arial Narrow"/>
          <w:sz w:val="24"/>
          <w:szCs w:val="24"/>
          <w:lang w:val="en-GB" w:eastAsia="en-GB"/>
        </w:rPr>
        <w:t>suočavati</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sa</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realnim</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problemima</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i</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rješavati</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ih</w:t>
      </w:r>
      <w:proofErr w:type="spellEnd"/>
      <w:r w:rsidRPr="005E390A">
        <w:rPr>
          <w:rFonts w:ascii="Arial Narrow" w:hAnsi="Arial Narrow"/>
          <w:sz w:val="24"/>
          <w:szCs w:val="24"/>
          <w:lang w:val="en-GB" w:eastAsia="en-GB"/>
        </w:rPr>
        <w:t xml:space="preserve">, bez </w:t>
      </w:r>
      <w:proofErr w:type="spellStart"/>
      <w:r w:rsidRPr="005E390A">
        <w:rPr>
          <w:rFonts w:ascii="Arial Narrow" w:hAnsi="Arial Narrow"/>
          <w:sz w:val="24"/>
          <w:szCs w:val="24"/>
          <w:lang w:val="en-GB" w:eastAsia="en-GB"/>
        </w:rPr>
        <w:t>obzira</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na</w:t>
      </w:r>
      <w:proofErr w:type="spellEnd"/>
      <w:r w:rsidRPr="005E390A">
        <w:rPr>
          <w:rFonts w:ascii="Arial Narrow" w:hAnsi="Arial Narrow"/>
          <w:sz w:val="24"/>
          <w:szCs w:val="24"/>
          <w:lang w:val="en-GB" w:eastAsia="en-GB"/>
        </w:rPr>
        <w:t xml:space="preserve"> to da li </w:t>
      </w:r>
      <w:proofErr w:type="spellStart"/>
      <w:r w:rsidRPr="005E390A">
        <w:rPr>
          <w:rFonts w:ascii="Arial Narrow" w:hAnsi="Arial Narrow"/>
          <w:sz w:val="24"/>
          <w:szCs w:val="24"/>
          <w:lang w:val="en-GB" w:eastAsia="en-GB"/>
        </w:rPr>
        <w:t>su</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oni</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iz</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privatne</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ekonomske</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ekološke</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društvene</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ili</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političke</w:t>
      </w:r>
      <w:proofErr w:type="spellEnd"/>
      <w:r w:rsidRPr="005E390A">
        <w:rPr>
          <w:rFonts w:ascii="Arial Narrow" w:hAnsi="Arial Narrow"/>
          <w:sz w:val="24"/>
          <w:szCs w:val="24"/>
          <w:lang w:val="en-GB" w:eastAsia="en-GB"/>
        </w:rPr>
        <w:t xml:space="preserve"> </w:t>
      </w:r>
      <w:proofErr w:type="spellStart"/>
      <w:r w:rsidRPr="005E390A">
        <w:rPr>
          <w:rFonts w:ascii="Arial Narrow" w:hAnsi="Arial Narrow"/>
          <w:sz w:val="24"/>
          <w:szCs w:val="24"/>
          <w:lang w:val="en-GB" w:eastAsia="en-GB"/>
        </w:rPr>
        <w:t>sfere</w:t>
      </w:r>
      <w:proofErr w:type="spellEnd"/>
      <w:r w:rsidRPr="005E390A">
        <w:rPr>
          <w:rFonts w:ascii="Arial Narrow" w:hAnsi="Arial Narrow"/>
          <w:sz w:val="24"/>
          <w:szCs w:val="24"/>
          <w:lang w:val="en-GB" w:eastAsia="en-GB"/>
        </w:rPr>
        <w:t>.</w:t>
      </w:r>
    </w:p>
    <w:p w14:paraId="795595B4" w14:textId="77777777" w:rsidR="005E2B4E" w:rsidRDefault="005E2B4E" w:rsidP="005E2B4E">
      <w:pPr>
        <w:jc w:val="both"/>
        <w:rPr>
          <w:rFonts w:ascii="Arial Narrow" w:hAnsi="Arial Narrow"/>
          <w:sz w:val="24"/>
          <w:szCs w:val="24"/>
          <w:lang w:val="en-GB" w:eastAsia="en-GB"/>
        </w:rPr>
      </w:pPr>
      <w:r w:rsidRPr="00605A99">
        <w:rPr>
          <w:rFonts w:ascii="Arial Narrow" w:hAnsi="Arial Narrow" w:cs="TimesNewRoman"/>
          <w:b/>
          <w:bCs/>
          <w:noProof/>
          <w:lang w:val="en-US"/>
        </w:rPr>
        <w:drawing>
          <wp:anchor distT="0" distB="0" distL="114300" distR="114300" simplePos="0" relativeHeight="251691008" behindDoc="0" locked="0" layoutInCell="1" allowOverlap="1" wp14:anchorId="4CFA6DAD" wp14:editId="3E4E5319">
            <wp:simplePos x="0" y="0"/>
            <wp:positionH relativeFrom="margin">
              <wp:align>left</wp:align>
            </wp:positionH>
            <wp:positionV relativeFrom="paragraph">
              <wp:posOffset>5305</wp:posOffset>
            </wp:positionV>
            <wp:extent cx="381000" cy="395605"/>
            <wp:effectExtent l="0" t="0" r="0" b="4445"/>
            <wp:wrapSquare wrapText="bothSides"/>
            <wp:docPr id="10" name="Picture 10" descr="D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95605"/>
                    </a:xfrm>
                    <a:prstGeom prst="rect">
                      <a:avLst/>
                    </a:prstGeom>
                    <a:noFill/>
                    <a:ln>
                      <a:noFill/>
                    </a:ln>
                  </pic:spPr>
                </pic:pic>
              </a:graphicData>
            </a:graphic>
          </wp:anchor>
        </w:drawing>
      </w:r>
      <w:proofErr w:type="spellStart"/>
      <w:r>
        <w:rPr>
          <w:rFonts w:ascii="Arial Narrow" w:hAnsi="Arial Narrow"/>
          <w:sz w:val="24"/>
          <w:szCs w:val="24"/>
          <w:lang w:val="en-GB" w:eastAsia="en-GB"/>
        </w:rPr>
        <w:t>Želimo</w:t>
      </w:r>
      <w:proofErr w:type="spellEnd"/>
      <w:r>
        <w:rPr>
          <w:rFonts w:ascii="Arial Narrow" w:hAnsi="Arial Narrow"/>
          <w:sz w:val="24"/>
          <w:szCs w:val="24"/>
          <w:lang w:val="en-GB" w:eastAsia="en-GB"/>
        </w:rPr>
        <w:t xml:space="preserve"> da </w:t>
      </w:r>
      <w:proofErr w:type="spellStart"/>
      <w:r>
        <w:rPr>
          <w:rFonts w:ascii="Arial Narrow" w:hAnsi="Arial Narrow"/>
          <w:sz w:val="24"/>
          <w:szCs w:val="24"/>
          <w:lang w:val="en-GB" w:eastAsia="en-GB"/>
        </w:rPr>
        <w:t>vidimo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građane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građanke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Crne</w:t>
      </w:r>
      <w:proofErr w:type="spellEnd"/>
      <w:r>
        <w:rPr>
          <w:rFonts w:ascii="Arial Narrow" w:hAnsi="Arial Narrow"/>
          <w:sz w:val="24"/>
          <w:szCs w:val="24"/>
          <w:lang w:val="en-GB" w:eastAsia="en-GB"/>
        </w:rPr>
        <w:t xml:space="preserve"> Gore </w:t>
      </w:r>
      <w:proofErr w:type="spellStart"/>
      <w:r>
        <w:rPr>
          <w:rFonts w:ascii="Arial Narrow" w:hAnsi="Arial Narrow"/>
          <w:sz w:val="24"/>
          <w:szCs w:val="24"/>
          <w:lang w:val="en-GB" w:eastAsia="en-GB"/>
        </w:rPr>
        <w:t>kako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dostojanstveno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žive</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svojoj</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zemlji</w:t>
      </w:r>
      <w:proofErr w:type="spellEnd"/>
      <w:r>
        <w:rPr>
          <w:rFonts w:ascii="Arial Narrow" w:hAnsi="Arial Narrow"/>
          <w:sz w:val="24"/>
          <w:szCs w:val="24"/>
          <w:lang w:val="en-GB" w:eastAsia="en-GB"/>
        </w:rPr>
        <w:t xml:space="preserve">, bez </w:t>
      </w:r>
      <w:proofErr w:type="spellStart"/>
      <w:r>
        <w:rPr>
          <w:rFonts w:ascii="Arial Narrow" w:hAnsi="Arial Narrow"/>
          <w:sz w:val="24"/>
          <w:szCs w:val="24"/>
          <w:lang w:val="en-GB" w:eastAsia="en-GB"/>
        </w:rPr>
        <w:t>straha</w:t>
      </w:r>
      <w:proofErr w:type="spellEnd"/>
      <w:r>
        <w:rPr>
          <w:rFonts w:ascii="Arial Narrow" w:hAnsi="Arial Narrow"/>
          <w:sz w:val="24"/>
          <w:szCs w:val="24"/>
          <w:lang w:val="en-GB" w:eastAsia="en-GB"/>
        </w:rPr>
        <w:t xml:space="preserve"> za </w:t>
      </w:r>
      <w:proofErr w:type="spellStart"/>
      <w:r>
        <w:rPr>
          <w:rFonts w:ascii="Arial Narrow" w:hAnsi="Arial Narrow"/>
          <w:sz w:val="24"/>
          <w:szCs w:val="24"/>
          <w:lang w:val="en-GB" w:eastAsia="en-GB"/>
        </w:rPr>
        <w:t>svoju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bezbjednost</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svojih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najbližih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Crnu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Goru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daje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jednake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šanse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svima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ne </w:t>
      </w:r>
      <w:proofErr w:type="spellStart"/>
      <w:r>
        <w:rPr>
          <w:rFonts w:ascii="Arial Narrow" w:hAnsi="Arial Narrow"/>
          <w:sz w:val="24"/>
          <w:szCs w:val="24"/>
          <w:lang w:val="en-GB" w:eastAsia="en-GB"/>
        </w:rPr>
        <w:t>toleriše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nezakonito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diskriminatorsko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ponašanje</w:t>
      </w:r>
      <w:proofErr w:type="spellEnd"/>
      <w:r>
        <w:rPr>
          <w:rFonts w:ascii="Arial Narrow" w:hAnsi="Arial Narrow"/>
          <w:sz w:val="24"/>
          <w:szCs w:val="24"/>
          <w:lang w:val="en-GB" w:eastAsia="en-GB"/>
        </w:rPr>
        <w:t xml:space="preserve">. Da </w:t>
      </w:r>
      <w:proofErr w:type="spellStart"/>
      <w:r>
        <w:rPr>
          <w:rFonts w:ascii="Arial Narrow" w:hAnsi="Arial Narrow"/>
          <w:sz w:val="24"/>
          <w:szCs w:val="24"/>
          <w:lang w:val="en-GB" w:eastAsia="en-GB"/>
        </w:rPr>
        <w:t>obezbjedimo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pristup</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resursima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pravdi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ostvarivanju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prava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kao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poštovanje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prava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sloboda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svih</w:t>
      </w:r>
      <w:proofErr w:type="spellEnd"/>
      <w:r>
        <w:rPr>
          <w:rFonts w:ascii="Arial Narrow" w:hAnsi="Arial Narrow"/>
          <w:sz w:val="24"/>
          <w:szCs w:val="24"/>
          <w:lang w:val="en-GB" w:eastAsia="en-GB"/>
        </w:rPr>
        <w:t xml:space="preserve">. Da </w:t>
      </w:r>
      <w:proofErr w:type="spellStart"/>
      <w:r>
        <w:rPr>
          <w:rFonts w:ascii="Arial Narrow" w:hAnsi="Arial Narrow"/>
          <w:sz w:val="24"/>
          <w:szCs w:val="24"/>
          <w:lang w:val="en-GB" w:eastAsia="en-GB"/>
        </w:rPr>
        <w:t>javnu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upravu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učinimo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transparetnom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profesionalnom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otvorenom</w:t>
      </w:r>
      <w:proofErr w:type="spellEnd"/>
      <w:r>
        <w:rPr>
          <w:rFonts w:ascii="Arial Narrow" w:hAnsi="Arial Narrow"/>
          <w:sz w:val="24"/>
          <w:szCs w:val="24"/>
          <w:lang w:val="en-GB" w:eastAsia="en-GB"/>
        </w:rPr>
        <w:t xml:space="preserve">, a </w:t>
      </w:r>
      <w:proofErr w:type="spellStart"/>
      <w:r>
        <w:rPr>
          <w:rFonts w:ascii="Arial Narrow" w:hAnsi="Arial Narrow"/>
          <w:sz w:val="24"/>
          <w:szCs w:val="24"/>
          <w:lang w:val="en-GB" w:eastAsia="en-GB"/>
        </w:rPr>
        <w:t>politike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kreiramo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inkluzivnim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kako</w:t>
      </w:r>
      <w:proofErr w:type="spellEnd"/>
      <w:r>
        <w:rPr>
          <w:rFonts w:ascii="Arial Narrow" w:hAnsi="Arial Narrow"/>
          <w:sz w:val="24"/>
          <w:szCs w:val="24"/>
          <w:lang w:val="en-GB" w:eastAsia="en-GB"/>
        </w:rPr>
        <w:t xml:space="preserve"> bi one u </w:t>
      </w:r>
      <w:proofErr w:type="spellStart"/>
      <w:r>
        <w:rPr>
          <w:rFonts w:ascii="Arial Narrow" w:hAnsi="Arial Narrow"/>
          <w:sz w:val="24"/>
          <w:szCs w:val="24"/>
          <w:lang w:val="en-GB" w:eastAsia="en-GB"/>
        </w:rPr>
        <w:t>potpunosti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odgovorile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potrebe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onih</w:t>
      </w:r>
      <w:proofErr w:type="spellEnd"/>
      <w:r>
        <w:rPr>
          <w:rFonts w:ascii="Arial Narrow" w:hAnsi="Arial Narrow"/>
          <w:sz w:val="24"/>
          <w:szCs w:val="24"/>
          <w:lang w:val="en-GB" w:eastAsia="en-GB"/>
        </w:rPr>
        <w:t xml:space="preserve"> koji </w:t>
      </w:r>
      <w:proofErr w:type="spellStart"/>
      <w:r>
        <w:rPr>
          <w:rFonts w:ascii="Arial Narrow" w:hAnsi="Arial Narrow"/>
          <w:sz w:val="24"/>
          <w:szCs w:val="24"/>
          <w:lang w:val="en-GB" w:eastAsia="en-GB"/>
        </w:rPr>
        <w:t>su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njihovi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krajnji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korisnici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korisnice</w:t>
      </w:r>
      <w:proofErr w:type="spellEnd"/>
      <w:r>
        <w:rPr>
          <w:rFonts w:ascii="Arial Narrow" w:hAnsi="Arial Narrow"/>
          <w:sz w:val="24"/>
          <w:szCs w:val="24"/>
          <w:lang w:val="en-GB" w:eastAsia="en-GB"/>
        </w:rPr>
        <w:t xml:space="preserve">. Za </w:t>
      </w:r>
      <w:proofErr w:type="spellStart"/>
      <w:r>
        <w:rPr>
          <w:rFonts w:ascii="Arial Narrow" w:hAnsi="Arial Narrow"/>
          <w:sz w:val="24"/>
          <w:szCs w:val="24"/>
          <w:lang w:val="en-GB" w:eastAsia="en-GB"/>
        </w:rPr>
        <w:t>ranjive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kategorije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društva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moramo</w:t>
      </w:r>
      <w:proofErr w:type="spellEnd"/>
      <w:r>
        <w:rPr>
          <w:rFonts w:ascii="Arial Narrow" w:hAnsi="Arial Narrow"/>
          <w:sz w:val="24"/>
          <w:szCs w:val="24"/>
          <w:lang w:val="en-GB" w:eastAsia="en-GB"/>
        </w:rPr>
        <w:t xml:space="preserve"> da </w:t>
      </w:r>
      <w:proofErr w:type="spellStart"/>
      <w:r>
        <w:rPr>
          <w:rFonts w:ascii="Arial Narrow" w:hAnsi="Arial Narrow"/>
          <w:sz w:val="24"/>
          <w:szCs w:val="24"/>
          <w:lang w:val="en-GB" w:eastAsia="en-GB"/>
        </w:rPr>
        <w:t>obezbijedimo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uslove</w:t>
      </w:r>
      <w:proofErr w:type="spellEnd"/>
      <w:r>
        <w:rPr>
          <w:rFonts w:ascii="Arial Narrow" w:hAnsi="Arial Narrow"/>
          <w:sz w:val="24"/>
          <w:szCs w:val="24"/>
          <w:lang w:val="en-GB" w:eastAsia="en-GB"/>
        </w:rPr>
        <w:t xml:space="preserve"> koji </w:t>
      </w:r>
      <w:proofErr w:type="spellStart"/>
      <w:r>
        <w:rPr>
          <w:rFonts w:ascii="Arial Narrow" w:hAnsi="Arial Narrow"/>
          <w:sz w:val="24"/>
          <w:szCs w:val="24"/>
          <w:lang w:val="en-GB" w:eastAsia="en-GB"/>
        </w:rPr>
        <w:t>će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omogućiti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pristojan</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život</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bolji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ekonomski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socijalni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položaj</w:t>
      </w:r>
      <w:proofErr w:type="spellEnd"/>
      <w:r>
        <w:rPr>
          <w:rFonts w:ascii="Arial Narrow" w:hAnsi="Arial Narrow"/>
          <w:sz w:val="24"/>
          <w:szCs w:val="24"/>
          <w:lang w:val="en-GB" w:eastAsia="en-GB"/>
        </w:rPr>
        <w:t xml:space="preserve">. </w:t>
      </w:r>
    </w:p>
    <w:p w14:paraId="635D00F7" w14:textId="77777777" w:rsidR="005E2B4E" w:rsidRPr="005E2B4E" w:rsidRDefault="00A31910" w:rsidP="005E2B4E">
      <w:pPr>
        <w:jc w:val="both"/>
        <w:rPr>
          <w:rFonts w:ascii="Arial Narrow" w:hAnsi="Arial Narrow"/>
          <w:sz w:val="24"/>
          <w:szCs w:val="24"/>
          <w:lang w:val="en-GB" w:eastAsia="en-GB"/>
        </w:rPr>
      </w:pPr>
      <w:r w:rsidRPr="00605A99">
        <w:rPr>
          <w:rFonts w:ascii="Arial Narrow" w:hAnsi="Arial Narrow"/>
          <w:b/>
          <w:bCs/>
          <w:noProof/>
          <w:lang w:val="en-US"/>
        </w:rPr>
        <w:drawing>
          <wp:anchor distT="0" distB="0" distL="114300" distR="114300" simplePos="0" relativeHeight="251693056" behindDoc="0" locked="0" layoutInCell="1" allowOverlap="1" wp14:anchorId="5DD6CA56" wp14:editId="141D206F">
            <wp:simplePos x="0" y="0"/>
            <wp:positionH relativeFrom="margin">
              <wp:align>left</wp:align>
            </wp:positionH>
            <wp:positionV relativeFrom="paragraph">
              <wp:posOffset>9131</wp:posOffset>
            </wp:positionV>
            <wp:extent cx="457200" cy="466725"/>
            <wp:effectExtent l="0" t="0" r="0" b="9525"/>
            <wp:wrapSquare wrapText="bothSides"/>
            <wp:docPr id="11" name="Picture 11" descr="EŽ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Ž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anchor>
        </w:drawing>
      </w:r>
      <w:r w:rsidR="005E2B4E" w:rsidRPr="005E2B4E">
        <w:rPr>
          <w:rFonts w:ascii="Arial Narrow" w:hAnsi="Arial Narrow"/>
          <w:sz w:val="24"/>
          <w:szCs w:val="24"/>
          <w:lang w:val="en-GB" w:eastAsia="en-GB"/>
        </w:rPr>
        <w:t xml:space="preserve">U </w:t>
      </w:r>
      <w:proofErr w:type="spellStart"/>
      <w:r w:rsidR="005E2B4E" w:rsidRPr="005E2B4E">
        <w:rPr>
          <w:rFonts w:ascii="Arial Narrow" w:hAnsi="Arial Narrow"/>
          <w:sz w:val="24"/>
          <w:szCs w:val="24"/>
          <w:lang w:val="en-GB" w:eastAsia="en-GB"/>
        </w:rPr>
        <w:t>narednom</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periodu</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fokus</w:t>
      </w:r>
      <w:proofErr w:type="spellEnd"/>
      <w:r w:rsidR="005E2B4E" w:rsidRPr="005E2B4E">
        <w:rPr>
          <w:rFonts w:ascii="Arial Narrow" w:hAnsi="Arial Narrow"/>
          <w:sz w:val="24"/>
          <w:szCs w:val="24"/>
          <w:lang w:val="en-GB" w:eastAsia="en-GB"/>
        </w:rPr>
        <w:t xml:space="preserve"> je </w:t>
      </w:r>
      <w:proofErr w:type="spellStart"/>
      <w:r w:rsidR="005E2B4E" w:rsidRPr="005E2B4E">
        <w:rPr>
          <w:rFonts w:ascii="Arial Narrow" w:hAnsi="Arial Narrow"/>
          <w:sz w:val="24"/>
          <w:szCs w:val="24"/>
          <w:lang w:val="en-GB" w:eastAsia="en-GB"/>
        </w:rPr>
        <w:t>na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razvojnoj</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ekonomskoj</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politici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unapređenju</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konkurentnosti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održivosti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javnih</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finansija</w:t>
      </w:r>
      <w:proofErr w:type="spellEnd"/>
      <w:r w:rsidR="005E2B4E" w:rsidRPr="005E2B4E">
        <w:rPr>
          <w:rFonts w:ascii="Arial Narrow" w:hAnsi="Arial Narrow"/>
          <w:sz w:val="24"/>
          <w:szCs w:val="24"/>
          <w:lang w:val="en-GB" w:eastAsia="en-GB"/>
        </w:rPr>
        <w:t>.</w:t>
      </w:r>
      <w:r w:rsid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Cilj</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nam</w:t>
      </w:r>
      <w:proofErr w:type="spellEnd"/>
      <w:r w:rsidR="005E2B4E" w:rsidRPr="005E2B4E">
        <w:rPr>
          <w:rFonts w:ascii="Arial Narrow" w:hAnsi="Arial Narrow"/>
          <w:sz w:val="24"/>
          <w:szCs w:val="24"/>
          <w:lang w:val="en-GB" w:eastAsia="en-GB"/>
        </w:rPr>
        <w:t xml:space="preserve"> je </w:t>
      </w:r>
      <w:proofErr w:type="spellStart"/>
      <w:r w:rsidR="005E2B4E" w:rsidRPr="005E2B4E">
        <w:rPr>
          <w:rFonts w:ascii="Arial Narrow" w:hAnsi="Arial Narrow"/>
          <w:sz w:val="24"/>
          <w:szCs w:val="24"/>
          <w:lang w:val="en-GB" w:eastAsia="en-GB"/>
        </w:rPr>
        <w:t>smanjenje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troškova</w:t>
      </w:r>
      <w:proofErr w:type="spellEnd"/>
      <w:r w:rsidR="005E2B4E" w:rsidRPr="005E2B4E">
        <w:rPr>
          <w:rFonts w:ascii="Arial Narrow" w:hAnsi="Arial Narrow"/>
          <w:sz w:val="24"/>
          <w:szCs w:val="24"/>
          <w:lang w:val="en-GB" w:eastAsia="en-GB"/>
        </w:rPr>
        <w:t xml:space="preserve"> u </w:t>
      </w:r>
      <w:proofErr w:type="spellStart"/>
      <w:r w:rsidR="005E2B4E" w:rsidRPr="005E2B4E">
        <w:rPr>
          <w:rFonts w:ascii="Arial Narrow" w:hAnsi="Arial Narrow"/>
          <w:sz w:val="24"/>
          <w:szCs w:val="24"/>
          <w:lang w:val="en-GB" w:eastAsia="en-GB"/>
        </w:rPr>
        <w:t>oblasti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javne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potrošnje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što</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će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podrazumijevati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više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rada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reda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odricanja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od</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privilegija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Takođe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podsticanje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prerađivačke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industrije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proizvodnje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hrane</w:t>
      </w:r>
      <w:proofErr w:type="spellEnd"/>
      <w:r w:rsidR="005E2B4E" w:rsidRPr="005E2B4E">
        <w:rPr>
          <w:rFonts w:ascii="Arial Narrow" w:hAnsi="Arial Narrow"/>
          <w:sz w:val="24"/>
          <w:szCs w:val="24"/>
          <w:lang w:val="en-GB" w:eastAsia="en-GB"/>
        </w:rPr>
        <w:t xml:space="preserve">, IT </w:t>
      </w:r>
      <w:proofErr w:type="spellStart"/>
      <w:r w:rsidR="005E2B4E" w:rsidRPr="005E2B4E">
        <w:rPr>
          <w:rFonts w:ascii="Arial Narrow" w:hAnsi="Arial Narrow"/>
          <w:sz w:val="24"/>
          <w:szCs w:val="24"/>
          <w:lang w:val="en-GB" w:eastAsia="en-GB"/>
        </w:rPr>
        <w:t>sektora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turizma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svih</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akcija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ekonomskog</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razvoja</w:t>
      </w:r>
      <w:proofErr w:type="spellEnd"/>
      <w:r w:rsidR="005E2B4E" w:rsidRPr="005E2B4E">
        <w:rPr>
          <w:rFonts w:ascii="Arial Narrow" w:hAnsi="Arial Narrow"/>
          <w:sz w:val="24"/>
          <w:szCs w:val="24"/>
          <w:lang w:val="en-GB" w:eastAsia="en-GB"/>
        </w:rPr>
        <w:t xml:space="preserve"> - </w:t>
      </w:r>
      <w:proofErr w:type="spellStart"/>
      <w:r w:rsidR="005E2B4E" w:rsidRPr="005E2B4E">
        <w:rPr>
          <w:rFonts w:ascii="Arial Narrow" w:hAnsi="Arial Narrow"/>
          <w:sz w:val="24"/>
          <w:szCs w:val="24"/>
          <w:lang w:val="en-GB" w:eastAsia="en-GB"/>
        </w:rPr>
        <w:t>onog</w:t>
      </w:r>
      <w:proofErr w:type="spellEnd"/>
      <w:r w:rsidR="005E2B4E" w:rsidRPr="005E2B4E">
        <w:rPr>
          <w:rFonts w:ascii="Arial Narrow" w:hAnsi="Arial Narrow"/>
          <w:sz w:val="24"/>
          <w:szCs w:val="24"/>
          <w:lang w:val="en-GB" w:eastAsia="en-GB"/>
        </w:rPr>
        <w:t xml:space="preserve"> koji je </w:t>
      </w:r>
      <w:proofErr w:type="spellStart"/>
      <w:r w:rsidR="005E2B4E" w:rsidRPr="005E2B4E">
        <w:rPr>
          <w:rFonts w:ascii="Arial Narrow" w:hAnsi="Arial Narrow"/>
          <w:sz w:val="24"/>
          <w:szCs w:val="24"/>
          <w:lang w:val="en-GB" w:eastAsia="en-GB"/>
        </w:rPr>
        <w:t>održiv</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inkluzivan</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baziran</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na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inovacijama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znanju</w:t>
      </w:r>
      <w:proofErr w:type="spellEnd"/>
      <w:r w:rsidR="005E2B4E" w:rsidRPr="005E2B4E">
        <w:rPr>
          <w:rFonts w:ascii="Arial Narrow" w:hAnsi="Arial Narrow"/>
          <w:sz w:val="24"/>
          <w:szCs w:val="24"/>
          <w:lang w:val="en-GB" w:eastAsia="en-GB"/>
        </w:rPr>
        <w:t>.</w:t>
      </w:r>
      <w:r>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Potrebno</w:t>
      </w:r>
      <w:proofErr w:type="spellEnd"/>
      <w:r w:rsidR="005E2B4E" w:rsidRPr="005E2B4E">
        <w:rPr>
          <w:rFonts w:ascii="Arial Narrow" w:hAnsi="Arial Narrow"/>
          <w:sz w:val="24"/>
          <w:szCs w:val="24"/>
          <w:lang w:val="en-GB" w:eastAsia="en-GB"/>
        </w:rPr>
        <w:t xml:space="preserve"> je </w:t>
      </w:r>
      <w:proofErr w:type="spellStart"/>
      <w:r w:rsidR="005E2B4E" w:rsidRPr="005E2B4E">
        <w:rPr>
          <w:rFonts w:ascii="Arial Narrow" w:hAnsi="Arial Narrow"/>
          <w:sz w:val="24"/>
          <w:szCs w:val="24"/>
          <w:lang w:val="en-GB" w:eastAsia="en-GB"/>
        </w:rPr>
        <w:t>usmjeriti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kapitalne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investicije</w:t>
      </w:r>
      <w:proofErr w:type="spellEnd"/>
      <w:r w:rsidR="005E2B4E" w:rsidRPr="005E2B4E">
        <w:rPr>
          <w:rFonts w:ascii="Arial Narrow" w:hAnsi="Arial Narrow"/>
          <w:sz w:val="24"/>
          <w:szCs w:val="24"/>
          <w:lang w:val="en-GB" w:eastAsia="en-GB"/>
        </w:rPr>
        <w:t xml:space="preserve"> u </w:t>
      </w:r>
      <w:proofErr w:type="spellStart"/>
      <w:r w:rsidR="005E2B4E" w:rsidRPr="005E2B4E">
        <w:rPr>
          <w:rFonts w:ascii="Arial Narrow" w:hAnsi="Arial Narrow"/>
          <w:sz w:val="24"/>
          <w:szCs w:val="24"/>
          <w:lang w:val="en-GB" w:eastAsia="en-GB"/>
        </w:rPr>
        <w:t>strateške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prioritete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Crne</w:t>
      </w:r>
      <w:proofErr w:type="spellEnd"/>
      <w:r w:rsidR="005E2B4E" w:rsidRPr="005E2B4E">
        <w:rPr>
          <w:rFonts w:ascii="Arial Narrow" w:hAnsi="Arial Narrow"/>
          <w:sz w:val="24"/>
          <w:szCs w:val="24"/>
          <w:lang w:val="en-GB" w:eastAsia="en-GB"/>
        </w:rPr>
        <w:t xml:space="preserve"> Gore - </w:t>
      </w:r>
      <w:proofErr w:type="spellStart"/>
      <w:r w:rsidR="005E2B4E" w:rsidRPr="005E2B4E">
        <w:rPr>
          <w:rFonts w:ascii="Arial Narrow" w:hAnsi="Arial Narrow"/>
          <w:sz w:val="24"/>
          <w:szCs w:val="24"/>
          <w:lang w:val="en-GB" w:eastAsia="en-GB"/>
        </w:rPr>
        <w:t>prije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svega</w:t>
      </w:r>
      <w:proofErr w:type="spellEnd"/>
      <w:r w:rsidR="005E2B4E" w:rsidRPr="005E2B4E">
        <w:rPr>
          <w:rFonts w:ascii="Arial Narrow" w:hAnsi="Arial Narrow"/>
          <w:sz w:val="24"/>
          <w:szCs w:val="24"/>
          <w:lang w:val="en-GB" w:eastAsia="en-GB"/>
        </w:rPr>
        <w:t xml:space="preserve"> u </w:t>
      </w:r>
      <w:proofErr w:type="spellStart"/>
      <w:r w:rsidR="005E2B4E" w:rsidRPr="005E2B4E">
        <w:rPr>
          <w:rFonts w:ascii="Arial Narrow" w:hAnsi="Arial Narrow"/>
          <w:sz w:val="24"/>
          <w:szCs w:val="24"/>
          <w:lang w:val="en-GB" w:eastAsia="en-GB"/>
        </w:rPr>
        <w:t>energetsku</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saobraćajnu</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infrastrukturu</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zatim</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unaprijediti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korporativno</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upravljanje</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državnim</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preduzećima</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i</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njihovu</w:t>
      </w:r>
      <w:proofErr w:type="spellEnd"/>
      <w:r w:rsidR="005E2B4E" w:rsidRPr="005E2B4E">
        <w:rPr>
          <w:rFonts w:ascii="Arial Narrow" w:hAnsi="Arial Narrow"/>
          <w:sz w:val="24"/>
          <w:szCs w:val="24"/>
          <w:lang w:val="en-GB" w:eastAsia="en-GB"/>
        </w:rPr>
        <w:t xml:space="preserve"> </w:t>
      </w:r>
      <w:proofErr w:type="spellStart"/>
      <w:r w:rsidR="005E2B4E" w:rsidRPr="005E2B4E">
        <w:rPr>
          <w:rFonts w:ascii="Arial Narrow" w:hAnsi="Arial Narrow"/>
          <w:sz w:val="24"/>
          <w:szCs w:val="24"/>
          <w:lang w:val="en-GB" w:eastAsia="en-GB"/>
        </w:rPr>
        <w:t>depolitizaciju</w:t>
      </w:r>
      <w:proofErr w:type="spellEnd"/>
      <w:r w:rsidR="005E2B4E" w:rsidRPr="005E2B4E">
        <w:rPr>
          <w:rFonts w:ascii="Arial Narrow" w:hAnsi="Arial Narrow"/>
          <w:sz w:val="24"/>
          <w:szCs w:val="24"/>
          <w:lang w:val="en-GB" w:eastAsia="en-GB"/>
        </w:rPr>
        <w:t>.</w:t>
      </w:r>
    </w:p>
    <w:p w14:paraId="01FAF733" w14:textId="77777777" w:rsidR="005E2B4E" w:rsidRDefault="005E2B4E" w:rsidP="005E2B4E">
      <w:pPr>
        <w:jc w:val="both"/>
        <w:rPr>
          <w:rFonts w:ascii="Arial Narrow" w:hAnsi="Arial Narrow"/>
          <w:sz w:val="24"/>
          <w:szCs w:val="24"/>
          <w:lang w:val="en-GB" w:eastAsia="en-GB"/>
        </w:rPr>
      </w:pPr>
      <w:proofErr w:type="spellStart"/>
      <w:r w:rsidRPr="005E2B4E">
        <w:rPr>
          <w:rFonts w:ascii="Arial Narrow" w:hAnsi="Arial Narrow"/>
          <w:sz w:val="24"/>
          <w:szCs w:val="24"/>
          <w:lang w:val="en-GB" w:eastAsia="en-GB"/>
        </w:rPr>
        <w:t>Cilj</w:t>
      </w:r>
      <w:proofErr w:type="spellEnd"/>
      <w:r w:rsidRPr="005E2B4E">
        <w:rPr>
          <w:rFonts w:ascii="Arial Narrow" w:hAnsi="Arial Narrow"/>
          <w:sz w:val="24"/>
          <w:szCs w:val="24"/>
          <w:lang w:val="en-GB" w:eastAsia="en-GB"/>
        </w:rPr>
        <w:t xml:space="preserve"> je </w:t>
      </w:r>
      <w:proofErr w:type="spellStart"/>
      <w:r w:rsidRPr="005E2B4E">
        <w:rPr>
          <w:rFonts w:ascii="Arial Narrow" w:hAnsi="Arial Narrow"/>
          <w:sz w:val="24"/>
          <w:szCs w:val="24"/>
          <w:lang w:val="en-GB" w:eastAsia="en-GB"/>
        </w:rPr>
        <w:t>takođe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promovisanje</w:t>
      </w:r>
      <w:proofErr w:type="spellEnd"/>
      <w:r w:rsidRPr="005E2B4E">
        <w:rPr>
          <w:rFonts w:ascii="Arial Narrow" w:hAnsi="Arial Narrow"/>
          <w:sz w:val="24"/>
          <w:szCs w:val="24"/>
          <w:lang w:val="en-GB" w:eastAsia="en-GB"/>
        </w:rPr>
        <w:t xml:space="preserve"> humane </w:t>
      </w:r>
      <w:proofErr w:type="spellStart"/>
      <w:r w:rsidRPr="005E2B4E">
        <w:rPr>
          <w:rFonts w:ascii="Arial Narrow" w:hAnsi="Arial Narrow"/>
          <w:sz w:val="24"/>
          <w:szCs w:val="24"/>
          <w:lang w:val="en-GB" w:eastAsia="en-GB"/>
        </w:rPr>
        <w:t>dualne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ekonomije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oslonjene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na</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porodična</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gazdinstva</w:t>
      </w:r>
      <w:proofErr w:type="spellEnd"/>
      <w:r w:rsidRPr="005E2B4E">
        <w:rPr>
          <w:rFonts w:ascii="Arial Narrow" w:hAnsi="Arial Narrow"/>
          <w:sz w:val="24"/>
          <w:szCs w:val="24"/>
          <w:lang w:val="en-GB" w:eastAsia="en-GB"/>
        </w:rPr>
        <w:t xml:space="preserve"> u </w:t>
      </w:r>
      <w:proofErr w:type="spellStart"/>
      <w:r w:rsidRPr="005E2B4E">
        <w:rPr>
          <w:rFonts w:ascii="Arial Narrow" w:hAnsi="Arial Narrow"/>
          <w:sz w:val="24"/>
          <w:szCs w:val="24"/>
          <w:lang w:val="en-GB" w:eastAsia="en-GB"/>
        </w:rPr>
        <w:t>sektorima</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poput</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poljoprivrede</w:t>
      </w:r>
      <w:proofErr w:type="spellEnd"/>
      <w:r w:rsidRPr="005E2B4E">
        <w:rPr>
          <w:rFonts w:ascii="Arial Narrow" w:hAnsi="Arial Narrow"/>
          <w:sz w:val="24"/>
          <w:szCs w:val="24"/>
          <w:lang w:val="en-GB" w:eastAsia="en-GB"/>
        </w:rPr>
        <w:t xml:space="preserve">, mini </w:t>
      </w:r>
      <w:proofErr w:type="spellStart"/>
      <w:r w:rsidRPr="005E2B4E">
        <w:rPr>
          <w:rFonts w:ascii="Arial Narrow" w:hAnsi="Arial Narrow"/>
          <w:sz w:val="24"/>
          <w:szCs w:val="24"/>
          <w:lang w:val="en-GB" w:eastAsia="en-GB"/>
        </w:rPr>
        <w:t>industrije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drvoprerade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turizma</w:t>
      </w:r>
      <w:proofErr w:type="spellEnd"/>
      <w:r w:rsidRPr="005E2B4E">
        <w:rPr>
          <w:rFonts w:ascii="Arial Narrow" w:hAnsi="Arial Narrow"/>
          <w:sz w:val="24"/>
          <w:szCs w:val="24"/>
          <w:lang w:val="en-GB" w:eastAsia="en-GB"/>
        </w:rPr>
        <w:t>.</w:t>
      </w:r>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Ojačaćemo</w:t>
      </w:r>
      <w:proofErr w:type="spellEnd"/>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poljoprivrednu</w:t>
      </w:r>
      <w:proofErr w:type="spellEnd"/>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proizvodnju</w:t>
      </w:r>
      <w:proofErr w:type="spellEnd"/>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i</w:t>
      </w:r>
      <w:proofErr w:type="spellEnd"/>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proizvodnju</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hrane</w:t>
      </w:r>
      <w:proofErr w:type="spellEnd"/>
      <w:r w:rsidR="00A31910" w:rsidRPr="004E2D59">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nastojati</w:t>
      </w:r>
      <w:proofErr w:type="spellEnd"/>
      <w:r w:rsidR="00A31910">
        <w:rPr>
          <w:rFonts w:ascii="Arial Narrow" w:hAnsi="Arial Narrow"/>
          <w:sz w:val="24"/>
          <w:szCs w:val="24"/>
          <w:lang w:val="en-GB" w:eastAsia="en-GB"/>
        </w:rPr>
        <w:t xml:space="preserve"> </w:t>
      </w:r>
      <w:r w:rsidR="00A31910" w:rsidRPr="004E2D59">
        <w:rPr>
          <w:rFonts w:ascii="Arial Narrow" w:hAnsi="Arial Narrow"/>
          <w:sz w:val="24"/>
          <w:szCs w:val="24"/>
          <w:lang w:val="en-GB" w:eastAsia="en-GB"/>
        </w:rPr>
        <w:t xml:space="preserve">da se u </w:t>
      </w:r>
      <w:proofErr w:type="spellStart"/>
      <w:r w:rsidR="00A31910" w:rsidRPr="004E2D59">
        <w:rPr>
          <w:rFonts w:ascii="Arial Narrow" w:hAnsi="Arial Narrow"/>
          <w:sz w:val="24"/>
          <w:szCs w:val="24"/>
          <w:lang w:val="en-GB" w:eastAsia="en-GB"/>
        </w:rPr>
        <w:t>šumarstvu</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okrenemo</w:t>
      </w:r>
      <w:proofErr w:type="spellEnd"/>
      <w:r w:rsidR="00A31910" w:rsidRPr="004E2D59">
        <w:rPr>
          <w:rFonts w:ascii="Arial Narrow" w:hAnsi="Arial Narrow"/>
          <w:sz w:val="24"/>
          <w:szCs w:val="24"/>
          <w:lang w:val="en-GB" w:eastAsia="en-GB"/>
        </w:rPr>
        <w:t xml:space="preserve"> ka </w:t>
      </w:r>
      <w:proofErr w:type="spellStart"/>
      <w:r w:rsidR="00A31910" w:rsidRPr="004E2D59">
        <w:rPr>
          <w:rFonts w:ascii="Arial Narrow" w:hAnsi="Arial Narrow"/>
          <w:sz w:val="24"/>
          <w:szCs w:val="24"/>
          <w:lang w:val="en-GB" w:eastAsia="en-GB"/>
        </w:rPr>
        <w:t>onim</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izvorima</w:t>
      </w:r>
      <w:proofErr w:type="spellEnd"/>
      <w:r w:rsidR="00A31910" w:rsidRPr="004E2D59">
        <w:rPr>
          <w:rFonts w:ascii="Arial Narrow" w:hAnsi="Arial Narrow"/>
          <w:sz w:val="24"/>
          <w:szCs w:val="24"/>
          <w:lang w:val="en-GB" w:eastAsia="en-GB"/>
        </w:rPr>
        <w:t xml:space="preserve"> koji </w:t>
      </w:r>
      <w:proofErr w:type="spellStart"/>
      <w:r w:rsidR="00A31910" w:rsidRPr="004E2D59">
        <w:rPr>
          <w:rFonts w:ascii="Arial Narrow" w:hAnsi="Arial Narrow"/>
          <w:sz w:val="24"/>
          <w:szCs w:val="24"/>
          <w:lang w:val="en-GB" w:eastAsia="en-GB"/>
        </w:rPr>
        <w:t>obezbjeđuju</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više</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i</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konkretnije</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i</w:t>
      </w:r>
      <w:proofErr w:type="spellEnd"/>
      <w:r w:rsidR="00A31910" w:rsidRPr="004E2D59">
        <w:rPr>
          <w:rFonts w:ascii="Arial Narrow" w:hAnsi="Arial Narrow"/>
          <w:sz w:val="24"/>
          <w:szCs w:val="24"/>
          <w:lang w:val="en-GB" w:eastAsia="en-GB"/>
        </w:rPr>
        <w:t xml:space="preserve"> da </w:t>
      </w:r>
      <w:proofErr w:type="spellStart"/>
      <w:r w:rsidR="00A31910" w:rsidRPr="004E2D59">
        <w:rPr>
          <w:rFonts w:ascii="Arial Narrow" w:hAnsi="Arial Narrow"/>
          <w:sz w:val="24"/>
          <w:szCs w:val="24"/>
          <w:lang w:val="en-GB" w:eastAsia="en-GB"/>
        </w:rPr>
        <w:t>unaprijedimo</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finalnu</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proizvodnju</w:t>
      </w:r>
      <w:proofErr w:type="spellEnd"/>
      <w:r w:rsidR="00A31910" w:rsidRPr="004E2D59">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Neophodno</w:t>
      </w:r>
      <w:proofErr w:type="spellEnd"/>
      <w:r w:rsidRPr="005E2B4E">
        <w:rPr>
          <w:rFonts w:ascii="Arial Narrow" w:hAnsi="Arial Narrow"/>
          <w:sz w:val="24"/>
          <w:szCs w:val="24"/>
          <w:lang w:val="en-GB" w:eastAsia="en-GB"/>
        </w:rPr>
        <w:t xml:space="preserve"> je </w:t>
      </w:r>
      <w:proofErr w:type="spellStart"/>
      <w:r w:rsidRPr="005E2B4E">
        <w:rPr>
          <w:rFonts w:ascii="Arial Narrow" w:hAnsi="Arial Narrow"/>
          <w:sz w:val="24"/>
          <w:szCs w:val="24"/>
          <w:lang w:val="en-GB" w:eastAsia="en-GB"/>
        </w:rPr>
        <w:t>utvrditi</w:t>
      </w:r>
      <w:proofErr w:type="spellEnd"/>
      <w:r w:rsidRPr="005E2B4E">
        <w:rPr>
          <w:rFonts w:ascii="Arial Narrow" w:hAnsi="Arial Narrow"/>
          <w:sz w:val="24"/>
          <w:szCs w:val="24"/>
          <w:lang w:val="en-GB" w:eastAsia="en-GB"/>
        </w:rPr>
        <w:t xml:space="preserve"> set </w:t>
      </w:r>
      <w:proofErr w:type="spellStart"/>
      <w:r w:rsidRPr="005E2B4E">
        <w:rPr>
          <w:rFonts w:ascii="Arial Narrow" w:hAnsi="Arial Narrow"/>
          <w:sz w:val="24"/>
          <w:szCs w:val="24"/>
          <w:lang w:val="en-GB" w:eastAsia="en-GB"/>
        </w:rPr>
        <w:t>mjera</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ekonomskog</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oporavka</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i</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podrške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oporavku</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privrede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nakon</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pandemije</w:t>
      </w:r>
      <w:proofErr w:type="spellEnd"/>
      <w:r w:rsidRPr="005E2B4E">
        <w:rPr>
          <w:rFonts w:ascii="Arial Narrow" w:hAnsi="Arial Narrow"/>
          <w:sz w:val="24"/>
          <w:szCs w:val="24"/>
          <w:lang w:val="en-GB" w:eastAsia="en-GB"/>
        </w:rPr>
        <w:t xml:space="preserve"> </w:t>
      </w:r>
      <w:proofErr w:type="spellStart"/>
      <w:r w:rsidRPr="005E2B4E">
        <w:rPr>
          <w:rFonts w:ascii="Arial Narrow" w:hAnsi="Arial Narrow"/>
          <w:sz w:val="24"/>
          <w:szCs w:val="24"/>
          <w:lang w:val="en-GB" w:eastAsia="en-GB"/>
        </w:rPr>
        <w:t>koronavirusa</w:t>
      </w:r>
      <w:proofErr w:type="spellEnd"/>
      <w:r w:rsidRPr="005E2B4E">
        <w:rPr>
          <w:rFonts w:ascii="Arial Narrow" w:hAnsi="Arial Narrow"/>
          <w:sz w:val="24"/>
          <w:szCs w:val="24"/>
          <w:lang w:val="en-GB" w:eastAsia="en-GB"/>
        </w:rPr>
        <w:t>.</w:t>
      </w:r>
    </w:p>
    <w:p w14:paraId="13EA0F7C" w14:textId="77777777" w:rsidR="005E2B4E" w:rsidRDefault="0015677D" w:rsidP="005E2B4E">
      <w:pPr>
        <w:jc w:val="both"/>
        <w:rPr>
          <w:rFonts w:ascii="Arial Narrow" w:hAnsi="Arial Narrow"/>
          <w:sz w:val="24"/>
          <w:szCs w:val="24"/>
          <w:lang w:val="en-GB" w:eastAsia="en-GB"/>
        </w:rPr>
      </w:pPr>
      <w:r w:rsidRPr="00605A99">
        <w:rPr>
          <w:rFonts w:ascii="Arial Narrow" w:hAnsi="Arial Narrow"/>
          <w:b/>
          <w:bCs/>
          <w:noProof/>
          <w:lang w:val="en-US"/>
        </w:rPr>
        <w:drawing>
          <wp:anchor distT="0" distB="0" distL="114300" distR="114300" simplePos="0" relativeHeight="251695104" behindDoc="0" locked="0" layoutInCell="1" allowOverlap="1" wp14:anchorId="3C71F7F9" wp14:editId="7B42E764">
            <wp:simplePos x="0" y="0"/>
            <wp:positionH relativeFrom="margin">
              <wp:align>left</wp:align>
            </wp:positionH>
            <wp:positionV relativeFrom="paragraph">
              <wp:posOffset>5306</wp:posOffset>
            </wp:positionV>
            <wp:extent cx="504825" cy="479425"/>
            <wp:effectExtent l="0" t="0" r="9525" b="0"/>
            <wp:wrapSquare wrapText="bothSides"/>
            <wp:docPr id="12" name="Picture 12" descr="Z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5E2B4E" w:rsidRPr="00A31910">
        <w:rPr>
          <w:rFonts w:ascii="Arial Narrow" w:hAnsi="Arial Narrow"/>
          <w:sz w:val="24"/>
          <w:szCs w:val="24"/>
          <w:lang w:val="en-GB" w:eastAsia="en-GB"/>
        </w:rPr>
        <w:t>Jedan</w:t>
      </w:r>
      <w:proofErr w:type="spellEnd"/>
      <w:r w:rsidR="005E2B4E" w:rsidRPr="00A31910">
        <w:rPr>
          <w:rFonts w:ascii="Arial Narrow" w:hAnsi="Arial Narrow"/>
          <w:sz w:val="24"/>
          <w:szCs w:val="24"/>
          <w:lang w:val="en-GB" w:eastAsia="en-GB"/>
        </w:rPr>
        <w:t xml:space="preserve"> od </w:t>
      </w:r>
      <w:proofErr w:type="spellStart"/>
      <w:r w:rsidR="005E2B4E" w:rsidRPr="00A31910">
        <w:rPr>
          <w:rFonts w:ascii="Arial Narrow" w:hAnsi="Arial Narrow"/>
          <w:sz w:val="24"/>
          <w:szCs w:val="24"/>
          <w:lang w:val="en-GB" w:eastAsia="en-GB"/>
        </w:rPr>
        <w:t>prioriteta</w:t>
      </w:r>
      <w:proofErr w:type="spellEnd"/>
      <w:r w:rsidR="005E2B4E" w:rsidRPr="00A31910">
        <w:rPr>
          <w:rFonts w:ascii="Arial Narrow" w:hAnsi="Arial Narrow"/>
          <w:sz w:val="24"/>
          <w:szCs w:val="24"/>
          <w:lang w:val="en-GB" w:eastAsia="en-GB"/>
        </w:rPr>
        <w:t xml:space="preserve"> Vlade u </w:t>
      </w:r>
      <w:proofErr w:type="spellStart"/>
      <w:r w:rsidR="005E2B4E" w:rsidRPr="00A31910">
        <w:rPr>
          <w:rFonts w:ascii="Arial Narrow" w:hAnsi="Arial Narrow"/>
          <w:sz w:val="24"/>
          <w:szCs w:val="24"/>
          <w:lang w:val="en-GB" w:eastAsia="en-GB"/>
        </w:rPr>
        <w:t>narednom</w:t>
      </w:r>
      <w:proofErr w:type="spellEnd"/>
      <w:r w:rsidR="005E2B4E" w:rsidRPr="00A31910">
        <w:rPr>
          <w:rFonts w:ascii="Arial Narrow" w:hAnsi="Arial Narrow"/>
          <w:sz w:val="24"/>
          <w:szCs w:val="24"/>
          <w:lang w:val="en-GB" w:eastAsia="en-GB"/>
        </w:rPr>
        <w:t xml:space="preserve"> </w:t>
      </w:r>
      <w:proofErr w:type="spellStart"/>
      <w:r w:rsidR="005E2B4E" w:rsidRPr="00A31910">
        <w:rPr>
          <w:rFonts w:ascii="Arial Narrow" w:hAnsi="Arial Narrow"/>
          <w:sz w:val="24"/>
          <w:szCs w:val="24"/>
          <w:lang w:val="en-GB" w:eastAsia="en-GB"/>
        </w:rPr>
        <w:t>periodu</w:t>
      </w:r>
      <w:proofErr w:type="spellEnd"/>
      <w:r w:rsidR="005E2B4E" w:rsidRPr="00A31910">
        <w:rPr>
          <w:rFonts w:ascii="Arial Narrow" w:hAnsi="Arial Narrow"/>
          <w:sz w:val="24"/>
          <w:szCs w:val="24"/>
          <w:lang w:val="en-GB" w:eastAsia="en-GB"/>
        </w:rPr>
        <w:t xml:space="preserve"> je </w:t>
      </w:r>
      <w:proofErr w:type="spellStart"/>
      <w:r w:rsidR="005E2B4E" w:rsidRPr="00A31910">
        <w:rPr>
          <w:rFonts w:ascii="Arial Narrow" w:hAnsi="Arial Narrow"/>
          <w:sz w:val="24"/>
          <w:szCs w:val="24"/>
          <w:lang w:val="en-GB" w:eastAsia="en-GB"/>
        </w:rPr>
        <w:t>i</w:t>
      </w:r>
      <w:proofErr w:type="spellEnd"/>
      <w:r w:rsidR="005E2B4E" w:rsidRPr="00A31910">
        <w:rPr>
          <w:rFonts w:ascii="Arial Narrow" w:hAnsi="Arial Narrow"/>
          <w:sz w:val="24"/>
          <w:szCs w:val="24"/>
          <w:lang w:val="en-GB" w:eastAsia="en-GB"/>
        </w:rPr>
        <w:t xml:space="preserve"> </w:t>
      </w:r>
      <w:proofErr w:type="spellStart"/>
      <w:r w:rsidR="005E2B4E" w:rsidRPr="00A31910">
        <w:rPr>
          <w:rFonts w:ascii="Arial Narrow" w:hAnsi="Arial Narrow"/>
          <w:sz w:val="24"/>
          <w:szCs w:val="24"/>
          <w:lang w:val="en-GB" w:eastAsia="en-GB"/>
        </w:rPr>
        <w:t>zdrava</w:t>
      </w:r>
      <w:proofErr w:type="spellEnd"/>
      <w:r w:rsidR="005E2B4E" w:rsidRPr="00A31910">
        <w:rPr>
          <w:rFonts w:ascii="Arial Narrow" w:hAnsi="Arial Narrow"/>
          <w:sz w:val="24"/>
          <w:szCs w:val="24"/>
          <w:lang w:val="en-GB" w:eastAsia="en-GB"/>
        </w:rPr>
        <w:t xml:space="preserve"> </w:t>
      </w:r>
      <w:proofErr w:type="spellStart"/>
      <w:r w:rsidR="005E2B4E" w:rsidRPr="00A31910">
        <w:rPr>
          <w:rFonts w:ascii="Arial Narrow" w:hAnsi="Arial Narrow"/>
          <w:sz w:val="24"/>
          <w:szCs w:val="24"/>
          <w:lang w:val="en-GB" w:eastAsia="en-GB"/>
        </w:rPr>
        <w:t>životna</w:t>
      </w:r>
      <w:proofErr w:type="spellEnd"/>
      <w:r w:rsidR="005E2B4E" w:rsidRPr="00A31910">
        <w:rPr>
          <w:rFonts w:ascii="Arial Narrow" w:hAnsi="Arial Narrow"/>
          <w:sz w:val="24"/>
          <w:szCs w:val="24"/>
          <w:lang w:val="en-GB" w:eastAsia="en-GB"/>
        </w:rPr>
        <w:t xml:space="preserve"> </w:t>
      </w:r>
      <w:proofErr w:type="spellStart"/>
      <w:r w:rsidR="005E2B4E" w:rsidRPr="00A31910">
        <w:rPr>
          <w:rFonts w:ascii="Arial Narrow" w:hAnsi="Arial Narrow"/>
          <w:sz w:val="24"/>
          <w:szCs w:val="24"/>
          <w:lang w:val="en-GB" w:eastAsia="en-GB"/>
        </w:rPr>
        <w:t>sredina</w:t>
      </w:r>
      <w:proofErr w:type="spellEnd"/>
      <w:r w:rsidR="005E2B4E" w:rsidRPr="00A31910">
        <w:rPr>
          <w:rFonts w:ascii="Arial Narrow" w:hAnsi="Arial Narrow"/>
          <w:sz w:val="24"/>
          <w:szCs w:val="24"/>
          <w:lang w:val="en-GB" w:eastAsia="en-GB"/>
        </w:rPr>
        <w:t xml:space="preserve"> </w:t>
      </w:r>
      <w:proofErr w:type="spellStart"/>
      <w:r w:rsidR="005E2B4E" w:rsidRPr="00A31910">
        <w:rPr>
          <w:rFonts w:ascii="Arial Narrow" w:hAnsi="Arial Narrow"/>
          <w:sz w:val="24"/>
          <w:szCs w:val="24"/>
          <w:lang w:val="en-GB" w:eastAsia="en-GB"/>
        </w:rPr>
        <w:t>i</w:t>
      </w:r>
      <w:proofErr w:type="spellEnd"/>
      <w:r w:rsidR="005E2B4E" w:rsidRPr="00A31910">
        <w:rPr>
          <w:rFonts w:ascii="Arial Narrow" w:hAnsi="Arial Narrow"/>
          <w:sz w:val="24"/>
          <w:szCs w:val="24"/>
          <w:lang w:val="en-GB" w:eastAsia="en-GB"/>
        </w:rPr>
        <w:t xml:space="preserve"> </w:t>
      </w:r>
      <w:proofErr w:type="spellStart"/>
      <w:r w:rsidR="005E2B4E" w:rsidRPr="00A31910">
        <w:rPr>
          <w:rFonts w:ascii="Arial Narrow" w:hAnsi="Arial Narrow"/>
          <w:sz w:val="24"/>
          <w:szCs w:val="24"/>
          <w:lang w:val="en-GB" w:eastAsia="en-GB"/>
        </w:rPr>
        <w:t>doprinos</w:t>
      </w:r>
      <w:proofErr w:type="spellEnd"/>
      <w:r w:rsidR="005E2B4E" w:rsidRPr="00A31910">
        <w:rPr>
          <w:rFonts w:ascii="Arial Narrow" w:hAnsi="Arial Narrow"/>
          <w:sz w:val="24"/>
          <w:szCs w:val="24"/>
          <w:lang w:val="en-GB" w:eastAsia="en-GB"/>
        </w:rPr>
        <w:t xml:space="preserve"> u </w:t>
      </w:r>
      <w:proofErr w:type="spellStart"/>
      <w:r w:rsidR="005E2B4E" w:rsidRPr="00A31910">
        <w:rPr>
          <w:rFonts w:ascii="Arial Narrow" w:hAnsi="Arial Narrow"/>
          <w:sz w:val="24"/>
          <w:szCs w:val="24"/>
          <w:lang w:val="en-GB" w:eastAsia="en-GB"/>
        </w:rPr>
        <w:t>borbi</w:t>
      </w:r>
      <w:proofErr w:type="spellEnd"/>
      <w:r w:rsidR="005E2B4E" w:rsidRPr="00A31910">
        <w:rPr>
          <w:rFonts w:ascii="Arial Narrow" w:hAnsi="Arial Narrow"/>
          <w:sz w:val="24"/>
          <w:szCs w:val="24"/>
          <w:lang w:val="en-GB" w:eastAsia="en-GB"/>
        </w:rPr>
        <w:t xml:space="preserve"> </w:t>
      </w:r>
      <w:proofErr w:type="spellStart"/>
      <w:r w:rsidR="005E2B4E" w:rsidRPr="00A31910">
        <w:rPr>
          <w:rFonts w:ascii="Arial Narrow" w:hAnsi="Arial Narrow"/>
          <w:sz w:val="24"/>
          <w:szCs w:val="24"/>
          <w:lang w:val="en-GB" w:eastAsia="en-GB"/>
        </w:rPr>
        <w:t>protiv</w:t>
      </w:r>
      <w:proofErr w:type="spellEnd"/>
      <w:r w:rsidR="005E2B4E" w:rsidRPr="00A31910">
        <w:rPr>
          <w:rFonts w:ascii="Arial Narrow" w:hAnsi="Arial Narrow"/>
          <w:sz w:val="24"/>
          <w:szCs w:val="24"/>
          <w:lang w:val="en-GB" w:eastAsia="en-GB"/>
        </w:rPr>
        <w:t xml:space="preserve"> </w:t>
      </w:r>
      <w:proofErr w:type="spellStart"/>
      <w:r w:rsidR="005E2B4E" w:rsidRPr="00A31910">
        <w:rPr>
          <w:rFonts w:ascii="Arial Narrow" w:hAnsi="Arial Narrow"/>
          <w:sz w:val="24"/>
          <w:szCs w:val="24"/>
          <w:lang w:val="en-GB" w:eastAsia="en-GB"/>
        </w:rPr>
        <w:t>naglih</w:t>
      </w:r>
      <w:proofErr w:type="spellEnd"/>
      <w:r w:rsidR="005E2B4E" w:rsidRPr="00A31910">
        <w:rPr>
          <w:rFonts w:ascii="Arial Narrow" w:hAnsi="Arial Narrow"/>
          <w:sz w:val="24"/>
          <w:szCs w:val="24"/>
          <w:lang w:val="en-GB" w:eastAsia="en-GB"/>
        </w:rPr>
        <w:t xml:space="preserve"> </w:t>
      </w:r>
      <w:proofErr w:type="spellStart"/>
      <w:r w:rsidR="005E2B4E" w:rsidRPr="00A31910">
        <w:rPr>
          <w:rFonts w:ascii="Arial Narrow" w:hAnsi="Arial Narrow"/>
          <w:sz w:val="24"/>
          <w:szCs w:val="24"/>
          <w:lang w:val="en-GB" w:eastAsia="en-GB"/>
        </w:rPr>
        <w:t>klimatskih</w:t>
      </w:r>
      <w:proofErr w:type="spellEnd"/>
      <w:r w:rsidR="005E2B4E" w:rsidRPr="00A31910">
        <w:rPr>
          <w:rFonts w:ascii="Arial Narrow" w:hAnsi="Arial Narrow"/>
          <w:sz w:val="24"/>
          <w:szCs w:val="24"/>
          <w:lang w:val="en-GB" w:eastAsia="en-GB"/>
        </w:rPr>
        <w:t xml:space="preserve"> </w:t>
      </w:r>
      <w:proofErr w:type="spellStart"/>
      <w:r w:rsidR="005E2B4E" w:rsidRPr="00A31910">
        <w:rPr>
          <w:rFonts w:ascii="Arial Narrow" w:hAnsi="Arial Narrow"/>
          <w:sz w:val="24"/>
          <w:szCs w:val="24"/>
          <w:lang w:val="en-GB" w:eastAsia="en-GB"/>
        </w:rPr>
        <w:t>promjena</w:t>
      </w:r>
      <w:proofErr w:type="spellEnd"/>
      <w:r w:rsidR="005E2B4E" w:rsidRPr="00A31910">
        <w:rPr>
          <w:rFonts w:ascii="Arial Narrow" w:hAnsi="Arial Narrow"/>
          <w:sz w:val="24"/>
          <w:szCs w:val="24"/>
          <w:lang w:val="en-GB" w:eastAsia="en-GB"/>
        </w:rPr>
        <w:t>.</w:t>
      </w:r>
      <w:r w:rsidR="00A31910">
        <w:rPr>
          <w:rFonts w:ascii="Arial Narrow" w:hAnsi="Arial Narrow"/>
          <w:sz w:val="24"/>
          <w:szCs w:val="24"/>
          <w:lang w:val="en-GB" w:eastAsia="en-GB"/>
        </w:rPr>
        <w:t xml:space="preserve"> </w:t>
      </w:r>
      <w:r w:rsidR="005E2B4E" w:rsidRPr="00A31910">
        <w:rPr>
          <w:rFonts w:ascii="Arial Narrow" w:hAnsi="Arial Narrow"/>
          <w:sz w:val="24"/>
          <w:szCs w:val="24"/>
          <w:lang w:val="en-GB" w:eastAsia="en-GB"/>
        </w:rPr>
        <w:t xml:space="preserve">U tom </w:t>
      </w:r>
      <w:proofErr w:type="spellStart"/>
      <w:r w:rsidR="005E2B4E" w:rsidRPr="00A31910">
        <w:rPr>
          <w:rFonts w:ascii="Arial Narrow" w:hAnsi="Arial Narrow"/>
          <w:sz w:val="24"/>
          <w:szCs w:val="24"/>
          <w:lang w:val="en-GB" w:eastAsia="en-GB"/>
        </w:rPr>
        <w:t>pravcu</w:t>
      </w:r>
      <w:proofErr w:type="spellEnd"/>
      <w:r w:rsidR="005E2B4E" w:rsidRPr="00A31910">
        <w:rPr>
          <w:rFonts w:ascii="Arial Narrow" w:hAnsi="Arial Narrow"/>
          <w:sz w:val="24"/>
          <w:szCs w:val="24"/>
          <w:lang w:val="en-GB" w:eastAsia="en-GB"/>
        </w:rPr>
        <w:t xml:space="preserve"> </w:t>
      </w:r>
      <w:proofErr w:type="spellStart"/>
      <w:r w:rsidR="005E2B4E" w:rsidRPr="00A31910">
        <w:rPr>
          <w:rFonts w:ascii="Arial Narrow" w:hAnsi="Arial Narrow"/>
          <w:sz w:val="24"/>
          <w:szCs w:val="24"/>
          <w:lang w:val="en-GB" w:eastAsia="en-GB"/>
        </w:rPr>
        <w:t>cilj</w:t>
      </w:r>
      <w:proofErr w:type="spellEnd"/>
      <w:r w:rsidR="005E2B4E" w:rsidRPr="00A31910">
        <w:rPr>
          <w:rFonts w:ascii="Arial Narrow" w:hAnsi="Arial Narrow"/>
          <w:sz w:val="24"/>
          <w:szCs w:val="24"/>
          <w:lang w:val="en-GB" w:eastAsia="en-GB"/>
        </w:rPr>
        <w:t xml:space="preserve"> je</w:t>
      </w:r>
      <w:r w:rsidR="005E2B4E">
        <w:rPr>
          <w:rFonts w:ascii="Arial Narrow" w:hAnsi="Arial Narrow"/>
          <w:sz w:val="24"/>
          <w:szCs w:val="24"/>
          <w:lang w:val="en-GB" w:eastAsia="en-GB"/>
        </w:rPr>
        <w:t xml:space="preserve"> </w:t>
      </w:r>
      <w:proofErr w:type="spellStart"/>
      <w:r w:rsidR="005E2B4E">
        <w:rPr>
          <w:rFonts w:ascii="Arial Narrow" w:hAnsi="Arial Narrow"/>
          <w:sz w:val="24"/>
          <w:szCs w:val="24"/>
          <w:lang w:val="en-GB" w:eastAsia="en-GB"/>
        </w:rPr>
        <w:t>p</w:t>
      </w:r>
      <w:r w:rsidR="005E2B4E" w:rsidRPr="005E390A">
        <w:rPr>
          <w:rFonts w:ascii="Arial Narrow" w:hAnsi="Arial Narrow"/>
          <w:sz w:val="24"/>
          <w:szCs w:val="24"/>
          <w:lang w:val="en-GB" w:eastAsia="en-GB"/>
        </w:rPr>
        <w:t>romovisanje</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i</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obezbjeđenje</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infrastrukture</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i</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mjera</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usmjerenih</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na</w:t>
      </w:r>
      <w:proofErr w:type="spellEnd"/>
      <w:r w:rsidR="005E2B4E" w:rsidRPr="005E390A">
        <w:rPr>
          <w:rFonts w:ascii="Arial Narrow" w:hAnsi="Arial Narrow"/>
          <w:sz w:val="24"/>
          <w:szCs w:val="24"/>
          <w:lang w:val="en-GB" w:eastAsia="en-GB"/>
        </w:rPr>
        <w:t xml:space="preserve"> to da </w:t>
      </w:r>
      <w:proofErr w:type="spellStart"/>
      <w:r w:rsidR="005E2B4E" w:rsidRPr="005E390A">
        <w:rPr>
          <w:rFonts w:ascii="Arial Narrow" w:hAnsi="Arial Narrow"/>
          <w:sz w:val="24"/>
          <w:szCs w:val="24"/>
          <w:lang w:val="en-GB" w:eastAsia="en-GB"/>
        </w:rPr>
        <w:t>Crna</w:t>
      </w:r>
      <w:proofErr w:type="spellEnd"/>
      <w:r w:rsidR="005E2B4E" w:rsidRPr="005E390A">
        <w:rPr>
          <w:rFonts w:ascii="Arial Narrow" w:hAnsi="Arial Narrow"/>
          <w:sz w:val="24"/>
          <w:szCs w:val="24"/>
          <w:lang w:val="en-GB" w:eastAsia="en-GB"/>
        </w:rPr>
        <w:t xml:space="preserve"> Gora </w:t>
      </w:r>
      <w:proofErr w:type="spellStart"/>
      <w:r w:rsidR="005E2B4E" w:rsidRPr="005E390A">
        <w:rPr>
          <w:rFonts w:ascii="Arial Narrow" w:hAnsi="Arial Narrow"/>
          <w:sz w:val="24"/>
          <w:szCs w:val="24"/>
          <w:lang w:val="en-GB" w:eastAsia="en-GB"/>
        </w:rPr>
        <w:t>p</w:t>
      </w:r>
      <w:r w:rsidR="005E2B4E">
        <w:rPr>
          <w:rFonts w:ascii="Arial Narrow" w:hAnsi="Arial Narrow"/>
          <w:sz w:val="24"/>
          <w:szCs w:val="24"/>
          <w:lang w:val="en-GB" w:eastAsia="en-GB"/>
        </w:rPr>
        <w:t>ostane</w:t>
      </w:r>
      <w:proofErr w:type="spellEnd"/>
      <w:r w:rsidR="005E2B4E">
        <w:rPr>
          <w:rFonts w:ascii="Arial Narrow" w:hAnsi="Arial Narrow"/>
          <w:sz w:val="24"/>
          <w:szCs w:val="24"/>
          <w:lang w:val="en-GB" w:eastAsia="en-GB"/>
        </w:rPr>
        <w:t xml:space="preserve"> </w:t>
      </w:r>
      <w:proofErr w:type="spellStart"/>
      <w:r w:rsidR="005E2B4E">
        <w:rPr>
          <w:rFonts w:ascii="Arial Narrow" w:hAnsi="Arial Narrow"/>
          <w:sz w:val="24"/>
          <w:szCs w:val="24"/>
          <w:lang w:val="en-GB" w:eastAsia="en-GB"/>
        </w:rPr>
        <w:t>istinski</w:t>
      </w:r>
      <w:proofErr w:type="spellEnd"/>
      <w:r w:rsidR="005E2B4E">
        <w:rPr>
          <w:rFonts w:ascii="Arial Narrow" w:hAnsi="Arial Narrow"/>
          <w:sz w:val="24"/>
          <w:szCs w:val="24"/>
          <w:lang w:val="en-GB" w:eastAsia="en-GB"/>
        </w:rPr>
        <w:t xml:space="preserve"> </w:t>
      </w:r>
      <w:proofErr w:type="spellStart"/>
      <w:r w:rsidR="005E2B4E">
        <w:rPr>
          <w:rFonts w:ascii="Arial Narrow" w:hAnsi="Arial Narrow"/>
          <w:sz w:val="24"/>
          <w:szCs w:val="24"/>
          <w:lang w:val="en-GB" w:eastAsia="en-GB"/>
        </w:rPr>
        <w:t>ekološka</w:t>
      </w:r>
      <w:proofErr w:type="spellEnd"/>
      <w:r w:rsidR="005E2B4E">
        <w:rPr>
          <w:rFonts w:ascii="Arial Narrow" w:hAnsi="Arial Narrow"/>
          <w:sz w:val="24"/>
          <w:szCs w:val="24"/>
          <w:lang w:val="en-GB" w:eastAsia="en-GB"/>
        </w:rPr>
        <w:t xml:space="preserve"> </w:t>
      </w:r>
      <w:proofErr w:type="spellStart"/>
      <w:r w:rsidR="005E2B4E">
        <w:rPr>
          <w:rFonts w:ascii="Arial Narrow" w:hAnsi="Arial Narrow"/>
          <w:sz w:val="24"/>
          <w:szCs w:val="24"/>
          <w:lang w:val="en-GB" w:eastAsia="en-GB"/>
        </w:rPr>
        <w:t>država</w:t>
      </w:r>
      <w:proofErr w:type="spellEnd"/>
      <w:r w:rsidR="005E2B4E">
        <w:rPr>
          <w:rFonts w:ascii="Arial Narrow" w:hAnsi="Arial Narrow"/>
          <w:sz w:val="24"/>
          <w:szCs w:val="24"/>
          <w:lang w:val="en-GB" w:eastAsia="en-GB"/>
        </w:rPr>
        <w:t>.</w:t>
      </w:r>
      <w:r w:rsidR="005E2B4E" w:rsidRPr="00FF0A4E">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Cilj</w:t>
      </w:r>
      <w:proofErr w:type="spellEnd"/>
      <w:r w:rsidR="00A31910" w:rsidRPr="00A31910">
        <w:rPr>
          <w:rFonts w:ascii="Arial Narrow" w:hAnsi="Arial Narrow"/>
          <w:sz w:val="24"/>
          <w:szCs w:val="24"/>
          <w:lang w:val="en-GB" w:eastAsia="en-GB"/>
        </w:rPr>
        <w:t xml:space="preserve"> je </w:t>
      </w:r>
      <w:proofErr w:type="spellStart"/>
      <w:r w:rsidR="00A31910" w:rsidRPr="00A31910">
        <w:rPr>
          <w:rFonts w:ascii="Arial Narrow" w:hAnsi="Arial Narrow"/>
          <w:sz w:val="24"/>
          <w:szCs w:val="24"/>
          <w:lang w:val="en-GB" w:eastAsia="en-GB"/>
        </w:rPr>
        <w:t>sprovođenje</w:t>
      </w:r>
      <w:proofErr w:type="spellEnd"/>
      <w:r w:rsidR="00A31910" w:rsidRPr="00A31910">
        <w:rPr>
          <w:rFonts w:ascii="Arial Narrow" w:hAnsi="Arial Narrow"/>
          <w:sz w:val="24"/>
          <w:szCs w:val="24"/>
          <w:lang w:val="en-GB" w:eastAsia="en-GB"/>
        </w:rPr>
        <w:t xml:space="preserve"> seta </w:t>
      </w:r>
      <w:proofErr w:type="spellStart"/>
      <w:r w:rsidR="00A31910" w:rsidRPr="00A31910">
        <w:rPr>
          <w:rFonts w:ascii="Arial Narrow" w:hAnsi="Arial Narrow"/>
          <w:sz w:val="24"/>
          <w:szCs w:val="24"/>
          <w:lang w:val="en-GB" w:eastAsia="en-GB"/>
        </w:rPr>
        <w:t>mjera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iz</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oblasti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zaštite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životne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sredine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sa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ciljem</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brendiranja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Crne</w:t>
      </w:r>
      <w:proofErr w:type="spellEnd"/>
      <w:r w:rsidR="00A31910" w:rsidRPr="00A31910">
        <w:rPr>
          <w:rFonts w:ascii="Arial Narrow" w:hAnsi="Arial Narrow"/>
          <w:sz w:val="24"/>
          <w:szCs w:val="24"/>
          <w:lang w:val="en-GB" w:eastAsia="en-GB"/>
        </w:rPr>
        <w:t xml:space="preserve"> Gore </w:t>
      </w:r>
      <w:proofErr w:type="spellStart"/>
      <w:r w:rsidR="00A31910" w:rsidRPr="00A31910">
        <w:rPr>
          <w:rFonts w:ascii="Arial Narrow" w:hAnsi="Arial Narrow"/>
          <w:sz w:val="24"/>
          <w:szCs w:val="24"/>
          <w:lang w:val="en-GB" w:eastAsia="en-GB"/>
        </w:rPr>
        <w:t>kao</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istinske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ekološke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države</w:t>
      </w:r>
      <w:proofErr w:type="spellEnd"/>
      <w:r w:rsidR="00A31910" w:rsidRPr="00A31910">
        <w:rPr>
          <w:rFonts w:ascii="Arial Narrow" w:hAnsi="Arial Narrow"/>
          <w:sz w:val="24"/>
          <w:szCs w:val="24"/>
          <w:lang w:val="en-GB" w:eastAsia="en-GB"/>
        </w:rPr>
        <w:t>.</w:t>
      </w:r>
      <w:r w:rsidR="00A31910">
        <w:rPr>
          <w:rFonts w:ascii="Arial Narrow" w:hAnsi="Arial Narrow"/>
          <w:sz w:val="24"/>
          <w:szCs w:val="24"/>
          <w:lang w:val="en-GB" w:eastAsia="en-GB"/>
        </w:rPr>
        <w:t xml:space="preserve"> </w:t>
      </w:r>
      <w:r w:rsidR="00A31910" w:rsidRPr="00A31910">
        <w:rPr>
          <w:rFonts w:ascii="Arial Narrow" w:hAnsi="Arial Narrow"/>
          <w:sz w:val="24"/>
          <w:szCs w:val="24"/>
          <w:lang w:val="en-GB" w:eastAsia="en-GB"/>
        </w:rPr>
        <w:t xml:space="preserve">Plan Vlade je </w:t>
      </w:r>
      <w:proofErr w:type="spellStart"/>
      <w:r w:rsidR="00A31910" w:rsidRPr="00A31910">
        <w:rPr>
          <w:rFonts w:ascii="Arial Narrow" w:hAnsi="Arial Narrow"/>
          <w:sz w:val="24"/>
          <w:szCs w:val="24"/>
          <w:lang w:val="en-GB" w:eastAsia="en-GB"/>
        </w:rPr>
        <w:t>podizanje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svijesti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građana</w:t>
      </w:r>
      <w:proofErr w:type="spellEnd"/>
      <w:r w:rsidR="00A31910" w:rsidRPr="00A31910">
        <w:rPr>
          <w:rFonts w:ascii="Arial Narrow" w:hAnsi="Arial Narrow"/>
          <w:sz w:val="24"/>
          <w:szCs w:val="24"/>
          <w:lang w:val="en-GB" w:eastAsia="en-GB"/>
        </w:rPr>
        <w:t xml:space="preserve"> o </w:t>
      </w:r>
      <w:proofErr w:type="spellStart"/>
      <w:r w:rsidR="00A31910" w:rsidRPr="00A31910">
        <w:rPr>
          <w:rFonts w:ascii="Arial Narrow" w:hAnsi="Arial Narrow"/>
          <w:sz w:val="24"/>
          <w:szCs w:val="24"/>
          <w:lang w:val="en-GB" w:eastAsia="en-GB"/>
        </w:rPr>
        <w:t>očuvanju</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zaštiti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životne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sredine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podržavanje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mjera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akcija</w:t>
      </w:r>
      <w:proofErr w:type="spellEnd"/>
      <w:r w:rsidR="00A31910" w:rsidRPr="00A31910">
        <w:rPr>
          <w:rFonts w:ascii="Arial Narrow" w:hAnsi="Arial Narrow"/>
          <w:sz w:val="24"/>
          <w:szCs w:val="24"/>
          <w:lang w:val="en-GB" w:eastAsia="en-GB"/>
        </w:rPr>
        <w:t xml:space="preserve"> o </w:t>
      </w:r>
      <w:proofErr w:type="spellStart"/>
      <w:r w:rsidR="00A31910" w:rsidRPr="00A31910">
        <w:rPr>
          <w:rFonts w:ascii="Arial Narrow" w:hAnsi="Arial Narrow"/>
          <w:sz w:val="24"/>
          <w:szCs w:val="24"/>
          <w:lang w:val="en-GB" w:eastAsia="en-GB"/>
        </w:rPr>
        <w:t>uklanjanju</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upravljanju</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otpadom</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rjesavanje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problema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ekoloških</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crnih</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tačaka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zagađivača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rjesavanje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kabastog</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otpada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lastRenderedPageBreak/>
        <w:t>poput</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automobilskih</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guma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kreiranje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reciklažnih</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centara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zaštita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prirodnih</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ekosistema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šuma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voda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velikih</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pašnjaka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jačanje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proizvodnje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brendiranje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domaćih</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ekoloških</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proizvoda</w:t>
      </w:r>
      <w:proofErr w:type="spellEnd"/>
      <w:r w:rsidR="00A31910" w:rsidRPr="00A31910">
        <w:rPr>
          <w:rFonts w:ascii="Arial Narrow" w:hAnsi="Arial Narrow"/>
          <w:sz w:val="24"/>
          <w:szCs w:val="24"/>
          <w:lang w:val="en-GB" w:eastAsia="en-GB"/>
        </w:rPr>
        <w:t>.</w:t>
      </w:r>
      <w:r w:rsid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Takođe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jedan</w:t>
      </w:r>
      <w:proofErr w:type="spellEnd"/>
      <w:r w:rsidR="00A31910" w:rsidRPr="00A31910">
        <w:rPr>
          <w:rFonts w:ascii="Arial Narrow" w:hAnsi="Arial Narrow"/>
          <w:sz w:val="24"/>
          <w:szCs w:val="24"/>
          <w:lang w:val="en-GB" w:eastAsia="en-GB"/>
        </w:rPr>
        <w:t xml:space="preserve"> od </w:t>
      </w:r>
      <w:proofErr w:type="spellStart"/>
      <w:r w:rsidR="00A31910" w:rsidRPr="00A31910">
        <w:rPr>
          <w:rFonts w:ascii="Arial Narrow" w:hAnsi="Arial Narrow"/>
          <w:sz w:val="24"/>
          <w:szCs w:val="24"/>
          <w:lang w:val="en-GB" w:eastAsia="en-GB"/>
        </w:rPr>
        <w:t>ciljeva</w:t>
      </w:r>
      <w:proofErr w:type="spellEnd"/>
      <w:r w:rsidR="00A31910" w:rsidRPr="00A31910">
        <w:rPr>
          <w:rFonts w:ascii="Arial Narrow" w:hAnsi="Arial Narrow"/>
          <w:sz w:val="24"/>
          <w:szCs w:val="24"/>
          <w:lang w:val="en-GB" w:eastAsia="en-GB"/>
        </w:rPr>
        <w:t xml:space="preserve"> Vlade u </w:t>
      </w:r>
      <w:proofErr w:type="spellStart"/>
      <w:r w:rsidR="00A31910" w:rsidRPr="00A31910">
        <w:rPr>
          <w:rFonts w:ascii="Arial Narrow" w:hAnsi="Arial Narrow"/>
          <w:sz w:val="24"/>
          <w:szCs w:val="24"/>
          <w:lang w:val="en-GB" w:eastAsia="en-GB"/>
        </w:rPr>
        <w:t>pravcu</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očuvanja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rječnih</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ekosistema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Crne</w:t>
      </w:r>
      <w:proofErr w:type="spellEnd"/>
      <w:r w:rsidR="00A31910" w:rsidRPr="00A31910">
        <w:rPr>
          <w:rFonts w:ascii="Arial Narrow" w:hAnsi="Arial Narrow"/>
          <w:sz w:val="24"/>
          <w:szCs w:val="24"/>
          <w:lang w:val="en-GB" w:eastAsia="en-GB"/>
        </w:rPr>
        <w:t xml:space="preserve"> Gore, </w:t>
      </w:r>
      <w:proofErr w:type="spellStart"/>
      <w:r w:rsidR="00A31910" w:rsidRPr="00A31910">
        <w:rPr>
          <w:rFonts w:ascii="Arial Narrow" w:hAnsi="Arial Narrow"/>
          <w:sz w:val="24"/>
          <w:szCs w:val="24"/>
          <w:lang w:val="en-GB" w:eastAsia="en-GB"/>
        </w:rPr>
        <w:t>jeste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donošenje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deklaracije</w:t>
      </w:r>
      <w:proofErr w:type="spellEnd"/>
      <w:r w:rsidR="00A31910" w:rsidRPr="00A31910">
        <w:rPr>
          <w:rFonts w:ascii="Arial Narrow" w:hAnsi="Arial Narrow"/>
          <w:sz w:val="24"/>
          <w:szCs w:val="24"/>
          <w:lang w:val="en-GB" w:eastAsia="en-GB"/>
        </w:rPr>
        <w:t xml:space="preserve"> o </w:t>
      </w:r>
      <w:proofErr w:type="spellStart"/>
      <w:r w:rsidR="00A31910" w:rsidRPr="00A31910">
        <w:rPr>
          <w:rFonts w:ascii="Arial Narrow" w:hAnsi="Arial Narrow"/>
          <w:sz w:val="24"/>
          <w:szCs w:val="24"/>
          <w:lang w:val="en-GB" w:eastAsia="en-GB"/>
        </w:rPr>
        <w:t>trajnoj</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zabrani</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izgradnje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malih</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hidroelektrana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na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crnogorskim</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vodotocima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sa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ciljem</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očuvanja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prirodnog</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blaga</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naše</w:t>
      </w:r>
      <w:proofErr w:type="spellEnd"/>
      <w:r w:rsidR="00A31910" w:rsidRPr="00A31910">
        <w:rPr>
          <w:rFonts w:ascii="Arial Narrow" w:hAnsi="Arial Narrow"/>
          <w:sz w:val="24"/>
          <w:szCs w:val="24"/>
          <w:lang w:val="en-GB" w:eastAsia="en-GB"/>
        </w:rPr>
        <w:t xml:space="preserve"> </w:t>
      </w:r>
      <w:proofErr w:type="spellStart"/>
      <w:r w:rsidR="00A31910" w:rsidRPr="00A31910">
        <w:rPr>
          <w:rFonts w:ascii="Arial Narrow" w:hAnsi="Arial Narrow"/>
          <w:sz w:val="24"/>
          <w:szCs w:val="24"/>
          <w:lang w:val="en-GB" w:eastAsia="en-GB"/>
        </w:rPr>
        <w:t>zemlje</w:t>
      </w:r>
      <w:proofErr w:type="spellEnd"/>
      <w:r w:rsidR="00A31910" w:rsidRPr="00A31910">
        <w:rPr>
          <w:rFonts w:ascii="Arial Narrow" w:hAnsi="Arial Narrow"/>
          <w:sz w:val="24"/>
          <w:szCs w:val="24"/>
          <w:lang w:val="en-GB" w:eastAsia="en-GB"/>
        </w:rPr>
        <w:t>.</w:t>
      </w:r>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N</w:t>
      </w:r>
      <w:r w:rsidR="00A31910" w:rsidRPr="004E2D59">
        <w:rPr>
          <w:rFonts w:ascii="Arial Narrow" w:hAnsi="Arial Narrow"/>
          <w:sz w:val="24"/>
          <w:szCs w:val="24"/>
          <w:lang w:val="en-GB" w:eastAsia="en-GB"/>
        </w:rPr>
        <w:t>eophodno</w:t>
      </w:r>
      <w:proofErr w:type="spellEnd"/>
      <w:r w:rsidR="00A31910" w:rsidRPr="004E2D59">
        <w:rPr>
          <w:rFonts w:ascii="Arial Narrow" w:hAnsi="Arial Narrow"/>
          <w:sz w:val="24"/>
          <w:szCs w:val="24"/>
          <w:lang w:val="en-GB" w:eastAsia="en-GB"/>
        </w:rPr>
        <w:t xml:space="preserve"> je</w:t>
      </w:r>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i</w:t>
      </w:r>
      <w:proofErr w:type="spellEnd"/>
      <w:r w:rsidR="00A31910">
        <w:rPr>
          <w:rFonts w:ascii="Arial Narrow" w:hAnsi="Arial Narrow"/>
          <w:sz w:val="24"/>
          <w:szCs w:val="24"/>
          <w:lang w:val="en-GB" w:eastAsia="en-GB"/>
        </w:rPr>
        <w:t xml:space="preserve"> </w:t>
      </w:r>
      <w:r w:rsidR="00A31910" w:rsidRPr="004E2D59">
        <w:rPr>
          <w:rFonts w:ascii="Arial Narrow" w:hAnsi="Arial Narrow"/>
          <w:sz w:val="24"/>
          <w:szCs w:val="24"/>
          <w:lang w:val="en-GB" w:eastAsia="en-GB"/>
        </w:rPr>
        <w:t xml:space="preserve">da </w:t>
      </w:r>
      <w:proofErr w:type="spellStart"/>
      <w:r w:rsidR="00A31910" w:rsidRPr="004E2D59">
        <w:rPr>
          <w:rFonts w:ascii="Arial Narrow" w:hAnsi="Arial Narrow"/>
          <w:sz w:val="24"/>
          <w:szCs w:val="24"/>
          <w:lang w:val="en-GB" w:eastAsia="en-GB"/>
        </w:rPr>
        <w:t>kroz</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vodoprivredu</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i</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ruralni</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razvoj</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vodimo</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računa</w:t>
      </w:r>
      <w:proofErr w:type="spellEnd"/>
      <w:r w:rsidR="00A31910" w:rsidRPr="004E2D59">
        <w:rPr>
          <w:rFonts w:ascii="Arial Narrow" w:hAnsi="Arial Narrow"/>
          <w:sz w:val="24"/>
          <w:szCs w:val="24"/>
          <w:lang w:val="en-GB" w:eastAsia="en-GB"/>
        </w:rPr>
        <w:t xml:space="preserve"> da </w:t>
      </w:r>
      <w:proofErr w:type="spellStart"/>
      <w:r w:rsidR="00A31910" w:rsidRPr="004E2D59">
        <w:rPr>
          <w:rFonts w:ascii="Arial Narrow" w:hAnsi="Arial Narrow"/>
          <w:sz w:val="24"/>
          <w:szCs w:val="24"/>
          <w:lang w:val="en-GB" w:eastAsia="en-GB"/>
        </w:rPr>
        <w:t>obezbijedimo</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sve</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preduslove</w:t>
      </w:r>
      <w:proofErr w:type="spellEnd"/>
      <w:r w:rsidR="00A31910" w:rsidRPr="004E2D59">
        <w:rPr>
          <w:rFonts w:ascii="Arial Narrow" w:hAnsi="Arial Narrow"/>
          <w:sz w:val="24"/>
          <w:szCs w:val="24"/>
          <w:lang w:val="en-GB" w:eastAsia="en-GB"/>
        </w:rPr>
        <w:t xml:space="preserve"> za </w:t>
      </w:r>
      <w:proofErr w:type="spellStart"/>
      <w:r w:rsidR="00A31910" w:rsidRPr="004E2D59">
        <w:rPr>
          <w:rFonts w:ascii="Arial Narrow" w:hAnsi="Arial Narrow"/>
          <w:sz w:val="24"/>
          <w:szCs w:val="24"/>
          <w:lang w:val="en-GB" w:eastAsia="en-GB"/>
        </w:rPr>
        <w:t>razvoj</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našeg</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seoskog</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područja</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i</w:t>
      </w:r>
      <w:proofErr w:type="spellEnd"/>
      <w:r w:rsidR="00A31910" w:rsidRPr="004E2D59">
        <w:rPr>
          <w:rFonts w:ascii="Arial Narrow" w:hAnsi="Arial Narrow"/>
          <w:sz w:val="24"/>
          <w:szCs w:val="24"/>
          <w:lang w:val="en-GB" w:eastAsia="en-GB"/>
        </w:rPr>
        <w:t xml:space="preserve"> da </w:t>
      </w:r>
      <w:proofErr w:type="spellStart"/>
      <w:r w:rsidR="00A31910" w:rsidRPr="004E2D59">
        <w:rPr>
          <w:rFonts w:ascii="Arial Narrow" w:hAnsi="Arial Narrow"/>
          <w:sz w:val="24"/>
          <w:szCs w:val="24"/>
          <w:lang w:val="en-GB" w:eastAsia="en-GB"/>
        </w:rPr>
        <w:t>očuvamo</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i</w:t>
      </w:r>
      <w:proofErr w:type="spellEnd"/>
      <w:r w:rsidR="00A31910" w:rsidRPr="004E2D59">
        <w:rPr>
          <w:rFonts w:ascii="Arial Narrow" w:hAnsi="Arial Narrow"/>
          <w:sz w:val="24"/>
          <w:szCs w:val="24"/>
          <w:lang w:val="en-GB" w:eastAsia="en-GB"/>
        </w:rPr>
        <w:t xml:space="preserve"> taj </w:t>
      </w:r>
      <w:proofErr w:type="spellStart"/>
      <w:r w:rsidR="00A31910" w:rsidRPr="004E2D59">
        <w:rPr>
          <w:rFonts w:ascii="Arial Narrow" w:hAnsi="Arial Narrow"/>
          <w:sz w:val="24"/>
          <w:szCs w:val="24"/>
          <w:lang w:val="en-GB" w:eastAsia="en-GB"/>
        </w:rPr>
        <w:t>dio</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naših</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potencijala</w:t>
      </w:r>
      <w:proofErr w:type="spellEnd"/>
      <w:r w:rsidR="00A31910" w:rsidRPr="004E2D59">
        <w:rPr>
          <w:rFonts w:ascii="Arial Narrow" w:hAnsi="Arial Narrow"/>
          <w:sz w:val="24"/>
          <w:szCs w:val="24"/>
          <w:lang w:val="en-GB" w:eastAsia="en-GB"/>
        </w:rPr>
        <w:t xml:space="preserve"> koji je </w:t>
      </w:r>
      <w:proofErr w:type="spellStart"/>
      <w:r w:rsidR="00A31910" w:rsidRPr="004E2D59">
        <w:rPr>
          <w:rFonts w:ascii="Arial Narrow" w:hAnsi="Arial Narrow"/>
          <w:sz w:val="24"/>
          <w:szCs w:val="24"/>
          <w:lang w:val="en-GB" w:eastAsia="en-GB"/>
        </w:rPr>
        <w:t>sada</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na</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više</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načina</w:t>
      </w:r>
      <w:proofErr w:type="spellEnd"/>
      <w:r w:rsidR="00A31910" w:rsidRPr="004E2D59">
        <w:rPr>
          <w:rFonts w:ascii="Arial Narrow" w:hAnsi="Arial Narrow"/>
          <w:sz w:val="24"/>
          <w:szCs w:val="24"/>
          <w:lang w:val="en-GB" w:eastAsia="en-GB"/>
        </w:rPr>
        <w:t xml:space="preserve">, </w:t>
      </w:r>
      <w:proofErr w:type="spellStart"/>
      <w:r w:rsidR="00A31910" w:rsidRPr="004E2D59">
        <w:rPr>
          <w:rFonts w:ascii="Arial Narrow" w:hAnsi="Arial Narrow"/>
          <w:sz w:val="24"/>
          <w:szCs w:val="24"/>
          <w:lang w:val="en-GB" w:eastAsia="en-GB"/>
        </w:rPr>
        <w:t>ugrožen</w:t>
      </w:r>
      <w:proofErr w:type="spellEnd"/>
    </w:p>
    <w:p w14:paraId="1560C51E" w14:textId="77777777" w:rsidR="005E2B4E" w:rsidRDefault="005E2B4E" w:rsidP="005E2B4E">
      <w:pPr>
        <w:jc w:val="both"/>
        <w:rPr>
          <w:rFonts w:ascii="Arial Narrow" w:hAnsi="Arial Narrow"/>
          <w:sz w:val="24"/>
          <w:szCs w:val="24"/>
          <w:lang w:val="en-GB" w:eastAsia="en-GB"/>
        </w:rPr>
      </w:pPr>
      <w:proofErr w:type="spellStart"/>
      <w:r w:rsidRPr="00A31910">
        <w:rPr>
          <w:rFonts w:ascii="Arial Narrow" w:hAnsi="Arial Narrow"/>
          <w:sz w:val="24"/>
          <w:szCs w:val="24"/>
          <w:lang w:val="en-GB" w:eastAsia="en-GB"/>
        </w:rPr>
        <w:t>Takođe</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fokus</w:t>
      </w:r>
      <w:proofErr w:type="spellEnd"/>
      <w:r w:rsidRPr="00A31910">
        <w:rPr>
          <w:rFonts w:ascii="Arial Narrow" w:hAnsi="Arial Narrow"/>
          <w:sz w:val="24"/>
          <w:szCs w:val="24"/>
          <w:lang w:val="en-GB" w:eastAsia="en-GB"/>
        </w:rPr>
        <w:t xml:space="preserve"> je </w:t>
      </w:r>
      <w:proofErr w:type="spellStart"/>
      <w:r w:rsidRPr="00A31910">
        <w:rPr>
          <w:rFonts w:ascii="Arial Narrow" w:hAnsi="Arial Narrow"/>
          <w:sz w:val="24"/>
          <w:szCs w:val="24"/>
          <w:lang w:val="en-GB" w:eastAsia="en-GB"/>
        </w:rPr>
        <w:t>na</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zdravstvu</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posvećenom</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pacijentu</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i</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usmjerenom</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na</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borbu</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sa</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svim</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zdravstvenim</w:t>
      </w:r>
      <w:proofErr w:type="spellEnd"/>
      <w:r w:rsidRPr="00A31910">
        <w:rPr>
          <w:rFonts w:ascii="Arial Narrow" w:hAnsi="Arial Narrow"/>
          <w:sz w:val="24"/>
          <w:szCs w:val="24"/>
          <w:lang w:val="en-GB" w:eastAsia="en-GB"/>
        </w:rPr>
        <w:t xml:space="preserve"> </w:t>
      </w:r>
      <w:proofErr w:type="spellStart"/>
      <w:r w:rsidRPr="00A31910">
        <w:rPr>
          <w:rFonts w:ascii="Arial Narrow" w:hAnsi="Arial Narrow"/>
          <w:sz w:val="24"/>
          <w:szCs w:val="24"/>
          <w:lang w:val="en-GB" w:eastAsia="en-GB"/>
        </w:rPr>
        <w:t>izazovima</w:t>
      </w:r>
      <w:proofErr w:type="spellEnd"/>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višestruko</w:t>
      </w:r>
      <w:proofErr w:type="spellEnd"/>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snažnijim</w:t>
      </w:r>
      <w:proofErr w:type="spellEnd"/>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i</w:t>
      </w:r>
      <w:proofErr w:type="spellEnd"/>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zbog</w:t>
      </w:r>
      <w:proofErr w:type="spellEnd"/>
      <w:r w:rsidR="00A31910">
        <w:rPr>
          <w:rFonts w:ascii="Arial Narrow" w:hAnsi="Arial Narrow"/>
          <w:sz w:val="24"/>
          <w:szCs w:val="24"/>
          <w:lang w:val="en-GB" w:eastAsia="en-GB"/>
        </w:rPr>
        <w:t xml:space="preserve"> </w:t>
      </w:r>
      <w:proofErr w:type="spellStart"/>
      <w:r w:rsidR="00A31910">
        <w:rPr>
          <w:rFonts w:ascii="Arial Narrow" w:hAnsi="Arial Narrow"/>
          <w:sz w:val="24"/>
          <w:szCs w:val="24"/>
          <w:lang w:val="en-GB" w:eastAsia="en-GB"/>
        </w:rPr>
        <w:t>pandemije</w:t>
      </w:r>
      <w:proofErr w:type="spellEnd"/>
      <w:r w:rsidR="00A31910">
        <w:rPr>
          <w:rFonts w:ascii="Arial Narrow" w:hAnsi="Arial Narrow"/>
          <w:sz w:val="24"/>
          <w:szCs w:val="24"/>
          <w:lang w:val="en-GB" w:eastAsia="en-GB"/>
        </w:rPr>
        <w:t xml:space="preserve"> COVID-19</w:t>
      </w:r>
      <w:r w:rsidR="0015677D">
        <w:rPr>
          <w:rFonts w:ascii="Arial Narrow" w:hAnsi="Arial Narrow"/>
          <w:sz w:val="24"/>
          <w:szCs w:val="24"/>
          <w:lang w:val="en-GB" w:eastAsia="en-GB"/>
        </w:rPr>
        <w:t>.</w:t>
      </w:r>
    </w:p>
    <w:p w14:paraId="3C76DBCD" w14:textId="77777777" w:rsidR="005E2B4E" w:rsidRPr="0015677D" w:rsidRDefault="0015677D" w:rsidP="005E2B4E">
      <w:pPr>
        <w:jc w:val="both"/>
        <w:rPr>
          <w:rFonts w:ascii="Arial Narrow" w:hAnsi="Arial Narrow"/>
          <w:sz w:val="24"/>
          <w:szCs w:val="24"/>
          <w:lang w:val="en-GB" w:eastAsia="en-GB"/>
        </w:rPr>
      </w:pPr>
      <w:r w:rsidRPr="0015677D">
        <w:rPr>
          <w:rFonts w:ascii="Arial Narrow" w:hAnsi="Arial Narrow"/>
          <w:b/>
          <w:bCs/>
          <w:noProof/>
          <w:lang w:val="en-US"/>
        </w:rPr>
        <w:drawing>
          <wp:anchor distT="0" distB="0" distL="114300" distR="114300" simplePos="0" relativeHeight="251697152" behindDoc="0" locked="0" layoutInCell="1" allowOverlap="1" wp14:anchorId="50B3E2A9" wp14:editId="200B46A3">
            <wp:simplePos x="0" y="0"/>
            <wp:positionH relativeFrom="margin">
              <wp:align>left</wp:align>
            </wp:positionH>
            <wp:positionV relativeFrom="paragraph">
              <wp:posOffset>52568</wp:posOffset>
            </wp:positionV>
            <wp:extent cx="447675" cy="415925"/>
            <wp:effectExtent l="0" t="0" r="9525" b="3175"/>
            <wp:wrapSquare wrapText="bothSides"/>
            <wp:docPr id="13" name="Picture 13" descr="N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5E2B4E" w:rsidRPr="0015677D">
        <w:rPr>
          <w:rFonts w:ascii="Arial Narrow" w:hAnsi="Arial Narrow"/>
          <w:sz w:val="24"/>
          <w:szCs w:val="24"/>
          <w:lang w:val="en-GB" w:eastAsia="en-GB"/>
        </w:rPr>
        <w:t>Fokus</w:t>
      </w:r>
      <w:proofErr w:type="spellEnd"/>
      <w:r w:rsidR="005E2B4E" w:rsidRPr="0015677D">
        <w:rPr>
          <w:rFonts w:ascii="Arial Narrow" w:hAnsi="Arial Narrow"/>
          <w:sz w:val="24"/>
          <w:szCs w:val="24"/>
          <w:lang w:val="en-GB" w:eastAsia="en-GB"/>
        </w:rPr>
        <w:t xml:space="preserve"> </w:t>
      </w:r>
      <w:r w:rsidRPr="0015677D">
        <w:rPr>
          <w:rFonts w:ascii="Arial Narrow" w:hAnsi="Arial Narrow"/>
          <w:sz w:val="24"/>
          <w:szCs w:val="24"/>
          <w:lang w:val="en-GB" w:eastAsia="en-GB"/>
        </w:rPr>
        <w:t xml:space="preserve">Vlade </w:t>
      </w:r>
      <w:r w:rsidR="005E2B4E" w:rsidRPr="0015677D">
        <w:rPr>
          <w:rFonts w:ascii="Arial Narrow" w:hAnsi="Arial Narrow"/>
          <w:sz w:val="24"/>
          <w:szCs w:val="24"/>
          <w:lang w:val="en-GB" w:eastAsia="en-GB"/>
        </w:rPr>
        <w:t xml:space="preserve">je </w:t>
      </w:r>
      <w:proofErr w:type="spellStart"/>
      <w:r w:rsidRPr="0015677D">
        <w:rPr>
          <w:rFonts w:ascii="Arial Narrow" w:hAnsi="Arial Narrow"/>
          <w:sz w:val="24"/>
          <w:szCs w:val="24"/>
          <w:lang w:val="en-GB" w:eastAsia="en-GB"/>
        </w:rPr>
        <w:t>i</w:t>
      </w:r>
      <w:proofErr w:type="spellEnd"/>
      <w:r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na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unapređenju</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obrazovnog</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sistema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na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svim</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nivoima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uz</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prioritetnu</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depolitizaciju</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vraćanje</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autonomije</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Univerzitetu</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Crne</w:t>
      </w:r>
      <w:proofErr w:type="spellEnd"/>
      <w:r w:rsidR="005E2B4E" w:rsidRPr="0015677D">
        <w:rPr>
          <w:rFonts w:ascii="Arial Narrow" w:hAnsi="Arial Narrow"/>
          <w:sz w:val="24"/>
          <w:szCs w:val="24"/>
          <w:lang w:val="en-GB" w:eastAsia="en-GB"/>
        </w:rPr>
        <w:t xml:space="preserve"> Gore.</w:t>
      </w:r>
      <w:r>
        <w:rPr>
          <w:rFonts w:ascii="Arial Narrow" w:hAnsi="Arial Narrow"/>
          <w:sz w:val="24"/>
          <w:szCs w:val="24"/>
          <w:lang w:val="en-GB" w:eastAsia="en-GB"/>
        </w:rPr>
        <w:t xml:space="preserve"> </w:t>
      </w:r>
      <w:proofErr w:type="spellStart"/>
      <w:r>
        <w:rPr>
          <w:rFonts w:ascii="Arial Narrow" w:hAnsi="Arial Narrow"/>
          <w:sz w:val="24"/>
          <w:szCs w:val="24"/>
          <w:lang w:val="en-GB" w:eastAsia="en-GB"/>
        </w:rPr>
        <w:t>Želimo</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obrazovanje</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fokusirano</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na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kreativnost</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prepoznavanju</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talenata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sportski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razvoj</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djece</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omladine</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koja</w:t>
      </w:r>
      <w:proofErr w:type="spellEnd"/>
      <w:r w:rsidR="005E2B4E" w:rsidRPr="0015677D">
        <w:rPr>
          <w:rFonts w:ascii="Arial Narrow" w:hAnsi="Arial Narrow"/>
          <w:sz w:val="24"/>
          <w:szCs w:val="24"/>
          <w:lang w:val="en-GB" w:eastAsia="en-GB"/>
        </w:rPr>
        <w:t xml:space="preserve">, od </w:t>
      </w:r>
      <w:proofErr w:type="spellStart"/>
      <w:r w:rsidR="005E2B4E" w:rsidRPr="0015677D">
        <w:rPr>
          <w:rFonts w:ascii="Arial Narrow" w:hAnsi="Arial Narrow"/>
          <w:sz w:val="24"/>
          <w:szCs w:val="24"/>
          <w:lang w:val="en-GB" w:eastAsia="en-GB"/>
        </w:rPr>
        <w:t>vrtića</w:t>
      </w:r>
      <w:proofErr w:type="spellEnd"/>
      <w:r w:rsidR="005E2B4E" w:rsidRPr="0015677D">
        <w:rPr>
          <w:rFonts w:ascii="Arial Narrow" w:hAnsi="Arial Narrow"/>
          <w:sz w:val="24"/>
          <w:szCs w:val="24"/>
          <w:lang w:val="en-GB" w:eastAsia="en-GB"/>
        </w:rPr>
        <w:t xml:space="preserve"> pa do </w:t>
      </w:r>
      <w:proofErr w:type="spellStart"/>
      <w:r w:rsidR="005E2B4E" w:rsidRPr="0015677D">
        <w:rPr>
          <w:rFonts w:ascii="Arial Narrow" w:hAnsi="Arial Narrow"/>
          <w:sz w:val="24"/>
          <w:szCs w:val="24"/>
          <w:lang w:val="en-GB" w:eastAsia="en-GB"/>
        </w:rPr>
        <w:t>univerziteta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treba</w:t>
      </w:r>
      <w:proofErr w:type="spellEnd"/>
      <w:r w:rsidR="005E2B4E" w:rsidRPr="0015677D">
        <w:rPr>
          <w:rFonts w:ascii="Arial Narrow" w:hAnsi="Arial Narrow"/>
          <w:sz w:val="24"/>
          <w:szCs w:val="24"/>
          <w:lang w:val="en-GB" w:eastAsia="en-GB"/>
        </w:rPr>
        <w:t xml:space="preserve"> da se </w:t>
      </w:r>
      <w:proofErr w:type="spellStart"/>
      <w:r w:rsidR="005E2B4E" w:rsidRPr="0015677D">
        <w:rPr>
          <w:rFonts w:ascii="Arial Narrow" w:hAnsi="Arial Narrow"/>
          <w:sz w:val="24"/>
          <w:szCs w:val="24"/>
          <w:lang w:val="en-GB" w:eastAsia="en-GB"/>
        </w:rPr>
        <w:t>nadmeće</w:t>
      </w:r>
      <w:proofErr w:type="spellEnd"/>
      <w:r w:rsidR="005E2B4E" w:rsidRPr="0015677D">
        <w:rPr>
          <w:rFonts w:ascii="Arial Narrow" w:hAnsi="Arial Narrow"/>
          <w:sz w:val="24"/>
          <w:szCs w:val="24"/>
          <w:lang w:val="en-GB" w:eastAsia="en-GB"/>
        </w:rPr>
        <w:t xml:space="preserve"> u </w:t>
      </w:r>
      <w:proofErr w:type="spellStart"/>
      <w:r w:rsidR="005E2B4E" w:rsidRPr="0015677D">
        <w:rPr>
          <w:rFonts w:ascii="Arial Narrow" w:hAnsi="Arial Narrow"/>
          <w:sz w:val="24"/>
          <w:szCs w:val="24"/>
          <w:lang w:val="en-GB" w:eastAsia="en-GB"/>
        </w:rPr>
        <w:t>sportskom</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duhu</w:t>
      </w:r>
      <w:proofErr w:type="spellEnd"/>
      <w:r>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kultur</w:t>
      </w:r>
      <w:r>
        <w:rPr>
          <w:rFonts w:ascii="Arial Narrow" w:hAnsi="Arial Narrow"/>
          <w:sz w:val="24"/>
          <w:szCs w:val="24"/>
          <w:lang w:val="en-GB" w:eastAsia="en-GB"/>
        </w:rPr>
        <w:t>u</w:t>
      </w:r>
      <w:proofErr w:type="spellEnd"/>
      <w:r>
        <w:rPr>
          <w:rFonts w:ascii="Arial Narrow" w:hAnsi="Arial Narrow"/>
          <w:sz w:val="24"/>
          <w:szCs w:val="24"/>
          <w:lang w:val="en-GB" w:eastAsia="en-GB"/>
        </w:rPr>
        <w:t>,</w:t>
      </w:r>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koja</w:t>
      </w:r>
      <w:proofErr w:type="spellEnd"/>
      <w:r w:rsidR="005E2B4E" w:rsidRPr="0015677D">
        <w:rPr>
          <w:rFonts w:ascii="Arial Narrow" w:hAnsi="Arial Narrow"/>
          <w:sz w:val="24"/>
          <w:szCs w:val="24"/>
          <w:lang w:val="en-GB" w:eastAsia="en-GB"/>
        </w:rPr>
        <w:t xml:space="preserve"> se </w:t>
      </w:r>
      <w:proofErr w:type="spellStart"/>
      <w:r w:rsidR="005E2B4E" w:rsidRPr="0015677D">
        <w:rPr>
          <w:rFonts w:ascii="Arial Narrow" w:hAnsi="Arial Narrow"/>
          <w:sz w:val="24"/>
          <w:szCs w:val="24"/>
          <w:lang w:val="en-GB" w:eastAsia="en-GB"/>
        </w:rPr>
        <w:t>zasniva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na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njegovanju</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tradicije</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razlika</w:t>
      </w:r>
      <w:proofErr w:type="spellEnd"/>
      <w:r w:rsidR="005E2B4E" w:rsidRPr="0015677D">
        <w:rPr>
          <w:rFonts w:ascii="Arial Narrow" w:hAnsi="Arial Narrow"/>
          <w:sz w:val="24"/>
          <w:szCs w:val="24"/>
          <w:lang w:val="en-GB" w:eastAsia="en-GB"/>
        </w:rPr>
        <w:t xml:space="preserve">, a </w:t>
      </w:r>
      <w:proofErr w:type="spellStart"/>
      <w:r w:rsidR="005E2B4E" w:rsidRPr="0015677D">
        <w:rPr>
          <w:rFonts w:ascii="Arial Narrow" w:hAnsi="Arial Narrow"/>
          <w:sz w:val="24"/>
          <w:szCs w:val="24"/>
          <w:lang w:val="en-GB" w:eastAsia="en-GB"/>
        </w:rPr>
        <w:t>koja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podstiče</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kreativnost</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pravi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iskorake</w:t>
      </w:r>
      <w:proofErr w:type="spellEnd"/>
      <w:r w:rsidR="005E2B4E" w:rsidRPr="0015677D">
        <w:rPr>
          <w:rFonts w:ascii="Arial Narrow" w:hAnsi="Arial Narrow"/>
          <w:sz w:val="24"/>
          <w:szCs w:val="24"/>
          <w:lang w:val="en-GB" w:eastAsia="en-GB"/>
        </w:rPr>
        <w:t>.</w:t>
      </w:r>
    </w:p>
    <w:p w14:paraId="36DB2163" w14:textId="77777777" w:rsidR="005E2B4E" w:rsidRDefault="005E2B4E" w:rsidP="005E2B4E">
      <w:pPr>
        <w:jc w:val="both"/>
        <w:rPr>
          <w:rFonts w:ascii="Arial Narrow" w:hAnsi="Arial Narrow"/>
          <w:sz w:val="24"/>
          <w:szCs w:val="24"/>
          <w:lang w:val="en-GB" w:eastAsia="en-GB"/>
        </w:rPr>
      </w:pPr>
      <w:proofErr w:type="spellStart"/>
      <w:r w:rsidRPr="0015677D">
        <w:rPr>
          <w:rFonts w:ascii="Arial Narrow" w:hAnsi="Arial Narrow"/>
          <w:sz w:val="24"/>
          <w:szCs w:val="24"/>
          <w:lang w:val="en-GB" w:eastAsia="en-GB"/>
        </w:rPr>
        <w:t>Obrazovni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sistem</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kvalitet</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stečenog</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znanja</w:t>
      </w:r>
      <w:proofErr w:type="spellEnd"/>
      <w:r w:rsidRPr="0015677D">
        <w:rPr>
          <w:rFonts w:ascii="Arial Narrow" w:hAnsi="Arial Narrow"/>
          <w:sz w:val="24"/>
          <w:szCs w:val="24"/>
          <w:lang w:val="en-GB" w:eastAsia="en-GB"/>
        </w:rPr>
        <w:t xml:space="preserve"> </w:t>
      </w:r>
      <w:proofErr w:type="spellStart"/>
      <w:r w:rsidR="0015677D">
        <w:rPr>
          <w:rFonts w:ascii="Arial Narrow" w:hAnsi="Arial Narrow"/>
          <w:sz w:val="24"/>
          <w:szCs w:val="24"/>
          <w:lang w:val="en-GB" w:eastAsia="en-GB"/>
        </w:rPr>
        <w:t>su</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mjer</w:t>
      </w:r>
      <w:r w:rsidR="0015677D">
        <w:rPr>
          <w:rFonts w:ascii="Arial Narrow" w:hAnsi="Arial Narrow"/>
          <w:sz w:val="24"/>
          <w:szCs w:val="24"/>
          <w:lang w:val="en-GB" w:eastAsia="en-GB"/>
        </w:rPr>
        <w:t>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razvoja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jednog</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društva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Stoga</w:t>
      </w:r>
      <w:proofErr w:type="spellEnd"/>
      <w:r w:rsidRPr="0015677D">
        <w:rPr>
          <w:rFonts w:ascii="Arial Narrow" w:hAnsi="Arial Narrow"/>
          <w:sz w:val="24"/>
          <w:szCs w:val="24"/>
          <w:lang w:val="en-GB" w:eastAsia="en-GB"/>
        </w:rPr>
        <w:t xml:space="preserve"> je </w:t>
      </w:r>
      <w:proofErr w:type="spellStart"/>
      <w:r w:rsidRPr="0015677D">
        <w:rPr>
          <w:rFonts w:ascii="Arial Narrow" w:hAnsi="Arial Narrow"/>
          <w:sz w:val="24"/>
          <w:szCs w:val="24"/>
          <w:lang w:val="en-GB" w:eastAsia="en-GB"/>
        </w:rPr>
        <w:t>obrazovni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sistem</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potrebno</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unaprijediti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na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svim</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nivoima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razvijati</w:t>
      </w:r>
      <w:proofErr w:type="spellEnd"/>
      <w:r w:rsidRPr="0015677D">
        <w:rPr>
          <w:rFonts w:ascii="Arial Narrow" w:hAnsi="Arial Narrow"/>
          <w:sz w:val="24"/>
          <w:szCs w:val="24"/>
          <w:lang w:val="en-GB" w:eastAsia="en-GB"/>
        </w:rPr>
        <w:t xml:space="preserve"> u </w:t>
      </w:r>
      <w:proofErr w:type="spellStart"/>
      <w:r w:rsidRPr="0015677D">
        <w:rPr>
          <w:rFonts w:ascii="Arial Narrow" w:hAnsi="Arial Narrow"/>
          <w:sz w:val="24"/>
          <w:szCs w:val="24"/>
          <w:lang w:val="en-GB" w:eastAsia="en-GB"/>
        </w:rPr>
        <w:t>smjeru</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praćenja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trendova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razvoja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tehnologija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društva</w:t>
      </w:r>
      <w:proofErr w:type="spellEnd"/>
      <w:r w:rsidRPr="0015677D">
        <w:rPr>
          <w:rFonts w:ascii="Arial Narrow" w:hAnsi="Arial Narrow"/>
          <w:sz w:val="24"/>
          <w:szCs w:val="24"/>
          <w:lang w:val="en-GB" w:eastAsia="en-GB"/>
        </w:rPr>
        <w:t xml:space="preserve">. Pored toga, </w:t>
      </w:r>
      <w:proofErr w:type="spellStart"/>
      <w:r w:rsidRPr="0015677D">
        <w:rPr>
          <w:rFonts w:ascii="Arial Narrow" w:hAnsi="Arial Narrow"/>
          <w:sz w:val="24"/>
          <w:szCs w:val="24"/>
          <w:lang w:val="en-GB" w:eastAsia="en-GB"/>
        </w:rPr>
        <w:t>obrazovni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sistem</w:t>
      </w:r>
      <w:proofErr w:type="spellEnd"/>
      <w:r w:rsidRPr="0015677D">
        <w:rPr>
          <w:rFonts w:ascii="Arial Narrow" w:hAnsi="Arial Narrow"/>
          <w:sz w:val="24"/>
          <w:szCs w:val="24"/>
          <w:lang w:val="en-GB" w:eastAsia="en-GB"/>
        </w:rPr>
        <w:t xml:space="preserve"> mora da </w:t>
      </w:r>
      <w:proofErr w:type="spellStart"/>
      <w:r w:rsidRPr="0015677D">
        <w:rPr>
          <w:rFonts w:ascii="Arial Narrow" w:hAnsi="Arial Narrow"/>
          <w:sz w:val="24"/>
          <w:szCs w:val="24"/>
          <w:lang w:val="en-GB" w:eastAsia="en-GB"/>
        </w:rPr>
        <w:t>prati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potrebe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tržišta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rada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kako</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bismo</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što</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više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zapošljavali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domaću</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radnu</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snagu</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stvarajući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školovane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stručne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kadrove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odgovarajućim</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znanjima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vještinama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Radićemo</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na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stalnom</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poboljšavanju</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uslova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rada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primjeni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novih</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tehnika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metoda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rada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postavljajući</w:t>
      </w:r>
      <w:proofErr w:type="spellEnd"/>
      <w:r w:rsidRPr="0015677D">
        <w:rPr>
          <w:rFonts w:ascii="Arial Narrow" w:hAnsi="Arial Narrow"/>
          <w:sz w:val="24"/>
          <w:szCs w:val="24"/>
          <w:lang w:val="en-GB" w:eastAsia="en-GB"/>
        </w:rPr>
        <w:t xml:space="preserve"> u </w:t>
      </w:r>
      <w:proofErr w:type="spellStart"/>
      <w:r w:rsidRPr="0015677D">
        <w:rPr>
          <w:rFonts w:ascii="Arial Narrow" w:hAnsi="Arial Narrow"/>
          <w:sz w:val="24"/>
          <w:szCs w:val="24"/>
          <w:lang w:val="en-GB" w:eastAsia="en-GB"/>
        </w:rPr>
        <w:t>centar</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učenika</w:t>
      </w:r>
      <w:proofErr w:type="spellEnd"/>
      <w:r w:rsidRPr="0015677D">
        <w:rPr>
          <w:rFonts w:ascii="Arial Narrow" w:hAnsi="Arial Narrow"/>
          <w:sz w:val="24"/>
          <w:szCs w:val="24"/>
          <w:lang w:val="en-GB" w:eastAsia="en-GB"/>
        </w:rPr>
        <w:t xml:space="preserve"> koji </w:t>
      </w:r>
      <w:proofErr w:type="spellStart"/>
      <w:r w:rsidRPr="0015677D">
        <w:rPr>
          <w:rFonts w:ascii="Arial Narrow" w:hAnsi="Arial Narrow"/>
          <w:sz w:val="24"/>
          <w:szCs w:val="24"/>
          <w:lang w:val="en-GB" w:eastAsia="en-GB"/>
        </w:rPr>
        <w:t>će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osmjehom</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ulaziti</w:t>
      </w:r>
      <w:proofErr w:type="spellEnd"/>
      <w:r w:rsidRPr="0015677D">
        <w:rPr>
          <w:rFonts w:ascii="Arial Narrow" w:hAnsi="Arial Narrow"/>
          <w:sz w:val="24"/>
          <w:szCs w:val="24"/>
          <w:lang w:val="en-GB" w:eastAsia="en-GB"/>
        </w:rPr>
        <w:t xml:space="preserve"> u </w:t>
      </w:r>
      <w:proofErr w:type="spellStart"/>
      <w:r w:rsidRPr="0015677D">
        <w:rPr>
          <w:rFonts w:ascii="Arial Narrow" w:hAnsi="Arial Narrow"/>
          <w:sz w:val="24"/>
          <w:szCs w:val="24"/>
          <w:lang w:val="en-GB" w:eastAsia="en-GB"/>
        </w:rPr>
        <w:t>učionice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sa</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zadovoljstvom</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rješavati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zadatke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kreiranju</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ambijenta</w:t>
      </w:r>
      <w:proofErr w:type="spellEnd"/>
      <w:r w:rsidRPr="0015677D">
        <w:rPr>
          <w:rFonts w:ascii="Arial Narrow" w:hAnsi="Arial Narrow"/>
          <w:sz w:val="24"/>
          <w:szCs w:val="24"/>
          <w:lang w:val="en-GB" w:eastAsia="en-GB"/>
        </w:rPr>
        <w:t xml:space="preserve"> koji </w:t>
      </w:r>
      <w:proofErr w:type="spellStart"/>
      <w:r w:rsidRPr="0015677D">
        <w:rPr>
          <w:rFonts w:ascii="Arial Narrow" w:hAnsi="Arial Narrow"/>
          <w:sz w:val="24"/>
          <w:szCs w:val="24"/>
          <w:lang w:val="en-GB" w:eastAsia="en-GB"/>
        </w:rPr>
        <w:t>će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prepoznati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talenat</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sklonost</w:t>
      </w:r>
      <w:proofErr w:type="spellEnd"/>
      <w:r w:rsidRPr="0015677D">
        <w:rPr>
          <w:rFonts w:ascii="Arial Narrow" w:hAnsi="Arial Narrow"/>
          <w:sz w:val="24"/>
          <w:szCs w:val="24"/>
          <w:lang w:val="en-GB" w:eastAsia="en-GB"/>
        </w:rPr>
        <w:t xml:space="preserve">, u </w:t>
      </w:r>
      <w:proofErr w:type="spellStart"/>
      <w:r w:rsidRPr="0015677D">
        <w:rPr>
          <w:rFonts w:ascii="Arial Narrow" w:hAnsi="Arial Narrow"/>
          <w:sz w:val="24"/>
          <w:szCs w:val="24"/>
          <w:lang w:val="en-GB" w:eastAsia="en-GB"/>
        </w:rPr>
        <w:t>kome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će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memorisanje</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biti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zamijenjeno</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kritičkim</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i</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stvaralačkim</w:t>
      </w:r>
      <w:proofErr w:type="spellEnd"/>
      <w:r w:rsidRPr="0015677D">
        <w:rPr>
          <w:rFonts w:ascii="Arial Narrow" w:hAnsi="Arial Narrow"/>
          <w:sz w:val="24"/>
          <w:szCs w:val="24"/>
          <w:lang w:val="en-GB" w:eastAsia="en-GB"/>
        </w:rPr>
        <w:t xml:space="preserve"> </w:t>
      </w:r>
      <w:proofErr w:type="spellStart"/>
      <w:r w:rsidRPr="0015677D">
        <w:rPr>
          <w:rFonts w:ascii="Arial Narrow" w:hAnsi="Arial Narrow"/>
          <w:sz w:val="24"/>
          <w:szCs w:val="24"/>
          <w:lang w:val="en-GB" w:eastAsia="en-GB"/>
        </w:rPr>
        <w:t>mišljenjem</w:t>
      </w:r>
      <w:proofErr w:type="spellEnd"/>
      <w:r w:rsidRPr="0015677D">
        <w:rPr>
          <w:rFonts w:ascii="Arial Narrow" w:hAnsi="Arial Narrow"/>
          <w:sz w:val="24"/>
          <w:szCs w:val="24"/>
          <w:lang w:val="en-GB" w:eastAsia="en-GB"/>
        </w:rPr>
        <w:t>.</w:t>
      </w:r>
    </w:p>
    <w:p w14:paraId="0F9CAB9C" w14:textId="77777777" w:rsidR="005E2B4E" w:rsidRDefault="0015677D" w:rsidP="005E2B4E">
      <w:pPr>
        <w:jc w:val="both"/>
        <w:rPr>
          <w:rFonts w:ascii="Arial Narrow" w:hAnsi="Arial Narrow"/>
          <w:sz w:val="24"/>
          <w:szCs w:val="24"/>
          <w:lang w:val="en-GB" w:eastAsia="en-GB"/>
        </w:rPr>
      </w:pPr>
      <w:r w:rsidRPr="0015677D">
        <w:rPr>
          <w:rFonts w:ascii="Arial Narrow" w:hAnsi="Arial Narrow" w:cs="TimesNewRoman"/>
          <w:b/>
          <w:bCs/>
          <w:noProof/>
          <w:lang w:val="en-US"/>
        </w:rPr>
        <w:drawing>
          <wp:anchor distT="0" distB="0" distL="114300" distR="114300" simplePos="0" relativeHeight="251699200" behindDoc="0" locked="0" layoutInCell="1" allowOverlap="1" wp14:anchorId="6BA19B80" wp14:editId="31D777DC">
            <wp:simplePos x="0" y="0"/>
            <wp:positionH relativeFrom="margin">
              <wp:align>left</wp:align>
            </wp:positionH>
            <wp:positionV relativeFrom="paragraph">
              <wp:posOffset>5305</wp:posOffset>
            </wp:positionV>
            <wp:extent cx="474980" cy="474980"/>
            <wp:effectExtent l="0" t="0" r="1270" b="1270"/>
            <wp:wrapSquare wrapText="bothSides"/>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054-technology-innovation-digital-data-information-51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4980" cy="474980"/>
                    </a:xfrm>
                    <a:prstGeom prst="rect">
                      <a:avLst/>
                    </a:prstGeom>
                  </pic:spPr>
                </pic:pic>
              </a:graphicData>
            </a:graphic>
            <wp14:sizeRelH relativeFrom="margin">
              <wp14:pctWidth>0</wp14:pctWidth>
            </wp14:sizeRelH>
          </wp:anchor>
        </w:drawing>
      </w:r>
      <w:proofErr w:type="spellStart"/>
      <w:r>
        <w:rPr>
          <w:rFonts w:ascii="Arial Narrow" w:hAnsi="Arial Narrow"/>
          <w:sz w:val="24"/>
          <w:szCs w:val="24"/>
          <w:lang w:val="en-GB" w:eastAsia="en-GB"/>
        </w:rPr>
        <w:t>Digitalna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transformacija</w:t>
      </w:r>
      <w:proofErr w:type="spellEnd"/>
      <w:r>
        <w:rPr>
          <w:rFonts w:ascii="Arial Narrow" w:hAnsi="Arial Narrow"/>
          <w:sz w:val="24"/>
          <w:szCs w:val="24"/>
          <w:lang w:val="en-GB" w:eastAsia="en-GB"/>
        </w:rPr>
        <w:t xml:space="preserve"> je </w:t>
      </w:r>
      <w:proofErr w:type="spellStart"/>
      <w:r>
        <w:rPr>
          <w:rFonts w:ascii="Arial Narrow" w:hAnsi="Arial Narrow"/>
          <w:sz w:val="24"/>
          <w:szCs w:val="24"/>
          <w:lang w:val="en-GB" w:eastAsia="en-GB"/>
        </w:rPr>
        <w:t>jedan</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od</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stubova</w:t>
      </w:r>
      <w:proofErr w:type="spellEnd"/>
      <w:r>
        <w:rPr>
          <w:rFonts w:ascii="Arial Narrow" w:hAnsi="Arial Narrow"/>
          <w:sz w:val="24"/>
          <w:szCs w:val="24"/>
          <w:lang w:val="en-GB" w:eastAsia="en-GB"/>
        </w:rPr>
        <w:t xml:space="preserve"> Vlade </w:t>
      </w:r>
      <w:proofErr w:type="spellStart"/>
      <w:r>
        <w:rPr>
          <w:rFonts w:ascii="Arial Narrow" w:hAnsi="Arial Narrow"/>
          <w:sz w:val="24"/>
          <w:szCs w:val="24"/>
          <w:lang w:val="en-GB" w:eastAsia="en-GB"/>
        </w:rPr>
        <w:t>kojim</w:t>
      </w:r>
      <w:proofErr w:type="spellEnd"/>
      <w:r>
        <w:rPr>
          <w:rFonts w:ascii="Arial Narrow" w:hAnsi="Arial Narrow"/>
          <w:sz w:val="24"/>
          <w:szCs w:val="24"/>
          <w:lang w:val="en-GB" w:eastAsia="en-GB"/>
        </w:rPr>
        <w:t xml:space="preserve"> se </w:t>
      </w:r>
      <w:proofErr w:type="spellStart"/>
      <w:r>
        <w:rPr>
          <w:rFonts w:ascii="Arial Narrow" w:hAnsi="Arial Narrow"/>
          <w:sz w:val="24"/>
          <w:szCs w:val="24"/>
          <w:lang w:val="en-GB" w:eastAsia="en-GB"/>
        </w:rPr>
        <w:t>želi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povećati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dostupnost</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javnih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usluga</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i</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javna</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uprava</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privreda</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obrazovani</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i</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zdravstveni</w:t>
      </w:r>
      <w:proofErr w:type="spellEnd"/>
      <w:r w:rsidR="006B47D6">
        <w:rPr>
          <w:rFonts w:ascii="Arial Narrow" w:hAnsi="Arial Narrow"/>
          <w:sz w:val="24"/>
          <w:szCs w:val="24"/>
          <w:lang w:val="en-GB" w:eastAsia="en-GB"/>
        </w:rPr>
        <w:t xml:space="preserve"> system, </w:t>
      </w:r>
      <w:proofErr w:type="spellStart"/>
      <w:r w:rsidR="006B47D6">
        <w:rPr>
          <w:rFonts w:ascii="Arial Narrow" w:hAnsi="Arial Narrow"/>
          <w:sz w:val="24"/>
          <w:szCs w:val="24"/>
          <w:lang w:val="en-GB" w:eastAsia="en-GB"/>
        </w:rPr>
        <w:t>učiniti</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otvorenijim</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i</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pristupačnim</w:t>
      </w:r>
      <w:proofErr w:type="spellEnd"/>
      <w:r w:rsidR="006B47D6">
        <w:rPr>
          <w:rFonts w:ascii="Arial Narrow" w:hAnsi="Arial Narrow"/>
          <w:sz w:val="24"/>
          <w:szCs w:val="24"/>
          <w:lang w:val="en-GB" w:eastAsia="en-GB"/>
        </w:rPr>
        <w:t>.</w:t>
      </w:r>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Kroz</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drugi</w:t>
      </w:r>
      <w:proofErr w:type="spellEnd"/>
      <w:r w:rsidR="005E2B4E" w:rsidRPr="0015677D">
        <w:rPr>
          <w:rFonts w:ascii="Arial Narrow" w:hAnsi="Arial Narrow"/>
          <w:sz w:val="24"/>
          <w:szCs w:val="24"/>
          <w:lang w:val="en-GB" w:eastAsia="en-GB"/>
        </w:rPr>
        <w:t xml:space="preserve"> stub koji se </w:t>
      </w:r>
      <w:proofErr w:type="spellStart"/>
      <w:r w:rsidR="005E2B4E" w:rsidRPr="0015677D">
        <w:rPr>
          <w:rFonts w:ascii="Arial Narrow" w:hAnsi="Arial Narrow"/>
          <w:sz w:val="24"/>
          <w:szCs w:val="24"/>
          <w:lang w:val="en-GB" w:eastAsia="en-GB"/>
        </w:rPr>
        <w:t>odnosi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na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digitalnu</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transformaciju</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opredijelili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smo</w:t>
      </w:r>
      <w:proofErr w:type="spellEnd"/>
      <w:r w:rsidR="005E2B4E" w:rsidRPr="0015677D">
        <w:rPr>
          <w:rFonts w:ascii="Arial Narrow" w:hAnsi="Arial Narrow"/>
          <w:sz w:val="24"/>
          <w:szCs w:val="24"/>
          <w:lang w:val="en-GB" w:eastAsia="en-GB"/>
        </w:rPr>
        <w:t xml:space="preserve"> se za </w:t>
      </w:r>
      <w:proofErr w:type="spellStart"/>
      <w:r w:rsidR="005E2B4E" w:rsidRPr="0015677D">
        <w:rPr>
          <w:rFonts w:ascii="Arial Narrow" w:hAnsi="Arial Narrow"/>
          <w:sz w:val="24"/>
          <w:szCs w:val="24"/>
          <w:lang w:val="en-GB" w:eastAsia="en-GB"/>
        </w:rPr>
        <w:t>društvo</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znanja</w:t>
      </w:r>
      <w:proofErr w:type="spellEnd"/>
      <w:r w:rsidR="005E2B4E" w:rsidRPr="0015677D">
        <w:rPr>
          <w:rFonts w:ascii="Arial Narrow" w:hAnsi="Arial Narrow"/>
          <w:sz w:val="24"/>
          <w:szCs w:val="24"/>
          <w:lang w:val="en-GB" w:eastAsia="en-GB"/>
        </w:rPr>
        <w:t xml:space="preserve"> u </w:t>
      </w:r>
      <w:proofErr w:type="spellStart"/>
      <w:r w:rsidR="005E2B4E" w:rsidRPr="0015677D">
        <w:rPr>
          <w:rFonts w:ascii="Arial Narrow" w:hAnsi="Arial Narrow"/>
          <w:sz w:val="24"/>
          <w:szCs w:val="24"/>
          <w:lang w:val="en-GB" w:eastAsia="en-GB"/>
        </w:rPr>
        <w:t>kojem</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dominira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informaciona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tehnologija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digitalna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transformacija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pametni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pristup</w:t>
      </w:r>
      <w:proofErr w:type="spellEnd"/>
      <w:r w:rsidR="005E2B4E" w:rsidRPr="0015677D">
        <w:rPr>
          <w:rFonts w:ascii="Arial Narrow" w:hAnsi="Arial Narrow"/>
          <w:sz w:val="24"/>
          <w:szCs w:val="24"/>
          <w:lang w:val="en-GB" w:eastAsia="en-GB"/>
        </w:rPr>
        <w:t>.</w:t>
      </w:r>
      <w:r w:rsidR="006B47D6">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Cilj</w:t>
      </w:r>
      <w:proofErr w:type="spellEnd"/>
      <w:r w:rsidR="005E2B4E" w:rsidRPr="0015677D">
        <w:rPr>
          <w:rFonts w:ascii="Arial Narrow" w:hAnsi="Arial Narrow"/>
          <w:sz w:val="24"/>
          <w:szCs w:val="24"/>
          <w:lang w:val="en-GB" w:eastAsia="en-GB"/>
        </w:rPr>
        <w:t xml:space="preserve"> je </w:t>
      </w:r>
      <w:proofErr w:type="spellStart"/>
      <w:r w:rsidR="005E2B4E" w:rsidRPr="0015677D">
        <w:rPr>
          <w:rFonts w:ascii="Arial Narrow" w:hAnsi="Arial Narrow"/>
          <w:sz w:val="24"/>
          <w:szCs w:val="24"/>
          <w:lang w:val="en-GB" w:eastAsia="en-GB"/>
        </w:rPr>
        <w:t>snažnija</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uloga</w:t>
      </w:r>
      <w:proofErr w:type="spellEnd"/>
      <w:r w:rsidR="005E2B4E" w:rsidRPr="0015677D">
        <w:rPr>
          <w:rFonts w:ascii="Arial Narrow" w:hAnsi="Arial Narrow"/>
          <w:sz w:val="24"/>
          <w:szCs w:val="24"/>
          <w:lang w:val="en-GB" w:eastAsia="en-GB"/>
        </w:rPr>
        <w:t xml:space="preserve"> u </w:t>
      </w:r>
      <w:proofErr w:type="spellStart"/>
      <w:r w:rsidR="005E2B4E" w:rsidRPr="0015677D">
        <w:rPr>
          <w:rFonts w:ascii="Arial Narrow" w:hAnsi="Arial Narrow"/>
          <w:sz w:val="24"/>
          <w:szCs w:val="24"/>
          <w:lang w:val="en-GB" w:eastAsia="en-GB"/>
        </w:rPr>
        <w:t>digitalnoj</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transformaciji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javne</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uprave</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i</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cjelokupnog</w:t>
      </w:r>
      <w:proofErr w:type="spellEnd"/>
      <w:r w:rsidR="005E2B4E" w:rsidRPr="0015677D">
        <w:rPr>
          <w:rFonts w:ascii="Arial Narrow" w:hAnsi="Arial Narrow"/>
          <w:sz w:val="24"/>
          <w:szCs w:val="24"/>
          <w:lang w:val="en-GB" w:eastAsia="en-GB"/>
        </w:rPr>
        <w:t xml:space="preserve"> </w:t>
      </w:r>
      <w:proofErr w:type="spellStart"/>
      <w:r w:rsidR="005E2B4E" w:rsidRPr="0015677D">
        <w:rPr>
          <w:rFonts w:ascii="Arial Narrow" w:hAnsi="Arial Narrow"/>
          <w:sz w:val="24"/>
          <w:szCs w:val="24"/>
          <w:lang w:val="en-GB" w:eastAsia="en-GB"/>
        </w:rPr>
        <w:t>društva</w:t>
      </w:r>
      <w:proofErr w:type="spellEnd"/>
      <w:r w:rsidR="005E2B4E" w:rsidRPr="0015677D">
        <w:rPr>
          <w:rFonts w:ascii="Arial Narrow" w:hAnsi="Arial Narrow"/>
          <w:sz w:val="24"/>
          <w:szCs w:val="24"/>
          <w:lang w:val="en-GB" w:eastAsia="en-GB"/>
        </w:rPr>
        <w:t>.</w:t>
      </w:r>
      <w:r w:rsidR="006B47D6" w:rsidRPr="006B47D6">
        <w:t xml:space="preserve"> </w:t>
      </w:r>
      <w:proofErr w:type="spellStart"/>
      <w:r w:rsidR="006B47D6" w:rsidRPr="006B47D6">
        <w:rPr>
          <w:rFonts w:ascii="Arial Narrow" w:hAnsi="Arial Narrow"/>
          <w:sz w:val="24"/>
          <w:szCs w:val="24"/>
          <w:lang w:val="en-GB" w:eastAsia="en-GB"/>
        </w:rPr>
        <w:t>Udruženim</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snagama</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moramo</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mijenjati</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organizacionu</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kulturu</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modernizovati</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procese</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konstantno</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raditi</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na</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razvoju</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i</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unapređenju</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digitalnih</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vještina</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kao</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i</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povećanju</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digitalne</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pismenosti</w:t>
      </w:r>
      <w:proofErr w:type="spellEnd"/>
      <w:r w:rsidR="006B47D6" w:rsidRPr="006B47D6">
        <w:rPr>
          <w:rFonts w:ascii="Arial Narrow" w:hAnsi="Arial Narrow"/>
          <w:sz w:val="24"/>
          <w:szCs w:val="24"/>
          <w:lang w:val="en-GB" w:eastAsia="en-GB"/>
        </w:rPr>
        <w:t xml:space="preserve">. U </w:t>
      </w:r>
      <w:proofErr w:type="spellStart"/>
      <w:r w:rsidR="006B47D6" w:rsidRPr="006B47D6">
        <w:rPr>
          <w:rFonts w:ascii="Arial Narrow" w:hAnsi="Arial Narrow"/>
          <w:sz w:val="24"/>
          <w:szCs w:val="24"/>
          <w:lang w:val="en-GB" w:eastAsia="en-GB"/>
        </w:rPr>
        <w:t>fokusu</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digitalne</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transformacije</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biće</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uklanjanje</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postojećih</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i</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rano</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prepoznavanje</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budućih</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barijera</w:t>
      </w:r>
      <w:proofErr w:type="spellEnd"/>
      <w:r w:rsidR="006B47D6" w:rsidRPr="006B47D6">
        <w:rPr>
          <w:rFonts w:ascii="Arial Narrow" w:hAnsi="Arial Narrow"/>
          <w:sz w:val="24"/>
          <w:szCs w:val="24"/>
          <w:lang w:val="en-GB" w:eastAsia="en-GB"/>
        </w:rPr>
        <w:t xml:space="preserve"> za </w:t>
      </w:r>
      <w:proofErr w:type="spellStart"/>
      <w:r w:rsidR="006B47D6" w:rsidRPr="006B47D6">
        <w:rPr>
          <w:rFonts w:ascii="Arial Narrow" w:hAnsi="Arial Narrow"/>
          <w:sz w:val="24"/>
          <w:szCs w:val="24"/>
          <w:lang w:val="en-GB" w:eastAsia="en-GB"/>
        </w:rPr>
        <w:t>poslovanje</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kako</w:t>
      </w:r>
      <w:proofErr w:type="spellEnd"/>
      <w:r w:rsidR="006B47D6" w:rsidRPr="006B47D6">
        <w:rPr>
          <w:rFonts w:ascii="Arial Narrow" w:hAnsi="Arial Narrow"/>
          <w:sz w:val="24"/>
          <w:szCs w:val="24"/>
          <w:lang w:val="en-GB" w:eastAsia="en-GB"/>
        </w:rPr>
        <w:t xml:space="preserve"> za </w:t>
      </w:r>
      <w:proofErr w:type="spellStart"/>
      <w:r w:rsidR="006B47D6" w:rsidRPr="006B47D6">
        <w:rPr>
          <w:rFonts w:ascii="Arial Narrow" w:hAnsi="Arial Narrow"/>
          <w:sz w:val="24"/>
          <w:szCs w:val="24"/>
          <w:lang w:val="en-GB" w:eastAsia="en-GB"/>
        </w:rPr>
        <w:t>crnogorsku</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privredu</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tako</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i</w:t>
      </w:r>
      <w:proofErr w:type="spellEnd"/>
      <w:r w:rsidR="006B47D6" w:rsidRPr="006B47D6">
        <w:rPr>
          <w:rFonts w:ascii="Arial Narrow" w:hAnsi="Arial Narrow"/>
          <w:sz w:val="24"/>
          <w:szCs w:val="24"/>
          <w:lang w:val="en-GB" w:eastAsia="en-GB"/>
        </w:rPr>
        <w:t xml:space="preserve"> za </w:t>
      </w:r>
      <w:proofErr w:type="spellStart"/>
      <w:r w:rsidR="006B47D6" w:rsidRPr="006B47D6">
        <w:rPr>
          <w:rFonts w:ascii="Arial Narrow" w:hAnsi="Arial Narrow"/>
          <w:sz w:val="24"/>
          <w:szCs w:val="24"/>
          <w:lang w:val="en-GB" w:eastAsia="en-GB"/>
        </w:rPr>
        <w:t>strane</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investitore</w:t>
      </w:r>
      <w:proofErr w:type="spellEnd"/>
      <w:r w:rsidR="006B47D6" w:rsidRPr="006B47D6">
        <w:rPr>
          <w:rFonts w:ascii="Arial Narrow" w:hAnsi="Arial Narrow"/>
          <w:sz w:val="24"/>
          <w:szCs w:val="24"/>
          <w:lang w:val="en-GB" w:eastAsia="en-GB"/>
        </w:rPr>
        <w:t xml:space="preserve">. Sa </w:t>
      </w:r>
      <w:proofErr w:type="spellStart"/>
      <w:r w:rsidR="006B47D6" w:rsidRPr="006B47D6">
        <w:rPr>
          <w:rFonts w:ascii="Arial Narrow" w:hAnsi="Arial Narrow"/>
          <w:sz w:val="24"/>
          <w:szCs w:val="24"/>
          <w:lang w:val="en-GB" w:eastAsia="en-GB"/>
        </w:rPr>
        <w:t>uspješno</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digitalizovanim</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procesima</w:t>
      </w:r>
      <w:proofErr w:type="spellEnd"/>
      <w:r w:rsidR="006B47D6" w:rsidRPr="006B47D6">
        <w:rPr>
          <w:rFonts w:ascii="Arial Narrow" w:hAnsi="Arial Narrow"/>
          <w:sz w:val="24"/>
          <w:szCs w:val="24"/>
          <w:lang w:val="en-GB" w:eastAsia="en-GB"/>
        </w:rPr>
        <w:t xml:space="preserve"> u </w:t>
      </w:r>
      <w:proofErr w:type="spellStart"/>
      <w:r w:rsidR="006B47D6" w:rsidRPr="006B47D6">
        <w:rPr>
          <w:rFonts w:ascii="Arial Narrow" w:hAnsi="Arial Narrow"/>
          <w:sz w:val="24"/>
          <w:szCs w:val="24"/>
          <w:lang w:val="en-GB" w:eastAsia="en-GB"/>
        </w:rPr>
        <w:t>javnom</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i</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privatnom</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sektoru</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povećaćemo</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konkurentost</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Crne</w:t>
      </w:r>
      <w:proofErr w:type="spellEnd"/>
      <w:r w:rsidR="006B47D6" w:rsidRPr="006B47D6">
        <w:rPr>
          <w:rFonts w:ascii="Arial Narrow" w:hAnsi="Arial Narrow"/>
          <w:sz w:val="24"/>
          <w:szCs w:val="24"/>
          <w:lang w:val="en-GB" w:eastAsia="en-GB"/>
        </w:rPr>
        <w:t xml:space="preserve"> Gore </w:t>
      </w:r>
      <w:proofErr w:type="spellStart"/>
      <w:r w:rsidR="006B47D6" w:rsidRPr="006B47D6">
        <w:rPr>
          <w:rFonts w:ascii="Arial Narrow" w:hAnsi="Arial Narrow"/>
          <w:sz w:val="24"/>
          <w:szCs w:val="24"/>
          <w:lang w:val="en-GB" w:eastAsia="en-GB"/>
        </w:rPr>
        <w:t>na</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globalnom</w:t>
      </w:r>
      <w:proofErr w:type="spellEnd"/>
      <w:r w:rsidR="006B47D6" w:rsidRPr="006B47D6">
        <w:rPr>
          <w:rFonts w:ascii="Arial Narrow" w:hAnsi="Arial Narrow"/>
          <w:sz w:val="24"/>
          <w:szCs w:val="24"/>
          <w:lang w:val="en-GB" w:eastAsia="en-GB"/>
        </w:rPr>
        <w:t xml:space="preserve"> </w:t>
      </w:r>
      <w:proofErr w:type="spellStart"/>
      <w:r w:rsidR="006B47D6" w:rsidRPr="006B47D6">
        <w:rPr>
          <w:rFonts w:ascii="Arial Narrow" w:hAnsi="Arial Narrow"/>
          <w:sz w:val="24"/>
          <w:szCs w:val="24"/>
          <w:lang w:val="en-GB" w:eastAsia="en-GB"/>
        </w:rPr>
        <w:t>tržištu</w:t>
      </w:r>
      <w:proofErr w:type="spellEnd"/>
      <w:r w:rsidR="006B47D6" w:rsidRPr="006B47D6">
        <w:rPr>
          <w:rFonts w:ascii="Arial Narrow" w:hAnsi="Arial Narrow"/>
          <w:sz w:val="24"/>
          <w:szCs w:val="24"/>
          <w:lang w:val="en-GB" w:eastAsia="en-GB"/>
        </w:rPr>
        <w:t>.</w:t>
      </w:r>
    </w:p>
    <w:p w14:paraId="08702E95" w14:textId="77777777" w:rsidR="006B47D6" w:rsidRDefault="006B47D6" w:rsidP="005E2B4E">
      <w:pPr>
        <w:jc w:val="both"/>
        <w:rPr>
          <w:rFonts w:ascii="Arial Narrow" w:hAnsi="Arial Narrow"/>
          <w:sz w:val="24"/>
          <w:szCs w:val="24"/>
          <w:lang w:val="en-GB" w:eastAsia="en-GB"/>
        </w:rPr>
      </w:pPr>
      <w:r w:rsidRPr="00605A99">
        <w:rPr>
          <w:b/>
          <w:bCs/>
          <w:noProof/>
          <w:color w:val="1F3864" w:themeColor="accent1" w:themeShade="80"/>
          <w:lang w:val="en-US"/>
        </w:rPr>
        <w:drawing>
          <wp:anchor distT="0" distB="0" distL="114300" distR="114300" simplePos="0" relativeHeight="251701248" behindDoc="0" locked="0" layoutInCell="1" allowOverlap="1" wp14:anchorId="321DFE3A" wp14:editId="43AEBF9A">
            <wp:simplePos x="0" y="0"/>
            <wp:positionH relativeFrom="margin">
              <wp:align>left</wp:align>
            </wp:positionH>
            <wp:positionV relativeFrom="paragraph">
              <wp:posOffset>22667</wp:posOffset>
            </wp:positionV>
            <wp:extent cx="438150" cy="438150"/>
            <wp:effectExtent l="0" t="0" r="0" b="0"/>
            <wp:wrapSquare wrapText="bothSides"/>
            <wp:docPr id="15" name="Picture 15" descr="Circle, country, eu, europe, european, flag, uni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rcle, country, eu, europe, european, flag, union icon - Download on  Iconfind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5E2B4E" w:rsidRPr="00FF0A4E">
        <w:rPr>
          <w:rFonts w:ascii="Arial Narrow" w:hAnsi="Arial Narrow"/>
          <w:sz w:val="24"/>
          <w:szCs w:val="24"/>
          <w:lang w:val="en-GB" w:eastAsia="en-GB"/>
        </w:rPr>
        <w:t>Vlada</w:t>
      </w:r>
      <w:proofErr w:type="spellEnd"/>
      <w:r w:rsidR="005E2B4E" w:rsidRPr="00FF0A4E">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će</w:t>
      </w:r>
      <w:proofErr w:type="spellEnd"/>
      <w:r w:rsidR="005E2B4E" w:rsidRPr="00FF0A4E">
        <w:rPr>
          <w:rFonts w:ascii="Arial Narrow" w:hAnsi="Arial Narrow"/>
          <w:sz w:val="24"/>
          <w:szCs w:val="24"/>
          <w:lang w:val="en-GB" w:eastAsia="en-GB"/>
        </w:rPr>
        <w:t xml:space="preserve"> punim </w:t>
      </w:r>
      <w:proofErr w:type="spellStart"/>
      <w:r w:rsidR="005E2B4E" w:rsidRPr="00FF0A4E">
        <w:rPr>
          <w:rFonts w:ascii="Arial Narrow" w:hAnsi="Arial Narrow"/>
          <w:sz w:val="24"/>
          <w:szCs w:val="24"/>
          <w:lang w:val="en-GB" w:eastAsia="en-GB"/>
        </w:rPr>
        <w:t>kapacitetom</w:t>
      </w:r>
      <w:proofErr w:type="spellEnd"/>
      <w:r>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nastaviti</w:t>
      </w:r>
      <w:proofErr w:type="spellEnd"/>
      <w:r w:rsidR="005E2B4E" w:rsidRPr="00FF0A4E">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pregovore</w:t>
      </w:r>
      <w:proofErr w:type="spellEnd"/>
      <w:r w:rsidR="005E2B4E" w:rsidRPr="00FF0A4E">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sa</w:t>
      </w:r>
      <w:proofErr w:type="spellEnd"/>
      <w:r w:rsidR="005E2B4E" w:rsidRPr="00FF0A4E">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Evropskom</w:t>
      </w:r>
      <w:proofErr w:type="spellEnd"/>
      <w:r w:rsidR="005E2B4E" w:rsidRPr="00FF0A4E">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unijom</w:t>
      </w:r>
      <w:proofErr w:type="spellEnd"/>
      <w:r w:rsidR="005E2B4E" w:rsidRPr="00FF0A4E">
        <w:rPr>
          <w:rFonts w:ascii="Arial Narrow" w:hAnsi="Arial Narrow"/>
          <w:sz w:val="24"/>
          <w:szCs w:val="24"/>
          <w:lang w:val="en-GB" w:eastAsia="en-GB"/>
        </w:rPr>
        <w:t xml:space="preserve">, </w:t>
      </w:r>
      <w:r w:rsidRPr="006B47D6">
        <w:rPr>
          <w:rFonts w:ascii="Arial Narrow" w:hAnsi="Arial Narrow"/>
          <w:sz w:val="24"/>
          <w:szCs w:val="24"/>
          <w:lang w:val="en-GB" w:eastAsia="en-GB"/>
        </w:rPr>
        <w:t xml:space="preserve">s </w:t>
      </w:r>
      <w:proofErr w:type="spellStart"/>
      <w:r w:rsidRPr="006B47D6">
        <w:rPr>
          <w:rFonts w:ascii="Arial Narrow" w:hAnsi="Arial Narrow"/>
          <w:sz w:val="24"/>
          <w:szCs w:val="24"/>
          <w:lang w:val="en-GB" w:eastAsia="en-GB"/>
        </w:rPr>
        <w:t>težištem</w:t>
      </w:r>
      <w:proofErr w:type="spellEnd"/>
      <w:r w:rsidRPr="006B47D6">
        <w:rPr>
          <w:rFonts w:ascii="Arial Narrow" w:hAnsi="Arial Narrow"/>
          <w:sz w:val="24"/>
          <w:szCs w:val="24"/>
          <w:lang w:val="en-GB" w:eastAsia="en-GB"/>
        </w:rPr>
        <w:t xml:space="preserve"> </w:t>
      </w:r>
      <w:proofErr w:type="spellStart"/>
      <w:r w:rsidRPr="006B47D6">
        <w:rPr>
          <w:rFonts w:ascii="Arial Narrow" w:hAnsi="Arial Narrow"/>
          <w:sz w:val="24"/>
          <w:szCs w:val="24"/>
          <w:lang w:val="en-GB" w:eastAsia="en-GB"/>
        </w:rPr>
        <w:t>na</w:t>
      </w:r>
      <w:proofErr w:type="spellEnd"/>
      <w:r w:rsidRPr="006B47D6">
        <w:rPr>
          <w:rFonts w:ascii="Arial Narrow" w:hAnsi="Arial Narrow"/>
          <w:sz w:val="24"/>
          <w:szCs w:val="24"/>
          <w:lang w:val="en-GB" w:eastAsia="en-GB"/>
        </w:rPr>
        <w:t xml:space="preserve"> </w:t>
      </w:r>
      <w:proofErr w:type="spellStart"/>
      <w:r w:rsidRPr="006B47D6">
        <w:rPr>
          <w:rFonts w:ascii="Arial Narrow" w:hAnsi="Arial Narrow"/>
          <w:sz w:val="24"/>
          <w:szCs w:val="24"/>
          <w:lang w:val="en-GB" w:eastAsia="en-GB"/>
        </w:rPr>
        <w:t>poglavljima</w:t>
      </w:r>
      <w:proofErr w:type="spellEnd"/>
      <w:r w:rsidRPr="006B47D6">
        <w:rPr>
          <w:rFonts w:ascii="Arial Narrow" w:hAnsi="Arial Narrow"/>
          <w:sz w:val="24"/>
          <w:szCs w:val="24"/>
          <w:lang w:val="en-GB" w:eastAsia="en-GB"/>
        </w:rPr>
        <w:t xml:space="preserve"> 23 </w:t>
      </w:r>
      <w:proofErr w:type="spellStart"/>
      <w:r w:rsidRPr="006B47D6">
        <w:rPr>
          <w:rFonts w:ascii="Arial Narrow" w:hAnsi="Arial Narrow"/>
          <w:sz w:val="24"/>
          <w:szCs w:val="24"/>
          <w:lang w:val="en-GB" w:eastAsia="en-GB"/>
        </w:rPr>
        <w:t>i</w:t>
      </w:r>
      <w:proofErr w:type="spellEnd"/>
      <w:r w:rsidRPr="006B47D6">
        <w:rPr>
          <w:rFonts w:ascii="Arial Narrow" w:hAnsi="Arial Narrow"/>
          <w:sz w:val="24"/>
          <w:szCs w:val="24"/>
          <w:lang w:val="en-GB" w:eastAsia="en-GB"/>
        </w:rPr>
        <w:t xml:space="preserve"> 24</w:t>
      </w:r>
      <w:r>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kako</w:t>
      </w:r>
      <w:proofErr w:type="spellEnd"/>
      <w:r w:rsidR="005E2B4E" w:rsidRPr="00FF0A4E">
        <w:rPr>
          <w:rFonts w:ascii="Arial Narrow" w:hAnsi="Arial Narrow"/>
          <w:sz w:val="24"/>
          <w:szCs w:val="24"/>
          <w:lang w:val="en-GB" w:eastAsia="en-GB"/>
        </w:rPr>
        <w:t xml:space="preserve"> bi </w:t>
      </w:r>
      <w:proofErr w:type="spellStart"/>
      <w:r w:rsidR="005E2B4E" w:rsidRPr="00FF0A4E">
        <w:rPr>
          <w:rFonts w:ascii="Arial Narrow" w:hAnsi="Arial Narrow"/>
          <w:sz w:val="24"/>
          <w:szCs w:val="24"/>
          <w:lang w:val="en-GB" w:eastAsia="en-GB"/>
        </w:rPr>
        <w:t>Crna</w:t>
      </w:r>
      <w:proofErr w:type="spellEnd"/>
      <w:r w:rsidR="005E2B4E" w:rsidRPr="00FF0A4E">
        <w:rPr>
          <w:rFonts w:ascii="Arial Narrow" w:hAnsi="Arial Narrow"/>
          <w:sz w:val="24"/>
          <w:szCs w:val="24"/>
          <w:lang w:val="en-GB" w:eastAsia="en-GB"/>
        </w:rPr>
        <w:t xml:space="preserve"> Gora </w:t>
      </w:r>
      <w:proofErr w:type="spellStart"/>
      <w:r w:rsidR="005E2B4E" w:rsidRPr="00FF0A4E">
        <w:rPr>
          <w:rFonts w:ascii="Arial Narrow" w:hAnsi="Arial Narrow"/>
          <w:sz w:val="24"/>
          <w:szCs w:val="24"/>
          <w:lang w:val="en-GB" w:eastAsia="en-GB"/>
        </w:rPr>
        <w:t>što</w:t>
      </w:r>
      <w:proofErr w:type="spellEnd"/>
      <w:r w:rsidR="005E2B4E" w:rsidRPr="00FF0A4E">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prije</w:t>
      </w:r>
      <w:proofErr w:type="spellEnd"/>
      <w:r w:rsidR="005E2B4E" w:rsidRPr="00FF0A4E">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postala</w:t>
      </w:r>
      <w:proofErr w:type="spellEnd"/>
      <w:r w:rsidR="005E2B4E" w:rsidRPr="00FF0A4E">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njena</w:t>
      </w:r>
      <w:proofErr w:type="spellEnd"/>
      <w:r w:rsidR="005E2B4E" w:rsidRPr="00FF0A4E">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punopravna</w:t>
      </w:r>
      <w:proofErr w:type="spellEnd"/>
      <w:r w:rsidR="005E2B4E" w:rsidRPr="00FF0A4E">
        <w:rPr>
          <w:rFonts w:ascii="Arial Narrow" w:hAnsi="Arial Narrow"/>
          <w:sz w:val="24"/>
          <w:szCs w:val="24"/>
          <w:lang w:val="en-GB" w:eastAsia="en-GB"/>
        </w:rPr>
        <w:t xml:space="preserve"> </w:t>
      </w:r>
      <w:proofErr w:type="spellStart"/>
      <w:r w:rsidR="005E2B4E" w:rsidRPr="00FF0A4E">
        <w:rPr>
          <w:rFonts w:ascii="Arial Narrow" w:hAnsi="Arial Narrow"/>
          <w:sz w:val="24"/>
          <w:szCs w:val="24"/>
          <w:lang w:val="en-GB" w:eastAsia="en-GB"/>
        </w:rPr>
        <w:t>članica</w:t>
      </w:r>
      <w:proofErr w:type="spellEnd"/>
      <w:r w:rsidR="005E2B4E" w:rsidRPr="006B47D6">
        <w:rPr>
          <w:rFonts w:ascii="Arial Narrow" w:hAnsi="Arial Narrow"/>
          <w:sz w:val="24"/>
          <w:szCs w:val="24"/>
          <w:lang w:val="en-GB" w:eastAsia="en-GB"/>
        </w:rPr>
        <w:t>.</w:t>
      </w:r>
      <w:r>
        <w:rPr>
          <w:rFonts w:ascii="Arial Narrow" w:hAnsi="Arial Narrow"/>
          <w:sz w:val="24"/>
          <w:szCs w:val="24"/>
          <w:lang w:val="en-GB" w:eastAsia="en-GB"/>
        </w:rPr>
        <w:t xml:space="preserve"> </w:t>
      </w:r>
    </w:p>
    <w:p w14:paraId="52B7B25D" w14:textId="77777777" w:rsidR="005E2B4E" w:rsidRDefault="00E52892" w:rsidP="005E2B4E">
      <w:pPr>
        <w:jc w:val="both"/>
        <w:rPr>
          <w:rFonts w:ascii="Arial Narrow" w:hAnsi="Arial Narrow"/>
          <w:sz w:val="24"/>
          <w:szCs w:val="24"/>
          <w:lang w:val="en-GB" w:eastAsia="en-GB"/>
        </w:rPr>
      </w:pPr>
      <w:r>
        <w:rPr>
          <w:b/>
          <w:bCs/>
          <w:noProof/>
          <w:color w:val="1F3864" w:themeColor="accent1" w:themeShade="80"/>
          <w:lang w:val="en-US"/>
        </w:rPr>
        <w:drawing>
          <wp:anchor distT="0" distB="0" distL="114300" distR="114300" simplePos="0" relativeHeight="251703296" behindDoc="0" locked="0" layoutInCell="1" allowOverlap="1" wp14:anchorId="21F94A31" wp14:editId="73A00C12">
            <wp:simplePos x="0" y="0"/>
            <wp:positionH relativeFrom="margin">
              <wp:posOffset>5329595</wp:posOffset>
            </wp:positionH>
            <wp:positionV relativeFrom="paragraph">
              <wp:posOffset>591732</wp:posOffset>
            </wp:positionV>
            <wp:extent cx="560705" cy="560705"/>
            <wp:effectExtent l="0" t="0" r="0" b="0"/>
            <wp:wrapSquare wrapText="bothSides"/>
            <wp:docPr id="16" name="Graphic 16" descr="Earth globe: Africa and Eur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arth globe: Africa and Europ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60705" cy="560705"/>
                    </a:xfrm>
                    <a:prstGeom prst="rect">
                      <a:avLst/>
                    </a:prstGeom>
                  </pic:spPr>
                </pic:pic>
              </a:graphicData>
            </a:graphic>
          </wp:anchor>
        </w:drawing>
      </w:r>
      <w:r w:rsidR="006B47D6">
        <w:rPr>
          <w:rFonts w:ascii="Arial Narrow" w:hAnsi="Arial Narrow"/>
          <w:sz w:val="24"/>
          <w:szCs w:val="24"/>
          <w:lang w:val="en-GB" w:eastAsia="en-GB"/>
        </w:rPr>
        <w:t xml:space="preserve">I </w:t>
      </w:r>
      <w:proofErr w:type="spellStart"/>
      <w:r w:rsidR="006B47D6">
        <w:rPr>
          <w:rFonts w:ascii="Arial Narrow" w:hAnsi="Arial Narrow"/>
          <w:sz w:val="24"/>
          <w:szCs w:val="24"/>
          <w:lang w:val="en-GB" w:eastAsia="en-GB"/>
        </w:rPr>
        <w:t>ubuduće</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želimo</w:t>
      </w:r>
      <w:proofErr w:type="spellEnd"/>
      <w:r w:rsidR="006B47D6">
        <w:rPr>
          <w:rFonts w:ascii="Arial Narrow" w:hAnsi="Arial Narrow"/>
          <w:sz w:val="24"/>
          <w:szCs w:val="24"/>
          <w:lang w:val="en-GB" w:eastAsia="en-GB"/>
        </w:rPr>
        <w:t xml:space="preserve"> da </w:t>
      </w:r>
      <w:proofErr w:type="spellStart"/>
      <w:r w:rsidR="006B47D6">
        <w:rPr>
          <w:rFonts w:ascii="Arial Narrow" w:hAnsi="Arial Narrow"/>
          <w:sz w:val="24"/>
          <w:szCs w:val="24"/>
          <w:lang w:val="en-GB" w:eastAsia="en-GB"/>
        </w:rPr>
        <w:t>njegujemo</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dobrosusjedske</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odnose</w:t>
      </w:r>
      <w:proofErr w:type="spellEnd"/>
      <w:r w:rsidR="006B47D6">
        <w:rPr>
          <w:rFonts w:ascii="Arial Narrow" w:hAnsi="Arial Narrow"/>
          <w:sz w:val="24"/>
          <w:szCs w:val="24"/>
          <w:lang w:val="en-GB" w:eastAsia="en-GB"/>
        </w:rPr>
        <w:t xml:space="preserve"> </w:t>
      </w:r>
      <w:proofErr w:type="spellStart"/>
      <w:r w:rsidR="006B47D6">
        <w:rPr>
          <w:rFonts w:ascii="Arial Narrow" w:hAnsi="Arial Narrow"/>
          <w:sz w:val="24"/>
          <w:szCs w:val="24"/>
          <w:lang w:val="en-GB" w:eastAsia="en-GB"/>
        </w:rPr>
        <w:t>sa</w:t>
      </w:r>
      <w:proofErr w:type="spellEnd"/>
      <w:r w:rsidR="006B47D6">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zemljama</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okruženja</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i</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iskreno</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prijateijstvo</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sa</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svim</w:t>
      </w:r>
      <w:proofErr w:type="spellEnd"/>
      <w:r w:rsidR="005E2B4E" w:rsidRPr="005E390A">
        <w:rPr>
          <w:rFonts w:ascii="Arial Narrow" w:hAnsi="Arial Narrow"/>
          <w:sz w:val="24"/>
          <w:szCs w:val="24"/>
          <w:lang w:val="en-GB" w:eastAsia="en-GB"/>
        </w:rPr>
        <w:t xml:space="preserve"> </w:t>
      </w:r>
      <w:proofErr w:type="spellStart"/>
      <w:r w:rsidR="005E2B4E" w:rsidRPr="005E390A">
        <w:rPr>
          <w:rFonts w:ascii="Arial Narrow" w:hAnsi="Arial Narrow"/>
          <w:sz w:val="24"/>
          <w:szCs w:val="24"/>
          <w:lang w:val="en-GB" w:eastAsia="en-GB"/>
        </w:rPr>
        <w:t>zemljama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Aktivnim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učešćem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ćemo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doprinijeti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radu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međunarodnih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organizacija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ojačati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poziciju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Crne</w:t>
      </w:r>
      <w:proofErr w:type="spellEnd"/>
      <w:r>
        <w:rPr>
          <w:rFonts w:ascii="Arial Narrow" w:hAnsi="Arial Narrow"/>
          <w:sz w:val="24"/>
          <w:szCs w:val="24"/>
          <w:lang w:val="en-GB" w:eastAsia="en-GB"/>
        </w:rPr>
        <w:t xml:space="preserve"> Gore u </w:t>
      </w:r>
      <w:proofErr w:type="spellStart"/>
      <w:r>
        <w:rPr>
          <w:rFonts w:ascii="Arial Narrow" w:hAnsi="Arial Narrow"/>
          <w:sz w:val="24"/>
          <w:szCs w:val="24"/>
          <w:lang w:val="en-GB" w:eastAsia="en-GB"/>
        </w:rPr>
        <w:t>multilateralnim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sistemima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podsticaćemo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razvojne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inicijative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doprinositi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sistemu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kolektivne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bezbjednosti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odbrane</w:t>
      </w:r>
      <w:proofErr w:type="spellEnd"/>
      <w:r>
        <w:rPr>
          <w:rFonts w:ascii="Arial Narrow" w:hAnsi="Arial Narrow"/>
          <w:sz w:val="24"/>
          <w:szCs w:val="24"/>
          <w:lang w:val="en-GB" w:eastAsia="en-GB"/>
        </w:rPr>
        <w:t xml:space="preserve">, time </w:t>
      </w:r>
      <w:proofErr w:type="spellStart"/>
      <w:r>
        <w:rPr>
          <w:rFonts w:ascii="Arial Narrow" w:hAnsi="Arial Narrow"/>
          <w:sz w:val="24"/>
          <w:szCs w:val="24"/>
          <w:lang w:val="en-GB" w:eastAsia="en-GB"/>
        </w:rPr>
        <w:t>gradeći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sve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preduslove</w:t>
      </w:r>
      <w:proofErr w:type="spellEnd"/>
      <w:r>
        <w:rPr>
          <w:rFonts w:ascii="Arial Narrow" w:hAnsi="Arial Narrow"/>
          <w:sz w:val="24"/>
          <w:szCs w:val="24"/>
          <w:lang w:val="en-GB" w:eastAsia="en-GB"/>
        </w:rPr>
        <w:t xml:space="preserve"> za mir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stabilnost</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Sistemi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nacionalne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odbrane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bezbjednosti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će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ponovo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biti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oličenje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ugleda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integriteta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kao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preduslova</w:t>
      </w:r>
      <w:proofErr w:type="spellEnd"/>
      <w:r>
        <w:rPr>
          <w:rFonts w:ascii="Arial Narrow" w:hAnsi="Arial Narrow"/>
          <w:sz w:val="24"/>
          <w:szCs w:val="24"/>
          <w:lang w:val="en-GB" w:eastAsia="en-GB"/>
        </w:rPr>
        <w:t xml:space="preserve"> za </w:t>
      </w:r>
      <w:proofErr w:type="spellStart"/>
      <w:r>
        <w:rPr>
          <w:rFonts w:ascii="Arial Narrow" w:hAnsi="Arial Narrow"/>
          <w:sz w:val="24"/>
          <w:szCs w:val="24"/>
          <w:lang w:val="en-GB" w:eastAsia="en-GB"/>
        </w:rPr>
        <w:t>povjerenje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građanki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građana</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njihov</w:t>
      </w:r>
      <w:proofErr w:type="spellEnd"/>
      <w:r>
        <w:rPr>
          <w:rFonts w:ascii="Arial Narrow" w:hAnsi="Arial Narrow"/>
          <w:sz w:val="24"/>
          <w:szCs w:val="24"/>
          <w:lang w:val="en-GB" w:eastAsia="en-GB"/>
        </w:rPr>
        <w:t xml:space="preserve"> rad.</w:t>
      </w:r>
    </w:p>
    <w:p w14:paraId="6C428860" w14:textId="77777777" w:rsidR="00153252" w:rsidRDefault="00A34D26" w:rsidP="003D6416">
      <w:pPr>
        <w:pStyle w:val="Heading1"/>
        <w:rPr>
          <w:rFonts w:ascii="Arial Narrow" w:hAnsi="Arial Narrow"/>
          <w:lang w:val="en-GB" w:eastAsia="en-GB"/>
        </w:rPr>
      </w:pPr>
      <w:proofErr w:type="spellStart"/>
      <w:r w:rsidRPr="00A34D26">
        <w:rPr>
          <w:rFonts w:ascii="Arial Narrow" w:hAnsi="Arial Narrow"/>
          <w:lang w:val="en-GB" w:eastAsia="en-GB"/>
        </w:rPr>
        <w:lastRenderedPageBreak/>
        <w:t>Prioriteti</w:t>
      </w:r>
      <w:proofErr w:type="spellEnd"/>
      <w:r w:rsidRPr="00A34D26">
        <w:rPr>
          <w:rFonts w:ascii="Arial Narrow" w:hAnsi="Arial Narrow"/>
          <w:lang w:val="en-GB" w:eastAsia="en-GB"/>
        </w:rPr>
        <w:t xml:space="preserve"> </w:t>
      </w:r>
      <w:proofErr w:type="spellStart"/>
      <w:r w:rsidRPr="00A34D26">
        <w:rPr>
          <w:rFonts w:ascii="Arial Narrow" w:hAnsi="Arial Narrow"/>
          <w:lang w:val="en-GB" w:eastAsia="en-GB"/>
        </w:rPr>
        <w:t>i</w:t>
      </w:r>
      <w:proofErr w:type="spellEnd"/>
      <w:r w:rsidRPr="00A34D26">
        <w:rPr>
          <w:rFonts w:ascii="Arial Narrow" w:hAnsi="Arial Narrow"/>
          <w:lang w:val="en-GB" w:eastAsia="en-GB"/>
        </w:rPr>
        <w:t xml:space="preserve"> </w:t>
      </w:r>
      <w:proofErr w:type="spellStart"/>
      <w:r w:rsidRPr="00A34D26">
        <w:rPr>
          <w:rFonts w:ascii="Arial Narrow" w:hAnsi="Arial Narrow"/>
          <w:lang w:val="en-GB" w:eastAsia="en-GB"/>
        </w:rPr>
        <w:t>ciljevi</w:t>
      </w:r>
      <w:proofErr w:type="spellEnd"/>
      <w:r w:rsidRPr="00A34D26">
        <w:rPr>
          <w:rFonts w:ascii="Arial Narrow" w:hAnsi="Arial Narrow"/>
          <w:lang w:val="en-GB" w:eastAsia="en-GB"/>
        </w:rPr>
        <w:t xml:space="preserve"> Vlade do </w:t>
      </w:r>
      <w:proofErr w:type="spellStart"/>
      <w:r w:rsidRPr="00A34D26">
        <w:rPr>
          <w:rFonts w:ascii="Arial Narrow" w:hAnsi="Arial Narrow"/>
          <w:lang w:val="en-GB" w:eastAsia="en-GB"/>
        </w:rPr>
        <w:t>kraja</w:t>
      </w:r>
      <w:proofErr w:type="spellEnd"/>
      <w:r w:rsidRPr="00A34D26">
        <w:rPr>
          <w:rFonts w:ascii="Arial Narrow" w:hAnsi="Arial Narrow"/>
          <w:lang w:val="en-GB" w:eastAsia="en-GB"/>
        </w:rPr>
        <w:t xml:space="preserve"> 2024. </w:t>
      </w:r>
      <w:proofErr w:type="spellStart"/>
      <w:r w:rsidRPr="00A34D26">
        <w:rPr>
          <w:rFonts w:ascii="Arial Narrow" w:hAnsi="Arial Narrow"/>
          <w:lang w:val="en-GB" w:eastAsia="en-GB"/>
        </w:rPr>
        <w:t>godine</w:t>
      </w:r>
      <w:proofErr w:type="spellEnd"/>
    </w:p>
    <w:p w14:paraId="4F76CEF9" w14:textId="77777777" w:rsidR="003D6416" w:rsidRDefault="003D6416" w:rsidP="003D6416">
      <w:pPr>
        <w:jc w:val="both"/>
        <w:rPr>
          <w:rFonts w:ascii="Arial Narrow" w:hAnsi="Arial Narrow"/>
          <w:sz w:val="24"/>
          <w:szCs w:val="24"/>
          <w:lang w:val="en-GB" w:eastAsia="en-GB"/>
        </w:rPr>
      </w:pPr>
    </w:p>
    <w:p w14:paraId="1BEF094A" w14:textId="77777777" w:rsidR="003D6416" w:rsidRPr="00605A99" w:rsidRDefault="003D6416" w:rsidP="003D6416">
      <w:pPr>
        <w:pStyle w:val="ListParagraph"/>
        <w:jc w:val="both"/>
        <w:rPr>
          <w:rFonts w:ascii="Arial Narrow" w:hAnsi="Arial Narrow"/>
          <w:b/>
          <w:bCs/>
          <w:sz w:val="24"/>
          <w:szCs w:val="24"/>
          <w:lang w:val="en-US"/>
        </w:rPr>
      </w:pPr>
      <w:r w:rsidRPr="00605A99">
        <w:rPr>
          <w:rFonts w:ascii="Arial Narrow" w:hAnsi="Arial Narrow" w:cs="TimesNewRoman"/>
          <w:b/>
          <w:bCs/>
          <w:noProof/>
          <w:lang w:val="en-US"/>
        </w:rPr>
        <w:drawing>
          <wp:anchor distT="0" distB="0" distL="114300" distR="114300" simplePos="0" relativeHeight="251705344" behindDoc="0" locked="0" layoutInCell="1" allowOverlap="1" wp14:anchorId="5DFBF94F" wp14:editId="269845C2">
            <wp:simplePos x="0" y="0"/>
            <wp:positionH relativeFrom="margin">
              <wp:posOffset>225425</wp:posOffset>
            </wp:positionH>
            <wp:positionV relativeFrom="paragraph">
              <wp:posOffset>5080</wp:posOffset>
            </wp:positionV>
            <wp:extent cx="381000" cy="395605"/>
            <wp:effectExtent l="0" t="0" r="0" b="4445"/>
            <wp:wrapSquare wrapText="bothSides"/>
            <wp:docPr id="2" name="Picture 2" descr="D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95605"/>
                    </a:xfrm>
                    <a:prstGeom prst="rect">
                      <a:avLst/>
                    </a:prstGeom>
                    <a:noFill/>
                    <a:ln>
                      <a:noFill/>
                    </a:ln>
                  </pic:spPr>
                </pic:pic>
              </a:graphicData>
            </a:graphic>
          </wp:anchor>
        </w:drawing>
      </w:r>
      <w:r w:rsidRPr="00605A99">
        <w:rPr>
          <w:rFonts w:ascii="Arial Narrow" w:hAnsi="Arial Narrow"/>
          <w:b/>
          <w:bCs/>
          <w:sz w:val="24"/>
          <w:szCs w:val="24"/>
          <w:lang w:val="en-US"/>
        </w:rPr>
        <w:t>VLADAVINA PRAVA I JEDNAKE ŠANSE</w:t>
      </w:r>
    </w:p>
    <w:p w14:paraId="3C4425C3" w14:textId="77777777" w:rsidR="003D6416" w:rsidRDefault="003D6416" w:rsidP="003D6416">
      <w:pPr>
        <w:pStyle w:val="ListParagraph"/>
        <w:jc w:val="both"/>
        <w:rPr>
          <w:rFonts w:ascii="Arial Narrow" w:hAnsi="Arial Narrow"/>
          <w:b/>
          <w:bCs/>
          <w:sz w:val="24"/>
          <w:szCs w:val="24"/>
          <w:lang w:val="en-US"/>
        </w:rPr>
      </w:pPr>
    </w:p>
    <w:p w14:paraId="1D69876D" w14:textId="77777777" w:rsidR="003D6416" w:rsidRDefault="003D6416" w:rsidP="003D6416">
      <w:pPr>
        <w:jc w:val="both"/>
        <w:rPr>
          <w:rFonts w:ascii="Arial Narrow" w:hAnsi="Arial Narrow"/>
          <w:b/>
          <w:bCs/>
          <w:sz w:val="24"/>
          <w:szCs w:val="24"/>
          <w:lang w:val="en-US"/>
        </w:rPr>
      </w:pPr>
      <w:proofErr w:type="spellStart"/>
      <w:r w:rsidRPr="001D5230">
        <w:rPr>
          <w:rFonts w:ascii="Arial Narrow" w:hAnsi="Arial Narrow"/>
          <w:b/>
          <w:bCs/>
          <w:sz w:val="24"/>
          <w:szCs w:val="24"/>
          <w:lang w:val="en-US"/>
        </w:rPr>
        <w:t>Cilj</w:t>
      </w:r>
      <w:proofErr w:type="spellEnd"/>
      <w:r w:rsidRPr="001D5230">
        <w:rPr>
          <w:rFonts w:ascii="Arial Narrow" w:hAnsi="Arial Narrow"/>
          <w:b/>
          <w:bCs/>
          <w:sz w:val="24"/>
          <w:szCs w:val="24"/>
          <w:lang w:val="en-US"/>
        </w:rPr>
        <w:t xml:space="preserve"> 1.1</w:t>
      </w:r>
      <w:r>
        <w:rPr>
          <w:rFonts w:ascii="Arial Narrow" w:hAnsi="Arial Narrow"/>
          <w:b/>
          <w:bCs/>
          <w:sz w:val="24"/>
          <w:szCs w:val="24"/>
          <w:lang w:val="en-US"/>
        </w:rPr>
        <w:t xml:space="preserve">. </w:t>
      </w:r>
      <w:r w:rsidRPr="001D5230">
        <w:rPr>
          <w:rFonts w:ascii="Arial Narrow" w:hAnsi="Arial Narrow"/>
          <w:b/>
          <w:bCs/>
          <w:sz w:val="24"/>
          <w:szCs w:val="24"/>
          <w:lang w:val="en-US"/>
        </w:rPr>
        <w:t>UNAPRIJEDITI EFIKASNOST PRAVOSUĐA</w:t>
      </w:r>
    </w:p>
    <w:p w14:paraId="747D356A" w14:textId="77777777" w:rsidR="003D6416" w:rsidRPr="001D5230" w:rsidRDefault="003D6416" w:rsidP="003D6416">
      <w:pPr>
        <w:jc w:val="both"/>
        <w:rPr>
          <w:rFonts w:ascii="Arial Narrow" w:hAnsi="Arial Narrow"/>
          <w:sz w:val="24"/>
          <w:szCs w:val="24"/>
          <w:lang w:val="en-US"/>
        </w:rPr>
      </w:pPr>
      <w:r>
        <w:rPr>
          <w:rFonts w:ascii="Arial Narrow" w:hAnsi="Arial Narrow"/>
          <w:sz w:val="24"/>
          <w:szCs w:val="24"/>
          <w:lang w:val="en-US"/>
        </w:rPr>
        <w:t xml:space="preserve">Pored </w:t>
      </w:r>
      <w:proofErr w:type="spellStart"/>
      <w:r>
        <w:rPr>
          <w:rFonts w:ascii="Arial Narrow" w:hAnsi="Arial Narrow"/>
          <w:sz w:val="24"/>
          <w:szCs w:val="24"/>
          <w:lang w:val="en-US"/>
        </w:rPr>
        <w:t>kontinuiranog</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usaglašavanja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zakonodavstva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preporukama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Evropske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komisije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međunarodnim</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standardima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Savjeta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Evrope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Ujedinjenih</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nacija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radiće</w:t>
      </w:r>
      <w:proofErr w:type="spellEnd"/>
      <w:r>
        <w:rPr>
          <w:rFonts w:ascii="Arial Narrow" w:hAnsi="Arial Narrow"/>
          <w:sz w:val="24"/>
          <w:szCs w:val="24"/>
          <w:lang w:val="en-US"/>
        </w:rPr>
        <w:t xml:space="preserve"> se </w:t>
      </w:r>
      <w:proofErr w:type="spellStart"/>
      <w:r>
        <w:rPr>
          <w:rFonts w:ascii="Arial Narrow" w:hAnsi="Arial Narrow"/>
          <w:sz w:val="24"/>
          <w:szCs w:val="24"/>
          <w:lang w:val="en-US"/>
        </w:rPr>
        <w:t>na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poboljšanju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dostupnosti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pravde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građanima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kroz</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suđenje</w:t>
      </w:r>
      <w:proofErr w:type="spellEnd"/>
      <w:r>
        <w:rPr>
          <w:rFonts w:ascii="Arial Narrow" w:hAnsi="Arial Narrow"/>
          <w:sz w:val="24"/>
          <w:szCs w:val="24"/>
          <w:lang w:val="en-US"/>
        </w:rPr>
        <w:t xml:space="preserve"> u </w:t>
      </w:r>
      <w:proofErr w:type="spellStart"/>
      <w:r>
        <w:rPr>
          <w:rFonts w:ascii="Arial Narrow" w:hAnsi="Arial Narrow"/>
          <w:sz w:val="24"/>
          <w:szCs w:val="24"/>
          <w:lang w:val="en-US"/>
        </w:rPr>
        <w:t>razumnom</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roku</w:t>
      </w:r>
      <w:proofErr w:type="spellEnd"/>
      <w:r>
        <w:rPr>
          <w:rFonts w:ascii="Arial Narrow" w:hAnsi="Arial Narrow"/>
          <w:sz w:val="24"/>
          <w:szCs w:val="24"/>
          <w:lang w:val="en-US"/>
        </w:rPr>
        <w:t xml:space="preserve"> – </w:t>
      </w:r>
      <w:proofErr w:type="spellStart"/>
      <w:r w:rsidRPr="00D77691">
        <w:rPr>
          <w:rFonts w:ascii="Arial Narrow" w:hAnsi="Arial Narrow"/>
          <w:b/>
          <w:bCs/>
          <w:sz w:val="24"/>
          <w:szCs w:val="24"/>
          <w:lang w:val="en-US"/>
        </w:rPr>
        <w:t>smanjićemo</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broj</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zaostalih</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predmeta</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sa</w:t>
      </w:r>
      <w:proofErr w:type="spellEnd"/>
      <w:r w:rsidRPr="00D77691">
        <w:rPr>
          <w:rFonts w:ascii="Arial Narrow" w:hAnsi="Arial Narrow"/>
          <w:b/>
          <w:bCs/>
          <w:sz w:val="24"/>
          <w:szCs w:val="24"/>
          <w:lang w:val="en-US"/>
        </w:rPr>
        <w:t xml:space="preserve"> 11767 u 2020. </w:t>
      </w:r>
      <w:proofErr w:type="spellStart"/>
      <w:r w:rsidRPr="00D77691">
        <w:rPr>
          <w:rFonts w:ascii="Arial Narrow" w:hAnsi="Arial Narrow"/>
          <w:b/>
          <w:bCs/>
          <w:sz w:val="24"/>
          <w:szCs w:val="24"/>
          <w:lang w:val="en-US"/>
        </w:rPr>
        <w:t>na</w:t>
      </w:r>
      <w:proofErr w:type="spellEnd"/>
      <w:r w:rsidRPr="00D77691">
        <w:rPr>
          <w:rFonts w:ascii="Arial Narrow" w:hAnsi="Arial Narrow"/>
          <w:b/>
          <w:bCs/>
          <w:sz w:val="24"/>
          <w:szCs w:val="24"/>
          <w:lang w:val="en-US"/>
        </w:rPr>
        <w:t xml:space="preserve"> 10590 </w:t>
      </w:r>
      <w:proofErr w:type="spellStart"/>
      <w:r w:rsidRPr="00D77691">
        <w:rPr>
          <w:rFonts w:ascii="Arial Narrow" w:hAnsi="Arial Narrow"/>
          <w:b/>
          <w:bCs/>
          <w:sz w:val="24"/>
          <w:szCs w:val="24"/>
          <w:lang w:val="en-US"/>
        </w:rPr>
        <w:t>na</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kraju</w:t>
      </w:r>
      <w:proofErr w:type="spellEnd"/>
      <w:r w:rsidRPr="00D77691">
        <w:rPr>
          <w:rFonts w:ascii="Arial Narrow" w:hAnsi="Arial Narrow"/>
          <w:b/>
          <w:bCs/>
          <w:sz w:val="24"/>
          <w:szCs w:val="24"/>
          <w:lang w:val="en-US"/>
        </w:rPr>
        <w:t xml:space="preserve"> 2024. </w:t>
      </w:r>
      <w:proofErr w:type="spellStart"/>
      <w:r w:rsidRPr="00D77691">
        <w:rPr>
          <w:rFonts w:ascii="Arial Narrow" w:hAnsi="Arial Narrow"/>
          <w:b/>
          <w:bCs/>
          <w:sz w:val="24"/>
          <w:szCs w:val="24"/>
          <w:lang w:val="en-US"/>
        </w:rPr>
        <w:t>godine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Dodatno</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pažnja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će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biti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poklonjena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boljem</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tretmanu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zatvorenika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povratnika</w:t>
      </w:r>
      <w:proofErr w:type="spellEnd"/>
      <w:r>
        <w:rPr>
          <w:rFonts w:ascii="Arial Narrow" w:hAnsi="Arial Narrow"/>
          <w:sz w:val="24"/>
          <w:szCs w:val="24"/>
          <w:lang w:val="en-US"/>
        </w:rPr>
        <w:t xml:space="preserve">, pa </w:t>
      </w:r>
      <w:proofErr w:type="spellStart"/>
      <w:r>
        <w:rPr>
          <w:rFonts w:ascii="Arial Narrow" w:hAnsi="Arial Narrow"/>
          <w:sz w:val="24"/>
          <w:szCs w:val="24"/>
          <w:lang w:val="en-US"/>
        </w:rPr>
        <w:t>će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w:t>
      </w:r>
      <w:r w:rsidRPr="001D5230">
        <w:rPr>
          <w:rFonts w:ascii="Arial Narrow" w:hAnsi="Arial Narrow"/>
          <w:b/>
          <w:bCs/>
          <w:sz w:val="24"/>
          <w:szCs w:val="24"/>
          <w:lang w:val="en-US"/>
        </w:rPr>
        <w:t>tepen</w:t>
      </w:r>
      <w:proofErr w:type="spellEnd"/>
      <w:r w:rsidRPr="001D5230">
        <w:rPr>
          <w:rFonts w:ascii="Arial Narrow" w:hAnsi="Arial Narrow"/>
          <w:b/>
          <w:bCs/>
          <w:sz w:val="24"/>
          <w:szCs w:val="24"/>
          <w:lang w:val="en-US"/>
        </w:rPr>
        <w:t xml:space="preserve"> </w:t>
      </w:r>
      <w:proofErr w:type="spellStart"/>
      <w:r w:rsidRPr="001D5230">
        <w:rPr>
          <w:rFonts w:ascii="Arial Narrow" w:hAnsi="Arial Narrow"/>
          <w:b/>
          <w:bCs/>
          <w:sz w:val="24"/>
          <w:szCs w:val="24"/>
          <w:lang w:val="en-US"/>
        </w:rPr>
        <w:t>povratništva</w:t>
      </w:r>
      <w:proofErr w:type="spellEnd"/>
      <w:r w:rsidRPr="001D5230">
        <w:rPr>
          <w:rFonts w:ascii="Arial Narrow" w:hAnsi="Arial Narrow"/>
          <w:b/>
          <w:bCs/>
          <w:sz w:val="24"/>
          <w:szCs w:val="24"/>
          <w:lang w:val="en-US"/>
        </w:rPr>
        <w:t xml:space="preserve"> po </w:t>
      </w:r>
      <w:proofErr w:type="spellStart"/>
      <w:r w:rsidRPr="001D5230">
        <w:rPr>
          <w:rFonts w:ascii="Arial Narrow" w:hAnsi="Arial Narrow"/>
          <w:b/>
          <w:bCs/>
          <w:sz w:val="24"/>
          <w:szCs w:val="24"/>
          <w:lang w:val="en-US"/>
        </w:rPr>
        <w:t>vrsti</w:t>
      </w:r>
      <w:proofErr w:type="spellEnd"/>
      <w:r w:rsidRPr="001D5230">
        <w:rPr>
          <w:rFonts w:ascii="Arial Narrow" w:hAnsi="Arial Narrow"/>
          <w:b/>
          <w:bCs/>
          <w:sz w:val="24"/>
          <w:szCs w:val="24"/>
          <w:lang w:val="en-US"/>
        </w:rPr>
        <w:t xml:space="preserve"> </w:t>
      </w:r>
      <w:proofErr w:type="spellStart"/>
      <w:r w:rsidRPr="001D5230">
        <w:rPr>
          <w:rFonts w:ascii="Arial Narrow" w:hAnsi="Arial Narrow"/>
          <w:b/>
          <w:bCs/>
          <w:sz w:val="24"/>
          <w:szCs w:val="24"/>
          <w:lang w:val="en-US"/>
        </w:rPr>
        <w:t>krivičnih</w:t>
      </w:r>
      <w:proofErr w:type="spellEnd"/>
      <w:r w:rsidRPr="001D5230">
        <w:rPr>
          <w:rFonts w:ascii="Arial Narrow" w:hAnsi="Arial Narrow"/>
          <w:b/>
          <w:bCs/>
          <w:sz w:val="24"/>
          <w:szCs w:val="24"/>
          <w:lang w:val="en-US"/>
        </w:rPr>
        <w:t xml:space="preserve"> </w:t>
      </w:r>
      <w:proofErr w:type="spellStart"/>
      <w:r w:rsidRPr="001D5230">
        <w:rPr>
          <w:rFonts w:ascii="Arial Narrow" w:hAnsi="Arial Narrow"/>
          <w:b/>
          <w:bCs/>
          <w:sz w:val="24"/>
          <w:szCs w:val="24"/>
          <w:lang w:val="en-US"/>
        </w:rPr>
        <w:t>djela</w:t>
      </w:r>
      <w:proofErr w:type="spellEnd"/>
      <w:r w:rsidRPr="001D5230">
        <w:rPr>
          <w:rFonts w:ascii="Arial Narrow" w:hAnsi="Arial Narrow"/>
          <w:b/>
          <w:bCs/>
          <w:sz w:val="24"/>
          <w:szCs w:val="24"/>
          <w:lang w:val="en-US"/>
        </w:rPr>
        <w:t xml:space="preserve"> </w:t>
      </w:r>
      <w:proofErr w:type="spellStart"/>
      <w:r w:rsidRPr="001D5230">
        <w:rPr>
          <w:rFonts w:ascii="Arial Narrow" w:hAnsi="Arial Narrow"/>
          <w:b/>
          <w:bCs/>
          <w:sz w:val="24"/>
          <w:szCs w:val="24"/>
          <w:lang w:val="en-US"/>
        </w:rPr>
        <w:t>i</w:t>
      </w:r>
      <w:proofErr w:type="spellEnd"/>
      <w:r w:rsidRPr="001D5230">
        <w:rPr>
          <w:rFonts w:ascii="Arial Narrow" w:hAnsi="Arial Narrow"/>
          <w:b/>
          <w:bCs/>
          <w:sz w:val="24"/>
          <w:szCs w:val="24"/>
          <w:lang w:val="en-US"/>
        </w:rPr>
        <w:t xml:space="preserve"> </w:t>
      </w:r>
      <w:proofErr w:type="spellStart"/>
      <w:r w:rsidRPr="001D5230">
        <w:rPr>
          <w:rFonts w:ascii="Arial Narrow" w:hAnsi="Arial Narrow"/>
          <w:b/>
          <w:bCs/>
          <w:sz w:val="24"/>
          <w:szCs w:val="24"/>
          <w:lang w:val="en-US"/>
        </w:rPr>
        <w:t>programima</w:t>
      </w:r>
      <w:proofErr w:type="spellEnd"/>
      <w:r w:rsidRPr="001D5230">
        <w:rPr>
          <w:rFonts w:ascii="Arial Narrow" w:hAnsi="Arial Narrow"/>
          <w:b/>
          <w:bCs/>
          <w:sz w:val="24"/>
          <w:szCs w:val="24"/>
          <w:lang w:val="en-US"/>
        </w:rPr>
        <w:t xml:space="preserve"> </w:t>
      </w:r>
      <w:proofErr w:type="spellStart"/>
      <w:r w:rsidRPr="001D5230">
        <w:rPr>
          <w:rFonts w:ascii="Arial Narrow" w:hAnsi="Arial Narrow"/>
          <w:b/>
          <w:bCs/>
          <w:sz w:val="24"/>
          <w:szCs w:val="24"/>
          <w:lang w:val="en-US"/>
        </w:rPr>
        <w:t>tretmana</w:t>
      </w:r>
      <w:proofErr w:type="spellEnd"/>
      <w:r w:rsidRPr="001D5230">
        <w:rPr>
          <w:rFonts w:ascii="Arial Narrow" w:hAnsi="Arial Narrow"/>
          <w:b/>
          <w:bCs/>
          <w:sz w:val="24"/>
          <w:szCs w:val="24"/>
          <w:lang w:val="en-US"/>
        </w:rPr>
        <w:t xml:space="preserve"> za </w:t>
      </w:r>
      <w:proofErr w:type="spellStart"/>
      <w:r w:rsidRPr="001D5230">
        <w:rPr>
          <w:rFonts w:ascii="Arial Narrow" w:hAnsi="Arial Narrow"/>
          <w:b/>
          <w:bCs/>
          <w:sz w:val="24"/>
          <w:szCs w:val="24"/>
          <w:lang w:val="en-US"/>
        </w:rPr>
        <w:t>duge</w:t>
      </w:r>
      <w:proofErr w:type="spellEnd"/>
      <w:r w:rsidRPr="001D5230">
        <w:rPr>
          <w:rFonts w:ascii="Arial Narrow" w:hAnsi="Arial Narrow"/>
          <w:b/>
          <w:bCs/>
          <w:sz w:val="24"/>
          <w:szCs w:val="24"/>
          <w:lang w:val="en-US"/>
        </w:rPr>
        <w:t xml:space="preserve"> </w:t>
      </w:r>
      <w:proofErr w:type="spellStart"/>
      <w:r w:rsidRPr="001D5230">
        <w:rPr>
          <w:rFonts w:ascii="Arial Narrow" w:hAnsi="Arial Narrow"/>
          <w:b/>
          <w:bCs/>
          <w:sz w:val="24"/>
          <w:szCs w:val="24"/>
          <w:lang w:val="en-US"/>
        </w:rPr>
        <w:t>kazne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49% u 2021.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smanjen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45%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w:t>
      </w:r>
    </w:p>
    <w:p w14:paraId="02771507" w14:textId="77777777" w:rsidR="003D6416" w:rsidRPr="002945E1" w:rsidRDefault="003D6416" w:rsidP="003D6416">
      <w:pPr>
        <w:rPr>
          <w:rFonts w:ascii="Arial Narrow" w:hAnsi="Arial Narrow"/>
          <w:b/>
          <w:bCs/>
          <w:sz w:val="24"/>
          <w:szCs w:val="24"/>
          <w:lang w:val="en-US"/>
        </w:rPr>
      </w:pPr>
      <w:proofErr w:type="spellStart"/>
      <w:r w:rsidRPr="002945E1">
        <w:rPr>
          <w:rFonts w:ascii="Arial Narrow" w:hAnsi="Arial Narrow"/>
          <w:b/>
          <w:bCs/>
          <w:sz w:val="24"/>
          <w:szCs w:val="24"/>
          <w:lang w:val="en-US"/>
        </w:rPr>
        <w:t>Cilj</w:t>
      </w:r>
      <w:proofErr w:type="spellEnd"/>
      <w:r w:rsidRPr="002945E1">
        <w:rPr>
          <w:rFonts w:ascii="Arial Narrow" w:hAnsi="Arial Narrow"/>
          <w:b/>
          <w:bCs/>
          <w:sz w:val="24"/>
          <w:szCs w:val="24"/>
          <w:lang w:val="en-US"/>
        </w:rPr>
        <w:t xml:space="preserve"> 1.2.</w:t>
      </w:r>
      <w:r w:rsidRPr="002945E1">
        <w:rPr>
          <w:rFonts w:ascii="Arial Narrow" w:hAnsi="Arial Narrow"/>
          <w:b/>
          <w:bCs/>
          <w:sz w:val="24"/>
          <w:szCs w:val="24"/>
          <w:lang w:val="en-US"/>
        </w:rPr>
        <w:tab/>
        <w:t>UNAPRIJEDITI POŠTOVANJE LJUDSKIH I MANJINSKIH PRAVA, RODNU RAVNOPRAVNOST I PRAVA LICA SA INVALIDITETOM</w:t>
      </w:r>
    </w:p>
    <w:p w14:paraId="2D6E6837" w14:textId="77777777" w:rsidR="003D6416" w:rsidRDefault="003D6416" w:rsidP="003D6416">
      <w:pPr>
        <w:jc w:val="both"/>
        <w:rPr>
          <w:rFonts w:ascii="Arial Narrow" w:hAnsi="Arial Narrow"/>
          <w:b/>
          <w:bCs/>
          <w:sz w:val="24"/>
          <w:szCs w:val="24"/>
          <w:lang w:val="en-US"/>
        </w:rPr>
      </w:pPr>
      <w:r>
        <w:rPr>
          <w:rFonts w:ascii="Arial Narrow" w:hAnsi="Arial Narrow"/>
          <w:sz w:val="24"/>
          <w:szCs w:val="24"/>
          <w:lang w:val="en-US"/>
        </w:rPr>
        <w:t xml:space="preserve">Do </w:t>
      </w:r>
      <w:proofErr w:type="spellStart"/>
      <w:r>
        <w:rPr>
          <w:rFonts w:ascii="Arial Narrow" w:hAnsi="Arial Narrow"/>
          <w:sz w:val="24"/>
          <w:szCs w:val="24"/>
          <w:lang w:val="en-US"/>
        </w:rPr>
        <w:t>kraja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mandata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će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jedan</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od</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glavnih</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ciljeva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biti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unapređenje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poštovanaj</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ljudskih</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prava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sloboda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uz</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posebnu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pažnju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dostizanju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većeg</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nivoa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rodne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ravnopravnosti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poštovanja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prava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lica</w:t>
      </w:r>
      <w:proofErr w:type="spellEnd"/>
      <w:r>
        <w:rPr>
          <w:rFonts w:ascii="Arial Narrow" w:hAnsi="Arial Narrow"/>
          <w:sz w:val="24"/>
          <w:szCs w:val="24"/>
          <w:lang w:val="en-US"/>
        </w:rPr>
        <w:t xml:space="preserve"> s </w:t>
      </w:r>
      <w:proofErr w:type="spellStart"/>
      <w:r>
        <w:rPr>
          <w:rFonts w:ascii="Arial Narrow" w:hAnsi="Arial Narrow"/>
          <w:sz w:val="24"/>
          <w:szCs w:val="24"/>
          <w:lang w:val="en-US"/>
        </w:rPr>
        <w:t>invaliditetom</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Nastojaćemo</w:t>
      </w:r>
      <w:proofErr w:type="spellEnd"/>
      <w:r>
        <w:rPr>
          <w:rFonts w:ascii="Arial Narrow" w:hAnsi="Arial Narrow"/>
          <w:sz w:val="24"/>
          <w:szCs w:val="24"/>
          <w:lang w:val="en-US"/>
        </w:rPr>
        <w:t xml:space="preserve"> da </w:t>
      </w:r>
      <w:proofErr w:type="spellStart"/>
      <w:r w:rsidRPr="009374D6">
        <w:rPr>
          <w:rFonts w:ascii="Arial Narrow" w:hAnsi="Arial Narrow"/>
          <w:b/>
          <w:bCs/>
          <w:sz w:val="24"/>
          <w:szCs w:val="24"/>
          <w:lang w:val="en-US"/>
        </w:rPr>
        <w:t>smanjimo</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s</w:t>
      </w:r>
      <w:r w:rsidRPr="00D77691">
        <w:rPr>
          <w:rFonts w:ascii="Arial Narrow" w:hAnsi="Arial Narrow"/>
          <w:b/>
          <w:bCs/>
          <w:sz w:val="24"/>
          <w:szCs w:val="24"/>
          <w:lang w:val="en-US"/>
        </w:rPr>
        <w:t>tepen</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diskriminacije</w:t>
      </w:r>
      <w:proofErr w:type="spellEnd"/>
      <w:r w:rsidRPr="00D77691">
        <w:rPr>
          <w:rFonts w:ascii="Arial Narrow" w:hAnsi="Arial Narrow"/>
          <w:b/>
          <w:bCs/>
          <w:sz w:val="24"/>
          <w:szCs w:val="24"/>
          <w:lang w:val="en-US"/>
        </w:rPr>
        <w:t xml:space="preserve"> LGBTI </w:t>
      </w:r>
      <w:proofErr w:type="spellStart"/>
      <w:r w:rsidRPr="00D77691">
        <w:rPr>
          <w:rFonts w:ascii="Arial Narrow" w:hAnsi="Arial Narrow"/>
          <w:b/>
          <w:bCs/>
          <w:sz w:val="24"/>
          <w:szCs w:val="24"/>
          <w:lang w:val="en-US"/>
        </w:rPr>
        <w:t>osoba</w:t>
      </w:r>
      <w:proofErr w:type="spellEnd"/>
      <w:r w:rsidRPr="00D77691">
        <w:rPr>
          <w:rFonts w:ascii="Arial Narrow" w:hAnsi="Arial Narrow"/>
          <w:b/>
          <w:bCs/>
          <w:sz w:val="24"/>
          <w:szCs w:val="24"/>
          <w:lang w:val="en-US"/>
        </w:rPr>
        <w:tab/>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D77691">
        <w:rPr>
          <w:rFonts w:ascii="Arial Narrow" w:hAnsi="Arial Narrow"/>
          <w:b/>
          <w:bCs/>
          <w:sz w:val="24"/>
          <w:szCs w:val="24"/>
          <w:lang w:val="en-US"/>
        </w:rPr>
        <w:t>17</w:t>
      </w:r>
      <w:r>
        <w:rPr>
          <w:rFonts w:ascii="Arial Narrow" w:hAnsi="Arial Narrow"/>
          <w:b/>
          <w:bCs/>
          <w:sz w:val="24"/>
          <w:szCs w:val="24"/>
          <w:lang w:val="en-US"/>
        </w:rPr>
        <w:t>,</w:t>
      </w:r>
      <w:r w:rsidRPr="00D77691">
        <w:rPr>
          <w:rFonts w:ascii="Arial Narrow" w:hAnsi="Arial Narrow"/>
          <w:b/>
          <w:bCs/>
          <w:sz w:val="24"/>
          <w:szCs w:val="24"/>
          <w:lang w:val="en-US"/>
        </w:rPr>
        <w:t>6%</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D77691">
        <w:rPr>
          <w:rFonts w:ascii="Arial Narrow" w:hAnsi="Arial Narrow"/>
          <w:b/>
          <w:bCs/>
          <w:sz w:val="24"/>
          <w:szCs w:val="24"/>
          <w:lang w:val="en-US"/>
        </w:rPr>
        <w:t>14%</w:t>
      </w:r>
      <w:r>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pripadnika</w:t>
      </w:r>
      <w:proofErr w:type="spellEnd"/>
      <w:r w:rsidRPr="00D77691">
        <w:rPr>
          <w:rFonts w:ascii="Arial Narrow" w:hAnsi="Arial Narrow"/>
          <w:b/>
          <w:bCs/>
          <w:sz w:val="24"/>
          <w:szCs w:val="24"/>
          <w:lang w:val="en-US"/>
        </w:rPr>
        <w:t xml:space="preserve">/ca </w:t>
      </w:r>
      <w:proofErr w:type="spellStart"/>
      <w:r w:rsidRPr="00D77691">
        <w:rPr>
          <w:rFonts w:ascii="Arial Narrow" w:hAnsi="Arial Narrow"/>
          <w:b/>
          <w:bCs/>
          <w:sz w:val="24"/>
          <w:szCs w:val="24"/>
          <w:lang w:val="en-US"/>
        </w:rPr>
        <w:t>nacionalnih</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manjin</w:t>
      </w:r>
      <w:r>
        <w:rPr>
          <w:rFonts w:ascii="Arial Narrow" w:hAnsi="Arial Narrow"/>
          <w:b/>
          <w:bCs/>
          <w:sz w:val="24"/>
          <w:szCs w:val="24"/>
          <w:lang w:val="en-US"/>
        </w:rPr>
        <w:t>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D77691">
        <w:rPr>
          <w:rFonts w:ascii="Arial Narrow" w:hAnsi="Arial Narrow"/>
          <w:b/>
          <w:bCs/>
          <w:sz w:val="24"/>
          <w:szCs w:val="24"/>
          <w:lang w:val="en-US"/>
        </w:rPr>
        <w:t>13,4 %</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D77691">
        <w:rPr>
          <w:rFonts w:ascii="Arial Narrow" w:hAnsi="Arial Narrow"/>
          <w:b/>
          <w:bCs/>
          <w:sz w:val="24"/>
          <w:szCs w:val="24"/>
          <w:lang w:val="en-US"/>
        </w:rPr>
        <w:t>11%</w:t>
      </w:r>
      <w:r>
        <w:rPr>
          <w:rFonts w:ascii="Arial Narrow" w:hAnsi="Arial Narrow"/>
          <w:b/>
          <w:bCs/>
          <w:sz w:val="24"/>
          <w:szCs w:val="24"/>
          <w:lang w:val="en-US"/>
        </w:rPr>
        <w:t xml:space="preserve">, </w:t>
      </w:r>
      <w:proofErr w:type="spellStart"/>
      <w:r>
        <w:rPr>
          <w:rFonts w:ascii="Arial Narrow" w:hAnsi="Arial Narrow"/>
          <w:b/>
          <w:bCs/>
          <w:sz w:val="24"/>
          <w:szCs w:val="24"/>
          <w:lang w:val="en-US"/>
        </w:rPr>
        <w:t>diskriminaciju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osnovu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vjeroispovjesti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13,2%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11%, </w:t>
      </w:r>
      <w:proofErr w:type="spellStart"/>
      <w:r w:rsidRPr="00D77691">
        <w:rPr>
          <w:rFonts w:ascii="Arial Narrow" w:hAnsi="Arial Narrow"/>
          <w:b/>
          <w:bCs/>
          <w:sz w:val="24"/>
          <w:szCs w:val="24"/>
          <w:lang w:val="en-US"/>
        </w:rPr>
        <w:t>pripadnika</w:t>
      </w:r>
      <w:proofErr w:type="spellEnd"/>
      <w:r w:rsidRPr="00D77691">
        <w:rPr>
          <w:rFonts w:ascii="Arial Narrow" w:hAnsi="Arial Narrow"/>
          <w:b/>
          <w:bCs/>
          <w:sz w:val="24"/>
          <w:szCs w:val="24"/>
          <w:lang w:val="en-US"/>
        </w:rPr>
        <w:t xml:space="preserve">/ca </w:t>
      </w:r>
      <w:proofErr w:type="spellStart"/>
      <w:r w:rsidRPr="00D77691">
        <w:rPr>
          <w:rFonts w:ascii="Arial Narrow" w:hAnsi="Arial Narrow"/>
          <w:b/>
          <w:bCs/>
          <w:sz w:val="24"/>
          <w:szCs w:val="24"/>
          <w:lang w:val="en-US"/>
        </w:rPr>
        <w:t>romske</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i</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egipćanske</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zajednice</w:t>
      </w:r>
      <w:proofErr w:type="spellEnd"/>
      <w:r>
        <w:rPr>
          <w:rFonts w:ascii="Arial Narrow" w:hAnsi="Arial Narrow"/>
          <w:b/>
          <w:bCs/>
          <w:sz w:val="24"/>
          <w:szCs w:val="24"/>
          <w:lang w:val="en-US"/>
        </w:rPr>
        <w:t xml:space="preserve"> s </w:t>
      </w:r>
      <w:r w:rsidRPr="00D77691">
        <w:rPr>
          <w:rFonts w:ascii="Arial Narrow" w:hAnsi="Arial Narrow"/>
          <w:b/>
          <w:bCs/>
          <w:sz w:val="24"/>
          <w:szCs w:val="24"/>
          <w:lang w:val="en-US"/>
        </w:rPr>
        <w:t>22,2 %</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D77691">
        <w:rPr>
          <w:rFonts w:ascii="Arial Narrow" w:hAnsi="Arial Narrow"/>
          <w:b/>
          <w:bCs/>
          <w:sz w:val="24"/>
          <w:szCs w:val="24"/>
          <w:lang w:val="en-US"/>
        </w:rPr>
        <w:t>20 %</w:t>
      </w:r>
      <w:r>
        <w:rPr>
          <w:rFonts w:ascii="Arial Narrow" w:hAnsi="Arial Narrow"/>
          <w:b/>
          <w:bCs/>
          <w:sz w:val="24"/>
          <w:szCs w:val="24"/>
          <w:lang w:val="en-US"/>
        </w:rPr>
        <w:t xml:space="preserve">, a </w:t>
      </w:r>
      <w:proofErr w:type="spellStart"/>
      <w:r>
        <w:rPr>
          <w:rFonts w:ascii="Arial Narrow" w:hAnsi="Arial Narrow"/>
          <w:b/>
          <w:bCs/>
          <w:sz w:val="24"/>
          <w:szCs w:val="24"/>
          <w:lang w:val="en-US"/>
        </w:rPr>
        <w:t>ujedno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snizimo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stepen</w:t>
      </w:r>
      <w:proofErr w:type="spellEnd"/>
      <w:r>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etničke</w:t>
      </w:r>
      <w:proofErr w:type="spellEnd"/>
      <w:r w:rsidRPr="00D77691">
        <w:rPr>
          <w:rFonts w:ascii="Arial Narrow" w:hAnsi="Arial Narrow"/>
          <w:b/>
          <w:bCs/>
          <w:sz w:val="24"/>
          <w:szCs w:val="24"/>
          <w:lang w:val="en-US"/>
        </w:rPr>
        <w:t xml:space="preserve"> distance </w:t>
      </w:r>
      <w:proofErr w:type="spellStart"/>
      <w:r w:rsidRPr="00D77691">
        <w:rPr>
          <w:rFonts w:ascii="Arial Narrow" w:hAnsi="Arial Narrow"/>
          <w:b/>
          <w:bCs/>
          <w:sz w:val="24"/>
          <w:szCs w:val="24"/>
          <w:lang w:val="en-US"/>
        </w:rPr>
        <w:t>prema</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pripadnicima</w:t>
      </w:r>
      <w:proofErr w:type="spellEnd"/>
      <w:r w:rsidRPr="00D77691">
        <w:rPr>
          <w:rFonts w:ascii="Arial Narrow" w:hAnsi="Arial Narrow"/>
          <w:b/>
          <w:bCs/>
          <w:sz w:val="24"/>
          <w:szCs w:val="24"/>
          <w:lang w:val="en-US"/>
        </w:rPr>
        <w:t xml:space="preserve">/ama </w:t>
      </w:r>
      <w:proofErr w:type="spellStart"/>
      <w:r w:rsidRPr="00D77691">
        <w:rPr>
          <w:rFonts w:ascii="Arial Narrow" w:hAnsi="Arial Narrow"/>
          <w:b/>
          <w:bCs/>
          <w:sz w:val="24"/>
          <w:szCs w:val="24"/>
          <w:lang w:val="en-US"/>
        </w:rPr>
        <w:t>romske</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i</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egipćanske</w:t>
      </w:r>
      <w:proofErr w:type="spellEnd"/>
      <w:r w:rsidRPr="00D77691">
        <w:rPr>
          <w:rFonts w:ascii="Arial Narrow" w:hAnsi="Arial Narrow"/>
          <w:b/>
          <w:bCs/>
          <w:sz w:val="24"/>
          <w:szCs w:val="24"/>
          <w:lang w:val="en-US"/>
        </w:rPr>
        <w:t xml:space="preserve"> </w:t>
      </w:r>
      <w:proofErr w:type="spellStart"/>
      <w:r w:rsidRPr="00D77691">
        <w:rPr>
          <w:rFonts w:ascii="Arial Narrow" w:hAnsi="Arial Narrow"/>
          <w:b/>
          <w:bCs/>
          <w:sz w:val="24"/>
          <w:szCs w:val="24"/>
          <w:lang w:val="en-US"/>
        </w:rPr>
        <w:t>zajednic</w:t>
      </w:r>
      <w:r>
        <w:rPr>
          <w:rFonts w:ascii="Arial Narrow" w:hAnsi="Arial Narrow"/>
          <w:b/>
          <w:bCs/>
          <w:sz w:val="24"/>
          <w:szCs w:val="24"/>
          <w:lang w:val="en-US"/>
        </w:rPr>
        <w:t>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D77691">
        <w:rPr>
          <w:rFonts w:ascii="Arial Narrow" w:hAnsi="Arial Narrow"/>
          <w:b/>
          <w:bCs/>
          <w:sz w:val="24"/>
          <w:szCs w:val="24"/>
          <w:lang w:val="en-US"/>
        </w:rPr>
        <w:t>0,55</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D77691">
        <w:rPr>
          <w:rFonts w:ascii="Arial Narrow" w:hAnsi="Arial Narrow"/>
          <w:b/>
          <w:bCs/>
          <w:sz w:val="24"/>
          <w:szCs w:val="24"/>
          <w:lang w:val="en-US"/>
        </w:rPr>
        <w:t>0,52%</w:t>
      </w:r>
      <w:r>
        <w:rPr>
          <w:rStyle w:val="FootnoteReference"/>
          <w:rFonts w:ascii="Arial Narrow" w:hAnsi="Arial Narrow"/>
          <w:b/>
          <w:bCs/>
          <w:sz w:val="24"/>
          <w:szCs w:val="24"/>
          <w:lang w:val="en-US"/>
        </w:rPr>
        <w:footnoteReference w:id="4"/>
      </w:r>
      <w:r>
        <w:rPr>
          <w:rFonts w:ascii="Arial Narrow" w:hAnsi="Arial Narrow"/>
          <w:b/>
          <w:bCs/>
          <w:sz w:val="24"/>
          <w:szCs w:val="24"/>
          <w:lang w:val="en-US"/>
        </w:rPr>
        <w:t xml:space="preserve">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Pr>
          <w:rFonts w:ascii="Arial Narrow" w:hAnsi="Arial Narrow"/>
          <w:b/>
          <w:bCs/>
          <w:sz w:val="24"/>
          <w:szCs w:val="24"/>
          <w:lang w:val="en-US"/>
        </w:rPr>
        <w:t>godine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Takođe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kroz</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novi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strateški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okvir</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smanjen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stepen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diskriminacije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prema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licima</w:t>
      </w:r>
      <w:proofErr w:type="spellEnd"/>
      <w:r>
        <w:rPr>
          <w:rFonts w:ascii="Arial Narrow" w:hAnsi="Arial Narrow"/>
          <w:b/>
          <w:bCs/>
          <w:sz w:val="24"/>
          <w:szCs w:val="24"/>
          <w:lang w:val="en-US"/>
        </w:rPr>
        <w:t xml:space="preserve"> s </w:t>
      </w:r>
      <w:proofErr w:type="spellStart"/>
      <w:r>
        <w:rPr>
          <w:rFonts w:ascii="Arial Narrow" w:hAnsi="Arial Narrow"/>
          <w:b/>
          <w:bCs/>
          <w:sz w:val="24"/>
          <w:szCs w:val="24"/>
          <w:lang w:val="en-US"/>
        </w:rPr>
        <w:t>invaliditetom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19,2%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17%. </w:t>
      </w:r>
      <w:proofErr w:type="spellStart"/>
      <w:r>
        <w:rPr>
          <w:rFonts w:ascii="Arial Narrow" w:hAnsi="Arial Narrow"/>
          <w:b/>
          <w:bCs/>
          <w:sz w:val="24"/>
          <w:szCs w:val="24"/>
          <w:lang w:val="en-US"/>
        </w:rPr>
        <w:t>Ukupno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zalaganje</w:t>
      </w:r>
      <w:proofErr w:type="spellEnd"/>
      <w:r>
        <w:rPr>
          <w:rFonts w:ascii="Arial Narrow" w:hAnsi="Arial Narrow"/>
          <w:b/>
          <w:bCs/>
          <w:sz w:val="24"/>
          <w:szCs w:val="24"/>
          <w:lang w:val="en-US"/>
        </w:rPr>
        <w:t xml:space="preserve"> Vlade da </w:t>
      </w:r>
      <w:proofErr w:type="spellStart"/>
      <w:r>
        <w:rPr>
          <w:rFonts w:ascii="Arial Narrow" w:hAnsi="Arial Narrow"/>
          <w:b/>
          <w:bCs/>
          <w:sz w:val="24"/>
          <w:szCs w:val="24"/>
          <w:lang w:val="en-US"/>
        </w:rPr>
        <w:t>unaprijedi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stanje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rodne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ravnopravnosti</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Crnoj</w:t>
      </w:r>
      <w:proofErr w:type="spellEnd"/>
      <w:r>
        <w:rPr>
          <w:rFonts w:ascii="Arial Narrow" w:hAnsi="Arial Narrow"/>
          <w:b/>
          <w:bCs/>
          <w:sz w:val="24"/>
          <w:szCs w:val="24"/>
          <w:lang w:val="en-US"/>
        </w:rPr>
        <w:t xml:space="preserve"> Gori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se </w:t>
      </w:r>
      <w:proofErr w:type="spellStart"/>
      <w:r>
        <w:rPr>
          <w:rFonts w:ascii="Arial Narrow" w:hAnsi="Arial Narrow"/>
          <w:b/>
          <w:bCs/>
          <w:sz w:val="24"/>
          <w:szCs w:val="24"/>
          <w:lang w:val="en-US"/>
        </w:rPr>
        <w:t>ogledati</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poboljšanoj</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poziciji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Indeksu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rodne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ravnopravnosti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gdje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želimo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postići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napredak</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55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barem</w:t>
      </w:r>
      <w:proofErr w:type="spellEnd"/>
      <w:r>
        <w:rPr>
          <w:rFonts w:ascii="Arial Narrow" w:hAnsi="Arial Narrow"/>
          <w:b/>
          <w:bCs/>
          <w:sz w:val="24"/>
          <w:szCs w:val="24"/>
          <w:lang w:val="en-US"/>
        </w:rPr>
        <w:t xml:space="preserve"> 56 </w:t>
      </w:r>
      <w:proofErr w:type="spellStart"/>
      <w:r>
        <w:rPr>
          <w:rFonts w:ascii="Arial Narrow" w:hAnsi="Arial Narrow"/>
          <w:b/>
          <w:bCs/>
          <w:sz w:val="24"/>
          <w:szCs w:val="24"/>
          <w:lang w:val="en-US"/>
        </w:rPr>
        <w:t>poena</w:t>
      </w:r>
      <w:proofErr w:type="spellEnd"/>
      <w:r>
        <w:rPr>
          <w:rFonts w:ascii="Arial Narrow" w:hAnsi="Arial Narrow"/>
          <w:b/>
          <w:bCs/>
          <w:sz w:val="24"/>
          <w:szCs w:val="24"/>
          <w:lang w:val="en-US"/>
        </w:rPr>
        <w:t>.</w:t>
      </w:r>
    </w:p>
    <w:p w14:paraId="7FA0C212" w14:textId="77777777" w:rsidR="003D6416" w:rsidRPr="002945E1" w:rsidRDefault="003D6416" w:rsidP="003D6416">
      <w:pPr>
        <w:jc w:val="both"/>
        <w:rPr>
          <w:rFonts w:ascii="Arial Narrow" w:hAnsi="Arial Narrow"/>
          <w:b/>
          <w:bCs/>
          <w:sz w:val="24"/>
          <w:szCs w:val="24"/>
          <w:lang w:val="en-US"/>
        </w:rPr>
      </w:pPr>
      <w:proofErr w:type="spellStart"/>
      <w:r w:rsidRPr="002945E1">
        <w:rPr>
          <w:rFonts w:ascii="Arial Narrow" w:hAnsi="Arial Narrow"/>
          <w:b/>
          <w:bCs/>
          <w:sz w:val="24"/>
          <w:szCs w:val="24"/>
          <w:lang w:val="en-US"/>
        </w:rPr>
        <w:t>Cilj</w:t>
      </w:r>
      <w:proofErr w:type="spellEnd"/>
      <w:r w:rsidRPr="002945E1">
        <w:rPr>
          <w:rFonts w:ascii="Arial Narrow" w:hAnsi="Arial Narrow"/>
          <w:b/>
          <w:bCs/>
          <w:sz w:val="24"/>
          <w:szCs w:val="24"/>
          <w:lang w:val="en-US"/>
        </w:rPr>
        <w:t xml:space="preserve"> 1.3.</w:t>
      </w:r>
      <w:r>
        <w:rPr>
          <w:rFonts w:ascii="Arial Narrow" w:hAnsi="Arial Narrow"/>
          <w:b/>
          <w:bCs/>
          <w:sz w:val="24"/>
          <w:szCs w:val="24"/>
          <w:lang w:val="en-US"/>
        </w:rPr>
        <w:t xml:space="preserve"> </w:t>
      </w:r>
      <w:r w:rsidRPr="002945E1">
        <w:rPr>
          <w:rFonts w:ascii="Arial Narrow" w:hAnsi="Arial Narrow"/>
          <w:b/>
          <w:bCs/>
          <w:sz w:val="24"/>
          <w:szCs w:val="24"/>
          <w:lang w:val="en-US"/>
        </w:rPr>
        <w:t>ZAKONITA, TRANSPARENTNA I INKLUZIVNA JAVNA UPRAVA</w:t>
      </w:r>
    </w:p>
    <w:p w14:paraId="5542374E" w14:textId="77777777" w:rsidR="003D6416" w:rsidRPr="002945E1" w:rsidRDefault="003D6416" w:rsidP="003D6416">
      <w:pPr>
        <w:jc w:val="both"/>
        <w:rPr>
          <w:rFonts w:ascii="Arial Narrow" w:hAnsi="Arial Narrow"/>
          <w:b/>
          <w:bCs/>
          <w:sz w:val="24"/>
          <w:szCs w:val="24"/>
          <w:lang w:val="en-US"/>
        </w:rPr>
      </w:pPr>
      <w:proofErr w:type="spellStart"/>
      <w:r w:rsidRPr="00E84894">
        <w:rPr>
          <w:rFonts w:ascii="Arial Narrow" w:hAnsi="Arial Narrow"/>
          <w:sz w:val="24"/>
          <w:szCs w:val="24"/>
          <w:lang w:val="en-US"/>
        </w:rPr>
        <w:t>Inkluzivne</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javne</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politike</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su</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temelj</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svakog</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demokratskog</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društva</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zbog</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čega</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ćemo</w:t>
      </w:r>
      <w:proofErr w:type="spellEnd"/>
      <w:r w:rsidRPr="00E84894">
        <w:rPr>
          <w:rFonts w:ascii="Arial Narrow" w:hAnsi="Arial Narrow"/>
          <w:sz w:val="24"/>
          <w:szCs w:val="24"/>
          <w:lang w:val="en-US"/>
        </w:rPr>
        <w:t xml:space="preserve"> u </w:t>
      </w:r>
      <w:proofErr w:type="spellStart"/>
      <w:r w:rsidRPr="00E84894">
        <w:rPr>
          <w:rFonts w:ascii="Arial Narrow" w:hAnsi="Arial Narrow"/>
          <w:sz w:val="24"/>
          <w:szCs w:val="24"/>
          <w:lang w:val="en-US"/>
        </w:rPr>
        <w:t>radu</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nastojati</w:t>
      </w:r>
      <w:proofErr w:type="spellEnd"/>
      <w:r w:rsidRPr="00E84894">
        <w:rPr>
          <w:rFonts w:ascii="Arial Narrow" w:hAnsi="Arial Narrow"/>
          <w:sz w:val="24"/>
          <w:szCs w:val="24"/>
          <w:lang w:val="en-US"/>
        </w:rPr>
        <w:t xml:space="preserve"> da </w:t>
      </w:r>
      <w:proofErr w:type="spellStart"/>
      <w:r>
        <w:rPr>
          <w:rFonts w:ascii="Arial Narrow" w:hAnsi="Arial Narrow"/>
          <w:b/>
          <w:bCs/>
          <w:sz w:val="24"/>
          <w:szCs w:val="24"/>
          <w:lang w:val="en-US"/>
        </w:rPr>
        <w:t>obezbjedimo</w:t>
      </w:r>
      <w:proofErr w:type="spellEnd"/>
      <w:r>
        <w:rPr>
          <w:rFonts w:ascii="Arial Narrow" w:hAnsi="Arial Narrow"/>
          <w:b/>
          <w:bCs/>
          <w:sz w:val="24"/>
          <w:szCs w:val="24"/>
          <w:lang w:val="en-US"/>
        </w:rPr>
        <w:t xml:space="preserve"> 100% </w:t>
      </w:r>
      <w:proofErr w:type="spellStart"/>
      <w:r>
        <w:rPr>
          <w:rFonts w:ascii="Arial Narrow" w:hAnsi="Arial Narrow"/>
          <w:b/>
          <w:bCs/>
          <w:sz w:val="24"/>
          <w:szCs w:val="24"/>
          <w:lang w:val="en-US"/>
        </w:rPr>
        <w:t>uključenosti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svih</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zainteresovanih</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strana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kroz</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proces</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javnih</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konsultacija</w:t>
      </w:r>
      <w:proofErr w:type="spellEnd"/>
      <w:r>
        <w:rPr>
          <w:rFonts w:ascii="Arial Narrow" w:hAnsi="Arial Narrow"/>
          <w:b/>
          <w:bCs/>
          <w:sz w:val="24"/>
          <w:szCs w:val="24"/>
          <w:lang w:val="en-US"/>
        </w:rPr>
        <w:t xml:space="preserve"> za </w:t>
      </w:r>
      <w:proofErr w:type="spellStart"/>
      <w:r>
        <w:rPr>
          <w:rFonts w:ascii="Arial Narrow" w:hAnsi="Arial Narrow"/>
          <w:b/>
          <w:bCs/>
          <w:sz w:val="24"/>
          <w:szCs w:val="24"/>
          <w:lang w:val="en-US"/>
        </w:rPr>
        <w:t>sve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akte</w:t>
      </w:r>
      <w:proofErr w:type="spellEnd"/>
      <w:r>
        <w:rPr>
          <w:rFonts w:ascii="Arial Narrow" w:hAnsi="Arial Narrow"/>
          <w:b/>
          <w:bCs/>
          <w:sz w:val="24"/>
          <w:szCs w:val="24"/>
          <w:lang w:val="en-US"/>
        </w:rPr>
        <w:t xml:space="preserve"> koji </w:t>
      </w:r>
      <w:proofErr w:type="spellStart"/>
      <w:r>
        <w:rPr>
          <w:rFonts w:ascii="Arial Narrow" w:hAnsi="Arial Narrow"/>
          <w:b/>
          <w:bCs/>
          <w:sz w:val="24"/>
          <w:szCs w:val="24"/>
          <w:lang w:val="en-US"/>
        </w:rPr>
        <w:t>im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podliježu</w:t>
      </w:r>
      <w:proofErr w:type="spellEnd"/>
      <w:r>
        <w:rPr>
          <w:rFonts w:ascii="Arial Narrow" w:hAnsi="Arial Narrow"/>
          <w:b/>
          <w:bCs/>
          <w:sz w:val="24"/>
          <w:szCs w:val="24"/>
          <w:lang w:val="en-US"/>
        </w:rPr>
        <w:t xml:space="preserve">. </w:t>
      </w:r>
    </w:p>
    <w:p w14:paraId="68509475" w14:textId="77777777" w:rsidR="003D6416" w:rsidRDefault="003D6416" w:rsidP="003D6416">
      <w:pPr>
        <w:jc w:val="both"/>
        <w:rPr>
          <w:rFonts w:ascii="Arial Narrow" w:hAnsi="Arial Narrow"/>
          <w:b/>
          <w:bCs/>
          <w:sz w:val="24"/>
          <w:szCs w:val="24"/>
          <w:lang w:val="en-US"/>
        </w:rPr>
      </w:pPr>
      <w:proofErr w:type="spellStart"/>
      <w:r w:rsidRPr="00E84894">
        <w:rPr>
          <w:rFonts w:ascii="Arial Narrow" w:hAnsi="Arial Narrow"/>
          <w:sz w:val="24"/>
          <w:szCs w:val="24"/>
          <w:lang w:val="en-US"/>
        </w:rPr>
        <w:t>Proaktivnost</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državnih</w:t>
      </w:r>
      <w:proofErr w:type="spellEnd"/>
      <w:r w:rsidRPr="00E84894">
        <w:rPr>
          <w:rFonts w:ascii="Arial Narrow" w:hAnsi="Arial Narrow"/>
          <w:sz w:val="24"/>
          <w:szCs w:val="24"/>
          <w:lang w:val="en-US"/>
        </w:rPr>
        <w:t xml:space="preserve"> organa u </w:t>
      </w:r>
      <w:proofErr w:type="spellStart"/>
      <w:r w:rsidRPr="00E84894">
        <w:rPr>
          <w:rFonts w:ascii="Arial Narrow" w:hAnsi="Arial Narrow"/>
          <w:sz w:val="24"/>
          <w:szCs w:val="24"/>
          <w:lang w:val="en-US"/>
        </w:rPr>
        <w:t>cilju</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veće</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transparentosti</w:t>
      </w:r>
      <w:proofErr w:type="spellEnd"/>
      <w:r w:rsidRPr="00E84894">
        <w:rPr>
          <w:rFonts w:ascii="Arial Narrow" w:hAnsi="Arial Narrow"/>
          <w:sz w:val="24"/>
          <w:szCs w:val="24"/>
          <w:lang w:val="en-US"/>
        </w:rPr>
        <w:t xml:space="preserve"> je od </w:t>
      </w:r>
      <w:proofErr w:type="spellStart"/>
      <w:r w:rsidRPr="00E84894">
        <w:rPr>
          <w:rFonts w:ascii="Arial Narrow" w:hAnsi="Arial Narrow"/>
          <w:sz w:val="24"/>
          <w:szCs w:val="24"/>
          <w:lang w:val="en-US"/>
        </w:rPr>
        <w:t>krucijalnog</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značaja</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te</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w:t>
      </w:r>
      <w:r w:rsidRPr="002945E1">
        <w:rPr>
          <w:rFonts w:ascii="Arial Narrow" w:hAnsi="Arial Narrow"/>
          <w:b/>
          <w:bCs/>
          <w:sz w:val="24"/>
          <w:szCs w:val="24"/>
          <w:lang w:val="en-US"/>
        </w:rPr>
        <w:t>rocenat</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objavljenih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informacija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od</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strane</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ministarstava</w:t>
      </w:r>
      <w:proofErr w:type="spellEnd"/>
      <w:r w:rsidRPr="002945E1">
        <w:rPr>
          <w:rFonts w:ascii="Arial Narrow" w:hAnsi="Arial Narrow"/>
          <w:b/>
          <w:bCs/>
          <w:sz w:val="24"/>
          <w:szCs w:val="24"/>
          <w:lang w:val="en-US"/>
        </w:rPr>
        <w:t xml:space="preserve"> u </w:t>
      </w:r>
      <w:proofErr w:type="spellStart"/>
      <w:r w:rsidRPr="002945E1">
        <w:rPr>
          <w:rFonts w:ascii="Arial Narrow" w:hAnsi="Arial Narrow"/>
          <w:b/>
          <w:bCs/>
          <w:sz w:val="24"/>
          <w:szCs w:val="24"/>
          <w:lang w:val="en-US"/>
        </w:rPr>
        <w:t>skladu</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sa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Zakonom</w:t>
      </w:r>
      <w:proofErr w:type="spellEnd"/>
      <w:r w:rsidRPr="002945E1">
        <w:rPr>
          <w:rFonts w:ascii="Arial Narrow" w:hAnsi="Arial Narrow"/>
          <w:b/>
          <w:bCs/>
          <w:sz w:val="24"/>
          <w:szCs w:val="24"/>
          <w:lang w:val="en-US"/>
        </w:rPr>
        <w:t xml:space="preserve"> o </w:t>
      </w:r>
      <w:proofErr w:type="spellStart"/>
      <w:r>
        <w:rPr>
          <w:rFonts w:ascii="Arial Narrow" w:hAnsi="Arial Narrow"/>
          <w:b/>
          <w:bCs/>
          <w:sz w:val="24"/>
          <w:szCs w:val="24"/>
          <w:lang w:val="en-US"/>
        </w:rPr>
        <w:t>slobodnom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pristupu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informacijama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94,</w:t>
      </w:r>
      <w:r>
        <w:rPr>
          <w:rFonts w:ascii="Arial Narrow" w:hAnsi="Arial Narrow"/>
          <w:b/>
          <w:bCs/>
          <w:sz w:val="24"/>
          <w:szCs w:val="24"/>
          <w:lang w:val="en-US"/>
        </w:rPr>
        <w:t xml:space="preserve">4%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98%</w:t>
      </w:r>
      <w:r>
        <w:rPr>
          <w:rFonts w:ascii="Arial Narrow" w:hAnsi="Arial Narrow"/>
          <w:b/>
          <w:bCs/>
          <w:sz w:val="24"/>
          <w:szCs w:val="24"/>
          <w:lang w:val="en-US"/>
        </w:rPr>
        <w:t xml:space="preserve">. </w:t>
      </w:r>
      <w:r w:rsidRPr="00E84894">
        <w:rPr>
          <w:rFonts w:ascii="Arial Narrow" w:hAnsi="Arial Narrow"/>
          <w:sz w:val="24"/>
          <w:szCs w:val="24"/>
          <w:lang w:val="en-US"/>
        </w:rPr>
        <w:t xml:space="preserve">U </w:t>
      </w:r>
      <w:proofErr w:type="spellStart"/>
      <w:r w:rsidRPr="00E84894">
        <w:rPr>
          <w:rFonts w:ascii="Arial Narrow" w:hAnsi="Arial Narrow"/>
          <w:sz w:val="24"/>
          <w:szCs w:val="24"/>
          <w:lang w:val="en-US"/>
        </w:rPr>
        <w:t>odnosu</w:t>
      </w:r>
      <w:proofErr w:type="spellEnd"/>
      <w:r w:rsidRPr="00E84894">
        <w:rPr>
          <w:rFonts w:ascii="Arial Narrow" w:hAnsi="Arial Narrow"/>
          <w:sz w:val="24"/>
          <w:szCs w:val="24"/>
          <w:lang w:val="en-US"/>
        </w:rPr>
        <w:t xml:space="preserve"> </w:t>
      </w:r>
      <w:proofErr w:type="spellStart"/>
      <w:r w:rsidRPr="00E84894">
        <w:rPr>
          <w:rFonts w:ascii="Arial Narrow" w:hAnsi="Arial Narrow"/>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broj</w:t>
      </w:r>
      <w:proofErr w:type="spellEnd"/>
      <w:r>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izjavljenih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žalbi</w:t>
      </w:r>
      <w:proofErr w:type="spellEnd"/>
      <w:r w:rsidRPr="002945E1">
        <w:rPr>
          <w:rFonts w:ascii="Arial Narrow" w:hAnsi="Arial Narrow"/>
          <w:b/>
          <w:bCs/>
          <w:sz w:val="24"/>
          <w:szCs w:val="24"/>
          <w:lang w:val="en-US"/>
        </w:rPr>
        <w:t xml:space="preserve"> po </w:t>
      </w:r>
      <w:proofErr w:type="spellStart"/>
      <w:r w:rsidRPr="002945E1">
        <w:rPr>
          <w:rFonts w:ascii="Arial Narrow" w:hAnsi="Arial Narrow"/>
          <w:b/>
          <w:bCs/>
          <w:sz w:val="24"/>
          <w:szCs w:val="24"/>
          <w:lang w:val="en-US"/>
        </w:rPr>
        <w:t>zahtjevima</w:t>
      </w:r>
      <w:proofErr w:type="spellEnd"/>
      <w:r w:rsidRPr="002945E1">
        <w:rPr>
          <w:rFonts w:ascii="Arial Narrow" w:hAnsi="Arial Narrow"/>
          <w:b/>
          <w:bCs/>
          <w:sz w:val="24"/>
          <w:szCs w:val="24"/>
          <w:lang w:val="en-US"/>
        </w:rPr>
        <w:t xml:space="preserve"> za </w:t>
      </w:r>
      <w:proofErr w:type="spellStart"/>
      <w:r>
        <w:rPr>
          <w:rFonts w:ascii="Arial Narrow" w:hAnsi="Arial Narrow"/>
          <w:b/>
          <w:bCs/>
          <w:sz w:val="24"/>
          <w:szCs w:val="24"/>
          <w:lang w:val="en-US"/>
        </w:rPr>
        <w:t>slobodan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pristup</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informacijama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 xml:space="preserve">u </w:t>
      </w:r>
      <w:proofErr w:type="spellStart"/>
      <w:r w:rsidRPr="002945E1">
        <w:rPr>
          <w:rFonts w:ascii="Arial Narrow" w:hAnsi="Arial Narrow"/>
          <w:b/>
          <w:bCs/>
          <w:sz w:val="24"/>
          <w:szCs w:val="24"/>
          <w:lang w:val="en-US"/>
        </w:rPr>
        <w:t>ministarstvima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G</w:t>
      </w:r>
      <w:r>
        <w:rPr>
          <w:rFonts w:ascii="Arial Narrow" w:hAnsi="Arial Narrow"/>
          <w:b/>
          <w:bCs/>
          <w:sz w:val="24"/>
          <w:szCs w:val="24"/>
          <w:lang w:val="en-US"/>
        </w:rPr>
        <w:t>eneralnom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sekretarijatu</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V</w:t>
      </w:r>
      <w:r>
        <w:rPr>
          <w:rFonts w:ascii="Arial Narrow" w:hAnsi="Arial Narrow"/>
          <w:b/>
          <w:bCs/>
          <w:sz w:val="24"/>
          <w:szCs w:val="24"/>
          <w:lang w:val="en-US"/>
        </w:rPr>
        <w:t xml:space="preserve">lade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se </w:t>
      </w:r>
      <w:proofErr w:type="spellStart"/>
      <w:r>
        <w:rPr>
          <w:rFonts w:ascii="Arial Narrow" w:hAnsi="Arial Narrow"/>
          <w:b/>
          <w:bCs/>
          <w:sz w:val="24"/>
          <w:szCs w:val="24"/>
          <w:lang w:val="en-US"/>
        </w:rPr>
        <w:t>raditi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njihovom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smanjenju</w:t>
      </w:r>
      <w:proofErr w:type="spellEnd"/>
      <w:r>
        <w:rPr>
          <w:rFonts w:ascii="Arial Narrow" w:hAnsi="Arial Narrow"/>
          <w:b/>
          <w:bCs/>
          <w:sz w:val="24"/>
          <w:szCs w:val="24"/>
          <w:lang w:val="en-US"/>
        </w:rPr>
        <w:t xml:space="preserve"> za 20% u </w:t>
      </w:r>
      <w:proofErr w:type="spellStart"/>
      <w:r>
        <w:rPr>
          <w:rFonts w:ascii="Arial Narrow" w:hAnsi="Arial Narrow"/>
          <w:b/>
          <w:bCs/>
          <w:sz w:val="24"/>
          <w:szCs w:val="24"/>
          <w:lang w:val="en-US"/>
        </w:rPr>
        <w:t>odnosu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2021. </w:t>
      </w:r>
      <w:proofErr w:type="spellStart"/>
      <w:r>
        <w:rPr>
          <w:rFonts w:ascii="Arial Narrow" w:hAnsi="Arial Narrow"/>
          <w:b/>
          <w:bCs/>
          <w:sz w:val="24"/>
          <w:szCs w:val="24"/>
          <w:lang w:val="en-US"/>
        </w:rPr>
        <w:t>godinu</w:t>
      </w:r>
      <w:proofErr w:type="spellEnd"/>
      <w:r>
        <w:rPr>
          <w:rFonts w:ascii="Arial Narrow" w:hAnsi="Arial Narrow"/>
          <w:b/>
          <w:bCs/>
          <w:sz w:val="24"/>
          <w:szCs w:val="24"/>
          <w:lang w:val="en-US"/>
        </w:rPr>
        <w:t xml:space="preserve"> (1058).</w:t>
      </w:r>
      <w:r w:rsidRPr="002945E1">
        <w:rPr>
          <w:rFonts w:ascii="Arial Narrow" w:hAnsi="Arial Narrow"/>
          <w:b/>
          <w:bCs/>
          <w:sz w:val="24"/>
          <w:szCs w:val="24"/>
          <w:lang w:val="en-US"/>
        </w:rPr>
        <w:t xml:space="preserve"> </w:t>
      </w:r>
      <w:proofErr w:type="spellStart"/>
      <w:r w:rsidRPr="00E52808">
        <w:rPr>
          <w:rFonts w:ascii="Arial Narrow" w:hAnsi="Arial Narrow"/>
          <w:sz w:val="24"/>
          <w:szCs w:val="24"/>
          <w:lang w:val="en-US"/>
        </w:rPr>
        <w:t>Obezbijedićemo</w:t>
      </w:r>
      <w:proofErr w:type="spellEnd"/>
      <w:r w:rsidRPr="00E52808">
        <w:rPr>
          <w:rFonts w:ascii="Arial Narrow" w:hAnsi="Arial Narrow"/>
          <w:sz w:val="24"/>
          <w:szCs w:val="24"/>
          <w:lang w:val="en-US"/>
        </w:rPr>
        <w:t xml:space="preserve"> </w:t>
      </w:r>
      <w:proofErr w:type="spellStart"/>
      <w:r w:rsidRPr="00E52808">
        <w:rPr>
          <w:rFonts w:ascii="Arial Narrow" w:hAnsi="Arial Narrow"/>
          <w:sz w:val="24"/>
          <w:szCs w:val="24"/>
          <w:lang w:val="en-US"/>
        </w:rPr>
        <w:t>i</w:t>
      </w:r>
      <w:proofErr w:type="spellEnd"/>
      <w:r w:rsidRPr="00E52808">
        <w:rPr>
          <w:rFonts w:ascii="Arial Narrow" w:hAnsi="Arial Narrow"/>
          <w:sz w:val="24"/>
          <w:szCs w:val="24"/>
          <w:lang w:val="en-US"/>
        </w:rPr>
        <w:t xml:space="preserve"> da </w:t>
      </w:r>
      <w:proofErr w:type="spellStart"/>
      <w:r w:rsidRPr="00E52808">
        <w:rPr>
          <w:rFonts w:ascii="Arial Narrow" w:hAnsi="Arial Narrow"/>
          <w:sz w:val="24"/>
          <w:szCs w:val="24"/>
          <w:lang w:val="en-US"/>
        </w:rPr>
        <w:t>pristup</w:t>
      </w:r>
      <w:proofErr w:type="spellEnd"/>
      <w:r w:rsidRPr="00E52808">
        <w:rPr>
          <w:rFonts w:ascii="Arial Narrow" w:hAnsi="Arial Narrow"/>
          <w:sz w:val="24"/>
          <w:szCs w:val="24"/>
          <w:lang w:val="en-US"/>
        </w:rPr>
        <w:t xml:space="preserve"> </w:t>
      </w:r>
      <w:proofErr w:type="spellStart"/>
      <w:r w:rsidRPr="00E52808">
        <w:rPr>
          <w:rFonts w:ascii="Arial Narrow" w:hAnsi="Arial Narrow"/>
          <w:sz w:val="24"/>
          <w:szCs w:val="24"/>
          <w:lang w:val="en-US"/>
        </w:rPr>
        <w:t>otvorenim</w:t>
      </w:r>
      <w:proofErr w:type="spellEnd"/>
      <w:r w:rsidRPr="00E52808">
        <w:rPr>
          <w:rFonts w:ascii="Arial Narrow" w:hAnsi="Arial Narrow"/>
          <w:sz w:val="24"/>
          <w:szCs w:val="24"/>
          <w:lang w:val="en-US"/>
        </w:rPr>
        <w:t xml:space="preserve"> </w:t>
      </w:r>
      <w:proofErr w:type="spellStart"/>
      <w:r w:rsidRPr="00E52808">
        <w:rPr>
          <w:rFonts w:ascii="Arial Narrow" w:hAnsi="Arial Narrow"/>
          <w:sz w:val="24"/>
          <w:szCs w:val="24"/>
          <w:lang w:val="en-US"/>
        </w:rPr>
        <w:t>podacima</w:t>
      </w:r>
      <w:proofErr w:type="spellEnd"/>
      <w:r w:rsidRPr="00E52808">
        <w:rPr>
          <w:rFonts w:ascii="Arial Narrow" w:hAnsi="Arial Narrow"/>
          <w:sz w:val="24"/>
          <w:szCs w:val="24"/>
          <w:lang w:val="en-US"/>
        </w:rPr>
        <w:t xml:space="preserve"> </w:t>
      </w:r>
      <w:proofErr w:type="spellStart"/>
      <w:r w:rsidRPr="00E52808">
        <w:rPr>
          <w:rFonts w:ascii="Arial Narrow" w:hAnsi="Arial Narrow"/>
          <w:sz w:val="24"/>
          <w:szCs w:val="24"/>
          <w:lang w:val="en-US"/>
        </w:rPr>
        <w:t>bude</w:t>
      </w:r>
      <w:proofErr w:type="spellEnd"/>
      <w:r w:rsidRPr="00E52808">
        <w:rPr>
          <w:rFonts w:ascii="Arial Narrow" w:hAnsi="Arial Narrow"/>
          <w:sz w:val="24"/>
          <w:szCs w:val="24"/>
          <w:lang w:val="en-US"/>
        </w:rPr>
        <w:t xml:space="preserve"> </w:t>
      </w:r>
      <w:proofErr w:type="spellStart"/>
      <w:r w:rsidRPr="00E52808">
        <w:rPr>
          <w:rFonts w:ascii="Arial Narrow" w:hAnsi="Arial Narrow"/>
          <w:sz w:val="24"/>
          <w:szCs w:val="24"/>
          <w:lang w:val="en-US"/>
        </w:rPr>
        <w:t>sve</w:t>
      </w:r>
      <w:proofErr w:type="spellEnd"/>
      <w:r w:rsidRPr="00E52808">
        <w:rPr>
          <w:rFonts w:ascii="Arial Narrow" w:hAnsi="Arial Narrow"/>
          <w:sz w:val="24"/>
          <w:szCs w:val="24"/>
          <w:lang w:val="en-US"/>
        </w:rPr>
        <w:t xml:space="preserve"> </w:t>
      </w:r>
      <w:proofErr w:type="spellStart"/>
      <w:r w:rsidRPr="00E52808">
        <w:rPr>
          <w:rFonts w:ascii="Arial Narrow" w:hAnsi="Arial Narrow"/>
          <w:sz w:val="24"/>
          <w:szCs w:val="24"/>
          <w:lang w:val="en-US"/>
        </w:rPr>
        <w:t>veći</w:t>
      </w:r>
      <w:proofErr w:type="spellEnd"/>
      <w:r w:rsidRPr="00E52808">
        <w:rPr>
          <w:rFonts w:ascii="Arial Narrow" w:hAnsi="Arial Narrow"/>
          <w:sz w:val="24"/>
          <w:szCs w:val="24"/>
          <w:lang w:val="en-US"/>
        </w:rPr>
        <w:t xml:space="preserve">, pa </w:t>
      </w:r>
      <w:proofErr w:type="spellStart"/>
      <w:r w:rsidRPr="00E52808">
        <w:rPr>
          <w:rFonts w:ascii="Arial Narrow" w:hAnsi="Arial Narrow"/>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w:t>
      </w:r>
      <w:r w:rsidRPr="002945E1">
        <w:rPr>
          <w:rFonts w:ascii="Arial Narrow" w:hAnsi="Arial Narrow"/>
          <w:b/>
          <w:bCs/>
          <w:sz w:val="24"/>
          <w:szCs w:val="24"/>
          <w:lang w:val="en-US"/>
        </w:rPr>
        <w:t>roj</w:t>
      </w:r>
      <w:proofErr w:type="spellEnd"/>
      <w:r w:rsidRPr="002945E1">
        <w:rPr>
          <w:rFonts w:ascii="Arial Narrow" w:hAnsi="Arial Narrow"/>
          <w:b/>
          <w:bCs/>
          <w:sz w:val="24"/>
          <w:szCs w:val="24"/>
          <w:lang w:val="en-US"/>
        </w:rPr>
        <w:t xml:space="preserve"> data-</w:t>
      </w:r>
      <w:proofErr w:type="spellStart"/>
      <w:r w:rsidRPr="002945E1">
        <w:rPr>
          <w:rFonts w:ascii="Arial Narrow" w:hAnsi="Arial Narrow"/>
          <w:b/>
          <w:bCs/>
          <w:sz w:val="24"/>
          <w:szCs w:val="24"/>
          <w:lang w:val="en-US"/>
        </w:rPr>
        <w:t>setova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na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portalu</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otvorenih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podataka</w:t>
      </w:r>
      <w:proofErr w:type="spellEnd"/>
      <w:r w:rsidRPr="002945E1">
        <w:rPr>
          <w:rFonts w:ascii="Arial Narrow" w:hAnsi="Arial Narrow"/>
          <w:b/>
          <w:bCs/>
          <w:sz w:val="24"/>
          <w:szCs w:val="24"/>
          <w:lang w:val="en-US"/>
        </w:rPr>
        <w:t xml:space="preserve"> </w:t>
      </w:r>
      <w:hyperlink r:id="rId20" w:history="1">
        <w:r w:rsidRPr="008E6EEF">
          <w:rPr>
            <w:rStyle w:val="Hyperlink"/>
            <w:rFonts w:ascii="Arial Narrow" w:hAnsi="Arial Narrow"/>
            <w:b/>
            <w:bCs/>
            <w:sz w:val="24"/>
            <w:szCs w:val="24"/>
            <w:lang w:val="en-US"/>
          </w:rPr>
          <w:t>www.data.gov.me</w:t>
        </w:r>
      </w:hyperlink>
      <w:r>
        <w:rPr>
          <w:rFonts w:ascii="Arial Narrow" w:hAnsi="Arial Narrow"/>
          <w:b/>
          <w:bCs/>
          <w:sz w:val="24"/>
          <w:szCs w:val="24"/>
          <w:lang w:val="en-US"/>
        </w:rPr>
        <w:t xml:space="preserve"> </w:t>
      </w:r>
      <w:proofErr w:type="spellStart"/>
      <w:r>
        <w:rPr>
          <w:rFonts w:ascii="Arial Narrow" w:hAnsi="Arial Narrow"/>
          <w:b/>
          <w:bCs/>
          <w:sz w:val="24"/>
          <w:szCs w:val="24"/>
          <w:lang w:val="en-US"/>
        </w:rPr>
        <w:t>kontinuirano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rasti</w:t>
      </w:r>
      <w:proofErr w:type="spellEnd"/>
      <w:r>
        <w:rPr>
          <w:rFonts w:ascii="Arial Narrow" w:hAnsi="Arial Narrow"/>
          <w:b/>
          <w:bCs/>
          <w:sz w:val="24"/>
          <w:szCs w:val="24"/>
          <w:lang w:val="en-US"/>
        </w:rPr>
        <w:t xml:space="preserve"> –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146 (2021)</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500</w:t>
      </w:r>
      <w:r>
        <w:rPr>
          <w:rFonts w:ascii="Arial Narrow" w:hAnsi="Arial Narrow"/>
          <w:b/>
          <w:bCs/>
          <w:sz w:val="24"/>
          <w:szCs w:val="24"/>
          <w:lang w:val="en-US"/>
        </w:rPr>
        <w:t xml:space="preserve"> </w:t>
      </w:r>
      <w:proofErr w:type="spellStart"/>
      <w:r>
        <w:rPr>
          <w:rFonts w:ascii="Arial Narrow" w:hAnsi="Arial Narrow"/>
          <w:b/>
          <w:bCs/>
          <w:sz w:val="24"/>
          <w:szCs w:val="24"/>
          <w:lang w:val="en-US"/>
        </w:rPr>
        <w:t>setova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podataka</w:t>
      </w:r>
      <w:proofErr w:type="spellEnd"/>
      <w:r>
        <w:rPr>
          <w:rFonts w:ascii="Arial Narrow" w:hAnsi="Arial Narrow"/>
          <w:b/>
          <w:bCs/>
          <w:sz w:val="24"/>
          <w:szCs w:val="24"/>
          <w:lang w:val="en-US"/>
        </w:rPr>
        <w:t xml:space="preserve"> koji </w:t>
      </w:r>
      <w:proofErr w:type="spellStart"/>
      <w:r>
        <w:rPr>
          <w:rFonts w:ascii="Arial Narrow" w:hAnsi="Arial Narrow"/>
          <w:b/>
          <w:bCs/>
          <w:sz w:val="24"/>
          <w:szCs w:val="24"/>
          <w:lang w:val="en-US"/>
        </w:rPr>
        <w:t>su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dostupni</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čitljivom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formatu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Dodatno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čak</w:t>
      </w:r>
      <w:proofErr w:type="spellEnd"/>
      <w:r>
        <w:rPr>
          <w:rFonts w:ascii="Arial Narrow" w:hAnsi="Arial Narrow"/>
          <w:b/>
          <w:bCs/>
          <w:sz w:val="24"/>
          <w:szCs w:val="24"/>
          <w:lang w:val="en-US"/>
        </w:rPr>
        <w:t xml:space="preserve"> 10% </w:t>
      </w:r>
      <w:proofErr w:type="spellStart"/>
      <w:r w:rsidRPr="002945E1">
        <w:rPr>
          <w:rFonts w:ascii="Arial Narrow" w:hAnsi="Arial Narrow"/>
          <w:b/>
          <w:bCs/>
          <w:sz w:val="24"/>
          <w:szCs w:val="24"/>
          <w:lang w:val="en-US"/>
        </w:rPr>
        <w:t>institucija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obveznika</w:t>
      </w:r>
      <w:proofErr w:type="spellEnd"/>
      <w:r w:rsidRPr="002945E1">
        <w:rPr>
          <w:rFonts w:ascii="Arial Narrow" w:hAnsi="Arial Narrow"/>
          <w:b/>
          <w:bCs/>
          <w:sz w:val="24"/>
          <w:szCs w:val="24"/>
          <w:lang w:val="en-US"/>
        </w:rPr>
        <w:t xml:space="preserve"> </w:t>
      </w:r>
      <w:proofErr w:type="spellStart"/>
      <w:r>
        <w:rPr>
          <w:rFonts w:ascii="Arial Narrow" w:hAnsi="Arial Narrow"/>
          <w:b/>
          <w:bCs/>
          <w:sz w:val="24"/>
          <w:szCs w:val="24"/>
          <w:lang w:val="en-US"/>
        </w:rPr>
        <w:t>Zakona</w:t>
      </w:r>
      <w:proofErr w:type="spellEnd"/>
      <w:r>
        <w:rPr>
          <w:rFonts w:ascii="Arial Narrow" w:hAnsi="Arial Narrow"/>
          <w:b/>
          <w:bCs/>
          <w:sz w:val="24"/>
          <w:szCs w:val="24"/>
          <w:lang w:val="en-US"/>
        </w:rPr>
        <w:t xml:space="preserve"> o </w:t>
      </w:r>
      <w:proofErr w:type="spellStart"/>
      <w:r>
        <w:rPr>
          <w:rFonts w:ascii="Arial Narrow" w:hAnsi="Arial Narrow"/>
          <w:b/>
          <w:bCs/>
          <w:sz w:val="24"/>
          <w:szCs w:val="24"/>
          <w:lang w:val="en-US"/>
        </w:rPr>
        <w:t>slobodnom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pristupu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informacijama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objavljivati</w:t>
      </w:r>
      <w:proofErr w:type="spellEnd"/>
      <w:r>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podatke</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na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portalu</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otvorenih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podataka</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odnosu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sadašnjih</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1,5%</w:t>
      </w:r>
      <w:r>
        <w:rPr>
          <w:rFonts w:ascii="Arial Narrow" w:hAnsi="Arial Narrow"/>
          <w:b/>
          <w:bCs/>
          <w:sz w:val="24"/>
          <w:szCs w:val="24"/>
          <w:lang w:val="en-US"/>
        </w:rPr>
        <w:t>.</w:t>
      </w:r>
    </w:p>
    <w:p w14:paraId="765C46A2" w14:textId="77777777" w:rsidR="003D6416" w:rsidRPr="00252562" w:rsidRDefault="003D6416" w:rsidP="003D6416">
      <w:pPr>
        <w:jc w:val="both"/>
        <w:rPr>
          <w:rFonts w:ascii="Arial Narrow" w:hAnsi="Arial Narrow"/>
          <w:b/>
          <w:bCs/>
          <w:sz w:val="24"/>
          <w:szCs w:val="24"/>
          <w:lang w:val="en-US"/>
        </w:rPr>
      </w:pPr>
      <w:r w:rsidRPr="00252562">
        <w:rPr>
          <w:rFonts w:ascii="Arial Narrow" w:hAnsi="Arial Narrow"/>
          <w:sz w:val="24"/>
          <w:szCs w:val="24"/>
          <w:lang w:val="en-US"/>
        </w:rPr>
        <w:lastRenderedPageBreak/>
        <w:t xml:space="preserve">Za </w:t>
      </w:r>
      <w:proofErr w:type="spellStart"/>
      <w:r w:rsidRPr="00252562">
        <w:rPr>
          <w:rFonts w:ascii="Arial Narrow" w:hAnsi="Arial Narrow"/>
          <w:sz w:val="24"/>
          <w:szCs w:val="24"/>
          <w:lang w:val="en-US"/>
        </w:rPr>
        <w:t>sve</w:t>
      </w:r>
      <w:proofErr w:type="spellEnd"/>
      <w:r w:rsidRPr="00252562">
        <w:rPr>
          <w:rFonts w:ascii="Arial Narrow" w:hAnsi="Arial Narrow"/>
          <w:sz w:val="24"/>
          <w:szCs w:val="24"/>
          <w:lang w:val="en-US"/>
        </w:rPr>
        <w:t xml:space="preserve"> to je </w:t>
      </w:r>
      <w:proofErr w:type="spellStart"/>
      <w:r w:rsidRPr="00252562">
        <w:rPr>
          <w:rFonts w:ascii="Arial Narrow" w:hAnsi="Arial Narrow"/>
          <w:sz w:val="24"/>
          <w:szCs w:val="24"/>
          <w:lang w:val="en-US"/>
        </w:rPr>
        <w:t>neophodno</w:t>
      </w:r>
      <w:proofErr w:type="spellEnd"/>
      <w:r w:rsidRPr="00252562">
        <w:rPr>
          <w:rFonts w:ascii="Arial Narrow" w:hAnsi="Arial Narrow"/>
          <w:sz w:val="24"/>
          <w:szCs w:val="24"/>
          <w:lang w:val="en-US"/>
        </w:rPr>
        <w:t xml:space="preserve"> </w:t>
      </w:r>
      <w:proofErr w:type="spellStart"/>
      <w:r w:rsidRPr="00252562">
        <w:rPr>
          <w:rFonts w:ascii="Arial Narrow" w:hAnsi="Arial Narrow"/>
          <w:sz w:val="24"/>
          <w:szCs w:val="24"/>
          <w:lang w:val="en-US"/>
        </w:rPr>
        <w:t>osigurati</w:t>
      </w:r>
      <w:proofErr w:type="spellEnd"/>
      <w:r w:rsidRPr="00252562">
        <w:rPr>
          <w:rFonts w:ascii="Arial Narrow" w:hAnsi="Arial Narrow"/>
          <w:sz w:val="24"/>
          <w:szCs w:val="24"/>
          <w:lang w:val="en-US"/>
        </w:rPr>
        <w:t xml:space="preserve"> </w:t>
      </w:r>
      <w:proofErr w:type="spellStart"/>
      <w:r w:rsidRPr="00252562">
        <w:rPr>
          <w:rFonts w:ascii="Arial Narrow" w:hAnsi="Arial Narrow"/>
          <w:sz w:val="24"/>
          <w:szCs w:val="24"/>
          <w:lang w:val="en-US"/>
        </w:rPr>
        <w:t>punu</w:t>
      </w:r>
      <w:proofErr w:type="spellEnd"/>
      <w:r w:rsidRPr="00252562">
        <w:rPr>
          <w:rFonts w:ascii="Arial Narrow" w:hAnsi="Arial Narrow"/>
          <w:sz w:val="24"/>
          <w:szCs w:val="24"/>
          <w:lang w:val="en-US"/>
        </w:rPr>
        <w:t xml:space="preserve"> </w:t>
      </w:r>
      <w:proofErr w:type="spellStart"/>
      <w:r w:rsidRPr="00252562">
        <w:rPr>
          <w:rFonts w:ascii="Arial Narrow" w:hAnsi="Arial Narrow"/>
          <w:sz w:val="24"/>
          <w:szCs w:val="24"/>
          <w:lang w:val="en-US"/>
        </w:rPr>
        <w:t>zakonitost</w:t>
      </w:r>
      <w:proofErr w:type="spellEnd"/>
      <w:r w:rsidRPr="00252562">
        <w:rPr>
          <w:rFonts w:ascii="Arial Narrow" w:hAnsi="Arial Narrow"/>
          <w:sz w:val="24"/>
          <w:szCs w:val="24"/>
          <w:lang w:val="en-US"/>
        </w:rPr>
        <w:t xml:space="preserve"> u </w:t>
      </w:r>
      <w:proofErr w:type="spellStart"/>
      <w:r w:rsidRPr="00252562">
        <w:rPr>
          <w:rFonts w:ascii="Arial Narrow" w:hAnsi="Arial Narrow"/>
          <w:sz w:val="24"/>
          <w:szCs w:val="24"/>
          <w:lang w:val="en-US"/>
        </w:rPr>
        <w:t>radu</w:t>
      </w:r>
      <w:proofErr w:type="spellEnd"/>
      <w:r w:rsidRPr="00252562">
        <w:rPr>
          <w:rFonts w:ascii="Arial Narrow" w:hAnsi="Arial Narrow"/>
          <w:sz w:val="24"/>
          <w:szCs w:val="24"/>
          <w:lang w:val="en-US"/>
        </w:rPr>
        <w:t xml:space="preserve"> organa </w:t>
      </w:r>
      <w:proofErr w:type="spellStart"/>
      <w:r w:rsidRPr="00252562">
        <w:rPr>
          <w:rFonts w:ascii="Arial Narrow" w:hAnsi="Arial Narrow"/>
          <w:sz w:val="24"/>
          <w:szCs w:val="24"/>
          <w:lang w:val="en-US"/>
        </w:rPr>
        <w:t>državne</w:t>
      </w:r>
      <w:proofErr w:type="spellEnd"/>
      <w:r w:rsidRPr="00252562">
        <w:rPr>
          <w:rFonts w:ascii="Arial Narrow" w:hAnsi="Arial Narrow"/>
          <w:sz w:val="24"/>
          <w:szCs w:val="24"/>
          <w:lang w:val="en-US"/>
        </w:rPr>
        <w:t xml:space="preserve"> </w:t>
      </w:r>
      <w:proofErr w:type="spellStart"/>
      <w:r w:rsidRPr="00252562">
        <w:rPr>
          <w:rFonts w:ascii="Arial Narrow" w:hAnsi="Arial Narrow"/>
          <w:sz w:val="24"/>
          <w:szCs w:val="24"/>
          <w:lang w:val="en-US"/>
        </w:rPr>
        <w:t>uprave</w:t>
      </w:r>
      <w:proofErr w:type="spellEnd"/>
      <w:r w:rsidRPr="00252562">
        <w:rPr>
          <w:rFonts w:ascii="Arial Narrow" w:hAnsi="Arial Narrow"/>
          <w:sz w:val="24"/>
          <w:szCs w:val="24"/>
          <w:lang w:val="en-US"/>
        </w:rPr>
        <w:t xml:space="preserve">, </w:t>
      </w:r>
      <w:proofErr w:type="spellStart"/>
      <w:r w:rsidRPr="00252562">
        <w:rPr>
          <w:rFonts w:ascii="Arial Narrow" w:hAnsi="Arial Narrow"/>
          <w:sz w:val="24"/>
          <w:szCs w:val="24"/>
          <w:lang w:val="en-US"/>
        </w:rPr>
        <w:t>što</w:t>
      </w:r>
      <w:proofErr w:type="spellEnd"/>
      <w:r w:rsidRPr="00252562">
        <w:rPr>
          <w:rFonts w:ascii="Arial Narrow" w:hAnsi="Arial Narrow"/>
          <w:sz w:val="24"/>
          <w:szCs w:val="24"/>
          <w:lang w:val="en-US"/>
        </w:rPr>
        <w:t xml:space="preserve"> </w:t>
      </w:r>
      <w:proofErr w:type="spellStart"/>
      <w:r w:rsidRPr="00252562">
        <w:rPr>
          <w:rFonts w:ascii="Arial Narrow" w:hAnsi="Arial Narrow"/>
          <w:sz w:val="24"/>
          <w:szCs w:val="24"/>
          <w:lang w:val="en-US"/>
        </w:rPr>
        <w:t>će</w:t>
      </w:r>
      <w:proofErr w:type="spellEnd"/>
      <w:r w:rsidRPr="00252562">
        <w:rPr>
          <w:rFonts w:ascii="Arial Narrow" w:hAnsi="Arial Narrow"/>
          <w:sz w:val="24"/>
          <w:szCs w:val="24"/>
          <w:lang w:val="en-US"/>
        </w:rPr>
        <w:t xml:space="preserve"> se </w:t>
      </w:r>
      <w:proofErr w:type="spellStart"/>
      <w:r w:rsidRPr="00252562">
        <w:rPr>
          <w:rFonts w:ascii="Arial Narrow" w:hAnsi="Arial Narrow"/>
          <w:sz w:val="24"/>
          <w:szCs w:val="24"/>
          <w:lang w:val="en-US"/>
        </w:rPr>
        <w:t>postići</w:t>
      </w:r>
      <w:proofErr w:type="spellEnd"/>
      <w:r w:rsidRPr="00252562">
        <w:rPr>
          <w:rFonts w:ascii="Arial Narrow" w:hAnsi="Arial Narrow"/>
          <w:sz w:val="24"/>
          <w:szCs w:val="24"/>
          <w:lang w:val="en-US"/>
        </w:rPr>
        <w:t xml:space="preserve"> </w:t>
      </w:r>
      <w:proofErr w:type="spellStart"/>
      <w:r w:rsidRPr="00252562">
        <w:rPr>
          <w:rFonts w:ascii="Arial Narrow" w:hAnsi="Arial Narrow"/>
          <w:sz w:val="24"/>
          <w:szCs w:val="24"/>
          <w:lang w:val="en-US"/>
        </w:rPr>
        <w:t>kroz</w:t>
      </w:r>
      <w:proofErr w:type="spellEnd"/>
      <w:r w:rsidRPr="00252562">
        <w:rPr>
          <w:rFonts w:ascii="Arial Narrow" w:hAnsi="Arial Narrow"/>
          <w:sz w:val="24"/>
          <w:szCs w:val="24"/>
          <w:lang w:val="en-US"/>
        </w:rPr>
        <w:t xml:space="preserve"> </w:t>
      </w:r>
      <w:proofErr w:type="spellStart"/>
      <w:r w:rsidRPr="00252562">
        <w:rPr>
          <w:rFonts w:ascii="Arial Narrow" w:hAnsi="Arial Narrow"/>
          <w:sz w:val="24"/>
          <w:szCs w:val="24"/>
          <w:lang w:val="en-US"/>
        </w:rPr>
        <w:t>redovan</w:t>
      </w:r>
      <w:proofErr w:type="spellEnd"/>
      <w:r w:rsidRPr="00252562">
        <w:rPr>
          <w:rFonts w:ascii="Arial Narrow" w:hAnsi="Arial Narrow"/>
          <w:sz w:val="24"/>
          <w:szCs w:val="24"/>
          <w:lang w:val="en-US"/>
        </w:rPr>
        <w:t xml:space="preserve"> </w:t>
      </w:r>
      <w:proofErr w:type="spellStart"/>
      <w:r w:rsidRPr="00252562">
        <w:rPr>
          <w:rFonts w:ascii="Arial Narrow" w:hAnsi="Arial Narrow"/>
          <w:sz w:val="24"/>
          <w:szCs w:val="24"/>
          <w:lang w:val="en-US"/>
        </w:rPr>
        <w:t>upravni</w:t>
      </w:r>
      <w:proofErr w:type="spellEnd"/>
      <w:r w:rsidRPr="00252562">
        <w:rPr>
          <w:rFonts w:ascii="Arial Narrow" w:hAnsi="Arial Narrow"/>
          <w:sz w:val="24"/>
          <w:szCs w:val="24"/>
          <w:lang w:val="en-US"/>
        </w:rPr>
        <w:t xml:space="preserve"> </w:t>
      </w:r>
      <w:proofErr w:type="spellStart"/>
      <w:r w:rsidRPr="00252562">
        <w:rPr>
          <w:rFonts w:ascii="Arial Narrow" w:hAnsi="Arial Narrow"/>
          <w:sz w:val="24"/>
          <w:szCs w:val="24"/>
          <w:lang w:val="en-US"/>
        </w:rPr>
        <w:t>nadzor</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w:t>
      </w:r>
      <w:r w:rsidRPr="002945E1">
        <w:rPr>
          <w:rFonts w:ascii="Arial Narrow" w:hAnsi="Arial Narrow"/>
          <w:b/>
          <w:bCs/>
          <w:sz w:val="24"/>
          <w:szCs w:val="24"/>
          <w:lang w:val="en-US"/>
        </w:rPr>
        <w:t>roj</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izvršenih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upravnih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nadzora</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ministarstvima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porasti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0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5 do 2024. </w:t>
      </w:r>
      <w:proofErr w:type="spellStart"/>
      <w:r>
        <w:rPr>
          <w:rFonts w:ascii="Arial Narrow" w:hAnsi="Arial Narrow"/>
          <w:b/>
          <w:bCs/>
          <w:sz w:val="24"/>
          <w:szCs w:val="24"/>
          <w:lang w:val="en-US"/>
        </w:rPr>
        <w:t>godine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procenat</w:t>
      </w:r>
      <w:proofErr w:type="spellEnd"/>
      <w:r w:rsidRPr="002945E1">
        <w:rPr>
          <w:rFonts w:ascii="Arial Narrow" w:hAnsi="Arial Narrow"/>
          <w:b/>
          <w:bCs/>
          <w:sz w:val="24"/>
          <w:szCs w:val="24"/>
          <w:lang w:val="en-US"/>
        </w:rPr>
        <w:t xml:space="preserve"> organa </w:t>
      </w:r>
      <w:proofErr w:type="spellStart"/>
      <w:r w:rsidRPr="002945E1">
        <w:rPr>
          <w:rFonts w:ascii="Arial Narrow" w:hAnsi="Arial Narrow"/>
          <w:b/>
          <w:bCs/>
          <w:sz w:val="24"/>
          <w:szCs w:val="24"/>
          <w:lang w:val="en-US"/>
        </w:rPr>
        <w:t>nad</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kojima</w:t>
      </w:r>
      <w:proofErr w:type="spellEnd"/>
      <w:r w:rsidRPr="002945E1">
        <w:rPr>
          <w:rFonts w:ascii="Arial Narrow" w:hAnsi="Arial Narrow"/>
          <w:b/>
          <w:bCs/>
          <w:sz w:val="24"/>
          <w:szCs w:val="24"/>
          <w:lang w:val="en-US"/>
        </w:rPr>
        <w:t xml:space="preserve"> je </w:t>
      </w:r>
      <w:proofErr w:type="spellStart"/>
      <w:r w:rsidRPr="002945E1">
        <w:rPr>
          <w:rFonts w:ascii="Arial Narrow" w:hAnsi="Arial Narrow"/>
          <w:b/>
          <w:bCs/>
          <w:sz w:val="24"/>
          <w:szCs w:val="24"/>
          <w:lang w:val="en-US"/>
        </w:rPr>
        <w:t>izvršen</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upravni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nadzor</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0</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30%</w:t>
      </w:r>
      <w:r>
        <w:rPr>
          <w:rFonts w:ascii="Arial Narrow" w:hAnsi="Arial Narrow"/>
          <w:b/>
          <w:bCs/>
          <w:sz w:val="24"/>
          <w:szCs w:val="24"/>
          <w:lang w:val="en-US"/>
        </w:rPr>
        <w:t xml:space="preserve">, </w:t>
      </w:r>
      <w:proofErr w:type="spellStart"/>
      <w:r>
        <w:rPr>
          <w:rFonts w:ascii="Arial Narrow" w:hAnsi="Arial Narrow"/>
          <w:b/>
          <w:bCs/>
          <w:sz w:val="24"/>
          <w:szCs w:val="24"/>
          <w:lang w:val="en-US"/>
        </w:rPr>
        <w:t>kao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procenat</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instituta</w:t>
      </w:r>
      <w:proofErr w:type="spellEnd"/>
      <w:r w:rsidRPr="002945E1">
        <w:rPr>
          <w:rFonts w:ascii="Arial Narrow" w:hAnsi="Arial Narrow"/>
          <w:b/>
          <w:bCs/>
          <w:sz w:val="24"/>
          <w:szCs w:val="24"/>
          <w:lang w:val="en-US"/>
        </w:rPr>
        <w:t xml:space="preserve"> u </w:t>
      </w:r>
      <w:proofErr w:type="spellStart"/>
      <w:r w:rsidRPr="002945E1">
        <w:rPr>
          <w:rFonts w:ascii="Arial Narrow" w:hAnsi="Arial Narrow"/>
          <w:b/>
          <w:bCs/>
          <w:sz w:val="24"/>
          <w:szCs w:val="24"/>
          <w:lang w:val="en-US"/>
        </w:rPr>
        <w:t>odnosu</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na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koje</w:t>
      </w:r>
      <w:proofErr w:type="spellEnd"/>
      <w:r w:rsidRPr="002945E1">
        <w:rPr>
          <w:rFonts w:ascii="Arial Narrow" w:hAnsi="Arial Narrow"/>
          <w:b/>
          <w:bCs/>
          <w:sz w:val="24"/>
          <w:szCs w:val="24"/>
          <w:lang w:val="en-US"/>
        </w:rPr>
        <w:t xml:space="preserve"> je </w:t>
      </w:r>
      <w:proofErr w:type="spellStart"/>
      <w:r w:rsidRPr="002945E1">
        <w:rPr>
          <w:rFonts w:ascii="Arial Narrow" w:hAnsi="Arial Narrow"/>
          <w:b/>
          <w:bCs/>
          <w:sz w:val="24"/>
          <w:szCs w:val="24"/>
          <w:lang w:val="en-US"/>
        </w:rPr>
        <w:t>vršen</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upravni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nadzor</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0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30%</w:t>
      </w:r>
      <w:r>
        <w:rPr>
          <w:rFonts w:ascii="Arial Narrow" w:hAnsi="Arial Narrow"/>
          <w:b/>
          <w:bCs/>
          <w:sz w:val="24"/>
          <w:szCs w:val="24"/>
          <w:lang w:val="en-US"/>
        </w:rPr>
        <w:t>.</w:t>
      </w:r>
    </w:p>
    <w:p w14:paraId="4D0EB7E7" w14:textId="77777777" w:rsidR="003D6416" w:rsidRPr="007C30E3" w:rsidRDefault="003D6416" w:rsidP="003D6416">
      <w:pPr>
        <w:jc w:val="both"/>
        <w:rPr>
          <w:rFonts w:ascii="Arial Narrow" w:hAnsi="Arial Narrow"/>
          <w:b/>
          <w:bCs/>
          <w:sz w:val="24"/>
          <w:szCs w:val="24"/>
          <w:lang w:val="en-US"/>
        </w:rPr>
      </w:pPr>
      <w:proofErr w:type="spellStart"/>
      <w:r w:rsidRPr="007C30E3">
        <w:rPr>
          <w:rFonts w:ascii="Arial Narrow" w:hAnsi="Arial Narrow"/>
          <w:b/>
          <w:bCs/>
          <w:sz w:val="24"/>
          <w:szCs w:val="24"/>
          <w:lang w:val="en-US"/>
        </w:rPr>
        <w:t>Cilj</w:t>
      </w:r>
      <w:proofErr w:type="spellEnd"/>
      <w:r w:rsidRPr="007C30E3">
        <w:rPr>
          <w:rFonts w:ascii="Arial Narrow" w:hAnsi="Arial Narrow"/>
          <w:b/>
          <w:bCs/>
          <w:sz w:val="24"/>
          <w:szCs w:val="24"/>
          <w:lang w:val="en-US"/>
        </w:rPr>
        <w:t xml:space="preserve"> 1.4.</w:t>
      </w:r>
      <w:r>
        <w:rPr>
          <w:rFonts w:ascii="Arial Narrow" w:hAnsi="Arial Narrow"/>
          <w:b/>
          <w:bCs/>
          <w:sz w:val="24"/>
          <w:szCs w:val="24"/>
          <w:lang w:val="en-US"/>
        </w:rPr>
        <w:t xml:space="preserve"> </w:t>
      </w:r>
      <w:r w:rsidRPr="007C30E3">
        <w:rPr>
          <w:rFonts w:ascii="Arial Narrow" w:hAnsi="Arial Narrow"/>
          <w:b/>
          <w:bCs/>
          <w:sz w:val="24"/>
          <w:szCs w:val="24"/>
          <w:lang w:val="en-US"/>
        </w:rPr>
        <w:t>PROFESIONALNA JAVNA UPRAVA</w:t>
      </w:r>
    </w:p>
    <w:p w14:paraId="48B1E6EB" w14:textId="77777777" w:rsidR="003D6416" w:rsidRDefault="003D6416" w:rsidP="003D6416">
      <w:pPr>
        <w:jc w:val="both"/>
        <w:rPr>
          <w:rFonts w:ascii="Arial Narrow" w:hAnsi="Arial Narrow"/>
          <w:b/>
          <w:bCs/>
          <w:sz w:val="24"/>
          <w:szCs w:val="24"/>
          <w:lang w:val="en-US"/>
        </w:rPr>
      </w:pPr>
      <w:r w:rsidRPr="0059156A">
        <w:rPr>
          <w:rFonts w:ascii="Arial Narrow" w:hAnsi="Arial Narrow"/>
          <w:sz w:val="24"/>
          <w:szCs w:val="24"/>
          <w:lang w:val="en-US"/>
        </w:rPr>
        <w:t xml:space="preserve">Za </w:t>
      </w:r>
      <w:proofErr w:type="spellStart"/>
      <w:r w:rsidRPr="0059156A">
        <w:rPr>
          <w:rFonts w:ascii="Arial Narrow" w:hAnsi="Arial Narrow"/>
          <w:sz w:val="24"/>
          <w:szCs w:val="24"/>
          <w:lang w:val="en-US"/>
        </w:rPr>
        <w:t>javnu</w:t>
      </w:r>
      <w:proofErr w:type="spellEnd"/>
      <w:r w:rsidRPr="0059156A">
        <w:rPr>
          <w:rFonts w:ascii="Arial Narrow" w:hAnsi="Arial Narrow"/>
          <w:sz w:val="24"/>
          <w:szCs w:val="24"/>
          <w:lang w:val="en-US"/>
        </w:rPr>
        <w:t xml:space="preserve"> </w:t>
      </w:r>
      <w:proofErr w:type="spellStart"/>
      <w:r w:rsidRPr="0059156A">
        <w:rPr>
          <w:rFonts w:ascii="Arial Narrow" w:hAnsi="Arial Narrow"/>
          <w:sz w:val="24"/>
          <w:szCs w:val="24"/>
          <w:lang w:val="en-US"/>
        </w:rPr>
        <w:t>upravu</w:t>
      </w:r>
      <w:proofErr w:type="spellEnd"/>
      <w:r w:rsidRPr="0059156A">
        <w:rPr>
          <w:rFonts w:ascii="Arial Narrow" w:hAnsi="Arial Narrow"/>
          <w:sz w:val="24"/>
          <w:szCs w:val="24"/>
          <w:lang w:val="en-US"/>
        </w:rPr>
        <w:t xml:space="preserve"> </w:t>
      </w:r>
      <w:proofErr w:type="spellStart"/>
      <w:r w:rsidRPr="0059156A">
        <w:rPr>
          <w:rFonts w:ascii="Arial Narrow" w:hAnsi="Arial Narrow"/>
          <w:sz w:val="24"/>
          <w:szCs w:val="24"/>
          <w:lang w:val="en-US"/>
        </w:rPr>
        <w:t>svih</w:t>
      </w:r>
      <w:proofErr w:type="spellEnd"/>
      <w:r w:rsidRPr="0059156A">
        <w:rPr>
          <w:rFonts w:ascii="Arial Narrow" w:hAnsi="Arial Narrow"/>
          <w:sz w:val="24"/>
          <w:szCs w:val="24"/>
          <w:lang w:val="en-US"/>
        </w:rPr>
        <w:t xml:space="preserve"> </w:t>
      </w:r>
      <w:proofErr w:type="spellStart"/>
      <w:r w:rsidRPr="0059156A">
        <w:rPr>
          <w:rFonts w:ascii="Arial Narrow" w:hAnsi="Arial Narrow"/>
          <w:sz w:val="24"/>
          <w:szCs w:val="24"/>
          <w:lang w:val="en-US"/>
        </w:rPr>
        <w:t>i</w:t>
      </w:r>
      <w:proofErr w:type="spellEnd"/>
      <w:r w:rsidRPr="0059156A">
        <w:rPr>
          <w:rFonts w:ascii="Arial Narrow" w:hAnsi="Arial Narrow"/>
          <w:sz w:val="24"/>
          <w:szCs w:val="24"/>
          <w:lang w:val="en-US"/>
        </w:rPr>
        <w:t xml:space="preserve"> </w:t>
      </w:r>
      <w:proofErr w:type="spellStart"/>
      <w:r w:rsidRPr="0059156A">
        <w:rPr>
          <w:rFonts w:ascii="Arial Narrow" w:hAnsi="Arial Narrow"/>
          <w:sz w:val="24"/>
          <w:szCs w:val="24"/>
          <w:lang w:val="en-US"/>
        </w:rPr>
        <w:t>otvorenu</w:t>
      </w:r>
      <w:proofErr w:type="spellEnd"/>
      <w:r w:rsidRPr="0059156A">
        <w:rPr>
          <w:rFonts w:ascii="Arial Narrow" w:hAnsi="Arial Narrow"/>
          <w:sz w:val="24"/>
          <w:szCs w:val="24"/>
          <w:lang w:val="en-US"/>
        </w:rPr>
        <w:t xml:space="preserve"> za </w:t>
      </w:r>
      <w:proofErr w:type="spellStart"/>
      <w:r w:rsidRPr="0059156A">
        <w:rPr>
          <w:rFonts w:ascii="Arial Narrow" w:hAnsi="Arial Narrow"/>
          <w:sz w:val="24"/>
          <w:szCs w:val="24"/>
          <w:lang w:val="en-US"/>
        </w:rPr>
        <w:t>sve</w:t>
      </w:r>
      <w:proofErr w:type="spellEnd"/>
      <w:r w:rsidRPr="0059156A">
        <w:rPr>
          <w:rFonts w:ascii="Arial Narrow" w:hAnsi="Arial Narrow"/>
          <w:sz w:val="24"/>
          <w:szCs w:val="24"/>
          <w:lang w:val="en-US"/>
        </w:rPr>
        <w:t xml:space="preserve"> je </w:t>
      </w:r>
      <w:proofErr w:type="spellStart"/>
      <w:r w:rsidRPr="0059156A">
        <w:rPr>
          <w:rFonts w:ascii="Arial Narrow" w:hAnsi="Arial Narrow"/>
          <w:sz w:val="24"/>
          <w:szCs w:val="24"/>
          <w:lang w:val="en-US"/>
        </w:rPr>
        <w:t>neophodno</w:t>
      </w:r>
      <w:proofErr w:type="spellEnd"/>
      <w:r w:rsidRPr="0059156A">
        <w:rPr>
          <w:rFonts w:ascii="Arial Narrow" w:hAnsi="Arial Narrow"/>
          <w:sz w:val="24"/>
          <w:szCs w:val="24"/>
          <w:lang w:val="en-US"/>
        </w:rPr>
        <w:t xml:space="preserve"> </w:t>
      </w:r>
      <w:proofErr w:type="spellStart"/>
      <w:r w:rsidRPr="0059156A">
        <w:rPr>
          <w:rFonts w:ascii="Arial Narrow" w:hAnsi="Arial Narrow"/>
          <w:sz w:val="24"/>
          <w:szCs w:val="24"/>
          <w:lang w:val="en-US"/>
        </w:rPr>
        <w:t>učiniti</w:t>
      </w:r>
      <w:proofErr w:type="spellEnd"/>
      <w:r w:rsidRPr="0059156A">
        <w:rPr>
          <w:rFonts w:ascii="Arial Narrow" w:hAnsi="Arial Narrow"/>
          <w:sz w:val="24"/>
          <w:szCs w:val="24"/>
          <w:lang w:val="en-US"/>
        </w:rPr>
        <w:t xml:space="preserve"> je u </w:t>
      </w:r>
      <w:proofErr w:type="spellStart"/>
      <w:r w:rsidRPr="0059156A">
        <w:rPr>
          <w:rFonts w:ascii="Arial Narrow" w:hAnsi="Arial Narrow"/>
          <w:sz w:val="24"/>
          <w:szCs w:val="24"/>
          <w:lang w:val="en-US"/>
        </w:rPr>
        <w:t>potpunosti</w:t>
      </w:r>
      <w:proofErr w:type="spellEnd"/>
      <w:r w:rsidRPr="0059156A">
        <w:rPr>
          <w:rFonts w:ascii="Arial Narrow" w:hAnsi="Arial Narrow"/>
          <w:sz w:val="24"/>
          <w:szCs w:val="24"/>
          <w:lang w:val="en-US"/>
        </w:rPr>
        <w:t xml:space="preserve"> </w:t>
      </w:r>
      <w:proofErr w:type="spellStart"/>
      <w:r w:rsidRPr="0059156A">
        <w:rPr>
          <w:rFonts w:ascii="Arial Narrow" w:hAnsi="Arial Narrow"/>
          <w:sz w:val="24"/>
          <w:szCs w:val="24"/>
          <w:lang w:val="en-US"/>
        </w:rPr>
        <w:t>profesionalnom</w:t>
      </w:r>
      <w:proofErr w:type="spellEnd"/>
      <w:r w:rsidRPr="0059156A">
        <w:rPr>
          <w:rFonts w:ascii="Arial Narrow" w:hAnsi="Arial Narrow"/>
          <w:sz w:val="24"/>
          <w:szCs w:val="24"/>
          <w:lang w:val="en-US"/>
        </w:rPr>
        <w:t xml:space="preserve">, </w:t>
      </w:r>
      <w:proofErr w:type="spellStart"/>
      <w:r w:rsidRPr="0059156A">
        <w:rPr>
          <w:rFonts w:ascii="Arial Narrow" w:hAnsi="Arial Narrow"/>
          <w:sz w:val="24"/>
          <w:szCs w:val="24"/>
          <w:lang w:val="en-US"/>
        </w:rPr>
        <w:t>planirati</w:t>
      </w:r>
      <w:proofErr w:type="spellEnd"/>
      <w:r w:rsidRPr="0059156A">
        <w:rPr>
          <w:rFonts w:ascii="Arial Narrow" w:hAnsi="Arial Narrow"/>
          <w:sz w:val="24"/>
          <w:szCs w:val="24"/>
          <w:lang w:val="en-US"/>
        </w:rPr>
        <w:t xml:space="preserve"> u </w:t>
      </w:r>
      <w:proofErr w:type="spellStart"/>
      <w:r w:rsidRPr="0059156A">
        <w:rPr>
          <w:rFonts w:ascii="Arial Narrow" w:hAnsi="Arial Narrow"/>
          <w:sz w:val="24"/>
          <w:szCs w:val="24"/>
          <w:lang w:val="en-US"/>
        </w:rPr>
        <w:t>skladu</w:t>
      </w:r>
      <w:proofErr w:type="spellEnd"/>
      <w:r w:rsidRPr="0059156A">
        <w:rPr>
          <w:rFonts w:ascii="Arial Narrow" w:hAnsi="Arial Narrow"/>
          <w:sz w:val="24"/>
          <w:szCs w:val="24"/>
          <w:lang w:val="en-US"/>
        </w:rPr>
        <w:t xml:space="preserve"> s </w:t>
      </w:r>
      <w:proofErr w:type="spellStart"/>
      <w:r w:rsidRPr="0059156A">
        <w:rPr>
          <w:rFonts w:ascii="Arial Narrow" w:hAnsi="Arial Narrow"/>
          <w:sz w:val="24"/>
          <w:szCs w:val="24"/>
          <w:lang w:val="en-US"/>
        </w:rPr>
        <w:t>potrebama</w:t>
      </w:r>
      <w:proofErr w:type="spellEnd"/>
      <w:r w:rsidRPr="0059156A">
        <w:rPr>
          <w:rFonts w:ascii="Arial Narrow" w:hAnsi="Arial Narrow"/>
          <w:sz w:val="24"/>
          <w:szCs w:val="24"/>
          <w:lang w:val="en-US"/>
        </w:rPr>
        <w:t xml:space="preserve"> </w:t>
      </w:r>
      <w:proofErr w:type="spellStart"/>
      <w:r w:rsidRPr="0059156A">
        <w:rPr>
          <w:rFonts w:ascii="Arial Narrow" w:hAnsi="Arial Narrow"/>
          <w:sz w:val="24"/>
          <w:szCs w:val="24"/>
          <w:lang w:val="en-US"/>
        </w:rPr>
        <w:t>i</w:t>
      </w:r>
      <w:proofErr w:type="spellEnd"/>
      <w:r w:rsidRPr="0059156A">
        <w:rPr>
          <w:rFonts w:ascii="Arial Narrow" w:hAnsi="Arial Narrow"/>
          <w:sz w:val="24"/>
          <w:szCs w:val="24"/>
          <w:lang w:val="en-US"/>
        </w:rPr>
        <w:t xml:space="preserve"> </w:t>
      </w:r>
      <w:proofErr w:type="spellStart"/>
      <w:r w:rsidRPr="0059156A">
        <w:rPr>
          <w:rFonts w:ascii="Arial Narrow" w:hAnsi="Arial Narrow"/>
          <w:sz w:val="24"/>
          <w:szCs w:val="24"/>
          <w:lang w:val="en-US"/>
        </w:rPr>
        <w:t>mogućnostima</w:t>
      </w:r>
      <w:proofErr w:type="spellEnd"/>
      <w:r w:rsidRPr="0059156A">
        <w:rPr>
          <w:rFonts w:ascii="Arial Narrow" w:hAnsi="Arial Narrow"/>
          <w:sz w:val="24"/>
          <w:szCs w:val="24"/>
          <w:lang w:val="en-US"/>
        </w:rPr>
        <w:t xml:space="preserve"> </w:t>
      </w:r>
      <w:proofErr w:type="spellStart"/>
      <w:r w:rsidRPr="0059156A">
        <w:rPr>
          <w:rFonts w:ascii="Arial Narrow" w:hAnsi="Arial Narrow"/>
          <w:sz w:val="24"/>
          <w:szCs w:val="24"/>
          <w:lang w:val="en-US"/>
        </w:rPr>
        <w:t>na</w:t>
      </w:r>
      <w:proofErr w:type="spellEnd"/>
      <w:r w:rsidRPr="0059156A">
        <w:rPr>
          <w:rFonts w:ascii="Arial Narrow" w:hAnsi="Arial Narrow"/>
          <w:sz w:val="24"/>
          <w:szCs w:val="24"/>
          <w:lang w:val="en-US"/>
        </w:rPr>
        <w:t xml:space="preserve"> </w:t>
      </w:r>
      <w:proofErr w:type="spellStart"/>
      <w:r w:rsidRPr="0059156A">
        <w:rPr>
          <w:rFonts w:ascii="Arial Narrow" w:hAnsi="Arial Narrow"/>
          <w:sz w:val="24"/>
          <w:szCs w:val="24"/>
          <w:lang w:val="en-US"/>
        </w:rPr>
        <w:t>način</w:t>
      </w:r>
      <w:proofErr w:type="spellEnd"/>
      <w:r w:rsidRPr="0059156A">
        <w:rPr>
          <w:rFonts w:ascii="Arial Narrow" w:hAnsi="Arial Narrow"/>
          <w:sz w:val="24"/>
          <w:szCs w:val="24"/>
          <w:lang w:val="en-US"/>
        </w:rPr>
        <w:t xml:space="preserve"> da se</w:t>
      </w:r>
      <w:r>
        <w:rPr>
          <w:rFonts w:ascii="Arial Narrow" w:hAnsi="Arial Narrow"/>
          <w:b/>
          <w:bCs/>
          <w:sz w:val="24"/>
          <w:szCs w:val="24"/>
          <w:lang w:val="en-US"/>
        </w:rPr>
        <w:t xml:space="preserve"> </w:t>
      </w:r>
      <w:proofErr w:type="spellStart"/>
      <w:r>
        <w:rPr>
          <w:rFonts w:ascii="Arial Narrow" w:hAnsi="Arial Narrow"/>
          <w:b/>
          <w:bCs/>
          <w:sz w:val="24"/>
          <w:szCs w:val="24"/>
          <w:lang w:val="en-US"/>
        </w:rPr>
        <w:t>poveća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procenat</w:t>
      </w:r>
      <w:proofErr w:type="spellEnd"/>
      <w:r>
        <w:rPr>
          <w:rFonts w:ascii="Arial Narrow" w:hAnsi="Arial Narrow"/>
          <w:b/>
          <w:bCs/>
          <w:sz w:val="24"/>
          <w:szCs w:val="24"/>
          <w:lang w:val="en-US"/>
        </w:rPr>
        <w:t xml:space="preserve"> organa </w:t>
      </w:r>
      <w:r w:rsidRPr="002945E1">
        <w:rPr>
          <w:rFonts w:ascii="Arial Narrow" w:hAnsi="Arial Narrow"/>
          <w:b/>
          <w:bCs/>
          <w:sz w:val="24"/>
          <w:szCs w:val="24"/>
          <w:lang w:val="en-US"/>
        </w:rPr>
        <w:t xml:space="preserve">koji </w:t>
      </w:r>
      <w:proofErr w:type="spellStart"/>
      <w:r w:rsidRPr="002945E1">
        <w:rPr>
          <w:rFonts w:ascii="Arial Narrow" w:hAnsi="Arial Narrow"/>
          <w:b/>
          <w:bCs/>
          <w:sz w:val="24"/>
          <w:szCs w:val="24"/>
          <w:lang w:val="en-US"/>
        </w:rPr>
        <w:t>su</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pripremili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nacrt</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Kadrovskog</w:t>
      </w:r>
      <w:proofErr w:type="spellEnd"/>
      <w:r w:rsidRPr="002945E1">
        <w:rPr>
          <w:rFonts w:ascii="Arial Narrow" w:hAnsi="Arial Narrow"/>
          <w:b/>
          <w:bCs/>
          <w:sz w:val="24"/>
          <w:szCs w:val="24"/>
          <w:lang w:val="en-US"/>
        </w:rPr>
        <w:t xml:space="preserve"> plana </w:t>
      </w:r>
      <w:proofErr w:type="spellStart"/>
      <w:r w:rsidRPr="002945E1">
        <w:rPr>
          <w:rFonts w:ascii="Arial Narrow" w:hAnsi="Arial Narrow"/>
          <w:b/>
          <w:bCs/>
          <w:sz w:val="24"/>
          <w:szCs w:val="24"/>
          <w:lang w:val="en-US"/>
        </w:rPr>
        <w:t>paralelno</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sa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nacrtom</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budžeta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kroz</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C</w:t>
      </w:r>
      <w:r>
        <w:rPr>
          <w:rFonts w:ascii="Arial Narrow" w:hAnsi="Arial Narrow"/>
          <w:b/>
          <w:bCs/>
          <w:sz w:val="24"/>
          <w:szCs w:val="24"/>
          <w:lang w:val="en-US"/>
        </w:rPr>
        <w:t>entralnu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kadrovsku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evidenciju</w:t>
      </w:r>
      <w:proofErr w:type="spellEnd"/>
      <w:r>
        <w:rPr>
          <w:rFonts w:ascii="Arial Narrow" w:hAnsi="Arial Narrow"/>
          <w:b/>
          <w:bCs/>
          <w:sz w:val="24"/>
          <w:szCs w:val="24"/>
          <w:lang w:val="en-US"/>
        </w:rPr>
        <w:t xml:space="preserve"> s </w:t>
      </w:r>
      <w:r w:rsidRPr="002945E1">
        <w:rPr>
          <w:rFonts w:ascii="Arial Narrow" w:hAnsi="Arial Narrow"/>
          <w:b/>
          <w:bCs/>
          <w:sz w:val="24"/>
          <w:szCs w:val="24"/>
          <w:lang w:val="en-US"/>
        </w:rPr>
        <w:t>28,5% (2021)</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70% </w:t>
      </w:r>
      <w:proofErr w:type="spellStart"/>
      <w:r>
        <w:rPr>
          <w:rFonts w:ascii="Arial Narrow" w:hAnsi="Arial Narrow"/>
          <w:b/>
          <w:bCs/>
          <w:sz w:val="24"/>
          <w:szCs w:val="24"/>
          <w:lang w:val="en-US"/>
        </w:rPr>
        <w:t>državnih</w:t>
      </w:r>
      <w:proofErr w:type="spellEnd"/>
      <w:r>
        <w:rPr>
          <w:rFonts w:ascii="Arial Narrow" w:hAnsi="Arial Narrow"/>
          <w:b/>
          <w:bCs/>
          <w:sz w:val="24"/>
          <w:szCs w:val="24"/>
          <w:lang w:val="en-US"/>
        </w:rPr>
        <w:t xml:space="preserve"> organa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Pr>
          <w:rFonts w:ascii="Arial Narrow" w:hAnsi="Arial Narrow"/>
          <w:b/>
          <w:bCs/>
          <w:sz w:val="24"/>
          <w:szCs w:val="24"/>
          <w:lang w:val="en-US"/>
        </w:rPr>
        <w:t>Državni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organi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skladu</w:t>
      </w:r>
      <w:proofErr w:type="spellEnd"/>
      <w:r>
        <w:rPr>
          <w:rFonts w:ascii="Arial Narrow" w:hAnsi="Arial Narrow"/>
          <w:b/>
          <w:bCs/>
          <w:sz w:val="24"/>
          <w:szCs w:val="24"/>
          <w:lang w:val="en-US"/>
        </w:rPr>
        <w:t xml:space="preserve"> s </w:t>
      </w:r>
      <w:proofErr w:type="spellStart"/>
      <w:r>
        <w:rPr>
          <w:rFonts w:ascii="Arial Narrow" w:hAnsi="Arial Narrow"/>
          <w:b/>
          <w:bCs/>
          <w:sz w:val="24"/>
          <w:szCs w:val="24"/>
          <w:lang w:val="en-US"/>
        </w:rPr>
        <w:t>potrebama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unapređivati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vještine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zaposlenih</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shodno</w:t>
      </w:r>
      <w:proofErr w:type="spellEnd"/>
      <w:r>
        <w:rPr>
          <w:rFonts w:ascii="Arial Narrow" w:hAnsi="Arial Narrow"/>
          <w:b/>
          <w:bCs/>
          <w:sz w:val="24"/>
          <w:szCs w:val="24"/>
          <w:lang w:val="en-US"/>
        </w:rPr>
        <w:t xml:space="preserve"> tome </w:t>
      </w:r>
      <w:proofErr w:type="spellStart"/>
      <w:r>
        <w:rPr>
          <w:rFonts w:ascii="Arial Narrow" w:hAnsi="Arial Narrow"/>
          <w:b/>
          <w:bCs/>
          <w:sz w:val="24"/>
          <w:szCs w:val="24"/>
          <w:lang w:val="en-US"/>
        </w:rPr>
        <w:t>planirati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obuke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te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procenat</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onih</w:t>
      </w:r>
      <w:proofErr w:type="spellEnd"/>
      <w:r>
        <w:rPr>
          <w:rFonts w:ascii="Arial Narrow" w:hAnsi="Arial Narrow"/>
          <w:b/>
          <w:bCs/>
          <w:sz w:val="24"/>
          <w:szCs w:val="24"/>
          <w:lang w:val="en-US"/>
        </w:rPr>
        <w:t xml:space="preserve"> koji </w:t>
      </w:r>
      <w:proofErr w:type="spellStart"/>
      <w:r>
        <w:rPr>
          <w:rFonts w:ascii="Arial Narrow" w:hAnsi="Arial Narrow"/>
          <w:b/>
          <w:bCs/>
          <w:sz w:val="24"/>
          <w:szCs w:val="24"/>
          <w:lang w:val="en-US"/>
        </w:rPr>
        <w:t>strateški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planiraju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obuke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100%. </w:t>
      </w:r>
      <w:proofErr w:type="spellStart"/>
      <w:r>
        <w:rPr>
          <w:rFonts w:ascii="Arial Narrow" w:hAnsi="Arial Narrow"/>
          <w:b/>
          <w:bCs/>
          <w:sz w:val="24"/>
          <w:szCs w:val="24"/>
          <w:lang w:val="en-US"/>
        </w:rPr>
        <w:t>Podsticaće</w:t>
      </w:r>
      <w:proofErr w:type="spellEnd"/>
      <w:r>
        <w:rPr>
          <w:rFonts w:ascii="Arial Narrow" w:hAnsi="Arial Narrow"/>
          <w:b/>
          <w:bCs/>
          <w:sz w:val="24"/>
          <w:szCs w:val="24"/>
          <w:lang w:val="en-US"/>
        </w:rPr>
        <w:t xml:space="preserve"> se </w:t>
      </w:r>
      <w:proofErr w:type="spellStart"/>
      <w:r>
        <w:rPr>
          <w:rFonts w:ascii="Arial Narrow" w:hAnsi="Arial Narrow"/>
          <w:b/>
          <w:bCs/>
          <w:sz w:val="24"/>
          <w:szCs w:val="24"/>
          <w:lang w:val="en-US"/>
        </w:rPr>
        <w:t>interesovanje</w:t>
      </w:r>
      <w:proofErr w:type="spellEnd"/>
      <w:r>
        <w:rPr>
          <w:rFonts w:ascii="Arial Narrow" w:hAnsi="Arial Narrow"/>
          <w:b/>
          <w:bCs/>
          <w:sz w:val="24"/>
          <w:szCs w:val="24"/>
          <w:lang w:val="en-US"/>
        </w:rPr>
        <w:t xml:space="preserve"> za rad u </w:t>
      </w:r>
      <w:proofErr w:type="spellStart"/>
      <w:r>
        <w:rPr>
          <w:rFonts w:ascii="Arial Narrow" w:hAnsi="Arial Narrow"/>
          <w:b/>
          <w:bCs/>
          <w:sz w:val="24"/>
          <w:szCs w:val="24"/>
          <w:lang w:val="en-US"/>
        </w:rPr>
        <w:t>javnoj</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upravi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način</w:t>
      </w:r>
      <w:proofErr w:type="spellEnd"/>
      <w:r>
        <w:rPr>
          <w:rFonts w:ascii="Arial Narrow" w:hAnsi="Arial Narrow"/>
          <w:b/>
          <w:bCs/>
          <w:sz w:val="24"/>
          <w:szCs w:val="24"/>
          <w:lang w:val="en-US"/>
        </w:rPr>
        <w:t xml:space="preserve"> da se </w:t>
      </w:r>
      <w:proofErr w:type="spellStart"/>
      <w:r>
        <w:rPr>
          <w:rFonts w:ascii="Arial Narrow" w:hAnsi="Arial Narrow"/>
          <w:b/>
          <w:bCs/>
          <w:sz w:val="24"/>
          <w:szCs w:val="24"/>
          <w:lang w:val="en-US"/>
        </w:rPr>
        <w:t>poveća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prosjećan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broj</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kandidata</w:t>
      </w:r>
      <w:proofErr w:type="spellEnd"/>
      <w:r>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na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javni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oglas</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7, a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javni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konkurs</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5,2. </w:t>
      </w:r>
      <w:r w:rsidRPr="002945E1">
        <w:rPr>
          <w:rFonts w:ascii="Arial Narrow" w:hAnsi="Arial Narrow"/>
          <w:b/>
          <w:bCs/>
          <w:sz w:val="24"/>
          <w:szCs w:val="24"/>
          <w:lang w:val="en-US"/>
        </w:rPr>
        <w:t xml:space="preserve"> </w:t>
      </w:r>
    </w:p>
    <w:p w14:paraId="6BF4A294" w14:textId="77777777" w:rsidR="003D6416" w:rsidRPr="002945E1" w:rsidRDefault="003D6416" w:rsidP="003D6416">
      <w:pPr>
        <w:jc w:val="both"/>
        <w:rPr>
          <w:rFonts w:ascii="Arial Narrow" w:hAnsi="Arial Narrow"/>
          <w:b/>
          <w:bCs/>
          <w:sz w:val="24"/>
          <w:szCs w:val="24"/>
          <w:lang w:val="en-US"/>
        </w:rPr>
      </w:pPr>
      <w:proofErr w:type="spellStart"/>
      <w:r w:rsidRPr="002945E1">
        <w:rPr>
          <w:rFonts w:ascii="Arial Narrow" w:hAnsi="Arial Narrow"/>
          <w:b/>
          <w:bCs/>
          <w:sz w:val="24"/>
          <w:szCs w:val="24"/>
          <w:lang w:val="en-US"/>
        </w:rPr>
        <w:t>Cilj</w:t>
      </w:r>
      <w:proofErr w:type="spellEnd"/>
      <w:r w:rsidRPr="002945E1">
        <w:rPr>
          <w:rFonts w:ascii="Arial Narrow" w:hAnsi="Arial Narrow"/>
          <w:b/>
          <w:bCs/>
          <w:sz w:val="24"/>
          <w:szCs w:val="24"/>
          <w:lang w:val="en-US"/>
        </w:rPr>
        <w:t xml:space="preserve"> 1.5.</w:t>
      </w:r>
      <w:r>
        <w:rPr>
          <w:rFonts w:ascii="Arial Narrow" w:hAnsi="Arial Narrow"/>
          <w:b/>
          <w:bCs/>
          <w:sz w:val="24"/>
          <w:szCs w:val="24"/>
          <w:lang w:val="en-US"/>
        </w:rPr>
        <w:t xml:space="preserve"> DOSTIĆI </w:t>
      </w:r>
      <w:r w:rsidRPr="002945E1">
        <w:rPr>
          <w:rFonts w:ascii="Arial Narrow" w:hAnsi="Arial Narrow"/>
          <w:b/>
          <w:bCs/>
          <w:sz w:val="24"/>
          <w:szCs w:val="24"/>
          <w:lang w:val="en-US"/>
        </w:rPr>
        <w:t>VEĆI NIVO SLOBODE IZRAŽAVANJA I SLOBODE MEDIJA I KREIRANJE AMBIJENTA ZA NESMETANO FUNKCIONISANJE MEDIJA U CRNOJ GORI</w:t>
      </w:r>
    </w:p>
    <w:p w14:paraId="230E0679" w14:textId="77777777" w:rsidR="003D6416" w:rsidRDefault="003D6416" w:rsidP="003D6416">
      <w:pPr>
        <w:jc w:val="both"/>
        <w:rPr>
          <w:rFonts w:ascii="Arial Narrow" w:hAnsi="Arial Narrow"/>
          <w:b/>
          <w:bCs/>
          <w:sz w:val="24"/>
          <w:szCs w:val="24"/>
          <w:lang w:val="en-US"/>
        </w:rPr>
      </w:pPr>
      <w:proofErr w:type="spellStart"/>
      <w:r w:rsidRPr="00C57D15">
        <w:rPr>
          <w:rFonts w:ascii="Arial Narrow" w:hAnsi="Arial Narrow"/>
          <w:sz w:val="24"/>
          <w:szCs w:val="24"/>
          <w:lang w:val="en-US"/>
        </w:rPr>
        <w:t>Još</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jedan</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osnov</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demokratije</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građanskog</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društva</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čine</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slobodni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nezavisni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mediji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te</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će</w:t>
      </w:r>
      <w:proofErr w:type="spellEnd"/>
      <w:r w:rsidRPr="00C57D15">
        <w:rPr>
          <w:rFonts w:ascii="Arial Narrow" w:hAnsi="Arial Narrow"/>
          <w:sz w:val="24"/>
          <w:szCs w:val="24"/>
          <w:lang w:val="en-US"/>
        </w:rPr>
        <w:t xml:space="preserve"> rad Vlade </w:t>
      </w:r>
      <w:proofErr w:type="spellStart"/>
      <w:r w:rsidRPr="00C57D15">
        <w:rPr>
          <w:rFonts w:ascii="Arial Narrow" w:hAnsi="Arial Narrow"/>
          <w:sz w:val="24"/>
          <w:szCs w:val="24"/>
          <w:lang w:val="en-US"/>
        </w:rPr>
        <w:t>biti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usmjeren</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na</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unapređenje</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ukupnog</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amibijenta</w:t>
      </w:r>
      <w:proofErr w:type="spellEnd"/>
      <w:r w:rsidRPr="00C57D15">
        <w:rPr>
          <w:rFonts w:ascii="Arial Narrow" w:hAnsi="Arial Narrow"/>
          <w:sz w:val="24"/>
          <w:szCs w:val="24"/>
          <w:lang w:val="en-US"/>
        </w:rPr>
        <w:t xml:space="preserve"> u </w:t>
      </w:r>
      <w:proofErr w:type="spellStart"/>
      <w:r w:rsidRPr="00C57D15">
        <w:rPr>
          <w:rFonts w:ascii="Arial Narrow" w:hAnsi="Arial Narrow"/>
          <w:sz w:val="24"/>
          <w:szCs w:val="24"/>
          <w:lang w:val="en-US"/>
        </w:rPr>
        <w:t>kojem</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će</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novinari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novinarke</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moći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nesmetano</w:t>
      </w:r>
      <w:proofErr w:type="spellEnd"/>
      <w:r w:rsidRPr="00C57D15">
        <w:rPr>
          <w:rFonts w:ascii="Arial Narrow" w:hAnsi="Arial Narrow"/>
          <w:sz w:val="24"/>
          <w:szCs w:val="24"/>
          <w:lang w:val="en-US"/>
        </w:rPr>
        <w:t xml:space="preserve"> da </w:t>
      </w:r>
      <w:proofErr w:type="spellStart"/>
      <w:r w:rsidRPr="00C57D15">
        <w:rPr>
          <w:rFonts w:ascii="Arial Narrow" w:hAnsi="Arial Narrow"/>
          <w:sz w:val="24"/>
          <w:szCs w:val="24"/>
          <w:lang w:val="en-US"/>
        </w:rPr>
        <w:t>rade</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svoj</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posao</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Napori</w:t>
      </w:r>
      <w:proofErr w:type="spellEnd"/>
      <w:r w:rsidRPr="00C57D15">
        <w:rPr>
          <w:rFonts w:ascii="Arial Narrow" w:hAnsi="Arial Narrow"/>
          <w:sz w:val="24"/>
          <w:szCs w:val="24"/>
          <w:lang w:val="en-US"/>
        </w:rPr>
        <w:t xml:space="preserve"> da se </w:t>
      </w:r>
      <w:proofErr w:type="spellStart"/>
      <w:r w:rsidRPr="00C57D15">
        <w:rPr>
          <w:rFonts w:ascii="Arial Narrow" w:hAnsi="Arial Narrow"/>
          <w:sz w:val="24"/>
          <w:szCs w:val="24"/>
          <w:lang w:val="en-US"/>
        </w:rPr>
        <w:t>kroz</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zakonski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starteški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okvir</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kreiraju</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povoljni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uslovi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će</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najbolje</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biti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mjereni</w:t>
      </w:r>
      <w:proofErr w:type="spellEnd"/>
      <w:r w:rsidRPr="00C57D15">
        <w:rPr>
          <w:rFonts w:ascii="Arial Narrow" w:hAnsi="Arial Narrow"/>
          <w:sz w:val="24"/>
          <w:szCs w:val="24"/>
          <w:lang w:val="en-US"/>
        </w:rPr>
        <w:t xml:space="preserve"> </w:t>
      </w:r>
      <w:proofErr w:type="spellStart"/>
      <w:r w:rsidRPr="00C57D15">
        <w:rPr>
          <w:rFonts w:ascii="Arial Narrow" w:hAnsi="Arial Narrow"/>
          <w:sz w:val="24"/>
          <w:szCs w:val="24"/>
          <w:lang w:val="en-US"/>
        </w:rPr>
        <w:t>kroz</w:t>
      </w:r>
      <w:proofErr w:type="spellEnd"/>
      <w:r w:rsidRPr="00C57D15">
        <w:rPr>
          <w:rFonts w:ascii="Arial Narrow" w:hAnsi="Arial Narrow"/>
          <w:sz w:val="24"/>
          <w:szCs w:val="24"/>
          <w:lang w:val="en-US"/>
        </w:rPr>
        <w:t xml:space="preserve"> </w:t>
      </w:r>
      <w:proofErr w:type="spellStart"/>
      <w:r>
        <w:rPr>
          <w:rFonts w:ascii="Arial Narrow" w:hAnsi="Arial Narrow"/>
          <w:b/>
          <w:bCs/>
          <w:sz w:val="24"/>
          <w:szCs w:val="24"/>
          <w:lang w:val="en-US"/>
        </w:rPr>
        <w:t>unapređenje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položaja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Crne</w:t>
      </w:r>
      <w:proofErr w:type="spellEnd"/>
      <w:r>
        <w:rPr>
          <w:rFonts w:ascii="Arial Narrow" w:hAnsi="Arial Narrow"/>
          <w:b/>
          <w:bCs/>
          <w:sz w:val="24"/>
          <w:szCs w:val="24"/>
          <w:lang w:val="en-US"/>
        </w:rPr>
        <w:t xml:space="preserve"> Gore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indeksu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slobode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medija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34,33</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50</w:t>
      </w:r>
      <w:r>
        <w:rPr>
          <w:rFonts w:ascii="Arial Narrow" w:hAnsi="Arial Narrow"/>
          <w:b/>
          <w:bCs/>
          <w:sz w:val="24"/>
          <w:szCs w:val="24"/>
          <w:lang w:val="en-US"/>
        </w:rPr>
        <w:t>.</w:t>
      </w:r>
    </w:p>
    <w:p w14:paraId="6C1B096D" w14:textId="77777777" w:rsidR="003D6416" w:rsidRPr="002945E1" w:rsidRDefault="003D6416" w:rsidP="003D6416">
      <w:pPr>
        <w:jc w:val="both"/>
        <w:rPr>
          <w:rFonts w:ascii="Arial Narrow" w:hAnsi="Arial Narrow"/>
          <w:b/>
          <w:bCs/>
          <w:sz w:val="24"/>
          <w:szCs w:val="24"/>
          <w:lang w:val="en-US"/>
        </w:rPr>
      </w:pPr>
      <w:proofErr w:type="spellStart"/>
      <w:r w:rsidRPr="002945E1">
        <w:rPr>
          <w:rFonts w:ascii="Arial Narrow" w:hAnsi="Arial Narrow"/>
          <w:b/>
          <w:bCs/>
          <w:sz w:val="24"/>
          <w:szCs w:val="24"/>
          <w:lang w:val="en-US"/>
        </w:rPr>
        <w:t>Cilj</w:t>
      </w:r>
      <w:proofErr w:type="spellEnd"/>
      <w:r w:rsidRPr="002945E1">
        <w:rPr>
          <w:rFonts w:ascii="Arial Narrow" w:hAnsi="Arial Narrow"/>
          <w:b/>
          <w:bCs/>
          <w:sz w:val="24"/>
          <w:szCs w:val="24"/>
          <w:lang w:val="en-US"/>
        </w:rPr>
        <w:t xml:space="preserve"> 1.6.</w:t>
      </w:r>
      <w:r w:rsidRPr="002945E1">
        <w:rPr>
          <w:rFonts w:ascii="Arial Narrow" w:hAnsi="Arial Narrow"/>
          <w:b/>
          <w:bCs/>
          <w:sz w:val="24"/>
          <w:szCs w:val="24"/>
          <w:lang w:val="en-US"/>
        </w:rPr>
        <w:tab/>
        <w:t>POBOLJŠATI SOCIJALNI I EKONOMSKI POLOŽAJ RANJIVIJIH KATEGORIJA DRUŠTVA</w:t>
      </w:r>
    </w:p>
    <w:p w14:paraId="644580A6" w14:textId="77777777" w:rsidR="003D6416" w:rsidRDefault="003D6416" w:rsidP="003D6416">
      <w:pPr>
        <w:jc w:val="both"/>
        <w:rPr>
          <w:rFonts w:ascii="Arial Narrow" w:hAnsi="Arial Narrow"/>
          <w:b/>
          <w:bCs/>
          <w:sz w:val="24"/>
          <w:szCs w:val="24"/>
          <w:lang w:val="en-US"/>
        </w:rPr>
      </w:pPr>
      <w:proofErr w:type="spellStart"/>
      <w:r w:rsidRPr="002A4BEB">
        <w:rPr>
          <w:rFonts w:ascii="Arial Narrow" w:hAnsi="Arial Narrow"/>
          <w:sz w:val="24"/>
          <w:szCs w:val="24"/>
          <w:lang w:val="en-US"/>
        </w:rPr>
        <w:t>Vlada</w:t>
      </w:r>
      <w:proofErr w:type="spellEnd"/>
      <w:r w:rsidRPr="002A4BEB">
        <w:rPr>
          <w:rFonts w:ascii="Arial Narrow" w:hAnsi="Arial Narrow"/>
          <w:sz w:val="24"/>
          <w:szCs w:val="24"/>
          <w:lang w:val="en-US"/>
        </w:rPr>
        <w:t xml:space="preserve"> je </w:t>
      </w:r>
      <w:proofErr w:type="spellStart"/>
      <w:r w:rsidRPr="002A4BEB">
        <w:rPr>
          <w:rFonts w:ascii="Arial Narrow" w:hAnsi="Arial Narrow"/>
          <w:sz w:val="24"/>
          <w:szCs w:val="24"/>
          <w:lang w:val="en-US"/>
        </w:rPr>
        <w:t>jasno</w:t>
      </w:r>
      <w:proofErr w:type="spellEnd"/>
      <w:r w:rsidRPr="002A4BEB">
        <w:rPr>
          <w:rFonts w:ascii="Arial Narrow" w:hAnsi="Arial Narrow"/>
          <w:sz w:val="24"/>
          <w:szCs w:val="24"/>
          <w:lang w:val="en-US"/>
        </w:rPr>
        <w:t xml:space="preserve"> </w:t>
      </w:r>
      <w:proofErr w:type="spellStart"/>
      <w:r w:rsidRPr="002A4BEB">
        <w:rPr>
          <w:rFonts w:ascii="Arial Narrow" w:hAnsi="Arial Narrow"/>
          <w:sz w:val="24"/>
          <w:szCs w:val="24"/>
          <w:lang w:val="en-US"/>
        </w:rPr>
        <w:t>iskazala</w:t>
      </w:r>
      <w:proofErr w:type="spellEnd"/>
      <w:r w:rsidRPr="002A4BEB">
        <w:rPr>
          <w:rFonts w:ascii="Arial Narrow" w:hAnsi="Arial Narrow"/>
          <w:sz w:val="24"/>
          <w:szCs w:val="24"/>
          <w:lang w:val="en-US"/>
        </w:rPr>
        <w:t xml:space="preserve"> </w:t>
      </w:r>
      <w:proofErr w:type="spellStart"/>
      <w:r w:rsidRPr="002A4BEB">
        <w:rPr>
          <w:rFonts w:ascii="Arial Narrow" w:hAnsi="Arial Narrow"/>
          <w:sz w:val="24"/>
          <w:szCs w:val="24"/>
          <w:lang w:val="en-US"/>
        </w:rPr>
        <w:t>namjeru</w:t>
      </w:r>
      <w:proofErr w:type="spellEnd"/>
      <w:r w:rsidRPr="002A4BEB">
        <w:rPr>
          <w:rFonts w:ascii="Arial Narrow" w:hAnsi="Arial Narrow"/>
          <w:sz w:val="24"/>
          <w:szCs w:val="24"/>
          <w:lang w:val="en-US"/>
        </w:rPr>
        <w:t xml:space="preserve"> da </w:t>
      </w:r>
      <w:proofErr w:type="spellStart"/>
      <w:r w:rsidRPr="002A4BEB">
        <w:rPr>
          <w:rFonts w:ascii="Arial Narrow" w:hAnsi="Arial Narrow"/>
          <w:sz w:val="24"/>
          <w:szCs w:val="24"/>
          <w:lang w:val="en-US"/>
        </w:rPr>
        <w:t>obezbijedi</w:t>
      </w:r>
      <w:proofErr w:type="spellEnd"/>
      <w:r w:rsidRPr="002A4BEB">
        <w:rPr>
          <w:rFonts w:ascii="Arial Narrow" w:hAnsi="Arial Narrow"/>
          <w:sz w:val="24"/>
          <w:szCs w:val="24"/>
          <w:lang w:val="en-US"/>
        </w:rPr>
        <w:t xml:space="preserve"> </w:t>
      </w:r>
      <w:proofErr w:type="spellStart"/>
      <w:r w:rsidRPr="002A4BEB">
        <w:rPr>
          <w:rFonts w:ascii="Arial Narrow" w:hAnsi="Arial Narrow"/>
          <w:sz w:val="24"/>
          <w:szCs w:val="24"/>
          <w:lang w:val="en-US"/>
        </w:rPr>
        <w:t>socijalnu</w:t>
      </w:r>
      <w:proofErr w:type="spellEnd"/>
      <w:r w:rsidRPr="002A4BEB">
        <w:rPr>
          <w:rFonts w:ascii="Arial Narrow" w:hAnsi="Arial Narrow"/>
          <w:sz w:val="24"/>
          <w:szCs w:val="24"/>
          <w:lang w:val="en-US"/>
        </w:rPr>
        <w:t xml:space="preserve"> </w:t>
      </w:r>
      <w:proofErr w:type="spellStart"/>
      <w:r w:rsidRPr="002A4BEB">
        <w:rPr>
          <w:rFonts w:ascii="Arial Narrow" w:hAnsi="Arial Narrow"/>
          <w:sz w:val="24"/>
          <w:szCs w:val="24"/>
          <w:lang w:val="en-US"/>
        </w:rPr>
        <w:t>pravdu</w:t>
      </w:r>
      <w:proofErr w:type="spellEnd"/>
      <w:r w:rsidRPr="002A4BEB">
        <w:rPr>
          <w:rFonts w:ascii="Arial Narrow" w:hAnsi="Arial Narrow"/>
          <w:sz w:val="24"/>
          <w:szCs w:val="24"/>
          <w:lang w:val="en-US"/>
        </w:rPr>
        <w:t xml:space="preserve"> za </w:t>
      </w:r>
      <w:proofErr w:type="spellStart"/>
      <w:r w:rsidRPr="002A4BEB">
        <w:rPr>
          <w:rFonts w:ascii="Arial Narrow" w:hAnsi="Arial Narrow"/>
          <w:sz w:val="24"/>
          <w:szCs w:val="24"/>
          <w:lang w:val="en-US"/>
        </w:rPr>
        <w:t>sve</w:t>
      </w:r>
      <w:proofErr w:type="spellEnd"/>
      <w:r w:rsidRPr="002A4BEB">
        <w:rPr>
          <w:rFonts w:ascii="Arial Narrow" w:hAnsi="Arial Narrow"/>
          <w:sz w:val="24"/>
          <w:szCs w:val="24"/>
          <w:lang w:val="en-US"/>
        </w:rPr>
        <w:t xml:space="preserve">, a </w:t>
      </w:r>
      <w:proofErr w:type="spellStart"/>
      <w:r w:rsidRPr="002A4BEB">
        <w:rPr>
          <w:rFonts w:ascii="Arial Narrow" w:hAnsi="Arial Narrow"/>
          <w:sz w:val="24"/>
          <w:szCs w:val="24"/>
          <w:lang w:val="en-US"/>
        </w:rPr>
        <w:t>posebno</w:t>
      </w:r>
      <w:proofErr w:type="spellEnd"/>
      <w:r w:rsidRPr="002A4BEB">
        <w:rPr>
          <w:rFonts w:ascii="Arial Narrow" w:hAnsi="Arial Narrow"/>
          <w:sz w:val="24"/>
          <w:szCs w:val="24"/>
          <w:lang w:val="en-US"/>
        </w:rPr>
        <w:t xml:space="preserve"> </w:t>
      </w:r>
      <w:proofErr w:type="spellStart"/>
      <w:r w:rsidRPr="002A4BEB">
        <w:rPr>
          <w:rFonts w:ascii="Arial Narrow" w:hAnsi="Arial Narrow"/>
          <w:sz w:val="24"/>
          <w:szCs w:val="24"/>
          <w:lang w:val="en-US"/>
        </w:rPr>
        <w:t>stavljajući</w:t>
      </w:r>
      <w:proofErr w:type="spellEnd"/>
      <w:r w:rsidRPr="002A4BEB">
        <w:rPr>
          <w:rFonts w:ascii="Arial Narrow" w:hAnsi="Arial Narrow"/>
          <w:sz w:val="24"/>
          <w:szCs w:val="24"/>
          <w:lang w:val="en-US"/>
        </w:rPr>
        <w:t xml:space="preserve"> focus </w:t>
      </w:r>
      <w:proofErr w:type="spellStart"/>
      <w:r w:rsidRPr="002A4BEB">
        <w:rPr>
          <w:rFonts w:ascii="Arial Narrow" w:hAnsi="Arial Narrow"/>
          <w:sz w:val="24"/>
          <w:szCs w:val="24"/>
          <w:lang w:val="en-US"/>
        </w:rPr>
        <w:t>na</w:t>
      </w:r>
      <w:proofErr w:type="spellEnd"/>
      <w:r w:rsidRPr="002A4BEB">
        <w:rPr>
          <w:rFonts w:ascii="Arial Narrow" w:hAnsi="Arial Narrow"/>
          <w:sz w:val="24"/>
          <w:szCs w:val="24"/>
          <w:lang w:val="en-US"/>
        </w:rPr>
        <w:t xml:space="preserve"> </w:t>
      </w:r>
      <w:proofErr w:type="spellStart"/>
      <w:r w:rsidRPr="002A4BEB">
        <w:rPr>
          <w:rFonts w:ascii="Arial Narrow" w:hAnsi="Arial Narrow"/>
          <w:sz w:val="24"/>
          <w:szCs w:val="24"/>
          <w:lang w:val="en-US"/>
        </w:rPr>
        <w:t>ranjive</w:t>
      </w:r>
      <w:proofErr w:type="spellEnd"/>
      <w:r w:rsidRPr="002A4BEB">
        <w:rPr>
          <w:rFonts w:ascii="Arial Narrow" w:hAnsi="Arial Narrow"/>
          <w:sz w:val="24"/>
          <w:szCs w:val="24"/>
          <w:lang w:val="en-US"/>
        </w:rPr>
        <w:t xml:space="preserve"> </w:t>
      </w:r>
      <w:proofErr w:type="spellStart"/>
      <w:r w:rsidRPr="002A4BEB">
        <w:rPr>
          <w:rFonts w:ascii="Arial Narrow" w:hAnsi="Arial Narrow"/>
          <w:sz w:val="24"/>
          <w:szCs w:val="24"/>
          <w:lang w:val="en-US"/>
        </w:rPr>
        <w:t>kategorije</w:t>
      </w:r>
      <w:proofErr w:type="spellEnd"/>
      <w:r w:rsidRPr="002A4BEB">
        <w:rPr>
          <w:rFonts w:ascii="Arial Narrow" w:hAnsi="Arial Narrow"/>
          <w:sz w:val="24"/>
          <w:szCs w:val="24"/>
          <w:lang w:val="en-US"/>
        </w:rPr>
        <w:t xml:space="preserve"> </w:t>
      </w:r>
      <w:proofErr w:type="spellStart"/>
      <w:r w:rsidRPr="002A4BEB">
        <w:rPr>
          <w:rFonts w:ascii="Arial Narrow" w:hAnsi="Arial Narrow"/>
          <w:sz w:val="24"/>
          <w:szCs w:val="24"/>
          <w:lang w:val="en-US"/>
        </w:rPr>
        <w:t>društva</w:t>
      </w:r>
      <w:proofErr w:type="spellEnd"/>
      <w:r w:rsidRPr="002A4BEB">
        <w:rPr>
          <w:rFonts w:ascii="Arial Narrow" w:hAnsi="Arial Narrow"/>
          <w:sz w:val="24"/>
          <w:szCs w:val="24"/>
          <w:lang w:val="en-US"/>
        </w:rPr>
        <w:t xml:space="preserve">. </w:t>
      </w:r>
      <w:proofErr w:type="spellStart"/>
      <w:r w:rsidRPr="002A4BEB">
        <w:rPr>
          <w:rFonts w:ascii="Arial Narrow" w:hAnsi="Arial Narrow"/>
          <w:sz w:val="24"/>
          <w:szCs w:val="24"/>
          <w:lang w:val="en-US"/>
        </w:rPr>
        <w:t>Nastojaćemo</w:t>
      </w:r>
      <w:proofErr w:type="spellEnd"/>
      <w:r w:rsidRPr="002A4BEB">
        <w:rPr>
          <w:rFonts w:ascii="Arial Narrow" w:hAnsi="Arial Narrow"/>
          <w:sz w:val="24"/>
          <w:szCs w:val="24"/>
          <w:lang w:val="en-US"/>
        </w:rPr>
        <w:t xml:space="preserve"> da</w:t>
      </w:r>
      <w:r>
        <w:rPr>
          <w:rFonts w:ascii="Arial Narrow" w:hAnsi="Arial Narrow"/>
          <w:b/>
          <w:bCs/>
          <w:sz w:val="24"/>
          <w:szCs w:val="24"/>
          <w:lang w:val="en-US"/>
        </w:rPr>
        <w:t xml:space="preserve"> </w:t>
      </w:r>
      <w:proofErr w:type="spellStart"/>
      <w:r>
        <w:rPr>
          <w:rFonts w:ascii="Arial Narrow" w:hAnsi="Arial Narrow"/>
          <w:b/>
          <w:bCs/>
          <w:sz w:val="24"/>
          <w:szCs w:val="24"/>
          <w:lang w:val="en-US"/>
        </w:rPr>
        <w:t>povećamo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w:t>
      </w:r>
      <w:r w:rsidRPr="002945E1">
        <w:rPr>
          <w:rFonts w:ascii="Arial Narrow" w:hAnsi="Arial Narrow"/>
          <w:b/>
          <w:bCs/>
          <w:sz w:val="24"/>
          <w:szCs w:val="24"/>
          <w:lang w:val="en-US"/>
        </w:rPr>
        <w:t>tepen</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uključenosti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radno</w:t>
      </w:r>
      <w:r>
        <w:rPr>
          <w:rFonts w:ascii="Arial Narrow" w:hAnsi="Arial Narrow"/>
          <w:b/>
          <w:bCs/>
          <w:sz w:val="24"/>
          <w:szCs w:val="24"/>
          <w:lang w:val="en-US"/>
        </w:rPr>
        <w:t>-</w:t>
      </w:r>
      <w:r w:rsidRPr="002945E1">
        <w:rPr>
          <w:rFonts w:ascii="Arial Narrow" w:hAnsi="Arial Narrow"/>
          <w:b/>
          <w:bCs/>
          <w:sz w:val="24"/>
          <w:szCs w:val="24"/>
          <w:lang w:val="en-US"/>
        </w:rPr>
        <w:t>sposobnih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korisnika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materijalnog</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obezbjeđenja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na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tržište</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rad</w:t>
      </w:r>
      <w:r>
        <w:rPr>
          <w:rFonts w:ascii="Arial Narrow" w:hAnsi="Arial Narrow"/>
          <w:b/>
          <w:bCs/>
          <w:sz w:val="24"/>
          <w:szCs w:val="24"/>
          <w:lang w:val="en-US"/>
        </w:rPr>
        <w:t>a</w:t>
      </w:r>
      <w:proofErr w:type="spellEnd"/>
      <w:r>
        <w:rPr>
          <w:rFonts w:ascii="Arial Narrow" w:hAnsi="Arial Narrow"/>
          <w:b/>
          <w:bCs/>
          <w:sz w:val="24"/>
          <w:szCs w:val="24"/>
          <w:lang w:val="en-US"/>
        </w:rPr>
        <w:t xml:space="preserve"> –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9.247</w:t>
      </w:r>
      <w:r>
        <w:rPr>
          <w:rFonts w:ascii="Arial Narrow" w:hAnsi="Arial Narrow"/>
          <w:b/>
          <w:bCs/>
          <w:sz w:val="24"/>
          <w:szCs w:val="24"/>
          <w:lang w:val="en-US"/>
        </w:rPr>
        <w:t xml:space="preserve"> (2021)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10.700</w:t>
      </w:r>
      <w:r>
        <w:rPr>
          <w:rFonts w:ascii="Arial Narrow" w:hAnsi="Arial Narrow"/>
          <w:b/>
          <w:bCs/>
          <w:sz w:val="24"/>
          <w:szCs w:val="24"/>
          <w:lang w:val="en-US"/>
        </w:rPr>
        <w:t xml:space="preserve">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sidRPr="002A4BEB">
        <w:rPr>
          <w:rFonts w:ascii="Arial Narrow" w:hAnsi="Arial Narrow"/>
          <w:sz w:val="24"/>
          <w:szCs w:val="24"/>
          <w:lang w:val="en-US"/>
        </w:rPr>
        <w:t>Obezbijedićemo</w:t>
      </w:r>
      <w:proofErr w:type="spellEnd"/>
      <w:r w:rsidRPr="002A4BEB">
        <w:rPr>
          <w:rFonts w:ascii="Arial Narrow" w:hAnsi="Arial Narrow"/>
          <w:sz w:val="24"/>
          <w:szCs w:val="24"/>
          <w:lang w:val="en-US"/>
        </w:rPr>
        <w:t xml:space="preserve"> </w:t>
      </w:r>
      <w:proofErr w:type="spellStart"/>
      <w:r w:rsidRPr="002A4BEB">
        <w:rPr>
          <w:rFonts w:ascii="Arial Narrow" w:hAnsi="Arial Narrow"/>
          <w:sz w:val="24"/>
          <w:szCs w:val="24"/>
          <w:lang w:val="en-US"/>
        </w:rPr>
        <w:t>okvire</w:t>
      </w:r>
      <w:proofErr w:type="spellEnd"/>
      <w:r w:rsidRPr="002A4BEB">
        <w:rPr>
          <w:rFonts w:ascii="Arial Narrow" w:hAnsi="Arial Narrow"/>
          <w:sz w:val="24"/>
          <w:szCs w:val="24"/>
          <w:lang w:val="en-US"/>
        </w:rPr>
        <w:t xml:space="preserve"> u </w:t>
      </w:r>
      <w:proofErr w:type="spellStart"/>
      <w:r w:rsidRPr="002A4BEB">
        <w:rPr>
          <w:rFonts w:ascii="Arial Narrow" w:hAnsi="Arial Narrow"/>
          <w:sz w:val="24"/>
          <w:szCs w:val="24"/>
          <w:lang w:val="en-US"/>
        </w:rPr>
        <w:t>kojima</w:t>
      </w:r>
      <w:proofErr w:type="spellEnd"/>
      <w:r w:rsidRPr="002A4BEB">
        <w:rPr>
          <w:rFonts w:ascii="Arial Narrow" w:hAnsi="Arial Narrow"/>
          <w:sz w:val="24"/>
          <w:szCs w:val="24"/>
          <w:lang w:val="en-US"/>
        </w:rPr>
        <w:t xml:space="preserve"> </w:t>
      </w:r>
      <w:proofErr w:type="spellStart"/>
      <w:r w:rsidRPr="002A4BEB">
        <w:rPr>
          <w:rFonts w:ascii="Arial Narrow" w:hAnsi="Arial Narrow"/>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broj</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hraniteljskih</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porodica</w:t>
      </w:r>
      <w:proofErr w:type="spellEnd"/>
      <w:r>
        <w:rPr>
          <w:rFonts w:ascii="Arial Narrow" w:hAnsi="Arial Narrow"/>
          <w:b/>
          <w:bCs/>
          <w:sz w:val="24"/>
          <w:szCs w:val="24"/>
          <w:lang w:val="en-US"/>
        </w:rPr>
        <w:t xml:space="preserve">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Pr>
          <w:rFonts w:ascii="Arial Narrow" w:hAnsi="Arial Narrow"/>
          <w:b/>
          <w:bCs/>
          <w:sz w:val="24"/>
          <w:szCs w:val="24"/>
          <w:lang w:val="en-US"/>
        </w:rPr>
        <w:t>Porasti</w:t>
      </w:r>
      <w:proofErr w:type="spellEnd"/>
      <w:r>
        <w:rPr>
          <w:rFonts w:ascii="Arial Narrow" w:hAnsi="Arial Narrow"/>
          <w:b/>
          <w:bCs/>
          <w:sz w:val="24"/>
          <w:szCs w:val="24"/>
          <w:lang w:val="en-US"/>
        </w:rPr>
        <w:t xml:space="preserve"> na 300 </w:t>
      </w:r>
      <w:proofErr w:type="spellStart"/>
      <w:r>
        <w:rPr>
          <w:rFonts w:ascii="Arial Narrow" w:hAnsi="Arial Narrow"/>
          <w:b/>
          <w:bCs/>
          <w:sz w:val="24"/>
          <w:szCs w:val="24"/>
          <w:lang w:val="en-US"/>
        </w:rPr>
        <w:t>porodica</w:t>
      </w:r>
      <w:proofErr w:type="spellEnd"/>
      <w:r>
        <w:rPr>
          <w:rFonts w:ascii="Arial Narrow" w:hAnsi="Arial Narrow"/>
          <w:b/>
          <w:bCs/>
          <w:sz w:val="24"/>
          <w:szCs w:val="24"/>
          <w:lang w:val="en-US"/>
        </w:rPr>
        <w:t xml:space="preserve">, a </w:t>
      </w:r>
      <w:proofErr w:type="spellStart"/>
      <w:r>
        <w:rPr>
          <w:rFonts w:ascii="Arial Narrow" w:hAnsi="Arial Narrow"/>
          <w:b/>
          <w:bCs/>
          <w:sz w:val="24"/>
          <w:szCs w:val="24"/>
          <w:lang w:val="en-US"/>
        </w:rPr>
        <w:t>broj</w:t>
      </w:r>
      <w:proofErr w:type="spellEnd"/>
      <w:r>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pružalaca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standardne</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usluge</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porodični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smještaj</w:t>
      </w:r>
      <w:proofErr w:type="spellEnd"/>
      <w:r w:rsidRPr="002945E1">
        <w:rPr>
          <w:rFonts w:ascii="Arial Narrow" w:hAnsi="Arial Narrow"/>
          <w:b/>
          <w:bCs/>
          <w:sz w:val="24"/>
          <w:szCs w:val="24"/>
          <w:lang w:val="en-US"/>
        </w:rPr>
        <w:t>“</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16, </w:t>
      </w:r>
      <w:proofErr w:type="spellStart"/>
      <w:r>
        <w:rPr>
          <w:rFonts w:ascii="Arial Narrow" w:hAnsi="Arial Narrow"/>
          <w:b/>
          <w:bCs/>
          <w:sz w:val="24"/>
          <w:szCs w:val="24"/>
          <w:lang w:val="en-US"/>
        </w:rPr>
        <w:t>kako</w:t>
      </w:r>
      <w:proofErr w:type="spellEnd"/>
      <w:r>
        <w:rPr>
          <w:rFonts w:ascii="Arial Narrow" w:hAnsi="Arial Narrow"/>
          <w:b/>
          <w:bCs/>
          <w:sz w:val="24"/>
          <w:szCs w:val="24"/>
          <w:lang w:val="en-US"/>
        </w:rPr>
        <w:t xml:space="preserve"> bi </w:t>
      </w:r>
      <w:proofErr w:type="spellStart"/>
      <w:r>
        <w:rPr>
          <w:rFonts w:ascii="Arial Narrow" w:hAnsi="Arial Narrow"/>
          <w:b/>
          <w:bCs/>
          <w:sz w:val="24"/>
          <w:szCs w:val="24"/>
          <w:lang w:val="en-US"/>
        </w:rPr>
        <w:t>djeca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mogla</w:t>
      </w:r>
      <w:proofErr w:type="spellEnd"/>
      <w:r>
        <w:rPr>
          <w:rFonts w:ascii="Arial Narrow" w:hAnsi="Arial Narrow"/>
          <w:b/>
          <w:bCs/>
          <w:sz w:val="24"/>
          <w:szCs w:val="24"/>
          <w:lang w:val="en-US"/>
        </w:rPr>
        <w:t xml:space="preserve"> da </w:t>
      </w:r>
      <w:proofErr w:type="spellStart"/>
      <w:r>
        <w:rPr>
          <w:rFonts w:ascii="Arial Narrow" w:hAnsi="Arial Narrow"/>
          <w:b/>
          <w:bCs/>
          <w:sz w:val="24"/>
          <w:szCs w:val="24"/>
          <w:lang w:val="en-US"/>
        </w:rPr>
        <w:t>rastu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bezbrižno</w:t>
      </w:r>
      <w:proofErr w:type="spellEnd"/>
      <w:r>
        <w:rPr>
          <w:rFonts w:ascii="Arial Narrow" w:hAnsi="Arial Narrow"/>
          <w:b/>
          <w:bCs/>
          <w:sz w:val="24"/>
          <w:szCs w:val="24"/>
          <w:lang w:val="en-US"/>
        </w:rPr>
        <w:t>.</w:t>
      </w:r>
    </w:p>
    <w:p w14:paraId="5965496E" w14:textId="77777777" w:rsidR="003D6416" w:rsidRPr="002945E1" w:rsidRDefault="003D6416" w:rsidP="003D6416">
      <w:pPr>
        <w:jc w:val="both"/>
        <w:rPr>
          <w:rFonts w:ascii="Arial Narrow" w:hAnsi="Arial Narrow"/>
          <w:b/>
          <w:bCs/>
          <w:sz w:val="24"/>
          <w:szCs w:val="24"/>
          <w:lang w:val="en-US"/>
        </w:rPr>
      </w:pPr>
      <w:proofErr w:type="spellStart"/>
      <w:r w:rsidRPr="002945E1">
        <w:rPr>
          <w:rFonts w:ascii="Arial Narrow" w:hAnsi="Arial Narrow"/>
          <w:b/>
          <w:bCs/>
          <w:sz w:val="24"/>
          <w:szCs w:val="24"/>
          <w:lang w:val="en-US"/>
        </w:rPr>
        <w:t>Cilj</w:t>
      </w:r>
      <w:proofErr w:type="spellEnd"/>
      <w:r w:rsidRPr="002945E1">
        <w:rPr>
          <w:rFonts w:ascii="Arial Narrow" w:hAnsi="Arial Narrow"/>
          <w:b/>
          <w:bCs/>
          <w:sz w:val="24"/>
          <w:szCs w:val="24"/>
          <w:lang w:val="en-US"/>
        </w:rPr>
        <w:t xml:space="preserve"> 1.7.</w:t>
      </w:r>
      <w:r>
        <w:rPr>
          <w:rFonts w:ascii="Arial Narrow" w:hAnsi="Arial Narrow"/>
          <w:b/>
          <w:bCs/>
          <w:sz w:val="24"/>
          <w:szCs w:val="24"/>
          <w:lang w:val="en-US"/>
        </w:rPr>
        <w:t xml:space="preserve"> </w:t>
      </w:r>
      <w:r w:rsidRPr="002945E1">
        <w:rPr>
          <w:rFonts w:ascii="Arial Narrow" w:hAnsi="Arial Narrow"/>
          <w:b/>
          <w:bCs/>
          <w:sz w:val="24"/>
          <w:szCs w:val="24"/>
          <w:lang w:val="en-US"/>
        </w:rPr>
        <w:t>POBOLJŠANA BEZBJEDNOST GRANICA I ISPUNJAVANJE USLOVA ZA ULAZAK U EU I ŠENGENSKI PROSTOR</w:t>
      </w:r>
    </w:p>
    <w:p w14:paraId="1DBED4BC" w14:textId="77777777" w:rsidR="003D6416" w:rsidRDefault="003D6416" w:rsidP="003D6416">
      <w:pPr>
        <w:jc w:val="both"/>
        <w:rPr>
          <w:rFonts w:ascii="Arial Narrow" w:hAnsi="Arial Narrow"/>
          <w:b/>
          <w:bCs/>
          <w:sz w:val="24"/>
          <w:szCs w:val="24"/>
          <w:lang w:val="en-US"/>
        </w:rPr>
      </w:pPr>
      <w:proofErr w:type="spellStart"/>
      <w:r w:rsidRPr="00B733F0">
        <w:rPr>
          <w:rFonts w:ascii="Arial Narrow" w:hAnsi="Arial Narrow"/>
          <w:sz w:val="24"/>
          <w:szCs w:val="24"/>
          <w:lang w:val="en-US"/>
        </w:rPr>
        <w:t>Evropski</w:t>
      </w:r>
      <w:proofErr w:type="spellEnd"/>
      <w:r w:rsidRPr="00B733F0">
        <w:rPr>
          <w:rFonts w:ascii="Arial Narrow" w:hAnsi="Arial Narrow"/>
          <w:sz w:val="24"/>
          <w:szCs w:val="24"/>
          <w:lang w:val="en-US"/>
        </w:rPr>
        <w:t xml:space="preserve"> </w:t>
      </w:r>
      <w:proofErr w:type="spellStart"/>
      <w:r w:rsidRPr="00B733F0">
        <w:rPr>
          <w:rFonts w:ascii="Arial Narrow" w:hAnsi="Arial Narrow"/>
          <w:sz w:val="24"/>
          <w:szCs w:val="24"/>
          <w:lang w:val="en-US"/>
        </w:rPr>
        <w:t>standardi</w:t>
      </w:r>
      <w:proofErr w:type="spellEnd"/>
      <w:r w:rsidRPr="00B733F0">
        <w:rPr>
          <w:rFonts w:ascii="Arial Narrow" w:hAnsi="Arial Narrow"/>
          <w:sz w:val="24"/>
          <w:szCs w:val="24"/>
          <w:lang w:val="en-US"/>
        </w:rPr>
        <w:t xml:space="preserve"> </w:t>
      </w:r>
      <w:proofErr w:type="spellStart"/>
      <w:r w:rsidRPr="00B733F0">
        <w:rPr>
          <w:rFonts w:ascii="Arial Narrow" w:hAnsi="Arial Narrow"/>
          <w:sz w:val="24"/>
          <w:szCs w:val="24"/>
          <w:lang w:val="en-US"/>
        </w:rPr>
        <w:t>su</w:t>
      </w:r>
      <w:proofErr w:type="spellEnd"/>
      <w:r w:rsidRPr="00B733F0">
        <w:rPr>
          <w:rFonts w:ascii="Arial Narrow" w:hAnsi="Arial Narrow"/>
          <w:sz w:val="24"/>
          <w:szCs w:val="24"/>
          <w:lang w:val="en-US"/>
        </w:rPr>
        <w:t xml:space="preserve"> </w:t>
      </w:r>
      <w:proofErr w:type="spellStart"/>
      <w:r w:rsidRPr="00B733F0">
        <w:rPr>
          <w:rFonts w:ascii="Arial Narrow" w:hAnsi="Arial Narrow"/>
          <w:sz w:val="24"/>
          <w:szCs w:val="24"/>
          <w:lang w:val="en-US"/>
        </w:rPr>
        <w:t>i</w:t>
      </w:r>
      <w:proofErr w:type="spellEnd"/>
      <w:r w:rsidRPr="00B733F0">
        <w:rPr>
          <w:rFonts w:ascii="Arial Narrow" w:hAnsi="Arial Narrow"/>
          <w:sz w:val="24"/>
          <w:szCs w:val="24"/>
          <w:lang w:val="en-US"/>
        </w:rPr>
        <w:t xml:space="preserve"> u </w:t>
      </w:r>
      <w:proofErr w:type="spellStart"/>
      <w:r w:rsidRPr="00B733F0">
        <w:rPr>
          <w:rFonts w:ascii="Arial Narrow" w:hAnsi="Arial Narrow"/>
          <w:sz w:val="24"/>
          <w:szCs w:val="24"/>
          <w:lang w:val="en-US"/>
        </w:rPr>
        <w:t>ovom</w:t>
      </w:r>
      <w:proofErr w:type="spellEnd"/>
      <w:r w:rsidRPr="00B733F0">
        <w:rPr>
          <w:rFonts w:ascii="Arial Narrow" w:hAnsi="Arial Narrow"/>
          <w:sz w:val="24"/>
          <w:szCs w:val="24"/>
          <w:lang w:val="en-US"/>
        </w:rPr>
        <w:t xml:space="preserve"> </w:t>
      </w:r>
      <w:proofErr w:type="spellStart"/>
      <w:r w:rsidRPr="00B733F0">
        <w:rPr>
          <w:rFonts w:ascii="Arial Narrow" w:hAnsi="Arial Narrow"/>
          <w:sz w:val="24"/>
          <w:szCs w:val="24"/>
          <w:lang w:val="en-US"/>
        </w:rPr>
        <w:t>kontekstu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od</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značaja</w:t>
      </w:r>
      <w:proofErr w:type="spellEnd"/>
      <w:r>
        <w:rPr>
          <w:rFonts w:ascii="Arial Narrow" w:hAnsi="Arial Narrow"/>
          <w:sz w:val="24"/>
          <w:szCs w:val="24"/>
          <w:lang w:val="en-US"/>
        </w:rPr>
        <w:t xml:space="preserve"> za </w:t>
      </w:r>
      <w:proofErr w:type="spellStart"/>
      <w:r>
        <w:rPr>
          <w:rFonts w:ascii="Arial Narrow" w:hAnsi="Arial Narrow"/>
          <w:sz w:val="24"/>
          <w:szCs w:val="24"/>
          <w:lang w:val="en-US"/>
        </w:rPr>
        <w:t>punu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bezbjednost</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granica</w:t>
      </w:r>
      <w:proofErr w:type="spellEnd"/>
      <w:r>
        <w:rPr>
          <w:rFonts w:ascii="Arial Narrow" w:hAnsi="Arial Narrow"/>
          <w:sz w:val="24"/>
          <w:szCs w:val="24"/>
          <w:lang w:val="en-US"/>
        </w:rPr>
        <w:t xml:space="preserve">, a </w:t>
      </w:r>
      <w:proofErr w:type="spellStart"/>
      <w:r>
        <w:rPr>
          <w:rFonts w:ascii="Arial Narrow" w:hAnsi="Arial Narrow"/>
          <w:sz w:val="24"/>
          <w:szCs w:val="24"/>
          <w:lang w:val="en-US"/>
        </w:rPr>
        <w:t>posebno</w:t>
      </w:r>
      <w:proofErr w:type="spellEnd"/>
      <w:r>
        <w:rPr>
          <w:rFonts w:ascii="Arial Narrow" w:hAnsi="Arial Narrow"/>
          <w:sz w:val="24"/>
          <w:szCs w:val="24"/>
          <w:lang w:val="en-US"/>
        </w:rPr>
        <w:t xml:space="preserve"> </w:t>
      </w:r>
      <w:proofErr w:type="spellStart"/>
      <w:r w:rsidRPr="00B733F0">
        <w:rPr>
          <w:rFonts w:ascii="Arial Narrow" w:hAnsi="Arial Narrow"/>
          <w:b/>
          <w:bCs/>
          <w:sz w:val="24"/>
          <w:szCs w:val="24"/>
          <w:lang w:val="en-US"/>
        </w:rPr>
        <w:t>usaglašavnje</w:t>
      </w:r>
      <w:proofErr w:type="spellEnd"/>
      <w:r w:rsidRPr="00B733F0">
        <w:rPr>
          <w:rFonts w:ascii="Arial Narrow" w:hAnsi="Arial Narrow"/>
          <w:b/>
          <w:bCs/>
          <w:sz w:val="24"/>
          <w:szCs w:val="24"/>
          <w:lang w:val="en-US"/>
        </w:rPr>
        <w:t xml:space="preserve"> </w:t>
      </w:r>
      <w:proofErr w:type="spellStart"/>
      <w:r w:rsidRPr="00B733F0">
        <w:rPr>
          <w:rFonts w:ascii="Arial Narrow" w:hAnsi="Arial Narrow"/>
          <w:b/>
          <w:bCs/>
          <w:sz w:val="24"/>
          <w:szCs w:val="24"/>
          <w:lang w:val="en-US"/>
        </w:rPr>
        <w:t>sa</w:t>
      </w:r>
      <w:proofErr w:type="spellEnd"/>
      <w:r w:rsidRPr="00B733F0">
        <w:rPr>
          <w:rFonts w:ascii="Arial Narrow" w:hAnsi="Arial Narrow"/>
          <w:b/>
          <w:bCs/>
          <w:sz w:val="24"/>
          <w:szCs w:val="24"/>
          <w:lang w:val="en-US"/>
        </w:rPr>
        <w:t xml:space="preserve"> </w:t>
      </w:r>
      <w:proofErr w:type="spellStart"/>
      <w:r w:rsidRPr="00B733F0">
        <w:rPr>
          <w:rFonts w:ascii="Arial Narrow" w:hAnsi="Arial Narrow"/>
          <w:b/>
          <w:bCs/>
          <w:sz w:val="24"/>
          <w:szCs w:val="24"/>
          <w:lang w:val="en-US"/>
        </w:rPr>
        <w:t>šengenskom</w:t>
      </w:r>
      <w:proofErr w:type="spellEnd"/>
      <w:r w:rsidRPr="00B733F0">
        <w:rPr>
          <w:rFonts w:ascii="Arial Narrow" w:hAnsi="Arial Narrow"/>
          <w:b/>
          <w:bCs/>
          <w:sz w:val="24"/>
          <w:szCs w:val="24"/>
          <w:lang w:val="en-US"/>
        </w:rPr>
        <w:t xml:space="preserve"> </w:t>
      </w:r>
      <w:proofErr w:type="spellStart"/>
      <w:r w:rsidRPr="00B733F0">
        <w:rPr>
          <w:rFonts w:ascii="Arial Narrow" w:hAnsi="Arial Narrow"/>
          <w:b/>
          <w:bCs/>
          <w:sz w:val="24"/>
          <w:szCs w:val="24"/>
          <w:lang w:val="en-US"/>
        </w:rPr>
        <w:t>pravnom</w:t>
      </w:r>
      <w:proofErr w:type="spellEnd"/>
      <w:r w:rsidRPr="00B733F0">
        <w:rPr>
          <w:rFonts w:ascii="Arial Narrow" w:hAnsi="Arial Narrow"/>
          <w:b/>
          <w:bCs/>
          <w:sz w:val="24"/>
          <w:szCs w:val="24"/>
          <w:lang w:val="en-US"/>
        </w:rPr>
        <w:t xml:space="preserve"> </w:t>
      </w:r>
      <w:proofErr w:type="spellStart"/>
      <w:r w:rsidRPr="00B733F0">
        <w:rPr>
          <w:rFonts w:ascii="Arial Narrow" w:hAnsi="Arial Narrow"/>
          <w:b/>
          <w:bCs/>
          <w:sz w:val="24"/>
          <w:szCs w:val="24"/>
          <w:lang w:val="en-US"/>
        </w:rPr>
        <w:t>tekovinom</w:t>
      </w:r>
      <w:proofErr w:type="spellEnd"/>
      <w:r w:rsidRPr="00B733F0">
        <w:rPr>
          <w:rFonts w:ascii="Arial Narrow" w:hAnsi="Arial Narrow"/>
          <w:b/>
          <w:bCs/>
          <w:sz w:val="24"/>
          <w:szCs w:val="24"/>
          <w:lang w:val="en-US"/>
        </w:rPr>
        <w:t xml:space="preserve">, za </w:t>
      </w:r>
      <w:proofErr w:type="spellStart"/>
      <w:r w:rsidRPr="00B733F0">
        <w:rPr>
          <w:rFonts w:ascii="Arial Narrow" w:hAnsi="Arial Narrow"/>
          <w:b/>
          <w:bCs/>
          <w:sz w:val="24"/>
          <w:szCs w:val="24"/>
          <w:lang w:val="en-US"/>
        </w:rPr>
        <w:t>koju</w:t>
      </w:r>
      <w:proofErr w:type="spellEnd"/>
      <w:r w:rsidRPr="00B733F0">
        <w:rPr>
          <w:rFonts w:ascii="Arial Narrow" w:hAnsi="Arial Narrow"/>
          <w:b/>
          <w:bCs/>
          <w:sz w:val="24"/>
          <w:szCs w:val="24"/>
          <w:lang w:val="en-US"/>
        </w:rPr>
        <w:t xml:space="preserve"> </w:t>
      </w:r>
      <w:proofErr w:type="spellStart"/>
      <w:r w:rsidRPr="00B733F0">
        <w:rPr>
          <w:rFonts w:ascii="Arial Narrow" w:hAnsi="Arial Narrow"/>
          <w:b/>
          <w:bCs/>
          <w:sz w:val="24"/>
          <w:szCs w:val="24"/>
          <w:lang w:val="en-US"/>
        </w:rPr>
        <w:t>očekujemo</w:t>
      </w:r>
      <w:proofErr w:type="spellEnd"/>
      <w:r w:rsidRPr="00B733F0">
        <w:rPr>
          <w:rFonts w:ascii="Arial Narrow" w:hAnsi="Arial Narrow"/>
          <w:b/>
          <w:bCs/>
          <w:sz w:val="24"/>
          <w:szCs w:val="24"/>
          <w:lang w:val="en-US"/>
        </w:rPr>
        <w:t xml:space="preserve"> da do </w:t>
      </w:r>
      <w:proofErr w:type="spellStart"/>
      <w:r w:rsidRPr="00B733F0">
        <w:rPr>
          <w:rFonts w:ascii="Arial Narrow" w:hAnsi="Arial Narrow"/>
          <w:b/>
          <w:bCs/>
          <w:sz w:val="24"/>
          <w:szCs w:val="24"/>
          <w:lang w:val="en-US"/>
        </w:rPr>
        <w:t>kraja</w:t>
      </w:r>
      <w:proofErr w:type="spellEnd"/>
      <w:r w:rsidRPr="00B733F0">
        <w:rPr>
          <w:rFonts w:ascii="Arial Narrow" w:hAnsi="Arial Narrow"/>
          <w:b/>
          <w:bCs/>
          <w:sz w:val="24"/>
          <w:szCs w:val="24"/>
          <w:lang w:val="en-US"/>
        </w:rPr>
        <w:t xml:space="preserve"> 2024. </w:t>
      </w:r>
      <w:proofErr w:type="spellStart"/>
      <w:r w:rsidRPr="00B733F0">
        <w:rPr>
          <w:rFonts w:ascii="Arial Narrow" w:hAnsi="Arial Narrow"/>
          <w:b/>
          <w:bCs/>
          <w:sz w:val="24"/>
          <w:szCs w:val="24"/>
          <w:lang w:val="en-US"/>
        </w:rPr>
        <w:t>godine</w:t>
      </w:r>
      <w:proofErr w:type="spellEnd"/>
      <w:r w:rsidRPr="00B733F0">
        <w:rPr>
          <w:rFonts w:ascii="Arial Narrow" w:hAnsi="Arial Narrow"/>
          <w:b/>
          <w:bCs/>
          <w:sz w:val="24"/>
          <w:szCs w:val="24"/>
          <w:lang w:val="en-US"/>
        </w:rPr>
        <w:t xml:space="preserve"> </w:t>
      </w:r>
      <w:proofErr w:type="spellStart"/>
      <w:r w:rsidRPr="00B733F0">
        <w:rPr>
          <w:rFonts w:ascii="Arial Narrow" w:hAnsi="Arial Narrow"/>
          <w:b/>
          <w:bCs/>
          <w:sz w:val="24"/>
          <w:szCs w:val="24"/>
          <w:lang w:val="en-US"/>
        </w:rPr>
        <w:t>iznosi</w:t>
      </w:r>
      <w:proofErr w:type="spellEnd"/>
      <w:r w:rsidRPr="00B733F0">
        <w:rPr>
          <w:rFonts w:ascii="Arial Narrow" w:hAnsi="Arial Narrow"/>
          <w:b/>
          <w:bCs/>
          <w:sz w:val="24"/>
          <w:szCs w:val="24"/>
          <w:lang w:val="en-US"/>
        </w:rPr>
        <w:t xml:space="preserve"> 67,11%</w:t>
      </w:r>
      <w:r>
        <w:rPr>
          <w:rFonts w:ascii="Arial Narrow" w:hAnsi="Arial Narrow"/>
          <w:sz w:val="24"/>
          <w:szCs w:val="24"/>
          <w:lang w:val="en-US"/>
        </w:rPr>
        <w:t xml:space="preserve">. Rad u </w:t>
      </w:r>
      <w:proofErr w:type="spellStart"/>
      <w:r>
        <w:rPr>
          <w:rFonts w:ascii="Arial Narrow" w:hAnsi="Arial Narrow"/>
          <w:sz w:val="24"/>
          <w:szCs w:val="24"/>
          <w:lang w:val="en-US"/>
        </w:rPr>
        <w:t>zakonodavnom</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okviru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će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dopriniejti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smanjenju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b</w:t>
      </w:r>
      <w:r w:rsidRPr="002945E1">
        <w:rPr>
          <w:rFonts w:ascii="Arial Narrow" w:hAnsi="Arial Narrow"/>
          <w:b/>
          <w:bCs/>
          <w:sz w:val="24"/>
          <w:szCs w:val="24"/>
          <w:lang w:val="en-US"/>
        </w:rPr>
        <w:t>roj</w:t>
      </w:r>
      <w:r>
        <w:rPr>
          <w:rFonts w:ascii="Arial Narrow" w:hAnsi="Arial Narrow"/>
          <w:b/>
          <w:bCs/>
          <w:sz w:val="24"/>
          <w:szCs w:val="24"/>
          <w:lang w:val="en-US"/>
        </w:rPr>
        <w:t>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ilegalnih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migracija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koje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preduprijeđene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povećanim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w:t>
      </w:r>
      <w:r w:rsidRPr="002945E1">
        <w:rPr>
          <w:rFonts w:ascii="Arial Narrow" w:hAnsi="Arial Narrow"/>
          <w:b/>
          <w:bCs/>
          <w:sz w:val="24"/>
          <w:szCs w:val="24"/>
          <w:lang w:val="en-US"/>
        </w:rPr>
        <w:t>roj</w:t>
      </w:r>
      <w:r>
        <w:rPr>
          <w:rFonts w:ascii="Arial Narrow" w:hAnsi="Arial Narrow"/>
          <w:b/>
          <w:bCs/>
          <w:sz w:val="24"/>
          <w:szCs w:val="24"/>
          <w:lang w:val="en-US"/>
        </w:rPr>
        <w:t>em</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zajedničkih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patrola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akcija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obuka</w:t>
      </w:r>
      <w:proofErr w:type="spellEnd"/>
      <w:r w:rsidRPr="002945E1">
        <w:rPr>
          <w:rFonts w:ascii="Arial Narrow" w:hAnsi="Arial Narrow"/>
          <w:b/>
          <w:bCs/>
          <w:sz w:val="24"/>
          <w:szCs w:val="24"/>
          <w:lang w:val="en-US"/>
        </w:rPr>
        <w:t>.</w:t>
      </w:r>
      <w:r w:rsidRPr="002945E1">
        <w:rPr>
          <w:rFonts w:ascii="Arial Narrow" w:hAnsi="Arial Narrow"/>
          <w:b/>
          <w:bCs/>
          <w:sz w:val="24"/>
          <w:szCs w:val="24"/>
          <w:lang w:val="en-US"/>
        </w:rPr>
        <w:tab/>
      </w:r>
      <w:r w:rsidRPr="002945E1">
        <w:rPr>
          <w:rFonts w:ascii="Arial Narrow" w:hAnsi="Arial Narrow"/>
          <w:b/>
          <w:bCs/>
          <w:sz w:val="24"/>
          <w:szCs w:val="24"/>
          <w:lang w:val="en-US"/>
        </w:rPr>
        <w:tab/>
      </w:r>
      <w:r w:rsidRPr="002945E1">
        <w:rPr>
          <w:rFonts w:ascii="Arial Narrow" w:hAnsi="Arial Narrow"/>
          <w:b/>
          <w:bCs/>
          <w:sz w:val="24"/>
          <w:szCs w:val="24"/>
          <w:lang w:val="en-US"/>
        </w:rPr>
        <w:tab/>
      </w:r>
      <w:r w:rsidRPr="002945E1">
        <w:rPr>
          <w:rFonts w:ascii="Arial Narrow" w:hAnsi="Arial Narrow"/>
          <w:b/>
          <w:bCs/>
          <w:sz w:val="24"/>
          <w:szCs w:val="24"/>
          <w:lang w:val="en-US"/>
        </w:rPr>
        <w:tab/>
      </w:r>
    </w:p>
    <w:p w14:paraId="3CF3E69F" w14:textId="77777777" w:rsidR="003D6416" w:rsidRPr="002945E1" w:rsidRDefault="003D6416" w:rsidP="003D6416">
      <w:pPr>
        <w:jc w:val="both"/>
        <w:rPr>
          <w:rFonts w:ascii="Arial Narrow" w:hAnsi="Arial Narrow"/>
          <w:b/>
          <w:bCs/>
          <w:sz w:val="24"/>
          <w:szCs w:val="24"/>
          <w:lang w:val="en-US"/>
        </w:rPr>
      </w:pPr>
      <w:proofErr w:type="spellStart"/>
      <w:r w:rsidRPr="002945E1">
        <w:rPr>
          <w:rFonts w:ascii="Arial Narrow" w:hAnsi="Arial Narrow"/>
          <w:b/>
          <w:bCs/>
          <w:sz w:val="24"/>
          <w:szCs w:val="24"/>
          <w:lang w:val="en-US"/>
        </w:rPr>
        <w:t>Cilj</w:t>
      </w:r>
      <w:proofErr w:type="spellEnd"/>
      <w:r w:rsidRPr="002945E1">
        <w:rPr>
          <w:rFonts w:ascii="Arial Narrow" w:hAnsi="Arial Narrow"/>
          <w:b/>
          <w:bCs/>
          <w:sz w:val="24"/>
          <w:szCs w:val="24"/>
          <w:lang w:val="en-US"/>
        </w:rPr>
        <w:t xml:space="preserve"> 1.8.</w:t>
      </w:r>
      <w:r w:rsidRPr="002945E1">
        <w:rPr>
          <w:rFonts w:ascii="Arial Narrow" w:hAnsi="Arial Narrow"/>
          <w:b/>
          <w:bCs/>
          <w:sz w:val="24"/>
          <w:szCs w:val="24"/>
          <w:lang w:val="en-US"/>
        </w:rPr>
        <w:tab/>
        <w:t xml:space="preserve">UNAPREĐENJE ADMINISTRITIVNIH EVIDENCIJA </w:t>
      </w:r>
    </w:p>
    <w:p w14:paraId="73E32FAF" w14:textId="77777777" w:rsidR="003D6416" w:rsidRDefault="003D6416" w:rsidP="003D6416">
      <w:pPr>
        <w:jc w:val="both"/>
        <w:rPr>
          <w:rFonts w:ascii="Arial Narrow" w:hAnsi="Arial Narrow"/>
          <w:b/>
          <w:bCs/>
          <w:sz w:val="24"/>
          <w:szCs w:val="24"/>
          <w:lang w:val="en-US"/>
        </w:rPr>
      </w:pPr>
      <w:proofErr w:type="spellStart"/>
      <w:r>
        <w:rPr>
          <w:rFonts w:ascii="Arial Narrow" w:hAnsi="Arial Narrow"/>
          <w:b/>
          <w:bCs/>
          <w:sz w:val="24"/>
          <w:szCs w:val="24"/>
          <w:lang w:val="en-US"/>
        </w:rPr>
        <w:t>Unapređenje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administartivnih</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evidencija</w:t>
      </w:r>
      <w:proofErr w:type="spellEnd"/>
      <w:r>
        <w:rPr>
          <w:rFonts w:ascii="Arial Narrow" w:hAnsi="Arial Narrow"/>
          <w:b/>
          <w:bCs/>
          <w:sz w:val="24"/>
          <w:szCs w:val="24"/>
          <w:lang w:val="en-US"/>
        </w:rPr>
        <w:t xml:space="preserve"> za </w:t>
      </w:r>
      <w:proofErr w:type="spellStart"/>
      <w:r>
        <w:rPr>
          <w:rFonts w:ascii="Arial Narrow" w:hAnsi="Arial Narrow"/>
          <w:b/>
          <w:bCs/>
          <w:sz w:val="24"/>
          <w:szCs w:val="24"/>
          <w:lang w:val="en-US"/>
        </w:rPr>
        <w:t>građane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ovom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periodu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posebno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fokusiran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što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bolju</w:t>
      </w:r>
      <w:proofErr w:type="spellEnd"/>
      <w:r>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ažuriranost</w:t>
      </w:r>
      <w:proofErr w:type="spellEnd"/>
      <w:r>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registra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prebivališta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95%</w:t>
      </w:r>
      <w:r>
        <w:rPr>
          <w:rFonts w:ascii="Arial Narrow" w:hAnsi="Arial Narrow"/>
          <w:b/>
          <w:bCs/>
          <w:sz w:val="24"/>
          <w:szCs w:val="24"/>
          <w:lang w:val="en-US"/>
        </w:rPr>
        <w:t>.</w:t>
      </w:r>
    </w:p>
    <w:p w14:paraId="6DA9492D" w14:textId="77777777" w:rsidR="003D6416" w:rsidRPr="002945E1" w:rsidRDefault="003D6416" w:rsidP="003D6416">
      <w:pPr>
        <w:jc w:val="both"/>
        <w:rPr>
          <w:rFonts w:ascii="Arial Narrow" w:hAnsi="Arial Narrow"/>
          <w:b/>
          <w:bCs/>
          <w:sz w:val="24"/>
          <w:szCs w:val="24"/>
          <w:lang w:val="en-US"/>
        </w:rPr>
      </w:pPr>
      <w:proofErr w:type="spellStart"/>
      <w:r w:rsidRPr="002945E1">
        <w:rPr>
          <w:rFonts w:ascii="Arial Narrow" w:hAnsi="Arial Narrow"/>
          <w:b/>
          <w:bCs/>
          <w:sz w:val="24"/>
          <w:szCs w:val="24"/>
          <w:lang w:val="en-US"/>
        </w:rPr>
        <w:t>Cilj</w:t>
      </w:r>
      <w:proofErr w:type="spellEnd"/>
      <w:r w:rsidRPr="002945E1">
        <w:rPr>
          <w:rFonts w:ascii="Arial Narrow" w:hAnsi="Arial Narrow"/>
          <w:b/>
          <w:bCs/>
          <w:sz w:val="24"/>
          <w:szCs w:val="24"/>
          <w:lang w:val="en-US"/>
        </w:rPr>
        <w:t xml:space="preserve"> 1.9.</w:t>
      </w:r>
      <w:r>
        <w:rPr>
          <w:rFonts w:ascii="Arial Narrow" w:hAnsi="Arial Narrow"/>
          <w:b/>
          <w:bCs/>
          <w:sz w:val="24"/>
          <w:szCs w:val="24"/>
          <w:lang w:val="en-US"/>
        </w:rPr>
        <w:t xml:space="preserve"> </w:t>
      </w:r>
      <w:r w:rsidRPr="002945E1">
        <w:rPr>
          <w:rFonts w:ascii="Arial Narrow" w:hAnsi="Arial Narrow"/>
          <w:b/>
          <w:bCs/>
          <w:sz w:val="24"/>
          <w:szCs w:val="24"/>
          <w:lang w:val="en-US"/>
        </w:rPr>
        <w:t>SMANJITI I ELIMINISATI UTICAJ TRANSNACIONALNOG ORGANIZOVANOG KRIMINALA NA CRNOGORSKO DRUŠTVO I IDENTIFIKOVATI MJERE ZA JAČANJE BORBE PROTIV O</w:t>
      </w:r>
      <w:r>
        <w:rPr>
          <w:rFonts w:ascii="Arial Narrow" w:hAnsi="Arial Narrow"/>
          <w:b/>
          <w:bCs/>
          <w:sz w:val="24"/>
          <w:szCs w:val="24"/>
          <w:lang w:val="en-US"/>
        </w:rPr>
        <w:t>R</w:t>
      </w:r>
      <w:r w:rsidRPr="002945E1">
        <w:rPr>
          <w:rFonts w:ascii="Arial Narrow" w:hAnsi="Arial Narrow"/>
          <w:b/>
          <w:bCs/>
          <w:sz w:val="24"/>
          <w:szCs w:val="24"/>
          <w:lang w:val="en-US"/>
        </w:rPr>
        <w:t>GANIZOVANIH KRIMINALNIH GRUPA</w:t>
      </w:r>
    </w:p>
    <w:p w14:paraId="12694640" w14:textId="77777777" w:rsidR="003D6416" w:rsidRPr="002945E1" w:rsidRDefault="003D6416" w:rsidP="003D6416">
      <w:pPr>
        <w:jc w:val="both"/>
        <w:rPr>
          <w:rFonts w:ascii="Arial Narrow" w:hAnsi="Arial Narrow"/>
          <w:b/>
          <w:bCs/>
          <w:sz w:val="24"/>
          <w:szCs w:val="24"/>
          <w:lang w:val="en-US"/>
        </w:rPr>
      </w:pPr>
      <w:proofErr w:type="spellStart"/>
      <w:r w:rsidRPr="00906AD6">
        <w:rPr>
          <w:rFonts w:ascii="Arial Narrow" w:hAnsi="Arial Narrow"/>
          <w:sz w:val="24"/>
          <w:szCs w:val="24"/>
          <w:lang w:val="en-US"/>
        </w:rPr>
        <w:lastRenderedPageBreak/>
        <w:t>Jedan</w:t>
      </w:r>
      <w:proofErr w:type="spellEnd"/>
      <w:r w:rsidRPr="00906AD6">
        <w:rPr>
          <w:rFonts w:ascii="Arial Narrow" w:hAnsi="Arial Narrow"/>
          <w:sz w:val="24"/>
          <w:szCs w:val="24"/>
          <w:lang w:val="en-US"/>
        </w:rPr>
        <w:t xml:space="preserve"> od </w:t>
      </w:r>
      <w:proofErr w:type="spellStart"/>
      <w:r w:rsidRPr="00906AD6">
        <w:rPr>
          <w:rFonts w:ascii="Arial Narrow" w:hAnsi="Arial Narrow"/>
          <w:sz w:val="24"/>
          <w:szCs w:val="24"/>
          <w:lang w:val="en-US"/>
        </w:rPr>
        <w:t>načina</w:t>
      </w:r>
      <w:proofErr w:type="spellEnd"/>
      <w:r w:rsidRPr="00906AD6">
        <w:rPr>
          <w:rFonts w:ascii="Arial Narrow" w:hAnsi="Arial Narrow"/>
          <w:sz w:val="24"/>
          <w:szCs w:val="24"/>
          <w:lang w:val="en-US"/>
        </w:rPr>
        <w:t xml:space="preserve"> koji </w:t>
      </w:r>
      <w:proofErr w:type="spellStart"/>
      <w:r w:rsidRPr="00906AD6">
        <w:rPr>
          <w:rFonts w:ascii="Arial Narrow" w:hAnsi="Arial Narrow"/>
          <w:sz w:val="24"/>
          <w:szCs w:val="24"/>
          <w:lang w:val="en-US"/>
        </w:rPr>
        <w:t>će</w:t>
      </w:r>
      <w:proofErr w:type="spellEnd"/>
      <w:r w:rsidRPr="00906AD6">
        <w:rPr>
          <w:rFonts w:ascii="Arial Narrow" w:hAnsi="Arial Narrow"/>
          <w:sz w:val="24"/>
          <w:szCs w:val="24"/>
          <w:lang w:val="en-US"/>
        </w:rPr>
        <w:t xml:space="preserve"> </w:t>
      </w:r>
      <w:proofErr w:type="spellStart"/>
      <w:r w:rsidRPr="00906AD6">
        <w:rPr>
          <w:rFonts w:ascii="Arial Narrow" w:hAnsi="Arial Narrow"/>
          <w:sz w:val="24"/>
          <w:szCs w:val="24"/>
          <w:lang w:val="en-US"/>
        </w:rPr>
        <w:t>ukazati</w:t>
      </w:r>
      <w:proofErr w:type="spellEnd"/>
      <w:r w:rsidRPr="00906AD6">
        <w:rPr>
          <w:rFonts w:ascii="Arial Narrow" w:hAnsi="Arial Narrow"/>
          <w:sz w:val="24"/>
          <w:szCs w:val="24"/>
          <w:lang w:val="en-US"/>
        </w:rPr>
        <w:t xml:space="preserve"> </w:t>
      </w:r>
      <w:proofErr w:type="spellStart"/>
      <w:r w:rsidRPr="00906AD6">
        <w:rPr>
          <w:rFonts w:ascii="Arial Narrow" w:hAnsi="Arial Narrow"/>
          <w:sz w:val="24"/>
          <w:szCs w:val="24"/>
          <w:lang w:val="en-US"/>
        </w:rPr>
        <w:t>na</w:t>
      </w:r>
      <w:proofErr w:type="spellEnd"/>
      <w:r w:rsidRPr="00906AD6">
        <w:rPr>
          <w:rFonts w:ascii="Arial Narrow" w:hAnsi="Arial Narrow"/>
          <w:sz w:val="24"/>
          <w:szCs w:val="24"/>
          <w:lang w:val="en-US"/>
        </w:rPr>
        <w:t xml:space="preserve"> </w:t>
      </w:r>
      <w:proofErr w:type="spellStart"/>
      <w:r w:rsidRPr="00906AD6">
        <w:rPr>
          <w:rFonts w:ascii="Arial Narrow" w:hAnsi="Arial Narrow"/>
          <w:sz w:val="24"/>
          <w:szCs w:val="24"/>
          <w:lang w:val="en-US"/>
        </w:rPr>
        <w:t>smanjenje</w:t>
      </w:r>
      <w:proofErr w:type="spellEnd"/>
      <w:r w:rsidRPr="00906AD6">
        <w:rPr>
          <w:rFonts w:ascii="Arial Narrow" w:hAnsi="Arial Narrow"/>
          <w:sz w:val="24"/>
          <w:szCs w:val="24"/>
          <w:lang w:val="en-US"/>
        </w:rPr>
        <w:t xml:space="preserve"> </w:t>
      </w:r>
      <w:proofErr w:type="spellStart"/>
      <w:r w:rsidRPr="00906AD6">
        <w:rPr>
          <w:rFonts w:ascii="Arial Narrow" w:hAnsi="Arial Narrow"/>
          <w:sz w:val="24"/>
          <w:szCs w:val="24"/>
          <w:lang w:val="en-US"/>
        </w:rPr>
        <w:t>uticaja</w:t>
      </w:r>
      <w:proofErr w:type="spellEnd"/>
      <w:r w:rsidRPr="00906AD6">
        <w:rPr>
          <w:rFonts w:ascii="Arial Narrow" w:hAnsi="Arial Narrow"/>
          <w:sz w:val="24"/>
          <w:szCs w:val="24"/>
          <w:lang w:val="en-US"/>
        </w:rPr>
        <w:t xml:space="preserve"> </w:t>
      </w:r>
      <w:proofErr w:type="spellStart"/>
      <w:r w:rsidRPr="00906AD6">
        <w:rPr>
          <w:rFonts w:ascii="Arial Narrow" w:hAnsi="Arial Narrow"/>
          <w:sz w:val="24"/>
          <w:szCs w:val="24"/>
          <w:lang w:val="en-US"/>
        </w:rPr>
        <w:t>organizovanog</w:t>
      </w:r>
      <w:proofErr w:type="spellEnd"/>
      <w:r w:rsidRPr="00906AD6">
        <w:rPr>
          <w:rFonts w:ascii="Arial Narrow" w:hAnsi="Arial Narrow"/>
          <w:sz w:val="24"/>
          <w:szCs w:val="24"/>
          <w:lang w:val="en-US"/>
        </w:rPr>
        <w:t xml:space="preserve"> </w:t>
      </w:r>
      <w:proofErr w:type="spellStart"/>
      <w:r w:rsidRPr="00906AD6">
        <w:rPr>
          <w:rFonts w:ascii="Arial Narrow" w:hAnsi="Arial Narrow"/>
          <w:sz w:val="24"/>
          <w:szCs w:val="24"/>
          <w:lang w:val="en-US"/>
        </w:rPr>
        <w:t>kriminala</w:t>
      </w:r>
      <w:proofErr w:type="spellEnd"/>
      <w:r w:rsidRPr="00906AD6">
        <w:rPr>
          <w:rFonts w:ascii="Arial Narrow" w:hAnsi="Arial Narrow"/>
          <w:sz w:val="24"/>
          <w:szCs w:val="24"/>
          <w:lang w:val="en-US"/>
        </w:rPr>
        <w:t xml:space="preserve"> u </w:t>
      </w:r>
      <w:proofErr w:type="spellStart"/>
      <w:r w:rsidRPr="00906AD6">
        <w:rPr>
          <w:rFonts w:ascii="Arial Narrow" w:hAnsi="Arial Narrow"/>
          <w:sz w:val="24"/>
          <w:szCs w:val="24"/>
          <w:lang w:val="en-US"/>
        </w:rPr>
        <w:t>Crnoj</w:t>
      </w:r>
      <w:proofErr w:type="spellEnd"/>
      <w:r w:rsidRPr="00906AD6">
        <w:rPr>
          <w:rFonts w:ascii="Arial Narrow" w:hAnsi="Arial Narrow"/>
          <w:sz w:val="24"/>
          <w:szCs w:val="24"/>
          <w:lang w:val="en-US"/>
        </w:rPr>
        <w:t xml:space="preserve"> Gori je</w:t>
      </w:r>
      <w:r>
        <w:rPr>
          <w:rFonts w:ascii="Arial Narrow" w:hAnsi="Arial Narrow"/>
          <w:b/>
          <w:bCs/>
          <w:sz w:val="24"/>
          <w:szCs w:val="24"/>
          <w:lang w:val="en-US"/>
        </w:rPr>
        <w:t xml:space="preserve"> </w:t>
      </w:r>
      <w:proofErr w:type="spellStart"/>
      <w:r>
        <w:rPr>
          <w:rFonts w:ascii="Arial Narrow" w:hAnsi="Arial Narrow"/>
          <w:b/>
          <w:bCs/>
          <w:sz w:val="24"/>
          <w:szCs w:val="24"/>
          <w:lang w:val="en-US"/>
        </w:rPr>
        <w:t>o</w:t>
      </w:r>
      <w:r w:rsidRPr="002945E1">
        <w:rPr>
          <w:rFonts w:ascii="Arial Narrow" w:hAnsi="Arial Narrow"/>
          <w:b/>
          <w:bCs/>
          <w:sz w:val="24"/>
          <w:szCs w:val="24"/>
          <w:lang w:val="en-US"/>
        </w:rPr>
        <w:t>bim</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direktnih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stranih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investicija</w:t>
      </w:r>
      <w:proofErr w:type="spellEnd"/>
      <w:r w:rsidRPr="002945E1">
        <w:rPr>
          <w:rFonts w:ascii="Arial Narrow" w:hAnsi="Arial Narrow"/>
          <w:b/>
          <w:bCs/>
          <w:sz w:val="24"/>
          <w:szCs w:val="24"/>
          <w:lang w:val="en-US"/>
        </w:rPr>
        <w:t xml:space="preserve"> u </w:t>
      </w:r>
      <w:proofErr w:type="spellStart"/>
      <w:r w:rsidRPr="002945E1">
        <w:rPr>
          <w:rFonts w:ascii="Arial Narrow" w:hAnsi="Arial Narrow"/>
          <w:b/>
          <w:bCs/>
          <w:sz w:val="24"/>
          <w:szCs w:val="24"/>
          <w:lang w:val="en-US"/>
        </w:rPr>
        <w:t>Crnoj</w:t>
      </w:r>
      <w:proofErr w:type="spellEnd"/>
      <w:r w:rsidRPr="002945E1">
        <w:rPr>
          <w:rFonts w:ascii="Arial Narrow" w:hAnsi="Arial Narrow"/>
          <w:b/>
          <w:bCs/>
          <w:sz w:val="24"/>
          <w:szCs w:val="24"/>
          <w:lang w:val="en-US"/>
        </w:rPr>
        <w:t xml:space="preserve"> Gori</w:t>
      </w:r>
      <w:r>
        <w:rPr>
          <w:rFonts w:ascii="Arial Narrow" w:hAnsi="Arial Narrow"/>
          <w:b/>
          <w:bCs/>
          <w:sz w:val="24"/>
          <w:szCs w:val="24"/>
          <w:lang w:val="en-US"/>
        </w:rPr>
        <w:t xml:space="preserve">, koji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 xml:space="preserve">663 </w:t>
      </w:r>
      <w:proofErr w:type="spellStart"/>
      <w:r w:rsidRPr="002945E1">
        <w:rPr>
          <w:rFonts w:ascii="Arial Narrow" w:hAnsi="Arial Narrow"/>
          <w:b/>
          <w:bCs/>
          <w:sz w:val="24"/>
          <w:szCs w:val="24"/>
          <w:lang w:val="en-US"/>
        </w:rPr>
        <w:t>miliona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eura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porasti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2945E1">
        <w:rPr>
          <w:rFonts w:ascii="Arial Narrow" w:hAnsi="Arial Narrow"/>
          <w:b/>
          <w:bCs/>
          <w:sz w:val="24"/>
          <w:szCs w:val="24"/>
          <w:lang w:val="en-US"/>
        </w:rPr>
        <w:t>6</w:t>
      </w:r>
      <w:r>
        <w:rPr>
          <w:rFonts w:ascii="Arial Narrow" w:hAnsi="Arial Narrow"/>
          <w:b/>
          <w:bCs/>
          <w:sz w:val="24"/>
          <w:szCs w:val="24"/>
          <w:lang w:val="en-US"/>
        </w:rPr>
        <w:t>9</w:t>
      </w:r>
      <w:r w:rsidRPr="002945E1">
        <w:rPr>
          <w:rFonts w:ascii="Arial Narrow" w:hAnsi="Arial Narrow"/>
          <w:b/>
          <w:bCs/>
          <w:sz w:val="24"/>
          <w:szCs w:val="24"/>
          <w:lang w:val="en-US"/>
        </w:rPr>
        <w:t xml:space="preserve">0 </w:t>
      </w:r>
      <w:proofErr w:type="spellStart"/>
      <w:r w:rsidRPr="002945E1">
        <w:rPr>
          <w:rFonts w:ascii="Arial Narrow" w:hAnsi="Arial Narrow"/>
          <w:b/>
          <w:bCs/>
          <w:sz w:val="24"/>
          <w:szCs w:val="24"/>
          <w:lang w:val="en-US"/>
        </w:rPr>
        <w:t>miliona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eura</w:t>
      </w:r>
      <w:proofErr w:type="spellEnd"/>
      <w:r>
        <w:rPr>
          <w:rFonts w:ascii="Arial Narrow" w:hAnsi="Arial Narrow"/>
          <w:b/>
          <w:bCs/>
          <w:sz w:val="24"/>
          <w:szCs w:val="24"/>
          <w:lang w:val="en-US"/>
        </w:rPr>
        <w:t xml:space="preserve">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sidRPr="00906AD6">
        <w:rPr>
          <w:rFonts w:ascii="Arial Narrow" w:hAnsi="Arial Narrow"/>
          <w:sz w:val="24"/>
          <w:szCs w:val="24"/>
          <w:lang w:val="en-US"/>
        </w:rPr>
        <w:t>Istovremeno</w:t>
      </w:r>
      <w:proofErr w:type="spellEnd"/>
      <w:r w:rsidRPr="00906AD6">
        <w:rPr>
          <w:rFonts w:ascii="Arial Narrow" w:hAnsi="Arial Narrow"/>
          <w:sz w:val="24"/>
          <w:szCs w:val="24"/>
          <w:lang w:val="en-US"/>
        </w:rPr>
        <w:t xml:space="preserve">, </w:t>
      </w:r>
      <w:proofErr w:type="spellStart"/>
      <w:r w:rsidRPr="00906AD6">
        <w:rPr>
          <w:rFonts w:ascii="Arial Narrow" w:hAnsi="Arial Narrow"/>
          <w:sz w:val="24"/>
          <w:szCs w:val="24"/>
          <w:lang w:val="en-US"/>
        </w:rPr>
        <w:t>biće</w:t>
      </w:r>
      <w:proofErr w:type="spellEnd"/>
      <w:r w:rsidRPr="00906AD6">
        <w:rPr>
          <w:rFonts w:ascii="Arial Narrow" w:hAnsi="Arial Narrow"/>
          <w:sz w:val="24"/>
          <w:szCs w:val="24"/>
          <w:lang w:val="en-US"/>
        </w:rPr>
        <w:t xml:space="preserve"> </w:t>
      </w:r>
      <w:proofErr w:type="spellStart"/>
      <w:r w:rsidRPr="00906AD6">
        <w:rPr>
          <w:rFonts w:ascii="Arial Narrow" w:hAnsi="Arial Narrow"/>
          <w:sz w:val="24"/>
          <w:szCs w:val="24"/>
          <w:lang w:val="en-US"/>
        </w:rPr>
        <w:t>povećan</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broj</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međunarodnih</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istraga</w:t>
      </w:r>
      <w:proofErr w:type="spellEnd"/>
      <w:r w:rsidRPr="002945E1">
        <w:rPr>
          <w:rFonts w:ascii="Arial Narrow" w:hAnsi="Arial Narrow"/>
          <w:b/>
          <w:bCs/>
          <w:sz w:val="24"/>
          <w:szCs w:val="24"/>
          <w:lang w:val="en-US"/>
        </w:rPr>
        <w:t xml:space="preserve"> u </w:t>
      </w:r>
      <w:proofErr w:type="spellStart"/>
      <w:r w:rsidRPr="002945E1">
        <w:rPr>
          <w:rFonts w:ascii="Arial Narrow" w:hAnsi="Arial Narrow"/>
          <w:b/>
          <w:bCs/>
          <w:sz w:val="24"/>
          <w:szCs w:val="24"/>
          <w:lang w:val="en-US"/>
        </w:rPr>
        <w:t>kojima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učestvuju</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tužioci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policijski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službenici</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kao</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dio</w:t>
      </w:r>
      <w:proofErr w:type="spellEnd"/>
      <w:r w:rsidRPr="002945E1">
        <w:rPr>
          <w:rFonts w:ascii="Arial Narrow" w:hAnsi="Arial Narrow"/>
          <w:b/>
          <w:bCs/>
          <w:sz w:val="24"/>
          <w:szCs w:val="24"/>
          <w:lang w:val="en-US"/>
        </w:rPr>
        <w:t xml:space="preserve"> JIT-a)</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barem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dvije</w:t>
      </w:r>
      <w:proofErr w:type="spellEnd"/>
      <w:r>
        <w:rPr>
          <w:rFonts w:ascii="Arial Narrow" w:hAnsi="Arial Narrow"/>
          <w:b/>
          <w:bCs/>
          <w:sz w:val="24"/>
          <w:szCs w:val="24"/>
          <w:lang w:val="en-US"/>
        </w:rPr>
        <w:t xml:space="preserve">, a </w:t>
      </w:r>
      <w:proofErr w:type="spellStart"/>
      <w:r>
        <w:rPr>
          <w:rFonts w:ascii="Arial Narrow" w:hAnsi="Arial Narrow"/>
          <w:b/>
          <w:bCs/>
          <w:sz w:val="24"/>
          <w:szCs w:val="24"/>
          <w:lang w:val="en-US"/>
        </w:rPr>
        <w:t>sva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dokumenta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elektronske</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forme</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dokaza</w:t>
      </w:r>
      <w:proofErr w:type="spellEnd"/>
      <w:r w:rsidRPr="002945E1">
        <w:rPr>
          <w:rFonts w:ascii="Arial Narrow" w:hAnsi="Arial Narrow"/>
          <w:b/>
          <w:bCs/>
          <w:sz w:val="24"/>
          <w:szCs w:val="24"/>
          <w:lang w:val="en-US"/>
        </w:rPr>
        <w:t xml:space="preserve"> u </w:t>
      </w:r>
      <w:proofErr w:type="spellStart"/>
      <w:r w:rsidRPr="002945E1">
        <w:rPr>
          <w:rFonts w:ascii="Arial Narrow" w:hAnsi="Arial Narrow"/>
          <w:b/>
          <w:bCs/>
          <w:sz w:val="24"/>
          <w:szCs w:val="24"/>
          <w:lang w:val="en-US"/>
        </w:rPr>
        <w:t>predmetima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organizovanog</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kriminala</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između</w:t>
      </w:r>
      <w:proofErr w:type="spellEnd"/>
      <w:r w:rsidRPr="002945E1">
        <w:rPr>
          <w:rFonts w:ascii="Arial Narrow" w:hAnsi="Arial Narrow"/>
          <w:b/>
          <w:bCs/>
          <w:sz w:val="24"/>
          <w:szCs w:val="24"/>
          <w:lang w:val="en-US"/>
        </w:rPr>
        <w:t xml:space="preserve"> </w:t>
      </w:r>
      <w:proofErr w:type="spellStart"/>
      <w:r w:rsidRPr="002945E1">
        <w:rPr>
          <w:rFonts w:ascii="Arial Narrow" w:hAnsi="Arial Narrow"/>
          <w:b/>
          <w:bCs/>
          <w:sz w:val="24"/>
          <w:szCs w:val="24"/>
          <w:lang w:val="en-US"/>
        </w:rPr>
        <w:t>aktera</w:t>
      </w:r>
      <w:proofErr w:type="spellEnd"/>
      <w:r w:rsidRPr="002945E1">
        <w:rPr>
          <w:rFonts w:ascii="Arial Narrow" w:hAnsi="Arial Narrow"/>
          <w:b/>
          <w:bCs/>
          <w:sz w:val="24"/>
          <w:szCs w:val="24"/>
          <w:lang w:val="en-US"/>
        </w:rPr>
        <w:t xml:space="preserve"> </w:t>
      </w:r>
      <w:proofErr w:type="spellStart"/>
      <w:r>
        <w:rPr>
          <w:rFonts w:ascii="Arial Narrow" w:hAnsi="Arial Narrow"/>
          <w:b/>
          <w:bCs/>
          <w:sz w:val="24"/>
          <w:szCs w:val="24"/>
          <w:lang w:val="en-US"/>
        </w:rPr>
        <w:t>biće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razmijenjivana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digitalno</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većem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procentu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nego</w:t>
      </w:r>
      <w:proofErr w:type="spellEnd"/>
      <w:r>
        <w:rPr>
          <w:rFonts w:ascii="Arial Narrow" w:hAnsi="Arial Narrow"/>
          <w:b/>
          <w:bCs/>
          <w:sz w:val="24"/>
          <w:szCs w:val="24"/>
          <w:lang w:val="en-US"/>
        </w:rPr>
        <w:t xml:space="preserve"> do sad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0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40%).</w:t>
      </w:r>
      <w:r w:rsidRPr="002945E1">
        <w:rPr>
          <w:rFonts w:ascii="Arial Narrow" w:hAnsi="Arial Narrow"/>
          <w:b/>
          <w:bCs/>
          <w:sz w:val="24"/>
          <w:szCs w:val="24"/>
          <w:lang w:val="en-US"/>
        </w:rPr>
        <w:tab/>
      </w:r>
    </w:p>
    <w:p w14:paraId="6BB8C550" w14:textId="77777777" w:rsidR="003D6416" w:rsidRDefault="003D6416" w:rsidP="003D6416">
      <w:pPr>
        <w:pStyle w:val="ListParagraph"/>
        <w:jc w:val="both"/>
        <w:rPr>
          <w:rFonts w:ascii="Arial Narrow" w:hAnsi="Arial Narrow"/>
          <w:b/>
          <w:bCs/>
          <w:sz w:val="24"/>
          <w:szCs w:val="24"/>
          <w:lang w:val="en-US"/>
        </w:rPr>
      </w:pPr>
    </w:p>
    <w:p w14:paraId="2A767384" w14:textId="77777777" w:rsidR="003D6416" w:rsidRDefault="003D6416" w:rsidP="003D6416">
      <w:pPr>
        <w:pStyle w:val="ListParagraph"/>
        <w:jc w:val="both"/>
        <w:rPr>
          <w:rFonts w:ascii="Arial Narrow" w:hAnsi="Arial Narrow"/>
          <w:b/>
          <w:bCs/>
          <w:sz w:val="24"/>
          <w:szCs w:val="24"/>
          <w:lang w:val="en-US"/>
        </w:rPr>
      </w:pPr>
      <w:r w:rsidRPr="00605A99">
        <w:rPr>
          <w:rFonts w:ascii="Arial Narrow" w:hAnsi="Arial Narrow"/>
          <w:b/>
          <w:bCs/>
          <w:noProof/>
          <w:lang w:val="en-US"/>
        </w:rPr>
        <w:drawing>
          <wp:anchor distT="0" distB="0" distL="114300" distR="114300" simplePos="0" relativeHeight="251706368" behindDoc="0" locked="0" layoutInCell="1" allowOverlap="1" wp14:anchorId="3AB8F932" wp14:editId="653CC535">
            <wp:simplePos x="0" y="0"/>
            <wp:positionH relativeFrom="column">
              <wp:posOffset>243840</wp:posOffset>
            </wp:positionH>
            <wp:positionV relativeFrom="paragraph">
              <wp:posOffset>24511</wp:posOffset>
            </wp:positionV>
            <wp:extent cx="457200" cy="466725"/>
            <wp:effectExtent l="0" t="0" r="0" b="9525"/>
            <wp:wrapSquare wrapText="bothSides"/>
            <wp:docPr id="3" name="Picture 3" descr="EŽ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Ž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anchor>
        </w:drawing>
      </w:r>
      <w:r w:rsidRPr="00605A99">
        <w:rPr>
          <w:rFonts w:ascii="Arial Narrow" w:hAnsi="Arial Narrow"/>
          <w:b/>
          <w:bCs/>
          <w:sz w:val="24"/>
          <w:szCs w:val="24"/>
          <w:lang w:val="en-US"/>
        </w:rPr>
        <w:t>ZDRAVE FINANSIJE I EKONOMSKI RAZVOJ</w:t>
      </w:r>
    </w:p>
    <w:p w14:paraId="1D3A66B2" w14:textId="77777777" w:rsidR="003D6416" w:rsidRDefault="003D6416" w:rsidP="003D6416">
      <w:pPr>
        <w:pStyle w:val="ListParagraph"/>
        <w:jc w:val="both"/>
        <w:rPr>
          <w:rFonts w:ascii="Arial Narrow" w:hAnsi="Arial Narrow"/>
          <w:b/>
          <w:bCs/>
          <w:sz w:val="24"/>
          <w:szCs w:val="24"/>
          <w:lang w:val="en-US"/>
        </w:rPr>
      </w:pPr>
    </w:p>
    <w:p w14:paraId="6482890A" w14:textId="77777777" w:rsidR="003D6416" w:rsidRDefault="003D6416" w:rsidP="003D6416">
      <w:pPr>
        <w:pStyle w:val="ListParagraph"/>
        <w:jc w:val="both"/>
        <w:rPr>
          <w:rFonts w:ascii="Arial Narrow" w:hAnsi="Arial Narrow"/>
          <w:b/>
          <w:bCs/>
          <w:sz w:val="24"/>
          <w:szCs w:val="24"/>
          <w:lang w:val="en-US"/>
        </w:rPr>
      </w:pPr>
    </w:p>
    <w:p w14:paraId="7ED01E52" w14:textId="77777777" w:rsidR="003D6416" w:rsidRPr="00424D76" w:rsidRDefault="003D6416" w:rsidP="003D6416">
      <w:pPr>
        <w:jc w:val="both"/>
        <w:rPr>
          <w:rFonts w:ascii="Arial Narrow" w:hAnsi="Arial Narrow"/>
          <w:b/>
          <w:bCs/>
          <w:sz w:val="24"/>
          <w:szCs w:val="24"/>
          <w:lang w:val="en-US"/>
        </w:rPr>
      </w:pPr>
      <w:proofErr w:type="spellStart"/>
      <w:r w:rsidRPr="00424D76">
        <w:rPr>
          <w:rFonts w:ascii="Arial Narrow" w:hAnsi="Arial Narrow"/>
          <w:b/>
          <w:bCs/>
          <w:sz w:val="24"/>
          <w:szCs w:val="24"/>
          <w:lang w:val="en-US"/>
        </w:rPr>
        <w:t>Cilj</w:t>
      </w:r>
      <w:proofErr w:type="spellEnd"/>
      <w:r w:rsidRPr="00424D76">
        <w:rPr>
          <w:rFonts w:ascii="Arial Narrow" w:hAnsi="Arial Narrow"/>
          <w:b/>
          <w:bCs/>
          <w:sz w:val="24"/>
          <w:szCs w:val="24"/>
          <w:lang w:val="en-US"/>
        </w:rPr>
        <w:t xml:space="preserve"> </w:t>
      </w:r>
      <w:r>
        <w:rPr>
          <w:rFonts w:ascii="Arial Narrow" w:hAnsi="Arial Narrow"/>
          <w:b/>
          <w:bCs/>
          <w:sz w:val="24"/>
          <w:szCs w:val="24"/>
          <w:lang w:val="en-US"/>
        </w:rPr>
        <w:t>2.</w:t>
      </w:r>
      <w:r w:rsidRPr="00424D76">
        <w:rPr>
          <w:rFonts w:ascii="Arial Narrow" w:hAnsi="Arial Narrow"/>
          <w:b/>
          <w:bCs/>
          <w:sz w:val="24"/>
          <w:szCs w:val="24"/>
          <w:lang w:val="en-US"/>
        </w:rPr>
        <w:t>1</w:t>
      </w:r>
      <w:r>
        <w:rPr>
          <w:rFonts w:ascii="Arial Narrow" w:hAnsi="Arial Narrow"/>
          <w:b/>
          <w:bCs/>
          <w:sz w:val="24"/>
          <w:szCs w:val="24"/>
          <w:lang w:val="en-US"/>
        </w:rPr>
        <w:t>.</w:t>
      </w:r>
      <w:r w:rsidRPr="00424D76">
        <w:rPr>
          <w:rFonts w:ascii="Arial Narrow" w:hAnsi="Arial Narrow"/>
          <w:b/>
          <w:bCs/>
          <w:sz w:val="24"/>
          <w:szCs w:val="24"/>
          <w:lang w:val="en-US"/>
        </w:rPr>
        <w:tab/>
        <w:t>JAČANJE MAKROEKONOMSKE STABILNOSTI</w:t>
      </w:r>
    </w:p>
    <w:p w14:paraId="112819E4" w14:textId="582A0B4C" w:rsidR="003D6416" w:rsidRPr="009374D6" w:rsidRDefault="003D6416" w:rsidP="003D6416">
      <w:pPr>
        <w:jc w:val="both"/>
        <w:rPr>
          <w:rFonts w:ascii="Arial Narrow" w:hAnsi="Arial Narrow"/>
          <w:b/>
          <w:bCs/>
          <w:sz w:val="24"/>
          <w:szCs w:val="24"/>
          <w:lang w:val="en-US"/>
        </w:rPr>
      </w:pPr>
      <w:r>
        <w:rPr>
          <w:rFonts w:ascii="Arial Narrow" w:hAnsi="Arial Narrow"/>
          <w:sz w:val="24"/>
          <w:szCs w:val="24"/>
          <w:lang w:val="en-US"/>
        </w:rPr>
        <w:t xml:space="preserve">U </w:t>
      </w:r>
      <w:proofErr w:type="spellStart"/>
      <w:r>
        <w:rPr>
          <w:rFonts w:ascii="Arial Narrow" w:hAnsi="Arial Narrow"/>
          <w:sz w:val="24"/>
          <w:szCs w:val="24"/>
          <w:lang w:val="en-US"/>
        </w:rPr>
        <w:t>naredne</w:t>
      </w:r>
      <w:proofErr w:type="spellEnd"/>
      <w:r>
        <w:rPr>
          <w:rFonts w:ascii="Arial Narrow" w:hAnsi="Arial Narrow"/>
          <w:sz w:val="24"/>
          <w:szCs w:val="24"/>
          <w:lang w:val="en-US"/>
        </w:rPr>
        <w:t xml:space="preserve"> tri </w:t>
      </w:r>
      <w:proofErr w:type="spellStart"/>
      <w:r>
        <w:rPr>
          <w:rFonts w:ascii="Arial Narrow" w:hAnsi="Arial Narrow"/>
          <w:sz w:val="24"/>
          <w:szCs w:val="24"/>
          <w:lang w:val="en-US"/>
        </w:rPr>
        <w:t>godine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će</w:t>
      </w:r>
      <w:proofErr w:type="spellEnd"/>
      <w:r>
        <w:rPr>
          <w:rFonts w:ascii="Arial Narrow" w:hAnsi="Arial Narrow"/>
          <w:sz w:val="24"/>
          <w:szCs w:val="24"/>
          <w:lang w:val="en-US"/>
        </w:rPr>
        <w:t xml:space="preserve"> </w:t>
      </w:r>
      <w:proofErr w:type="spellStart"/>
      <w:r w:rsidRPr="00424D76">
        <w:rPr>
          <w:rFonts w:ascii="Arial Narrow" w:hAnsi="Arial Narrow"/>
          <w:b/>
          <w:bCs/>
          <w:sz w:val="24"/>
          <w:szCs w:val="24"/>
          <w:lang w:val="en-US"/>
        </w:rPr>
        <w:t>stopa</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realnog</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rasta</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ekonomije</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iznositi</w:t>
      </w:r>
      <w:proofErr w:type="spellEnd"/>
      <w:r w:rsidRPr="00424D76">
        <w:rPr>
          <w:rFonts w:ascii="Arial Narrow" w:hAnsi="Arial Narrow"/>
          <w:b/>
          <w:bCs/>
          <w:sz w:val="24"/>
          <w:szCs w:val="24"/>
          <w:lang w:val="en-US"/>
        </w:rPr>
        <w:t xml:space="preserve"> 6,4% 2022, 5,1% 2023. </w:t>
      </w:r>
      <w:proofErr w:type="spellStart"/>
      <w:r w:rsidR="003B14BB">
        <w:rPr>
          <w:rFonts w:ascii="Arial Narrow" w:hAnsi="Arial Narrow"/>
          <w:b/>
          <w:bCs/>
          <w:sz w:val="24"/>
          <w:szCs w:val="24"/>
          <w:lang w:val="en-US"/>
        </w:rPr>
        <w:t>i</w:t>
      </w:r>
      <w:proofErr w:type="spellEnd"/>
      <w:r w:rsidRPr="00424D76">
        <w:rPr>
          <w:rFonts w:ascii="Arial Narrow" w:hAnsi="Arial Narrow"/>
          <w:b/>
          <w:bCs/>
          <w:sz w:val="24"/>
          <w:szCs w:val="24"/>
          <w:lang w:val="en-US"/>
        </w:rPr>
        <w:t xml:space="preserve"> 4,5% 2024. </w:t>
      </w:r>
      <w:proofErr w:type="spellStart"/>
      <w:r>
        <w:rPr>
          <w:rFonts w:ascii="Arial Narrow" w:hAnsi="Arial Narrow"/>
          <w:sz w:val="24"/>
          <w:szCs w:val="24"/>
          <w:lang w:val="en-US"/>
        </w:rPr>
        <w:t>godine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Prosječna</w:t>
      </w:r>
      <w:proofErr w:type="spellEnd"/>
      <w:r>
        <w:rPr>
          <w:rFonts w:ascii="Arial Narrow" w:hAnsi="Arial Narrow"/>
          <w:sz w:val="24"/>
          <w:szCs w:val="24"/>
          <w:lang w:val="en-US"/>
        </w:rPr>
        <w:t xml:space="preserve"> </w:t>
      </w:r>
      <w:proofErr w:type="spellStart"/>
      <w:r w:rsidRPr="00424D76">
        <w:rPr>
          <w:rFonts w:ascii="Arial Narrow" w:hAnsi="Arial Narrow"/>
          <w:b/>
          <w:bCs/>
          <w:sz w:val="24"/>
          <w:szCs w:val="24"/>
          <w:lang w:val="en-US"/>
        </w:rPr>
        <w:t>stopa</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inflacije</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će</w:t>
      </w:r>
      <w:proofErr w:type="spellEnd"/>
      <w:r w:rsidRPr="00424D76">
        <w:rPr>
          <w:rFonts w:ascii="Arial Narrow" w:hAnsi="Arial Narrow"/>
          <w:b/>
          <w:bCs/>
          <w:sz w:val="24"/>
          <w:szCs w:val="24"/>
          <w:lang w:val="en-US"/>
        </w:rPr>
        <w:t xml:space="preserve"> se </w:t>
      </w:r>
      <w:proofErr w:type="spellStart"/>
      <w:r w:rsidRPr="00424D76">
        <w:rPr>
          <w:rFonts w:ascii="Arial Narrow" w:hAnsi="Arial Narrow"/>
          <w:b/>
          <w:bCs/>
          <w:sz w:val="24"/>
          <w:szCs w:val="24"/>
          <w:lang w:val="en-US"/>
        </w:rPr>
        <w:t>smanjivati</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postepeno</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sa</w:t>
      </w:r>
      <w:proofErr w:type="spellEnd"/>
      <w:r w:rsidRPr="00424D76">
        <w:rPr>
          <w:rFonts w:ascii="Arial Narrow" w:hAnsi="Arial Narrow"/>
          <w:b/>
          <w:bCs/>
          <w:sz w:val="24"/>
          <w:szCs w:val="24"/>
          <w:lang w:val="en-US"/>
        </w:rPr>
        <w:t xml:space="preserve"> 2,1% u 2021. </w:t>
      </w:r>
      <w:r w:rsidR="003B14BB">
        <w:rPr>
          <w:rFonts w:ascii="Arial Narrow" w:hAnsi="Arial Narrow"/>
          <w:b/>
          <w:bCs/>
          <w:sz w:val="24"/>
          <w:szCs w:val="24"/>
          <w:lang w:val="en-US"/>
        </w:rPr>
        <w:t>d</w:t>
      </w:r>
      <w:r w:rsidRPr="00424D76">
        <w:rPr>
          <w:rFonts w:ascii="Arial Narrow" w:hAnsi="Arial Narrow"/>
          <w:b/>
          <w:bCs/>
          <w:sz w:val="24"/>
          <w:szCs w:val="24"/>
          <w:lang w:val="en-US"/>
        </w:rPr>
        <w:t xml:space="preserve">o 1,6% do </w:t>
      </w:r>
      <w:proofErr w:type="spellStart"/>
      <w:r w:rsidRPr="00424D76">
        <w:rPr>
          <w:rFonts w:ascii="Arial Narrow" w:hAnsi="Arial Narrow"/>
          <w:b/>
          <w:bCs/>
          <w:sz w:val="24"/>
          <w:szCs w:val="24"/>
          <w:lang w:val="en-US"/>
        </w:rPr>
        <w:t>kraja</w:t>
      </w:r>
      <w:proofErr w:type="spellEnd"/>
      <w:r w:rsidRPr="00424D76">
        <w:rPr>
          <w:rFonts w:ascii="Arial Narrow" w:hAnsi="Arial Narrow"/>
          <w:b/>
          <w:bCs/>
          <w:sz w:val="24"/>
          <w:szCs w:val="24"/>
          <w:lang w:val="en-US"/>
        </w:rPr>
        <w:t xml:space="preserve"> 2024</w:t>
      </w:r>
      <w:r>
        <w:rPr>
          <w:rFonts w:ascii="Arial Narrow" w:hAnsi="Arial Narrow"/>
          <w:sz w:val="24"/>
          <w:szCs w:val="24"/>
          <w:lang w:val="en-US"/>
        </w:rPr>
        <w:t xml:space="preserve">, a u </w:t>
      </w:r>
      <w:proofErr w:type="spellStart"/>
      <w:r>
        <w:rPr>
          <w:rFonts w:ascii="Arial Narrow" w:hAnsi="Arial Narrow"/>
          <w:sz w:val="24"/>
          <w:szCs w:val="24"/>
          <w:lang w:val="en-US"/>
        </w:rPr>
        <w:t>ovom</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periodu</w:t>
      </w:r>
      <w:proofErr w:type="spellEnd"/>
      <w:r>
        <w:rPr>
          <w:rFonts w:ascii="Arial Narrow" w:hAnsi="Arial Narrow"/>
          <w:sz w:val="24"/>
          <w:szCs w:val="24"/>
          <w:lang w:val="en-US"/>
        </w:rPr>
        <w:t xml:space="preserve"> je </w:t>
      </w:r>
      <w:proofErr w:type="spellStart"/>
      <w:r>
        <w:rPr>
          <w:rFonts w:ascii="Arial Narrow" w:hAnsi="Arial Narrow"/>
          <w:sz w:val="24"/>
          <w:szCs w:val="24"/>
          <w:lang w:val="en-US"/>
        </w:rPr>
        <w:t>projektovan</w:t>
      </w:r>
      <w:proofErr w:type="spellEnd"/>
      <w:r>
        <w:rPr>
          <w:rFonts w:ascii="Arial Narrow" w:hAnsi="Arial Narrow"/>
          <w:sz w:val="24"/>
          <w:szCs w:val="24"/>
          <w:lang w:val="en-US"/>
        </w:rPr>
        <w:t xml:space="preserve"> </w:t>
      </w:r>
      <w:proofErr w:type="spellStart"/>
      <w:r w:rsidRPr="00424D76">
        <w:rPr>
          <w:rFonts w:ascii="Arial Narrow" w:hAnsi="Arial Narrow"/>
          <w:b/>
          <w:bCs/>
          <w:sz w:val="24"/>
          <w:szCs w:val="24"/>
          <w:lang w:val="en-US"/>
        </w:rPr>
        <w:t>rast</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prosječnog</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broja</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zaposelnih</w:t>
      </w:r>
      <w:proofErr w:type="spellEnd"/>
      <w:r w:rsidRPr="00424D76">
        <w:rPr>
          <w:rFonts w:ascii="Arial Narrow" w:hAnsi="Arial Narrow"/>
          <w:b/>
          <w:bCs/>
          <w:sz w:val="24"/>
          <w:szCs w:val="24"/>
          <w:lang w:val="en-US"/>
        </w:rPr>
        <w:t xml:space="preserve"> za 3,3%, </w:t>
      </w:r>
      <w:proofErr w:type="spellStart"/>
      <w:r w:rsidRPr="00424D76">
        <w:rPr>
          <w:rFonts w:ascii="Arial Narrow" w:hAnsi="Arial Narrow"/>
          <w:b/>
          <w:bCs/>
          <w:sz w:val="24"/>
          <w:szCs w:val="24"/>
          <w:lang w:val="en-US"/>
        </w:rPr>
        <w:t>od</w:t>
      </w:r>
      <w:proofErr w:type="spellEnd"/>
      <w:r w:rsidRPr="00424D76">
        <w:rPr>
          <w:rFonts w:ascii="Arial Narrow" w:hAnsi="Arial Narrow"/>
          <w:b/>
          <w:bCs/>
          <w:sz w:val="24"/>
          <w:szCs w:val="24"/>
          <w:lang w:val="en-US"/>
        </w:rPr>
        <w:t xml:space="preserve"> </w:t>
      </w:r>
      <w:proofErr w:type="spellStart"/>
      <w:r w:rsidRPr="00424D76">
        <w:rPr>
          <w:rFonts w:ascii="Arial Narrow" w:hAnsi="Arial Narrow"/>
          <w:b/>
          <w:bCs/>
          <w:sz w:val="24"/>
          <w:szCs w:val="24"/>
          <w:lang w:val="en-US"/>
        </w:rPr>
        <w:t>trenutno</w:t>
      </w:r>
      <w:proofErr w:type="spellEnd"/>
      <w:r w:rsidRPr="00424D76">
        <w:rPr>
          <w:rFonts w:ascii="Arial Narrow" w:hAnsi="Arial Narrow"/>
          <w:b/>
          <w:bCs/>
          <w:sz w:val="24"/>
          <w:szCs w:val="24"/>
          <w:lang w:val="en-US"/>
        </w:rPr>
        <w:t xml:space="preserve"> 230.000.</w:t>
      </w:r>
    </w:p>
    <w:p w14:paraId="4A75FB19" w14:textId="77777777" w:rsidR="003D6416" w:rsidRPr="009374D6" w:rsidRDefault="003D6416" w:rsidP="003D6416">
      <w:pPr>
        <w:jc w:val="both"/>
        <w:rPr>
          <w:rFonts w:ascii="Arial Narrow" w:hAnsi="Arial Narrow"/>
          <w:b/>
          <w:bCs/>
          <w:sz w:val="24"/>
          <w:szCs w:val="24"/>
          <w:lang w:val="en-US"/>
        </w:rPr>
      </w:pPr>
      <w:proofErr w:type="spellStart"/>
      <w:r w:rsidRPr="009374D6">
        <w:rPr>
          <w:rFonts w:ascii="Arial Narrow" w:hAnsi="Arial Narrow"/>
          <w:b/>
          <w:bCs/>
          <w:sz w:val="24"/>
          <w:szCs w:val="24"/>
          <w:lang w:val="en-US"/>
        </w:rPr>
        <w:t>Cilj</w:t>
      </w:r>
      <w:proofErr w:type="spellEnd"/>
      <w:r w:rsidRPr="009374D6">
        <w:rPr>
          <w:rFonts w:ascii="Arial Narrow" w:hAnsi="Arial Narrow"/>
          <w:b/>
          <w:bCs/>
          <w:sz w:val="24"/>
          <w:szCs w:val="24"/>
          <w:lang w:val="en-US"/>
        </w:rPr>
        <w:t xml:space="preserve"> 2.2.</w:t>
      </w:r>
      <w:r w:rsidRPr="009374D6">
        <w:rPr>
          <w:rFonts w:ascii="Arial Narrow" w:hAnsi="Arial Narrow"/>
          <w:b/>
          <w:bCs/>
          <w:sz w:val="24"/>
          <w:szCs w:val="24"/>
          <w:lang w:val="en-US"/>
        </w:rPr>
        <w:tab/>
        <w:t>UNAPREĐENJE FISKALNE ODRŽIVOSTI</w:t>
      </w:r>
    </w:p>
    <w:p w14:paraId="2B2EBB8F" w14:textId="77777777" w:rsidR="003D6416" w:rsidRDefault="003D6416" w:rsidP="003D6416">
      <w:pPr>
        <w:jc w:val="both"/>
        <w:rPr>
          <w:rFonts w:ascii="Arial Narrow" w:hAnsi="Arial Narrow"/>
          <w:b/>
          <w:bCs/>
          <w:sz w:val="24"/>
          <w:szCs w:val="24"/>
          <w:lang w:val="en-US"/>
        </w:rPr>
      </w:pPr>
      <w:r>
        <w:rPr>
          <w:rFonts w:ascii="Arial Narrow" w:hAnsi="Arial Narrow"/>
          <w:sz w:val="24"/>
          <w:szCs w:val="24"/>
          <w:lang w:val="en-US"/>
        </w:rPr>
        <w:t xml:space="preserve">Kao </w:t>
      </w:r>
      <w:proofErr w:type="spellStart"/>
      <w:r>
        <w:rPr>
          <w:rFonts w:ascii="Arial Narrow" w:hAnsi="Arial Narrow"/>
          <w:sz w:val="24"/>
          <w:szCs w:val="24"/>
          <w:lang w:val="en-US"/>
        </w:rPr>
        <w:t>osnovu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fiskalne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održivosti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odnos</w:t>
      </w:r>
      <w:proofErr w:type="spellEnd"/>
      <w:r>
        <w:rPr>
          <w:rFonts w:ascii="Arial Narrow" w:hAnsi="Arial Narrow"/>
          <w:sz w:val="24"/>
          <w:szCs w:val="24"/>
          <w:lang w:val="en-US"/>
        </w:rPr>
        <w:t xml:space="preserve"> </w:t>
      </w:r>
      <w:proofErr w:type="spellStart"/>
      <w:r w:rsidRPr="00A84205">
        <w:rPr>
          <w:rFonts w:ascii="Arial Narrow" w:hAnsi="Arial Narrow"/>
          <w:b/>
          <w:bCs/>
          <w:sz w:val="24"/>
          <w:szCs w:val="24"/>
          <w:lang w:val="en-US"/>
        </w:rPr>
        <w:t>budžetskog</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deficita</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i</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suficita</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će</w:t>
      </w:r>
      <w:proofErr w:type="spellEnd"/>
      <w:r w:rsidRPr="00A84205">
        <w:rPr>
          <w:rFonts w:ascii="Arial Narrow" w:hAnsi="Arial Narrow"/>
          <w:b/>
          <w:bCs/>
          <w:sz w:val="24"/>
          <w:szCs w:val="24"/>
          <w:lang w:val="en-US"/>
        </w:rPr>
        <w:t xml:space="preserve"> do 2024. </w:t>
      </w:r>
      <w:proofErr w:type="spellStart"/>
      <w:r w:rsidRPr="00A84205">
        <w:rPr>
          <w:rFonts w:ascii="Arial Narrow" w:hAnsi="Arial Narrow"/>
          <w:b/>
          <w:bCs/>
          <w:sz w:val="24"/>
          <w:szCs w:val="24"/>
          <w:lang w:val="en-US"/>
        </w:rPr>
        <w:t>godine</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iznostit</w:t>
      </w:r>
      <w:proofErr w:type="spellEnd"/>
      <w:r w:rsidRPr="00A84205">
        <w:rPr>
          <w:rFonts w:ascii="Arial Narrow" w:hAnsi="Arial Narrow"/>
          <w:b/>
          <w:bCs/>
          <w:sz w:val="24"/>
          <w:szCs w:val="24"/>
          <w:lang w:val="en-US"/>
        </w:rPr>
        <w:t xml:space="preserve"> 1.2 </w:t>
      </w:r>
      <w:proofErr w:type="spellStart"/>
      <w:r w:rsidRPr="00A84205">
        <w:rPr>
          <w:rFonts w:ascii="Arial Narrow" w:hAnsi="Arial Narrow"/>
          <w:b/>
          <w:bCs/>
          <w:sz w:val="24"/>
          <w:szCs w:val="24"/>
          <w:lang w:val="en-US"/>
        </w:rPr>
        <w:t>miliona</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eura</w:t>
      </w:r>
      <w:proofErr w:type="spellEnd"/>
      <w:r w:rsidRPr="00A84205">
        <w:rPr>
          <w:rFonts w:ascii="Arial Narrow" w:hAnsi="Arial Narrow"/>
          <w:b/>
          <w:bCs/>
          <w:sz w:val="24"/>
          <w:szCs w:val="24"/>
          <w:lang w:val="en-US"/>
        </w:rPr>
        <w:t xml:space="preserve">, a </w:t>
      </w:r>
      <w:proofErr w:type="spellStart"/>
      <w:r w:rsidRPr="00A84205">
        <w:rPr>
          <w:rFonts w:ascii="Arial Narrow" w:hAnsi="Arial Narrow"/>
          <w:b/>
          <w:bCs/>
          <w:sz w:val="24"/>
          <w:szCs w:val="24"/>
          <w:lang w:val="en-US"/>
        </w:rPr>
        <w:t>učešće</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javnog</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duga</w:t>
      </w:r>
      <w:proofErr w:type="spellEnd"/>
      <w:r w:rsidRPr="00A84205">
        <w:rPr>
          <w:rFonts w:ascii="Arial Narrow" w:hAnsi="Arial Narrow"/>
          <w:b/>
          <w:bCs/>
          <w:sz w:val="24"/>
          <w:szCs w:val="24"/>
          <w:lang w:val="en-US"/>
        </w:rPr>
        <w:t xml:space="preserve"> u BDP-u </w:t>
      </w:r>
      <w:proofErr w:type="spellStart"/>
      <w:r w:rsidRPr="00A84205">
        <w:rPr>
          <w:rFonts w:ascii="Arial Narrow" w:hAnsi="Arial Narrow"/>
          <w:b/>
          <w:bCs/>
          <w:sz w:val="24"/>
          <w:szCs w:val="24"/>
          <w:lang w:val="en-US"/>
        </w:rPr>
        <w:t>konstatno</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smanjeno</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na</w:t>
      </w:r>
      <w:proofErr w:type="spellEnd"/>
      <w:r w:rsidRPr="00A84205">
        <w:rPr>
          <w:rFonts w:ascii="Arial Narrow" w:hAnsi="Arial Narrow"/>
          <w:b/>
          <w:bCs/>
          <w:sz w:val="24"/>
          <w:szCs w:val="24"/>
          <w:lang w:val="en-US"/>
        </w:rPr>
        <w:t xml:space="preserve"> 67,6%.</w:t>
      </w:r>
    </w:p>
    <w:p w14:paraId="3ADE2FBF" w14:textId="77777777" w:rsidR="003D6416" w:rsidRPr="009374D6" w:rsidRDefault="003D6416" w:rsidP="003D6416">
      <w:pPr>
        <w:jc w:val="both"/>
        <w:rPr>
          <w:rFonts w:ascii="Arial Narrow" w:hAnsi="Arial Narrow"/>
          <w:b/>
          <w:bCs/>
          <w:sz w:val="24"/>
          <w:szCs w:val="24"/>
          <w:lang w:val="en-US"/>
        </w:rPr>
      </w:pPr>
      <w:proofErr w:type="spellStart"/>
      <w:r w:rsidRPr="009374D6">
        <w:rPr>
          <w:rFonts w:ascii="Arial Narrow" w:hAnsi="Arial Narrow"/>
          <w:b/>
          <w:bCs/>
          <w:sz w:val="24"/>
          <w:szCs w:val="24"/>
          <w:lang w:val="en-US"/>
        </w:rPr>
        <w:t>Cilj</w:t>
      </w:r>
      <w:proofErr w:type="spellEnd"/>
      <w:r w:rsidRPr="009374D6">
        <w:rPr>
          <w:rFonts w:ascii="Arial Narrow" w:hAnsi="Arial Narrow"/>
          <w:b/>
          <w:bCs/>
          <w:sz w:val="24"/>
          <w:szCs w:val="24"/>
          <w:lang w:val="en-US"/>
        </w:rPr>
        <w:t xml:space="preserve"> 2.3.</w:t>
      </w:r>
      <w:r w:rsidRPr="009374D6">
        <w:rPr>
          <w:rFonts w:ascii="Arial Narrow" w:hAnsi="Arial Narrow"/>
          <w:b/>
          <w:bCs/>
          <w:sz w:val="24"/>
          <w:szCs w:val="24"/>
          <w:lang w:val="en-US"/>
        </w:rPr>
        <w:tab/>
        <w:t>JAČANJE INVESTICIONIH AKTIVNOSTI U SEKTORU TURIZMA</w:t>
      </w:r>
    </w:p>
    <w:p w14:paraId="78DA8135" w14:textId="77777777" w:rsidR="003D6416" w:rsidRDefault="003D6416" w:rsidP="003D6416">
      <w:pPr>
        <w:jc w:val="both"/>
        <w:rPr>
          <w:rFonts w:ascii="Arial Narrow" w:hAnsi="Arial Narrow"/>
          <w:b/>
          <w:bCs/>
          <w:sz w:val="24"/>
          <w:szCs w:val="24"/>
          <w:lang w:val="en-US"/>
        </w:rPr>
      </w:pPr>
      <w:proofErr w:type="spellStart"/>
      <w:r>
        <w:rPr>
          <w:rFonts w:ascii="Arial Narrow" w:hAnsi="Arial Narrow"/>
          <w:sz w:val="24"/>
          <w:szCs w:val="24"/>
          <w:lang w:val="en-US"/>
        </w:rPr>
        <w:t>Turizam</w:t>
      </w:r>
      <w:proofErr w:type="spellEnd"/>
      <w:r>
        <w:rPr>
          <w:rFonts w:ascii="Arial Narrow" w:hAnsi="Arial Narrow"/>
          <w:sz w:val="24"/>
          <w:szCs w:val="24"/>
          <w:lang w:val="en-US"/>
        </w:rPr>
        <w:t xml:space="preserve"> je </w:t>
      </w:r>
      <w:proofErr w:type="spellStart"/>
      <w:r>
        <w:rPr>
          <w:rFonts w:ascii="Arial Narrow" w:hAnsi="Arial Narrow"/>
          <w:sz w:val="24"/>
          <w:szCs w:val="24"/>
          <w:lang w:val="en-US"/>
        </w:rPr>
        <w:t>jedna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od</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strateških</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privrednih</w:t>
      </w:r>
      <w:proofErr w:type="spellEnd"/>
      <w:r>
        <w:rPr>
          <w:rFonts w:ascii="Arial Narrow" w:hAnsi="Arial Narrow"/>
          <w:sz w:val="24"/>
          <w:szCs w:val="24"/>
          <w:lang w:val="en-US"/>
        </w:rPr>
        <w:t xml:space="preserve"> grana u </w:t>
      </w:r>
      <w:proofErr w:type="spellStart"/>
      <w:r>
        <w:rPr>
          <w:rFonts w:ascii="Arial Narrow" w:hAnsi="Arial Narrow"/>
          <w:sz w:val="24"/>
          <w:szCs w:val="24"/>
          <w:lang w:val="en-US"/>
        </w:rPr>
        <w:t>Crnoj</w:t>
      </w:r>
      <w:proofErr w:type="spellEnd"/>
      <w:r>
        <w:rPr>
          <w:rFonts w:ascii="Arial Narrow" w:hAnsi="Arial Narrow"/>
          <w:sz w:val="24"/>
          <w:szCs w:val="24"/>
          <w:lang w:val="en-US"/>
        </w:rPr>
        <w:t xml:space="preserve"> Gori </w:t>
      </w:r>
      <w:proofErr w:type="spellStart"/>
      <w:r>
        <w:rPr>
          <w:rFonts w:ascii="Arial Narrow" w:hAnsi="Arial Narrow"/>
          <w:sz w:val="24"/>
          <w:szCs w:val="24"/>
          <w:lang w:val="en-US"/>
        </w:rPr>
        <w: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svako</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ulaganje</w:t>
      </w:r>
      <w:proofErr w:type="spellEnd"/>
      <w:r>
        <w:rPr>
          <w:rFonts w:ascii="Arial Narrow" w:hAnsi="Arial Narrow"/>
          <w:sz w:val="24"/>
          <w:szCs w:val="24"/>
          <w:lang w:val="en-US"/>
        </w:rPr>
        <w:t xml:space="preserve"> u </w:t>
      </w:r>
      <w:proofErr w:type="spellStart"/>
      <w:r>
        <w:rPr>
          <w:rFonts w:ascii="Arial Narrow" w:hAnsi="Arial Narrow"/>
          <w:sz w:val="24"/>
          <w:szCs w:val="24"/>
          <w:lang w:val="en-US"/>
        </w:rPr>
        <w:t>ovaj</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sektor</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može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dovesti</w:t>
      </w:r>
      <w:proofErr w:type="spellEnd"/>
      <w:r>
        <w:rPr>
          <w:rFonts w:ascii="Arial Narrow" w:hAnsi="Arial Narrow"/>
          <w:sz w:val="24"/>
          <w:szCs w:val="24"/>
          <w:lang w:val="en-US"/>
        </w:rPr>
        <w:t xml:space="preserve"> do </w:t>
      </w:r>
      <w:proofErr w:type="spellStart"/>
      <w:r>
        <w:rPr>
          <w:rFonts w:ascii="Arial Narrow" w:hAnsi="Arial Narrow"/>
          <w:sz w:val="24"/>
          <w:szCs w:val="24"/>
          <w:lang w:val="en-US"/>
        </w:rPr>
        <w:t>boljitka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i</w:t>
      </w:r>
      <w:proofErr w:type="spellEnd"/>
      <w:r>
        <w:rPr>
          <w:rFonts w:ascii="Arial Narrow" w:hAnsi="Arial Narrow"/>
          <w:sz w:val="24"/>
          <w:szCs w:val="24"/>
          <w:lang w:val="en-US"/>
        </w:rPr>
        <w:t xml:space="preserve"> u </w:t>
      </w:r>
      <w:proofErr w:type="spellStart"/>
      <w:r>
        <w:rPr>
          <w:rFonts w:ascii="Arial Narrow" w:hAnsi="Arial Narrow"/>
          <w:sz w:val="24"/>
          <w:szCs w:val="24"/>
          <w:lang w:val="en-US"/>
        </w:rPr>
        <w:t>ostalim</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društvenim</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sferama</w:t>
      </w:r>
      <w:proofErr w:type="spellEnd"/>
      <w:r>
        <w:rPr>
          <w:rFonts w:ascii="Arial Narrow" w:hAnsi="Arial Narrow"/>
          <w:sz w:val="24"/>
          <w:szCs w:val="24"/>
          <w:lang w:val="en-US"/>
        </w:rPr>
        <w:t xml:space="preserve">. Do </w:t>
      </w:r>
      <w:proofErr w:type="spellStart"/>
      <w:r>
        <w:rPr>
          <w:rFonts w:ascii="Arial Narrow" w:hAnsi="Arial Narrow"/>
          <w:sz w:val="24"/>
          <w:szCs w:val="24"/>
          <w:lang w:val="en-US"/>
        </w:rPr>
        <w:t>kraja</w:t>
      </w:r>
      <w:proofErr w:type="spellEnd"/>
      <w:r>
        <w:rPr>
          <w:rFonts w:ascii="Arial Narrow" w:hAnsi="Arial Narrow"/>
          <w:sz w:val="24"/>
          <w:szCs w:val="24"/>
          <w:lang w:val="en-US"/>
        </w:rPr>
        <w:t xml:space="preserve"> 2024. </w:t>
      </w:r>
      <w:proofErr w:type="spellStart"/>
      <w:r>
        <w:rPr>
          <w:rFonts w:ascii="Arial Narrow" w:hAnsi="Arial Narrow"/>
          <w:sz w:val="24"/>
          <w:szCs w:val="24"/>
          <w:lang w:val="en-US"/>
        </w:rPr>
        <w:t>godine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će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biti</w:t>
      </w:r>
      <w:proofErr w:type="spellEnd"/>
      <w:r>
        <w:rPr>
          <w:rFonts w:ascii="Arial Narrow" w:hAnsi="Arial Narrow"/>
          <w:sz w:val="24"/>
          <w:szCs w:val="24"/>
          <w:lang w:val="en-US"/>
        </w:rPr>
        <w:t xml:space="preserve"> </w:t>
      </w:r>
      <w:r w:rsidRPr="007F4315">
        <w:rPr>
          <w:rFonts w:ascii="Arial Narrow" w:hAnsi="Arial Narrow"/>
          <w:b/>
          <w:bCs/>
          <w:sz w:val="24"/>
          <w:szCs w:val="24"/>
          <w:lang w:val="en-US"/>
        </w:rPr>
        <w:t xml:space="preserve">13 </w:t>
      </w:r>
      <w:proofErr w:type="spellStart"/>
      <w:r w:rsidRPr="007F4315">
        <w:rPr>
          <w:rFonts w:ascii="Arial Narrow" w:hAnsi="Arial Narrow"/>
          <w:b/>
          <w:bCs/>
          <w:sz w:val="24"/>
          <w:szCs w:val="24"/>
          <w:lang w:val="en-US"/>
        </w:rPr>
        <w:t>hotelskih</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kompleksa</w:t>
      </w:r>
      <w:proofErr w:type="spellEnd"/>
      <w:r>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sa</w:t>
      </w:r>
      <w:proofErr w:type="spellEnd"/>
      <w:r w:rsidRPr="009374D6">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List</w:t>
      </w:r>
      <w:r>
        <w:rPr>
          <w:rFonts w:ascii="Arial Narrow" w:hAnsi="Arial Narrow"/>
          <w:b/>
          <w:bCs/>
          <w:sz w:val="24"/>
          <w:szCs w:val="24"/>
          <w:lang w:val="en-US"/>
        </w:rPr>
        <w:t>e</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razvojnih</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projekata</w:t>
      </w:r>
      <w:proofErr w:type="spellEnd"/>
      <w:r w:rsidRPr="00A84205">
        <w:rPr>
          <w:rFonts w:ascii="Arial Narrow" w:hAnsi="Arial Narrow"/>
          <w:b/>
          <w:bCs/>
          <w:sz w:val="24"/>
          <w:szCs w:val="24"/>
          <w:lang w:val="en-US"/>
        </w:rPr>
        <w:t xml:space="preserve"> u </w:t>
      </w:r>
      <w:proofErr w:type="spellStart"/>
      <w:r w:rsidRPr="00A84205">
        <w:rPr>
          <w:rFonts w:ascii="Arial Narrow" w:hAnsi="Arial Narrow"/>
          <w:b/>
          <w:bCs/>
          <w:sz w:val="24"/>
          <w:szCs w:val="24"/>
          <w:lang w:val="en-US"/>
        </w:rPr>
        <w:t>oblasti</w:t>
      </w:r>
      <w:proofErr w:type="spellEnd"/>
      <w:r w:rsidRPr="00A84205">
        <w:rPr>
          <w:rFonts w:ascii="Arial Narrow" w:hAnsi="Arial Narrow"/>
          <w:b/>
          <w:bCs/>
          <w:sz w:val="24"/>
          <w:szCs w:val="24"/>
          <w:lang w:val="en-US"/>
        </w:rPr>
        <w:t xml:space="preserve"> </w:t>
      </w:r>
      <w:proofErr w:type="spellStart"/>
      <w:r w:rsidRPr="00A84205">
        <w:rPr>
          <w:rFonts w:ascii="Arial Narrow" w:hAnsi="Arial Narrow"/>
          <w:b/>
          <w:bCs/>
          <w:sz w:val="24"/>
          <w:szCs w:val="24"/>
          <w:lang w:val="en-US"/>
        </w:rPr>
        <w:t>turizma</w:t>
      </w:r>
      <w:proofErr w:type="spellEnd"/>
      <w:r>
        <w:rPr>
          <w:rFonts w:ascii="Arial Narrow" w:hAnsi="Arial Narrow"/>
          <w:b/>
          <w:bCs/>
          <w:sz w:val="24"/>
          <w:szCs w:val="24"/>
          <w:lang w:val="en-US"/>
        </w:rPr>
        <w:t xml:space="preserve">, koji </w:t>
      </w:r>
      <w:proofErr w:type="spellStart"/>
      <w:r>
        <w:rPr>
          <w:rFonts w:ascii="Arial Narrow" w:hAnsi="Arial Narrow"/>
          <w:b/>
          <w:bCs/>
          <w:sz w:val="24"/>
          <w:szCs w:val="24"/>
          <w:lang w:val="en-US"/>
        </w:rPr>
        <w:t>su</w:t>
      </w:r>
      <w:proofErr w:type="spellEnd"/>
      <w:r>
        <w:rPr>
          <w:rFonts w:ascii="Arial Narrow" w:hAnsi="Arial Narrow"/>
          <w:b/>
          <w:bCs/>
          <w:sz w:val="24"/>
          <w:szCs w:val="24"/>
          <w:lang w:val="en-US"/>
        </w:rPr>
        <w:t xml:space="preserve"> od </w:t>
      </w:r>
      <w:proofErr w:type="spellStart"/>
      <w:r>
        <w:rPr>
          <w:rFonts w:ascii="Arial Narrow" w:hAnsi="Arial Narrow"/>
          <w:b/>
          <w:bCs/>
          <w:sz w:val="24"/>
          <w:szCs w:val="24"/>
          <w:lang w:val="en-US"/>
        </w:rPr>
        <w:t>privrednog</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ekonomskog</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značaja</w:t>
      </w:r>
      <w:proofErr w:type="spellEnd"/>
      <w:r>
        <w:rPr>
          <w:rFonts w:ascii="Arial Narrow" w:hAnsi="Arial Narrow"/>
          <w:b/>
          <w:bCs/>
          <w:sz w:val="24"/>
          <w:szCs w:val="24"/>
          <w:lang w:val="en-US"/>
        </w:rPr>
        <w:t xml:space="preserve"> za </w:t>
      </w:r>
      <w:proofErr w:type="spellStart"/>
      <w:r>
        <w:rPr>
          <w:rFonts w:ascii="Arial Narrow" w:hAnsi="Arial Narrow"/>
          <w:b/>
          <w:bCs/>
          <w:sz w:val="24"/>
          <w:szCs w:val="24"/>
          <w:lang w:val="en-US"/>
        </w:rPr>
        <w:t>Crnu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Goru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investicije</w:t>
      </w:r>
      <w:proofErr w:type="spellEnd"/>
      <w:r>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iz</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privatnog</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sektora</w:t>
      </w:r>
      <w:proofErr w:type="spellEnd"/>
      <w:r w:rsidRPr="009374D6">
        <w:rPr>
          <w:rFonts w:ascii="Arial Narrow" w:hAnsi="Arial Narrow"/>
          <w:b/>
          <w:bCs/>
          <w:sz w:val="24"/>
          <w:szCs w:val="24"/>
          <w:lang w:val="en-US"/>
        </w:rPr>
        <w:t xml:space="preserve"> u </w:t>
      </w:r>
      <w:proofErr w:type="spellStart"/>
      <w:r w:rsidRPr="009374D6">
        <w:rPr>
          <w:rFonts w:ascii="Arial Narrow" w:hAnsi="Arial Narrow"/>
          <w:b/>
          <w:bCs/>
          <w:sz w:val="24"/>
          <w:szCs w:val="24"/>
          <w:lang w:val="en-US"/>
        </w:rPr>
        <w:t>oblasti</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turizma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porasti</w:t>
      </w:r>
      <w:proofErr w:type="spellEnd"/>
      <w:r>
        <w:rPr>
          <w:rFonts w:ascii="Arial Narrow" w:hAnsi="Arial Narrow"/>
          <w:b/>
          <w:bCs/>
          <w:sz w:val="24"/>
          <w:szCs w:val="24"/>
          <w:lang w:val="en-US"/>
        </w:rPr>
        <w:t xml:space="preserve"> za 7% (</w:t>
      </w:r>
      <w:r w:rsidRPr="009374D6">
        <w:rPr>
          <w:rFonts w:ascii="Arial Narrow" w:hAnsi="Arial Narrow"/>
          <w:b/>
          <w:bCs/>
          <w:sz w:val="24"/>
          <w:szCs w:val="24"/>
          <w:lang w:val="en-US"/>
        </w:rPr>
        <w:t xml:space="preserve">1,86 </w:t>
      </w:r>
      <w:proofErr w:type="spellStart"/>
      <w:r w:rsidRPr="009374D6">
        <w:rPr>
          <w:rFonts w:ascii="Arial Narrow" w:hAnsi="Arial Narrow"/>
          <w:b/>
          <w:bCs/>
          <w:sz w:val="24"/>
          <w:szCs w:val="24"/>
          <w:lang w:val="en-US"/>
        </w:rPr>
        <w:t>milijardi</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eura</w:t>
      </w:r>
      <w:proofErr w:type="spellEnd"/>
      <w:r>
        <w:rPr>
          <w:rFonts w:ascii="Arial Narrow" w:hAnsi="Arial Narrow"/>
          <w:b/>
          <w:bCs/>
          <w:sz w:val="24"/>
          <w:szCs w:val="24"/>
          <w:lang w:val="en-US"/>
        </w:rPr>
        <w:t xml:space="preserve"> 2021). </w:t>
      </w:r>
      <w:proofErr w:type="spellStart"/>
      <w:r w:rsidRPr="007F4315">
        <w:rPr>
          <w:rFonts w:ascii="Arial Narrow" w:hAnsi="Arial Narrow"/>
          <w:sz w:val="24"/>
          <w:szCs w:val="24"/>
          <w:lang w:val="en-US"/>
        </w:rPr>
        <w:t>Dodatno</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biće</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povećan</w:t>
      </w:r>
      <w:proofErr w:type="spellEnd"/>
      <w:r w:rsidRPr="007F4315">
        <w:rPr>
          <w:rFonts w:ascii="Arial Narrow" w:hAnsi="Arial Narrow"/>
          <w:sz w:val="24"/>
          <w:szCs w:val="24"/>
          <w:lang w:val="en-US"/>
        </w:rPr>
        <w:t xml:space="preserve"> </w:t>
      </w:r>
      <w:proofErr w:type="spellStart"/>
      <w:r>
        <w:rPr>
          <w:rFonts w:ascii="Arial Narrow" w:hAnsi="Arial Narrow"/>
          <w:b/>
          <w:bCs/>
          <w:sz w:val="24"/>
          <w:szCs w:val="24"/>
          <w:lang w:val="en-US"/>
        </w:rPr>
        <w:t>b</w:t>
      </w:r>
      <w:r w:rsidRPr="009374D6">
        <w:rPr>
          <w:rFonts w:ascii="Arial Narrow" w:hAnsi="Arial Narrow"/>
          <w:b/>
          <w:bCs/>
          <w:sz w:val="24"/>
          <w:szCs w:val="24"/>
          <w:lang w:val="en-US"/>
        </w:rPr>
        <w:t>roj</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otvorenih</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turističkih</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objekata</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od</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kapitalnog</w:t>
      </w:r>
      <w:proofErr w:type="spellEnd"/>
      <w:r w:rsidRPr="009374D6">
        <w:rPr>
          <w:rFonts w:ascii="Arial Narrow" w:hAnsi="Arial Narrow"/>
          <w:b/>
          <w:bCs/>
          <w:sz w:val="24"/>
          <w:szCs w:val="24"/>
          <w:lang w:val="en-US"/>
        </w:rPr>
        <w:t xml:space="preserve"> </w:t>
      </w:r>
      <w:proofErr w:type="spellStart"/>
      <w:r w:rsidRPr="009374D6">
        <w:rPr>
          <w:rFonts w:ascii="Arial Narrow" w:hAnsi="Arial Narrow"/>
          <w:b/>
          <w:bCs/>
          <w:sz w:val="24"/>
          <w:szCs w:val="24"/>
          <w:lang w:val="en-US"/>
        </w:rPr>
        <w:t>značaj</w:t>
      </w:r>
      <w:r>
        <w:rPr>
          <w:rFonts w:ascii="Arial Narrow" w:hAnsi="Arial Narrow"/>
          <w:b/>
          <w:bCs/>
          <w:sz w:val="24"/>
          <w:szCs w:val="24"/>
          <w:lang w:val="en-US"/>
        </w:rPr>
        <w:t>a</w:t>
      </w:r>
      <w:proofErr w:type="spellEnd"/>
      <w:r>
        <w:rPr>
          <w:rFonts w:ascii="Arial Narrow" w:hAnsi="Arial Narrow"/>
          <w:b/>
          <w:bCs/>
          <w:sz w:val="24"/>
          <w:szCs w:val="24"/>
          <w:lang w:val="en-US"/>
        </w:rPr>
        <w:t xml:space="preserve"> – </w:t>
      </w:r>
      <w:r w:rsidRPr="007F4315">
        <w:rPr>
          <w:rFonts w:ascii="Arial Narrow" w:hAnsi="Arial Narrow"/>
          <w:sz w:val="24"/>
          <w:szCs w:val="24"/>
          <w:lang w:val="en-US"/>
        </w:rPr>
        <w:t xml:space="preserve">u 2022. </w:t>
      </w:r>
      <w:proofErr w:type="spellStart"/>
      <w:r w:rsidRPr="007F4315">
        <w:rPr>
          <w:rFonts w:ascii="Arial Narrow" w:hAnsi="Arial Narrow"/>
          <w:sz w:val="24"/>
          <w:szCs w:val="24"/>
          <w:lang w:val="en-US"/>
        </w:rPr>
        <w:t>će</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biti</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nastavljena</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gradnja</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na</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skijalištima</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Kolašin</w:t>
      </w:r>
      <w:proofErr w:type="spellEnd"/>
      <w:r w:rsidRPr="007F4315">
        <w:rPr>
          <w:rFonts w:ascii="Arial Narrow" w:hAnsi="Arial Narrow"/>
          <w:sz w:val="24"/>
          <w:szCs w:val="24"/>
          <w:lang w:val="en-US"/>
        </w:rPr>
        <w:t xml:space="preserve"> 1600, </w:t>
      </w:r>
      <w:proofErr w:type="spellStart"/>
      <w:r w:rsidRPr="007F4315">
        <w:rPr>
          <w:rFonts w:ascii="Arial Narrow" w:hAnsi="Arial Narrow"/>
          <w:sz w:val="24"/>
          <w:szCs w:val="24"/>
          <w:lang w:val="en-US"/>
        </w:rPr>
        <w:t>Žarski</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Cmiljača</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Savin</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kuk</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i</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Štedim-Hajla</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koja</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uključuje</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žičare</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skijaške</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staze</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bazne</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stanice</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pristupne</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puteve</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i</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prateću</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infrastrukturu</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kao</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i</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sistem</w:t>
      </w:r>
      <w:proofErr w:type="spellEnd"/>
      <w:r w:rsidRPr="007F4315">
        <w:rPr>
          <w:rFonts w:ascii="Arial Narrow" w:hAnsi="Arial Narrow"/>
          <w:sz w:val="24"/>
          <w:szCs w:val="24"/>
          <w:lang w:val="en-US"/>
        </w:rPr>
        <w:t xml:space="preserve"> za </w:t>
      </w:r>
      <w:proofErr w:type="spellStart"/>
      <w:r w:rsidRPr="007F4315">
        <w:rPr>
          <w:rFonts w:ascii="Arial Narrow" w:hAnsi="Arial Narrow"/>
          <w:sz w:val="24"/>
          <w:szCs w:val="24"/>
          <w:lang w:val="en-US"/>
        </w:rPr>
        <w:t>vještačko</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osnježavanje</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na</w:t>
      </w:r>
      <w:proofErr w:type="spellEnd"/>
      <w:r w:rsidRPr="007F4315">
        <w:rPr>
          <w:rFonts w:ascii="Arial Narrow" w:hAnsi="Arial Narrow"/>
          <w:sz w:val="24"/>
          <w:szCs w:val="24"/>
          <w:lang w:val="en-US"/>
        </w:rPr>
        <w:t xml:space="preserve"> Ski </w:t>
      </w:r>
      <w:proofErr w:type="spellStart"/>
      <w:r w:rsidRPr="007F4315">
        <w:rPr>
          <w:rFonts w:ascii="Arial Narrow" w:hAnsi="Arial Narrow"/>
          <w:sz w:val="24"/>
          <w:szCs w:val="24"/>
          <w:lang w:val="en-US"/>
        </w:rPr>
        <w:t>centru</w:t>
      </w:r>
      <w:proofErr w:type="spellEnd"/>
      <w:r w:rsidRPr="007F4315">
        <w:rPr>
          <w:rFonts w:ascii="Arial Narrow" w:hAnsi="Arial Narrow"/>
          <w:sz w:val="24"/>
          <w:szCs w:val="24"/>
          <w:lang w:val="en-US"/>
        </w:rPr>
        <w:t xml:space="preserve"> </w:t>
      </w:r>
      <w:proofErr w:type="spellStart"/>
      <w:r w:rsidRPr="007F4315">
        <w:rPr>
          <w:rFonts w:ascii="Arial Narrow" w:hAnsi="Arial Narrow"/>
          <w:sz w:val="24"/>
          <w:szCs w:val="24"/>
          <w:lang w:val="en-US"/>
        </w:rPr>
        <w:t>Kolašin</w:t>
      </w:r>
      <w:proofErr w:type="spellEnd"/>
      <w:r w:rsidRPr="007F4315">
        <w:rPr>
          <w:rFonts w:ascii="Arial Narrow" w:hAnsi="Arial Narrow"/>
          <w:sz w:val="24"/>
          <w:szCs w:val="24"/>
          <w:lang w:val="en-US"/>
        </w:rPr>
        <w:t xml:space="preserve"> 1600</w:t>
      </w:r>
      <w:r>
        <w:rPr>
          <w:rFonts w:ascii="Arial Narrow" w:hAnsi="Arial Narrow"/>
          <w:sz w:val="24"/>
          <w:szCs w:val="24"/>
          <w:lang w:val="en-US"/>
        </w:rPr>
        <w:t>; u 2023</w:t>
      </w:r>
      <w:r w:rsidRPr="007F4315">
        <w:rPr>
          <w:rFonts w:ascii="Arial Narrow" w:hAnsi="Arial Narrow"/>
          <w:b/>
          <w:bCs/>
          <w:sz w:val="24"/>
          <w:szCs w:val="24"/>
          <w:lang w:val="en-US"/>
        </w:rPr>
        <w:t xml:space="preserve">. </w:t>
      </w:r>
      <w:proofErr w:type="spellStart"/>
      <w:r w:rsidRPr="007F4315">
        <w:rPr>
          <w:rFonts w:ascii="Arial Narrow" w:hAnsi="Arial Narrow"/>
          <w:b/>
          <w:bCs/>
          <w:sz w:val="24"/>
          <w:szCs w:val="24"/>
          <w:lang w:val="en-US"/>
        </w:rPr>
        <w:t>nastavak</w:t>
      </w:r>
      <w:proofErr w:type="spellEnd"/>
      <w:r w:rsidRPr="007F4315">
        <w:rPr>
          <w:rFonts w:ascii="Arial Narrow" w:hAnsi="Arial Narrow"/>
          <w:b/>
          <w:bCs/>
          <w:sz w:val="24"/>
          <w:szCs w:val="24"/>
          <w:lang w:val="en-US"/>
        </w:rPr>
        <w:t xml:space="preserve"> </w:t>
      </w:r>
      <w:proofErr w:type="spellStart"/>
      <w:r w:rsidRPr="007F4315">
        <w:rPr>
          <w:rFonts w:ascii="Arial Narrow" w:hAnsi="Arial Narrow"/>
          <w:b/>
          <w:bCs/>
          <w:sz w:val="24"/>
          <w:szCs w:val="24"/>
          <w:lang w:val="en-US"/>
        </w:rPr>
        <w:t>izgradnje</w:t>
      </w:r>
      <w:proofErr w:type="spellEnd"/>
      <w:r w:rsidRPr="007F4315">
        <w:rPr>
          <w:rFonts w:ascii="Arial Narrow" w:hAnsi="Arial Narrow"/>
          <w:b/>
          <w:bCs/>
          <w:sz w:val="24"/>
          <w:szCs w:val="24"/>
          <w:lang w:val="en-US"/>
        </w:rPr>
        <w:t xml:space="preserve"> </w:t>
      </w:r>
      <w:proofErr w:type="spellStart"/>
      <w:r w:rsidRPr="007F4315">
        <w:rPr>
          <w:rFonts w:ascii="Arial Narrow" w:hAnsi="Arial Narrow"/>
          <w:b/>
          <w:bCs/>
          <w:sz w:val="24"/>
          <w:szCs w:val="24"/>
          <w:lang w:val="en-US"/>
        </w:rPr>
        <w:t>na</w:t>
      </w:r>
      <w:proofErr w:type="spellEnd"/>
      <w:r w:rsidRPr="007F4315">
        <w:rPr>
          <w:rFonts w:ascii="Arial Narrow" w:hAnsi="Arial Narrow"/>
          <w:b/>
          <w:bCs/>
          <w:sz w:val="24"/>
          <w:szCs w:val="24"/>
          <w:lang w:val="en-US"/>
        </w:rPr>
        <w:t xml:space="preserve"> </w:t>
      </w:r>
      <w:proofErr w:type="spellStart"/>
      <w:r w:rsidRPr="007F4315">
        <w:rPr>
          <w:rFonts w:ascii="Arial Narrow" w:hAnsi="Arial Narrow"/>
          <w:b/>
          <w:bCs/>
          <w:sz w:val="24"/>
          <w:szCs w:val="24"/>
          <w:lang w:val="en-US"/>
        </w:rPr>
        <w:t>speleološkom</w:t>
      </w:r>
      <w:proofErr w:type="spellEnd"/>
      <w:r w:rsidRPr="007F4315">
        <w:rPr>
          <w:rFonts w:ascii="Arial Narrow" w:hAnsi="Arial Narrow"/>
          <w:b/>
          <w:bCs/>
          <w:sz w:val="24"/>
          <w:szCs w:val="24"/>
          <w:lang w:val="en-US"/>
        </w:rPr>
        <w:t xml:space="preserve"> </w:t>
      </w:r>
      <w:proofErr w:type="spellStart"/>
      <w:r w:rsidRPr="007F4315">
        <w:rPr>
          <w:rFonts w:ascii="Arial Narrow" w:hAnsi="Arial Narrow"/>
          <w:b/>
          <w:bCs/>
          <w:sz w:val="24"/>
          <w:szCs w:val="24"/>
          <w:lang w:val="en-US"/>
        </w:rPr>
        <w:t>objektu</w:t>
      </w:r>
      <w:proofErr w:type="spellEnd"/>
      <w:r w:rsidRPr="007F4315">
        <w:rPr>
          <w:rFonts w:ascii="Arial Narrow" w:hAnsi="Arial Narrow"/>
          <w:b/>
          <w:bCs/>
          <w:sz w:val="24"/>
          <w:szCs w:val="24"/>
          <w:lang w:val="en-US"/>
        </w:rPr>
        <w:t xml:space="preserve"> </w:t>
      </w:r>
      <w:proofErr w:type="spellStart"/>
      <w:r w:rsidRPr="007F4315">
        <w:rPr>
          <w:rFonts w:ascii="Arial Narrow" w:hAnsi="Arial Narrow"/>
          <w:b/>
          <w:bCs/>
          <w:sz w:val="24"/>
          <w:szCs w:val="24"/>
          <w:lang w:val="en-US"/>
        </w:rPr>
        <w:t>Đalovića</w:t>
      </w:r>
      <w:proofErr w:type="spellEnd"/>
      <w:r w:rsidRPr="007F4315">
        <w:rPr>
          <w:rFonts w:ascii="Arial Narrow" w:hAnsi="Arial Narrow"/>
          <w:b/>
          <w:bCs/>
          <w:sz w:val="24"/>
          <w:szCs w:val="24"/>
          <w:lang w:val="en-US"/>
        </w:rPr>
        <w:t xml:space="preserve"> </w:t>
      </w:r>
      <w:proofErr w:type="spellStart"/>
      <w:r w:rsidRPr="007F4315">
        <w:rPr>
          <w:rFonts w:ascii="Arial Narrow" w:hAnsi="Arial Narrow"/>
          <w:b/>
          <w:bCs/>
          <w:sz w:val="24"/>
          <w:szCs w:val="24"/>
          <w:lang w:val="en-US"/>
        </w:rPr>
        <w:t>pećina</w:t>
      </w:r>
      <w:proofErr w:type="spellEnd"/>
      <w:r w:rsidRPr="007F4315">
        <w:rPr>
          <w:rFonts w:ascii="Arial Narrow" w:hAnsi="Arial Narrow"/>
          <w:b/>
          <w:bCs/>
          <w:sz w:val="24"/>
          <w:szCs w:val="24"/>
          <w:lang w:val="en-US"/>
        </w:rPr>
        <w:t>.</w:t>
      </w:r>
    </w:p>
    <w:p w14:paraId="719BD1C0" w14:textId="77777777" w:rsidR="003D6416" w:rsidRPr="009374D6" w:rsidRDefault="003D6416" w:rsidP="003D6416">
      <w:pPr>
        <w:jc w:val="both"/>
        <w:rPr>
          <w:rFonts w:ascii="Arial Narrow" w:hAnsi="Arial Narrow"/>
          <w:b/>
          <w:bCs/>
          <w:sz w:val="24"/>
          <w:szCs w:val="24"/>
          <w:lang w:val="en-US"/>
        </w:rPr>
      </w:pPr>
      <w:proofErr w:type="spellStart"/>
      <w:r w:rsidRPr="009374D6">
        <w:rPr>
          <w:rFonts w:ascii="Arial Narrow" w:hAnsi="Arial Narrow"/>
          <w:b/>
          <w:bCs/>
          <w:sz w:val="24"/>
          <w:szCs w:val="24"/>
          <w:lang w:val="en-US"/>
        </w:rPr>
        <w:t>Cilj</w:t>
      </w:r>
      <w:proofErr w:type="spellEnd"/>
      <w:r w:rsidRPr="009374D6">
        <w:rPr>
          <w:rFonts w:ascii="Arial Narrow" w:hAnsi="Arial Narrow"/>
          <w:b/>
          <w:bCs/>
          <w:sz w:val="24"/>
          <w:szCs w:val="24"/>
          <w:lang w:val="en-US"/>
        </w:rPr>
        <w:t xml:space="preserve"> </w:t>
      </w:r>
      <w:r>
        <w:rPr>
          <w:rFonts w:ascii="Arial Narrow" w:hAnsi="Arial Narrow"/>
          <w:b/>
          <w:bCs/>
          <w:sz w:val="24"/>
          <w:szCs w:val="24"/>
          <w:lang w:val="en-US"/>
        </w:rPr>
        <w:t>2.</w:t>
      </w:r>
      <w:r w:rsidRPr="009374D6">
        <w:rPr>
          <w:rFonts w:ascii="Arial Narrow" w:hAnsi="Arial Narrow"/>
          <w:b/>
          <w:bCs/>
          <w:sz w:val="24"/>
          <w:szCs w:val="24"/>
          <w:lang w:val="en-US"/>
        </w:rPr>
        <w:t>4</w:t>
      </w:r>
      <w:r>
        <w:rPr>
          <w:rFonts w:ascii="Arial Narrow" w:hAnsi="Arial Narrow"/>
          <w:b/>
          <w:bCs/>
          <w:sz w:val="24"/>
          <w:szCs w:val="24"/>
          <w:lang w:val="en-US"/>
        </w:rPr>
        <w:t xml:space="preserve">. </w:t>
      </w:r>
      <w:r w:rsidRPr="009374D6">
        <w:rPr>
          <w:rFonts w:ascii="Arial Narrow" w:hAnsi="Arial Narrow"/>
          <w:b/>
          <w:bCs/>
          <w:sz w:val="24"/>
          <w:szCs w:val="24"/>
          <w:lang w:val="en-US"/>
        </w:rPr>
        <w:t>SMANJENJE SEZONALNOSTI I REGIONALNE NEUJEDNAČENOSTI I POVEĆANJE NIVOA KVALITETA USLUGE I KAPACITETA</w:t>
      </w:r>
    </w:p>
    <w:p w14:paraId="01CAAA91" w14:textId="77777777" w:rsidR="003D6416" w:rsidRDefault="003D6416" w:rsidP="003D6416">
      <w:pPr>
        <w:jc w:val="both"/>
        <w:rPr>
          <w:rFonts w:ascii="Arial Narrow" w:hAnsi="Arial Narrow"/>
          <w:b/>
          <w:bCs/>
          <w:sz w:val="24"/>
          <w:szCs w:val="24"/>
          <w:lang w:val="en-US"/>
        </w:rPr>
      </w:pPr>
      <w:proofErr w:type="spellStart"/>
      <w:r>
        <w:rPr>
          <w:rFonts w:ascii="Arial Narrow" w:hAnsi="Arial Narrow"/>
          <w:sz w:val="24"/>
          <w:szCs w:val="24"/>
          <w:lang w:val="en-US"/>
        </w:rPr>
        <w:t>Još</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jedan</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od</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važnih</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ciljeva</w:t>
      </w:r>
      <w:proofErr w:type="spellEnd"/>
      <w:r>
        <w:rPr>
          <w:rFonts w:ascii="Arial Narrow" w:hAnsi="Arial Narrow"/>
          <w:sz w:val="24"/>
          <w:szCs w:val="24"/>
          <w:lang w:val="en-US"/>
        </w:rPr>
        <w:t xml:space="preserve"> u </w:t>
      </w:r>
      <w:proofErr w:type="spellStart"/>
      <w:r>
        <w:rPr>
          <w:rFonts w:ascii="Arial Narrow" w:hAnsi="Arial Narrow"/>
          <w:sz w:val="24"/>
          <w:szCs w:val="24"/>
          <w:lang w:val="en-US"/>
        </w:rPr>
        <w:t>oblasti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turizma</w:t>
      </w:r>
      <w:proofErr w:type="spellEnd"/>
      <w:r>
        <w:rPr>
          <w:rFonts w:ascii="Arial Narrow" w:hAnsi="Arial Narrow"/>
          <w:sz w:val="24"/>
          <w:szCs w:val="24"/>
          <w:lang w:val="en-US"/>
        </w:rPr>
        <w:t xml:space="preserve"> je </w:t>
      </w:r>
      <w:proofErr w:type="spellStart"/>
      <w:r>
        <w:rPr>
          <w:rFonts w:ascii="Arial Narrow" w:hAnsi="Arial Narrow"/>
          <w:sz w:val="24"/>
          <w:szCs w:val="24"/>
          <w:lang w:val="en-US"/>
        </w:rPr>
        <w:t>obezbjeđivanje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ujednačenosti</w:t>
      </w:r>
      <w:proofErr w:type="spellEnd"/>
      <w:r>
        <w:rPr>
          <w:rFonts w:ascii="Arial Narrow" w:hAnsi="Arial Narrow"/>
          <w:sz w:val="24"/>
          <w:szCs w:val="24"/>
          <w:lang w:val="en-US"/>
        </w:rPr>
        <w:t xml:space="preserve"> u </w:t>
      </w:r>
      <w:proofErr w:type="spellStart"/>
      <w:r>
        <w:rPr>
          <w:rFonts w:ascii="Arial Narrow" w:hAnsi="Arial Narrow"/>
          <w:sz w:val="24"/>
          <w:szCs w:val="24"/>
          <w:lang w:val="en-US"/>
        </w:rPr>
        <w:t>regionalnoj</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ponudi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Crne</w:t>
      </w:r>
      <w:proofErr w:type="spellEnd"/>
      <w:r>
        <w:rPr>
          <w:rFonts w:ascii="Arial Narrow" w:hAnsi="Arial Narrow"/>
          <w:sz w:val="24"/>
          <w:szCs w:val="24"/>
          <w:lang w:val="en-US"/>
        </w:rPr>
        <w:t xml:space="preserve"> Gore </w:t>
      </w:r>
      <w:proofErr w:type="spellStart"/>
      <w:r>
        <w:rPr>
          <w:rFonts w:ascii="Arial Narrow" w:hAnsi="Arial Narrow"/>
          <w:sz w:val="24"/>
          <w:szCs w:val="24"/>
          <w:lang w:val="en-US"/>
        </w:rPr>
        <w: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visokog</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kvaliteta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usluga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koje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će</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učiniti</w:t>
      </w:r>
      <w:proofErr w:type="spellEnd"/>
      <w:r>
        <w:rPr>
          <w:rFonts w:ascii="Arial Narrow" w:hAnsi="Arial Narrow"/>
          <w:sz w:val="24"/>
          <w:szCs w:val="24"/>
          <w:lang w:val="en-US"/>
        </w:rPr>
        <w:t xml:space="preserve"> da se </w:t>
      </w:r>
      <w:proofErr w:type="spellStart"/>
      <w:r>
        <w:rPr>
          <w:rFonts w:ascii="Arial Narrow" w:hAnsi="Arial Narrow"/>
          <w:sz w:val="24"/>
          <w:szCs w:val="24"/>
          <w:lang w:val="en-US"/>
        </w:rPr>
        <w:t>turisti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rado</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vraćaju</w:t>
      </w:r>
      <w:proofErr w:type="spellEnd"/>
      <w:r>
        <w:rPr>
          <w:rFonts w:ascii="Arial Narrow" w:hAnsi="Arial Narrow"/>
          <w:sz w:val="24"/>
          <w:szCs w:val="24"/>
          <w:lang w:val="en-US"/>
        </w:rPr>
        <w:t xml:space="preserve"> u </w:t>
      </w:r>
      <w:proofErr w:type="spellStart"/>
      <w:r>
        <w:rPr>
          <w:rFonts w:ascii="Arial Narrow" w:hAnsi="Arial Narrow"/>
          <w:sz w:val="24"/>
          <w:szCs w:val="24"/>
          <w:lang w:val="en-US"/>
        </w:rPr>
        <w:t>našu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zemlju</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Stoga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ćemo</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raditi</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na</w:t>
      </w:r>
      <w:proofErr w:type="spellEnd"/>
      <w:r>
        <w:rPr>
          <w:rFonts w:ascii="Arial Narrow" w:hAnsi="Arial Narrow"/>
          <w:sz w:val="24"/>
          <w:szCs w:val="24"/>
          <w:lang w:val="en-US"/>
        </w:rPr>
        <w:t xml:space="preserve"> tome da se </w:t>
      </w:r>
      <w:proofErr w:type="spellStart"/>
      <w:r w:rsidRPr="00F9689E">
        <w:rPr>
          <w:rFonts w:ascii="Arial Narrow" w:hAnsi="Arial Narrow"/>
          <w:b/>
          <w:bCs/>
          <w:sz w:val="24"/>
          <w:szCs w:val="24"/>
          <w:lang w:val="en-US"/>
        </w:rPr>
        <w:t>broj</w:t>
      </w:r>
      <w:proofErr w:type="spellEnd"/>
      <w:r w:rsidRPr="00F9689E">
        <w:rPr>
          <w:rFonts w:ascii="Arial Narrow" w:hAnsi="Arial Narrow"/>
          <w:b/>
          <w:bCs/>
          <w:sz w:val="24"/>
          <w:szCs w:val="24"/>
          <w:lang w:val="en-US"/>
        </w:rPr>
        <w:t xml:space="preserve"> </w:t>
      </w:r>
      <w:proofErr w:type="spellStart"/>
      <w:r w:rsidRPr="00F9689E">
        <w:rPr>
          <w:rFonts w:ascii="Arial Narrow" w:hAnsi="Arial Narrow"/>
          <w:b/>
          <w:bCs/>
          <w:sz w:val="24"/>
          <w:szCs w:val="24"/>
          <w:lang w:val="en-US"/>
        </w:rPr>
        <w:t>noćenja</w:t>
      </w:r>
      <w:proofErr w:type="spellEnd"/>
      <w:r w:rsidRPr="00F9689E">
        <w:rPr>
          <w:rFonts w:ascii="Arial Narrow" w:hAnsi="Arial Narrow"/>
          <w:b/>
          <w:bCs/>
          <w:sz w:val="24"/>
          <w:szCs w:val="24"/>
          <w:lang w:val="en-US"/>
        </w:rPr>
        <w:t xml:space="preserve"> u </w:t>
      </w:r>
      <w:proofErr w:type="spellStart"/>
      <w:r w:rsidRPr="00F9689E">
        <w:rPr>
          <w:rFonts w:ascii="Arial Narrow" w:hAnsi="Arial Narrow"/>
          <w:b/>
          <w:bCs/>
          <w:sz w:val="24"/>
          <w:szCs w:val="24"/>
          <w:lang w:val="en-US"/>
        </w:rPr>
        <w:t>sjevernom</w:t>
      </w:r>
      <w:proofErr w:type="spellEnd"/>
      <w:r w:rsidRPr="00F9689E">
        <w:rPr>
          <w:rFonts w:ascii="Arial Narrow" w:hAnsi="Arial Narrow"/>
          <w:b/>
          <w:bCs/>
          <w:sz w:val="24"/>
          <w:szCs w:val="24"/>
          <w:lang w:val="en-US"/>
        </w:rPr>
        <w:t xml:space="preserve"> </w:t>
      </w:r>
      <w:proofErr w:type="spellStart"/>
      <w:r w:rsidRPr="00F9689E">
        <w:rPr>
          <w:rFonts w:ascii="Arial Narrow" w:hAnsi="Arial Narrow"/>
          <w:b/>
          <w:bCs/>
          <w:sz w:val="24"/>
          <w:szCs w:val="24"/>
          <w:lang w:val="en-US"/>
        </w:rPr>
        <w:t>i</w:t>
      </w:r>
      <w:proofErr w:type="spellEnd"/>
      <w:r w:rsidRPr="00F9689E">
        <w:rPr>
          <w:rFonts w:ascii="Arial Narrow" w:hAnsi="Arial Narrow"/>
          <w:b/>
          <w:bCs/>
          <w:sz w:val="24"/>
          <w:szCs w:val="24"/>
          <w:lang w:val="en-US"/>
        </w:rPr>
        <w:t xml:space="preserve"> </w:t>
      </w:r>
      <w:proofErr w:type="spellStart"/>
      <w:r w:rsidRPr="00F9689E">
        <w:rPr>
          <w:rFonts w:ascii="Arial Narrow" w:hAnsi="Arial Narrow"/>
          <w:b/>
          <w:bCs/>
          <w:sz w:val="24"/>
          <w:szCs w:val="24"/>
          <w:lang w:val="en-US"/>
        </w:rPr>
        <w:t>centralnom</w:t>
      </w:r>
      <w:proofErr w:type="spellEnd"/>
      <w:r w:rsidRPr="00F9689E">
        <w:rPr>
          <w:rFonts w:ascii="Arial Narrow" w:hAnsi="Arial Narrow"/>
          <w:b/>
          <w:bCs/>
          <w:sz w:val="24"/>
          <w:szCs w:val="24"/>
          <w:lang w:val="en-US"/>
        </w:rPr>
        <w:t xml:space="preserve"> </w:t>
      </w:r>
      <w:proofErr w:type="spellStart"/>
      <w:r w:rsidRPr="00F9689E">
        <w:rPr>
          <w:rFonts w:ascii="Arial Narrow" w:hAnsi="Arial Narrow"/>
          <w:b/>
          <w:bCs/>
          <w:sz w:val="24"/>
          <w:szCs w:val="24"/>
          <w:lang w:val="en-US"/>
        </w:rPr>
        <w:t>regionu</w:t>
      </w:r>
      <w:proofErr w:type="spellEnd"/>
      <w:r w:rsidRPr="00F9689E">
        <w:rPr>
          <w:rFonts w:ascii="Arial Narrow" w:hAnsi="Arial Narrow"/>
          <w:b/>
          <w:bCs/>
          <w:sz w:val="24"/>
          <w:szCs w:val="24"/>
          <w:lang w:val="en-US"/>
        </w:rPr>
        <w:t xml:space="preserve"> do 2024. </w:t>
      </w:r>
      <w:proofErr w:type="spellStart"/>
      <w:r w:rsidRPr="00F9689E">
        <w:rPr>
          <w:rFonts w:ascii="Arial Narrow" w:hAnsi="Arial Narrow"/>
          <w:b/>
          <w:bCs/>
          <w:sz w:val="24"/>
          <w:szCs w:val="24"/>
          <w:lang w:val="en-US"/>
        </w:rPr>
        <w:t>godine</w:t>
      </w:r>
      <w:proofErr w:type="spellEnd"/>
      <w:r w:rsidRPr="00F9689E">
        <w:rPr>
          <w:rFonts w:ascii="Arial Narrow" w:hAnsi="Arial Narrow"/>
          <w:b/>
          <w:bCs/>
          <w:sz w:val="24"/>
          <w:szCs w:val="24"/>
          <w:lang w:val="en-US"/>
        </w:rPr>
        <w:t xml:space="preserve"> </w:t>
      </w:r>
      <w:proofErr w:type="spellStart"/>
      <w:r w:rsidRPr="00F9689E">
        <w:rPr>
          <w:rFonts w:ascii="Arial Narrow" w:hAnsi="Arial Narrow"/>
          <w:b/>
          <w:bCs/>
          <w:sz w:val="24"/>
          <w:szCs w:val="24"/>
          <w:lang w:val="en-US"/>
        </w:rPr>
        <w:t>poveća</w:t>
      </w:r>
      <w:proofErr w:type="spellEnd"/>
      <w:r w:rsidRPr="00F9689E">
        <w:rPr>
          <w:rFonts w:ascii="Arial Narrow" w:hAnsi="Arial Narrow"/>
          <w:b/>
          <w:bCs/>
          <w:sz w:val="24"/>
          <w:szCs w:val="24"/>
          <w:lang w:val="en-US"/>
        </w:rPr>
        <w:t xml:space="preserve"> za 11,5% u </w:t>
      </w:r>
      <w:proofErr w:type="spellStart"/>
      <w:r w:rsidRPr="00F9689E">
        <w:rPr>
          <w:rFonts w:ascii="Arial Narrow" w:hAnsi="Arial Narrow"/>
          <w:b/>
          <w:bCs/>
          <w:sz w:val="24"/>
          <w:szCs w:val="24"/>
          <w:lang w:val="en-US"/>
        </w:rPr>
        <w:t>odnosu</w:t>
      </w:r>
      <w:proofErr w:type="spellEnd"/>
      <w:r w:rsidRPr="00F9689E">
        <w:rPr>
          <w:rFonts w:ascii="Arial Narrow" w:hAnsi="Arial Narrow"/>
          <w:b/>
          <w:bCs/>
          <w:sz w:val="24"/>
          <w:szCs w:val="24"/>
          <w:lang w:val="en-US"/>
        </w:rPr>
        <w:t xml:space="preserve"> </w:t>
      </w:r>
      <w:proofErr w:type="spellStart"/>
      <w:r w:rsidRPr="00F9689E">
        <w:rPr>
          <w:rFonts w:ascii="Arial Narrow" w:hAnsi="Arial Narrow"/>
          <w:b/>
          <w:bCs/>
          <w:sz w:val="24"/>
          <w:szCs w:val="24"/>
          <w:lang w:val="en-US"/>
        </w:rPr>
        <w:t>na</w:t>
      </w:r>
      <w:proofErr w:type="spellEnd"/>
      <w:r w:rsidRPr="00F9689E">
        <w:rPr>
          <w:rFonts w:ascii="Arial Narrow" w:hAnsi="Arial Narrow"/>
          <w:b/>
          <w:bCs/>
          <w:sz w:val="24"/>
          <w:szCs w:val="24"/>
          <w:lang w:val="en-US"/>
        </w:rPr>
        <w:t xml:space="preserve"> 2019,</w:t>
      </w:r>
      <w:r>
        <w:rPr>
          <w:rFonts w:ascii="Arial Narrow" w:hAnsi="Arial Narrow"/>
          <w:sz w:val="24"/>
          <w:szCs w:val="24"/>
          <w:lang w:val="en-US"/>
        </w:rPr>
        <w:t xml:space="preserve"> </w:t>
      </w:r>
      <w:proofErr w:type="spellStart"/>
      <w:r>
        <w:rPr>
          <w:rFonts w:ascii="Arial Narrow" w:hAnsi="Arial Narrow"/>
          <w:sz w:val="24"/>
          <w:szCs w:val="24"/>
          <w:lang w:val="en-US"/>
        </w:rPr>
        <w:t>koja</w:t>
      </w:r>
      <w:proofErr w:type="spellEnd"/>
      <w:r>
        <w:rPr>
          <w:rFonts w:ascii="Arial Narrow" w:hAnsi="Arial Narrow"/>
          <w:sz w:val="24"/>
          <w:szCs w:val="24"/>
          <w:lang w:val="en-US"/>
        </w:rPr>
        <w:t xml:space="preserve"> se, </w:t>
      </w:r>
      <w:proofErr w:type="spellStart"/>
      <w:r>
        <w:rPr>
          <w:rFonts w:ascii="Arial Narrow" w:hAnsi="Arial Narrow"/>
          <w:sz w:val="24"/>
          <w:szCs w:val="24"/>
          <w:lang w:val="en-US"/>
        </w:rPr>
        <w:t>usljed</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pandemije</w:t>
      </w:r>
      <w:proofErr w:type="spellEnd"/>
      <w:r>
        <w:rPr>
          <w:rFonts w:ascii="Arial Narrow" w:hAnsi="Arial Narrow"/>
          <w:sz w:val="24"/>
          <w:szCs w:val="24"/>
          <w:lang w:val="en-US"/>
        </w:rPr>
        <w:t xml:space="preserve"> Covid-19 </w:t>
      </w:r>
      <w:proofErr w:type="spellStart"/>
      <w:r>
        <w:rPr>
          <w:rFonts w:ascii="Arial Narrow" w:hAnsi="Arial Narrow"/>
          <w:sz w:val="24"/>
          <w:szCs w:val="24"/>
          <w:lang w:val="en-US"/>
        </w:rPr>
        <w:t>uzima</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kao</w:t>
      </w:r>
      <w:proofErr w:type="spellEnd"/>
      <w:r>
        <w:rPr>
          <w:rFonts w:ascii="Arial Narrow" w:hAnsi="Arial Narrow"/>
          <w:sz w:val="24"/>
          <w:szCs w:val="24"/>
          <w:lang w:val="en-US"/>
        </w:rPr>
        <w:t xml:space="preserve"> </w:t>
      </w:r>
      <w:proofErr w:type="spellStart"/>
      <w:r>
        <w:rPr>
          <w:rFonts w:ascii="Arial Narrow" w:hAnsi="Arial Narrow"/>
          <w:sz w:val="24"/>
          <w:szCs w:val="24"/>
          <w:lang w:val="en-US"/>
        </w:rPr>
        <w:t>relevatna</w:t>
      </w:r>
      <w:proofErr w:type="spellEnd"/>
      <w:r>
        <w:rPr>
          <w:rFonts w:ascii="Arial Narrow" w:hAnsi="Arial Narrow"/>
          <w:sz w:val="24"/>
          <w:szCs w:val="24"/>
          <w:lang w:val="en-US"/>
        </w:rPr>
        <w:t xml:space="preserve"> </w:t>
      </w:r>
      <w:r w:rsidRPr="00F9689E">
        <w:rPr>
          <w:rFonts w:ascii="Arial Narrow" w:hAnsi="Arial Narrow"/>
          <w:sz w:val="24"/>
          <w:szCs w:val="24"/>
          <w:lang w:val="en-US"/>
        </w:rPr>
        <w:t>(</w:t>
      </w:r>
      <w:proofErr w:type="spellStart"/>
      <w:r w:rsidRPr="00F9689E">
        <w:rPr>
          <w:rFonts w:ascii="Arial Narrow" w:hAnsi="Arial Narrow"/>
          <w:sz w:val="24"/>
          <w:szCs w:val="24"/>
          <w:lang w:val="en-US"/>
        </w:rPr>
        <w:t>trenutni</w:t>
      </w:r>
      <w:proofErr w:type="spellEnd"/>
      <w:r w:rsidRPr="00F9689E">
        <w:rPr>
          <w:rFonts w:ascii="Arial Narrow" w:hAnsi="Arial Narrow"/>
          <w:sz w:val="24"/>
          <w:szCs w:val="24"/>
          <w:lang w:val="en-US"/>
        </w:rPr>
        <w:t xml:space="preserve"> </w:t>
      </w:r>
      <w:proofErr w:type="spellStart"/>
      <w:r w:rsidRPr="00F9689E">
        <w:rPr>
          <w:rFonts w:ascii="Arial Narrow" w:hAnsi="Arial Narrow"/>
          <w:sz w:val="24"/>
          <w:szCs w:val="24"/>
          <w:lang w:val="en-US"/>
        </w:rPr>
        <w:t>broj</w:t>
      </w:r>
      <w:proofErr w:type="spellEnd"/>
      <w:r w:rsidRPr="00F9689E">
        <w:rPr>
          <w:rFonts w:ascii="Arial Narrow" w:hAnsi="Arial Narrow"/>
          <w:sz w:val="24"/>
          <w:szCs w:val="24"/>
          <w:lang w:val="en-US"/>
        </w:rPr>
        <w:t xml:space="preserve"> </w:t>
      </w:r>
      <w:proofErr w:type="spellStart"/>
      <w:r w:rsidRPr="00F9689E">
        <w:rPr>
          <w:rFonts w:ascii="Arial Narrow" w:hAnsi="Arial Narrow"/>
          <w:sz w:val="24"/>
          <w:szCs w:val="24"/>
          <w:lang w:val="en-US"/>
        </w:rPr>
        <w:t>noćenja</w:t>
      </w:r>
      <w:proofErr w:type="spellEnd"/>
      <w:r w:rsidRPr="00F9689E">
        <w:rPr>
          <w:rFonts w:ascii="Arial Narrow" w:hAnsi="Arial Narrow"/>
          <w:sz w:val="24"/>
          <w:szCs w:val="24"/>
          <w:lang w:val="en-US"/>
        </w:rPr>
        <w:t xml:space="preserve"> u </w:t>
      </w:r>
      <w:proofErr w:type="spellStart"/>
      <w:r w:rsidRPr="00F9689E">
        <w:rPr>
          <w:rFonts w:ascii="Arial Narrow" w:hAnsi="Arial Narrow"/>
          <w:sz w:val="24"/>
          <w:szCs w:val="24"/>
          <w:lang w:val="en-US"/>
        </w:rPr>
        <w:t>Sjevernom</w:t>
      </w:r>
      <w:proofErr w:type="spellEnd"/>
      <w:r w:rsidRPr="00F9689E">
        <w:rPr>
          <w:rFonts w:ascii="Arial Narrow" w:hAnsi="Arial Narrow"/>
          <w:sz w:val="24"/>
          <w:szCs w:val="24"/>
          <w:lang w:val="en-US"/>
        </w:rPr>
        <w:t xml:space="preserve"> </w:t>
      </w:r>
      <w:proofErr w:type="spellStart"/>
      <w:r w:rsidRPr="00F9689E">
        <w:rPr>
          <w:rFonts w:ascii="Arial Narrow" w:hAnsi="Arial Narrow"/>
          <w:sz w:val="24"/>
          <w:szCs w:val="24"/>
          <w:lang w:val="en-US"/>
        </w:rPr>
        <w:t>regionu</w:t>
      </w:r>
      <w:proofErr w:type="spellEnd"/>
      <w:r w:rsidRPr="00F9689E">
        <w:rPr>
          <w:rFonts w:ascii="Arial Narrow" w:hAnsi="Arial Narrow"/>
          <w:sz w:val="24"/>
          <w:szCs w:val="24"/>
          <w:lang w:val="en-US"/>
        </w:rPr>
        <w:tab/>
        <w:t xml:space="preserve"> 315.815, u </w:t>
      </w:r>
      <w:proofErr w:type="spellStart"/>
      <w:r w:rsidRPr="00F9689E">
        <w:rPr>
          <w:rFonts w:ascii="Arial Narrow" w:hAnsi="Arial Narrow"/>
          <w:sz w:val="24"/>
          <w:szCs w:val="24"/>
          <w:lang w:val="en-US"/>
        </w:rPr>
        <w:t>Centralnom</w:t>
      </w:r>
      <w:proofErr w:type="spellEnd"/>
      <w:r w:rsidRPr="00F9689E">
        <w:rPr>
          <w:rFonts w:ascii="Arial Narrow" w:hAnsi="Arial Narrow"/>
          <w:sz w:val="24"/>
          <w:szCs w:val="24"/>
          <w:lang w:val="en-US"/>
        </w:rPr>
        <w:t xml:space="preserve"> region 425.343).</w:t>
      </w:r>
      <w:r>
        <w:rPr>
          <w:rFonts w:ascii="Arial Narrow" w:hAnsi="Arial Narrow"/>
          <w:b/>
          <w:bCs/>
          <w:sz w:val="24"/>
          <w:szCs w:val="24"/>
          <w:lang w:val="en-US"/>
        </w:rPr>
        <w:t xml:space="preserve"> </w:t>
      </w:r>
      <w:proofErr w:type="spellStart"/>
      <w:r>
        <w:rPr>
          <w:rFonts w:ascii="Arial Narrow" w:hAnsi="Arial Narrow"/>
          <w:b/>
          <w:bCs/>
          <w:sz w:val="24"/>
          <w:szCs w:val="24"/>
          <w:lang w:val="en-US"/>
        </w:rPr>
        <w:t>Takođe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unapredićemo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smještajne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kapacitete</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sjevernom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regionu</w:t>
      </w:r>
      <w:proofErr w:type="spellEnd"/>
      <w:r>
        <w:rPr>
          <w:rFonts w:ascii="Arial Narrow" w:hAnsi="Arial Narrow"/>
          <w:b/>
          <w:bCs/>
          <w:sz w:val="24"/>
          <w:szCs w:val="24"/>
          <w:lang w:val="en-US"/>
        </w:rPr>
        <w:t xml:space="preserve"> –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54 (2021)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71 –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centralnom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regionu</w:t>
      </w:r>
      <w:proofErr w:type="spellEnd"/>
      <w:r>
        <w:rPr>
          <w:rFonts w:ascii="Arial Narrow" w:hAnsi="Arial Narrow"/>
          <w:b/>
          <w:bCs/>
          <w:sz w:val="24"/>
          <w:szCs w:val="24"/>
          <w:lang w:val="en-US"/>
        </w:rPr>
        <w:t xml:space="preserve"> –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61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71. </w:t>
      </w:r>
      <w:r w:rsidRPr="009374D6">
        <w:rPr>
          <w:rFonts w:ascii="Arial Narrow" w:hAnsi="Arial Narrow"/>
          <w:b/>
          <w:bCs/>
          <w:sz w:val="24"/>
          <w:szCs w:val="24"/>
          <w:lang w:val="en-US"/>
        </w:rPr>
        <w:tab/>
      </w:r>
      <w:r w:rsidRPr="009374D6">
        <w:rPr>
          <w:rFonts w:ascii="Arial Narrow" w:hAnsi="Arial Narrow"/>
          <w:b/>
          <w:bCs/>
          <w:sz w:val="24"/>
          <w:szCs w:val="24"/>
          <w:lang w:val="en-US"/>
        </w:rPr>
        <w:tab/>
      </w:r>
    </w:p>
    <w:p w14:paraId="56FE1ADF" w14:textId="77777777" w:rsidR="003D6416" w:rsidRPr="00B733F0" w:rsidRDefault="003D6416" w:rsidP="003D6416">
      <w:pPr>
        <w:jc w:val="both"/>
        <w:rPr>
          <w:rFonts w:ascii="Arial Narrow" w:hAnsi="Arial Narrow"/>
          <w:b/>
          <w:bCs/>
          <w:sz w:val="24"/>
          <w:szCs w:val="24"/>
          <w:lang w:val="en-US"/>
        </w:rPr>
      </w:pPr>
      <w:proofErr w:type="spellStart"/>
      <w:r w:rsidRPr="00B733F0">
        <w:rPr>
          <w:rFonts w:ascii="Arial Narrow" w:hAnsi="Arial Narrow"/>
          <w:b/>
          <w:bCs/>
          <w:sz w:val="24"/>
          <w:szCs w:val="24"/>
          <w:lang w:val="en-US"/>
        </w:rPr>
        <w:t>Cilj</w:t>
      </w:r>
      <w:proofErr w:type="spellEnd"/>
      <w:r w:rsidRPr="00B733F0">
        <w:rPr>
          <w:rFonts w:ascii="Arial Narrow" w:hAnsi="Arial Narrow"/>
          <w:b/>
          <w:bCs/>
          <w:sz w:val="24"/>
          <w:szCs w:val="24"/>
          <w:lang w:val="en-US"/>
        </w:rPr>
        <w:t xml:space="preserve"> </w:t>
      </w:r>
      <w:r>
        <w:rPr>
          <w:rFonts w:ascii="Arial Narrow" w:hAnsi="Arial Narrow"/>
          <w:b/>
          <w:bCs/>
          <w:sz w:val="24"/>
          <w:szCs w:val="24"/>
          <w:lang w:val="en-US"/>
        </w:rPr>
        <w:t>2.</w:t>
      </w:r>
      <w:r w:rsidRPr="00B733F0">
        <w:rPr>
          <w:rFonts w:ascii="Arial Narrow" w:hAnsi="Arial Narrow"/>
          <w:b/>
          <w:bCs/>
          <w:sz w:val="24"/>
          <w:szCs w:val="24"/>
          <w:lang w:val="en-US"/>
        </w:rPr>
        <w:t>5</w:t>
      </w:r>
      <w:r>
        <w:rPr>
          <w:rFonts w:ascii="Arial Narrow" w:hAnsi="Arial Narrow"/>
          <w:b/>
          <w:bCs/>
          <w:sz w:val="24"/>
          <w:szCs w:val="24"/>
          <w:lang w:val="en-US"/>
        </w:rPr>
        <w:t>.</w:t>
      </w:r>
      <w:r w:rsidRPr="00B733F0">
        <w:rPr>
          <w:rFonts w:ascii="Arial Narrow" w:hAnsi="Arial Narrow"/>
          <w:b/>
          <w:bCs/>
          <w:sz w:val="24"/>
          <w:szCs w:val="24"/>
          <w:lang w:val="en-US"/>
        </w:rPr>
        <w:tab/>
        <w:t>STABILAN I ODRŽIV RAST ZAPOSLENOSTI ZASNOVAN NA JEDNAKIM MOGUĆNOSTIMA I DOSTOJANSTVENOM RADU, UZ RAZVOJ ZNANJA I VJEŠTINA I VEĆU SOCIJALNU UKLJUČENOST</w:t>
      </w:r>
    </w:p>
    <w:p w14:paraId="6D59BE91" w14:textId="77777777" w:rsidR="003D6416" w:rsidRDefault="003D6416" w:rsidP="003D6416">
      <w:pPr>
        <w:jc w:val="both"/>
        <w:rPr>
          <w:rFonts w:ascii="Arial Narrow" w:hAnsi="Arial Narrow"/>
          <w:b/>
          <w:bCs/>
          <w:sz w:val="24"/>
          <w:szCs w:val="24"/>
          <w:lang w:val="en-US"/>
        </w:rPr>
      </w:pPr>
      <w:proofErr w:type="spellStart"/>
      <w:r w:rsidRPr="00F9689E">
        <w:rPr>
          <w:rFonts w:ascii="Arial Narrow" w:hAnsi="Arial Narrow"/>
          <w:sz w:val="24"/>
          <w:szCs w:val="24"/>
          <w:lang w:val="en-US"/>
        </w:rPr>
        <w:lastRenderedPageBreak/>
        <w:t>Ekonomski</w:t>
      </w:r>
      <w:proofErr w:type="spellEnd"/>
      <w:r w:rsidRPr="00F9689E">
        <w:rPr>
          <w:rFonts w:ascii="Arial Narrow" w:hAnsi="Arial Narrow"/>
          <w:sz w:val="24"/>
          <w:szCs w:val="24"/>
          <w:lang w:val="en-US"/>
        </w:rPr>
        <w:t xml:space="preserve"> </w:t>
      </w:r>
      <w:proofErr w:type="spellStart"/>
      <w:r w:rsidRPr="00F9689E">
        <w:rPr>
          <w:rFonts w:ascii="Arial Narrow" w:hAnsi="Arial Narrow"/>
          <w:sz w:val="24"/>
          <w:szCs w:val="24"/>
          <w:lang w:val="en-US"/>
        </w:rPr>
        <w:t>rast</w:t>
      </w:r>
      <w:proofErr w:type="spellEnd"/>
      <w:r w:rsidRPr="00F9689E">
        <w:rPr>
          <w:rFonts w:ascii="Arial Narrow" w:hAnsi="Arial Narrow"/>
          <w:sz w:val="24"/>
          <w:szCs w:val="24"/>
          <w:lang w:val="en-US"/>
        </w:rPr>
        <w:t xml:space="preserve"> je </w:t>
      </w:r>
      <w:proofErr w:type="spellStart"/>
      <w:r w:rsidRPr="00F9689E">
        <w:rPr>
          <w:rFonts w:ascii="Arial Narrow" w:hAnsi="Arial Narrow"/>
          <w:sz w:val="24"/>
          <w:szCs w:val="24"/>
          <w:lang w:val="en-US"/>
        </w:rPr>
        <w:t>neodvojiv</w:t>
      </w:r>
      <w:proofErr w:type="spellEnd"/>
      <w:r w:rsidRPr="00F9689E">
        <w:rPr>
          <w:rFonts w:ascii="Arial Narrow" w:hAnsi="Arial Narrow"/>
          <w:sz w:val="24"/>
          <w:szCs w:val="24"/>
          <w:lang w:val="en-US"/>
        </w:rPr>
        <w:t xml:space="preserve"> od </w:t>
      </w:r>
      <w:proofErr w:type="spellStart"/>
      <w:r w:rsidRPr="00F9689E">
        <w:rPr>
          <w:rFonts w:ascii="Arial Narrow" w:hAnsi="Arial Narrow"/>
          <w:sz w:val="24"/>
          <w:szCs w:val="24"/>
          <w:lang w:val="en-US"/>
        </w:rPr>
        <w:t>rasta</w:t>
      </w:r>
      <w:proofErr w:type="spellEnd"/>
      <w:r w:rsidRPr="00F9689E">
        <w:rPr>
          <w:rFonts w:ascii="Arial Narrow" w:hAnsi="Arial Narrow"/>
          <w:sz w:val="24"/>
          <w:szCs w:val="24"/>
          <w:lang w:val="en-US"/>
        </w:rPr>
        <w:t xml:space="preserve"> </w:t>
      </w:r>
      <w:proofErr w:type="spellStart"/>
      <w:r w:rsidRPr="00F9689E">
        <w:rPr>
          <w:rFonts w:ascii="Arial Narrow" w:hAnsi="Arial Narrow"/>
          <w:sz w:val="24"/>
          <w:szCs w:val="24"/>
          <w:lang w:val="en-US"/>
        </w:rPr>
        <w:t>zaposlenostii</w:t>
      </w:r>
      <w:proofErr w:type="spellEnd"/>
      <w:r w:rsidRPr="00F9689E">
        <w:rPr>
          <w:rFonts w:ascii="Arial Narrow" w:hAnsi="Arial Narrow"/>
          <w:sz w:val="24"/>
          <w:szCs w:val="24"/>
          <w:lang w:val="en-US"/>
        </w:rPr>
        <w:t xml:space="preserve"> focus Vlade </w:t>
      </w:r>
      <w:proofErr w:type="spellStart"/>
      <w:r w:rsidRPr="00F9689E">
        <w:rPr>
          <w:rFonts w:ascii="Arial Narrow" w:hAnsi="Arial Narrow"/>
          <w:sz w:val="24"/>
          <w:szCs w:val="24"/>
          <w:lang w:val="en-US"/>
        </w:rPr>
        <w:t>će</w:t>
      </w:r>
      <w:proofErr w:type="spellEnd"/>
      <w:r w:rsidRPr="00F9689E">
        <w:rPr>
          <w:rFonts w:ascii="Arial Narrow" w:hAnsi="Arial Narrow"/>
          <w:sz w:val="24"/>
          <w:szCs w:val="24"/>
          <w:lang w:val="en-US"/>
        </w:rPr>
        <w:t xml:space="preserve"> </w:t>
      </w:r>
      <w:proofErr w:type="spellStart"/>
      <w:r w:rsidRPr="00F9689E">
        <w:rPr>
          <w:rFonts w:ascii="Arial Narrow" w:hAnsi="Arial Narrow"/>
          <w:sz w:val="24"/>
          <w:szCs w:val="24"/>
          <w:lang w:val="en-US"/>
        </w:rPr>
        <w:t>biti</w:t>
      </w:r>
      <w:proofErr w:type="spellEnd"/>
      <w:r w:rsidRPr="00F9689E">
        <w:rPr>
          <w:rFonts w:ascii="Arial Narrow" w:hAnsi="Arial Narrow"/>
          <w:sz w:val="24"/>
          <w:szCs w:val="24"/>
          <w:lang w:val="en-US"/>
        </w:rPr>
        <w:t xml:space="preserve"> </w:t>
      </w:r>
      <w:proofErr w:type="spellStart"/>
      <w:r w:rsidRPr="00F9689E">
        <w:rPr>
          <w:rFonts w:ascii="Arial Narrow" w:hAnsi="Arial Narrow"/>
          <w:sz w:val="24"/>
          <w:szCs w:val="24"/>
          <w:lang w:val="en-US"/>
        </w:rPr>
        <w:t>na</w:t>
      </w:r>
      <w:proofErr w:type="spellEnd"/>
      <w:r w:rsidRPr="00F9689E">
        <w:rPr>
          <w:rFonts w:ascii="Arial Narrow" w:hAnsi="Arial Narrow"/>
          <w:sz w:val="24"/>
          <w:szCs w:val="24"/>
          <w:lang w:val="en-US"/>
        </w:rPr>
        <w:t xml:space="preserve"> </w:t>
      </w:r>
      <w:proofErr w:type="spellStart"/>
      <w:r>
        <w:rPr>
          <w:rFonts w:ascii="Arial Narrow" w:hAnsi="Arial Narrow"/>
          <w:b/>
          <w:bCs/>
          <w:sz w:val="24"/>
          <w:szCs w:val="24"/>
          <w:lang w:val="en-US"/>
        </w:rPr>
        <w:t>smanjenju</w:t>
      </w:r>
      <w:proofErr w:type="spellEnd"/>
      <w:r>
        <w:rPr>
          <w:rFonts w:ascii="Arial Narrow" w:hAnsi="Arial Narrow"/>
          <w:b/>
          <w:bCs/>
          <w:sz w:val="24"/>
          <w:szCs w:val="24"/>
          <w:lang w:val="en-US"/>
        </w:rPr>
        <w:t xml:space="preserve"> stope </w:t>
      </w:r>
      <w:proofErr w:type="spellStart"/>
      <w:r>
        <w:rPr>
          <w:rFonts w:ascii="Arial Narrow" w:hAnsi="Arial Narrow"/>
          <w:b/>
          <w:bCs/>
          <w:sz w:val="24"/>
          <w:szCs w:val="24"/>
          <w:lang w:val="en-US"/>
        </w:rPr>
        <w:t>registrovane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nezaposlenosti</w:t>
      </w:r>
      <w:proofErr w:type="spellEnd"/>
      <w:r>
        <w:rPr>
          <w:rFonts w:ascii="Arial Narrow" w:hAnsi="Arial Narrow"/>
          <w:b/>
          <w:bCs/>
          <w:sz w:val="24"/>
          <w:szCs w:val="24"/>
          <w:lang w:val="en-US"/>
        </w:rPr>
        <w:t xml:space="preserve"> za 15% u </w:t>
      </w:r>
      <w:proofErr w:type="spellStart"/>
      <w:r>
        <w:rPr>
          <w:rFonts w:ascii="Arial Narrow" w:hAnsi="Arial Narrow"/>
          <w:b/>
          <w:bCs/>
          <w:sz w:val="24"/>
          <w:szCs w:val="24"/>
          <w:lang w:val="en-US"/>
        </w:rPr>
        <w:t>odnosu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kraj</w:t>
      </w:r>
      <w:proofErr w:type="spellEnd"/>
      <w:r>
        <w:rPr>
          <w:rFonts w:ascii="Arial Narrow" w:hAnsi="Arial Narrow"/>
          <w:b/>
          <w:bCs/>
          <w:sz w:val="24"/>
          <w:szCs w:val="24"/>
          <w:lang w:val="en-US"/>
        </w:rPr>
        <w:t xml:space="preserve"> 2020, </w:t>
      </w:r>
      <w:proofErr w:type="spellStart"/>
      <w:r>
        <w:rPr>
          <w:rFonts w:ascii="Arial Narrow" w:hAnsi="Arial Narrow"/>
          <w:b/>
          <w:bCs/>
          <w:sz w:val="24"/>
          <w:szCs w:val="24"/>
          <w:lang w:val="en-US"/>
        </w:rPr>
        <w:t>kada</w:t>
      </w:r>
      <w:proofErr w:type="spellEnd"/>
      <w:r>
        <w:rPr>
          <w:rFonts w:ascii="Arial Narrow" w:hAnsi="Arial Narrow"/>
          <w:b/>
          <w:bCs/>
          <w:sz w:val="24"/>
          <w:szCs w:val="24"/>
          <w:lang w:val="en-US"/>
        </w:rPr>
        <w:t xml:space="preserve"> ta </w:t>
      </w:r>
      <w:proofErr w:type="spellStart"/>
      <w:r>
        <w:rPr>
          <w:rFonts w:ascii="Arial Narrow" w:hAnsi="Arial Narrow"/>
          <w:b/>
          <w:bCs/>
          <w:sz w:val="24"/>
          <w:szCs w:val="24"/>
          <w:lang w:val="en-US"/>
        </w:rPr>
        <w:t>stopa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iznosi</w:t>
      </w:r>
      <w:proofErr w:type="spellEnd"/>
      <w:r>
        <w:rPr>
          <w:rFonts w:ascii="Arial Narrow" w:hAnsi="Arial Narrow"/>
          <w:b/>
          <w:bCs/>
          <w:sz w:val="24"/>
          <w:szCs w:val="24"/>
          <w:lang w:val="en-US"/>
        </w:rPr>
        <w:t xml:space="preserve"> 20,48%. </w:t>
      </w:r>
      <w:proofErr w:type="spellStart"/>
      <w:r w:rsidRPr="00B733F0">
        <w:rPr>
          <w:rFonts w:ascii="Arial Narrow" w:hAnsi="Arial Narrow"/>
          <w:b/>
          <w:bCs/>
          <w:sz w:val="24"/>
          <w:szCs w:val="24"/>
          <w:lang w:val="en-US"/>
        </w:rPr>
        <w:t>Rodni</w:t>
      </w:r>
      <w:proofErr w:type="spellEnd"/>
      <w:r w:rsidRPr="00B733F0">
        <w:rPr>
          <w:rFonts w:ascii="Arial Narrow" w:hAnsi="Arial Narrow"/>
          <w:b/>
          <w:bCs/>
          <w:sz w:val="24"/>
          <w:szCs w:val="24"/>
          <w:lang w:val="en-US"/>
        </w:rPr>
        <w:t xml:space="preserve"> </w:t>
      </w:r>
      <w:proofErr w:type="spellStart"/>
      <w:r w:rsidRPr="00B733F0">
        <w:rPr>
          <w:rFonts w:ascii="Arial Narrow" w:hAnsi="Arial Narrow"/>
          <w:b/>
          <w:bCs/>
          <w:sz w:val="24"/>
          <w:szCs w:val="24"/>
          <w:lang w:val="en-US"/>
        </w:rPr>
        <w:t>jaz</w:t>
      </w:r>
      <w:proofErr w:type="spellEnd"/>
      <w:r w:rsidRPr="00B733F0">
        <w:rPr>
          <w:rFonts w:ascii="Arial Narrow" w:hAnsi="Arial Narrow"/>
          <w:b/>
          <w:bCs/>
          <w:sz w:val="24"/>
          <w:szCs w:val="24"/>
          <w:lang w:val="en-US"/>
        </w:rPr>
        <w:t xml:space="preserve"> u </w:t>
      </w:r>
      <w:proofErr w:type="spellStart"/>
      <w:r w:rsidRPr="00B733F0">
        <w:rPr>
          <w:rFonts w:ascii="Arial Narrow" w:hAnsi="Arial Narrow"/>
          <w:b/>
          <w:bCs/>
          <w:sz w:val="24"/>
          <w:szCs w:val="24"/>
          <w:lang w:val="en-US"/>
        </w:rPr>
        <w:t>zaposlenosti</w:t>
      </w:r>
      <w:proofErr w:type="spellEnd"/>
      <w:r w:rsidRPr="00B733F0">
        <w:rPr>
          <w:rFonts w:ascii="Arial Narrow" w:hAnsi="Arial Narrow"/>
          <w:b/>
          <w:bCs/>
          <w:sz w:val="24"/>
          <w:szCs w:val="24"/>
          <w:lang w:val="en-US"/>
        </w:rPr>
        <w:t xml:space="preserve"> 20-64</w:t>
      </w:r>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smanjen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12</w:t>
      </w:r>
      <w:r w:rsidRPr="00B733F0">
        <w:rPr>
          <w:rFonts w:ascii="Arial Narrow" w:hAnsi="Arial Narrow"/>
          <w:b/>
          <w:bCs/>
          <w:sz w:val="24"/>
          <w:szCs w:val="24"/>
          <w:lang w:val="en-US"/>
        </w:rPr>
        <w:t>,9</w:t>
      </w:r>
      <w:r>
        <w:rPr>
          <w:rFonts w:ascii="Arial Narrow" w:hAnsi="Arial Narrow"/>
          <w:b/>
          <w:bCs/>
          <w:sz w:val="24"/>
          <w:szCs w:val="24"/>
          <w:lang w:val="en-US"/>
        </w:rPr>
        <w:t xml:space="preserve"> </w:t>
      </w:r>
      <w:proofErr w:type="spellStart"/>
      <w:r w:rsidRPr="00B733F0">
        <w:rPr>
          <w:rFonts w:ascii="Arial Narrow" w:hAnsi="Arial Narrow"/>
          <w:b/>
          <w:bCs/>
          <w:sz w:val="24"/>
          <w:szCs w:val="24"/>
          <w:lang w:val="en-US"/>
        </w:rPr>
        <w:t>p.p</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B733F0">
        <w:rPr>
          <w:rFonts w:ascii="Arial Narrow" w:hAnsi="Arial Narrow"/>
          <w:b/>
          <w:bCs/>
          <w:sz w:val="24"/>
          <w:szCs w:val="24"/>
          <w:lang w:val="en-US"/>
        </w:rPr>
        <w:t xml:space="preserve">9,0 </w:t>
      </w:r>
      <w:proofErr w:type="spellStart"/>
      <w:r w:rsidRPr="00B733F0">
        <w:rPr>
          <w:rFonts w:ascii="Arial Narrow" w:hAnsi="Arial Narrow"/>
          <w:b/>
          <w:bCs/>
          <w:sz w:val="24"/>
          <w:szCs w:val="24"/>
          <w:lang w:val="en-US"/>
        </w:rPr>
        <w:t>p.p</w:t>
      </w:r>
      <w:proofErr w:type="spellEnd"/>
      <w:r>
        <w:rPr>
          <w:rFonts w:ascii="Arial Narrow" w:hAnsi="Arial Narrow"/>
          <w:b/>
          <w:bCs/>
          <w:sz w:val="24"/>
          <w:szCs w:val="24"/>
          <w:lang w:val="en-US"/>
        </w:rPr>
        <w:t xml:space="preserve">, a </w:t>
      </w:r>
      <w:proofErr w:type="spellStart"/>
      <w:r>
        <w:rPr>
          <w:rFonts w:ascii="Arial Narrow" w:hAnsi="Arial Narrow"/>
          <w:b/>
          <w:bCs/>
          <w:sz w:val="24"/>
          <w:szCs w:val="24"/>
          <w:lang w:val="en-US"/>
        </w:rPr>
        <w:t>stopa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zaspolenosti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mladih</w:t>
      </w:r>
      <w:proofErr w:type="spellEnd"/>
      <w:r>
        <w:rPr>
          <w:rFonts w:ascii="Arial Narrow" w:hAnsi="Arial Narrow"/>
          <w:b/>
          <w:bCs/>
          <w:sz w:val="24"/>
          <w:szCs w:val="24"/>
          <w:lang w:val="en-US"/>
        </w:rPr>
        <w:t xml:space="preserve"> (15-29) </w:t>
      </w:r>
      <w:proofErr w:type="spellStart"/>
      <w:r>
        <w:rPr>
          <w:rFonts w:ascii="Arial Narrow" w:hAnsi="Arial Narrow"/>
          <w:b/>
          <w:bCs/>
          <w:sz w:val="24"/>
          <w:szCs w:val="24"/>
          <w:lang w:val="en-US"/>
        </w:rPr>
        <w:t>povećana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33%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Pr>
          <w:rFonts w:ascii="Arial Narrow" w:hAnsi="Arial Narrow"/>
          <w:b/>
          <w:bCs/>
          <w:sz w:val="24"/>
          <w:szCs w:val="24"/>
          <w:lang w:val="en-US"/>
        </w:rPr>
        <w:t>godine</w:t>
      </w:r>
      <w:proofErr w:type="spellEnd"/>
      <w:r>
        <w:rPr>
          <w:rFonts w:ascii="Arial Narrow" w:hAnsi="Arial Narrow"/>
          <w:b/>
          <w:bCs/>
          <w:sz w:val="24"/>
          <w:szCs w:val="24"/>
          <w:lang w:val="en-US"/>
        </w:rPr>
        <w:t>.</w:t>
      </w:r>
    </w:p>
    <w:p w14:paraId="26F0C48D" w14:textId="77777777" w:rsidR="003D6416" w:rsidRPr="003F1A02" w:rsidRDefault="003D6416" w:rsidP="003D6416">
      <w:pPr>
        <w:jc w:val="both"/>
        <w:rPr>
          <w:rFonts w:ascii="Arial Narrow" w:hAnsi="Arial Narrow"/>
          <w:b/>
          <w:bCs/>
          <w:sz w:val="24"/>
          <w:szCs w:val="24"/>
          <w:lang w:val="en-US"/>
        </w:rPr>
      </w:pPr>
      <w:proofErr w:type="spellStart"/>
      <w:r w:rsidRPr="003F1A02">
        <w:rPr>
          <w:rFonts w:ascii="Arial Narrow" w:hAnsi="Arial Narrow"/>
          <w:b/>
          <w:bCs/>
          <w:sz w:val="24"/>
          <w:szCs w:val="24"/>
          <w:lang w:val="en-US"/>
        </w:rPr>
        <w:t>Cilj</w:t>
      </w:r>
      <w:proofErr w:type="spellEnd"/>
      <w:r w:rsidRPr="003F1A02">
        <w:rPr>
          <w:rFonts w:ascii="Arial Narrow" w:hAnsi="Arial Narrow"/>
          <w:b/>
          <w:bCs/>
          <w:sz w:val="24"/>
          <w:szCs w:val="24"/>
          <w:lang w:val="en-US"/>
        </w:rPr>
        <w:t xml:space="preserve"> </w:t>
      </w:r>
      <w:r>
        <w:rPr>
          <w:rFonts w:ascii="Arial Narrow" w:hAnsi="Arial Narrow"/>
          <w:b/>
          <w:bCs/>
          <w:sz w:val="24"/>
          <w:szCs w:val="24"/>
          <w:lang w:val="en-US"/>
        </w:rPr>
        <w:t>2.</w:t>
      </w:r>
      <w:r w:rsidRPr="003F1A02">
        <w:rPr>
          <w:rFonts w:ascii="Arial Narrow" w:hAnsi="Arial Narrow"/>
          <w:b/>
          <w:bCs/>
          <w:sz w:val="24"/>
          <w:szCs w:val="24"/>
          <w:lang w:val="en-US"/>
        </w:rPr>
        <w:t>6</w:t>
      </w:r>
      <w:r>
        <w:rPr>
          <w:rFonts w:ascii="Arial Narrow" w:hAnsi="Arial Narrow"/>
          <w:b/>
          <w:bCs/>
          <w:sz w:val="24"/>
          <w:szCs w:val="24"/>
          <w:lang w:val="en-US"/>
        </w:rPr>
        <w:t>.</w:t>
      </w:r>
      <w:r w:rsidRPr="003F1A02">
        <w:rPr>
          <w:rFonts w:ascii="Arial Narrow" w:hAnsi="Arial Narrow"/>
          <w:b/>
          <w:bCs/>
          <w:sz w:val="24"/>
          <w:szCs w:val="24"/>
          <w:lang w:val="en-US"/>
        </w:rPr>
        <w:tab/>
        <w:t xml:space="preserve">PODSTICANJE RAVNOMJERNOG REGIONALNOG RAZVOJA, INDUSTRIJE I ZANATSTVA </w:t>
      </w:r>
    </w:p>
    <w:p w14:paraId="7DB12312" w14:textId="77777777" w:rsidR="003D6416" w:rsidRDefault="003D6416" w:rsidP="003D6416">
      <w:pPr>
        <w:jc w:val="both"/>
        <w:rPr>
          <w:rFonts w:ascii="Arial Narrow" w:hAnsi="Arial Narrow"/>
          <w:b/>
          <w:bCs/>
          <w:sz w:val="24"/>
          <w:szCs w:val="24"/>
          <w:lang w:val="en-US"/>
        </w:rPr>
      </w:pPr>
      <w:proofErr w:type="spellStart"/>
      <w:r w:rsidRPr="003F1A02">
        <w:rPr>
          <w:rFonts w:ascii="Arial Narrow" w:hAnsi="Arial Narrow"/>
          <w:b/>
          <w:bCs/>
          <w:sz w:val="24"/>
          <w:szCs w:val="24"/>
          <w:lang w:val="en-US"/>
        </w:rPr>
        <w:t>Učešće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sektora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industrije</w:t>
      </w:r>
      <w:proofErr w:type="spellEnd"/>
      <w:r w:rsidRPr="003F1A02">
        <w:rPr>
          <w:rFonts w:ascii="Arial Narrow" w:hAnsi="Arial Narrow"/>
          <w:b/>
          <w:bCs/>
          <w:sz w:val="24"/>
          <w:szCs w:val="24"/>
          <w:lang w:val="en-US"/>
        </w:rPr>
        <w:t xml:space="preserve"> u BDV (B-E)</w:t>
      </w:r>
      <w:r w:rsidRPr="003F1A02">
        <w:rPr>
          <w:rFonts w:ascii="Arial Narrow" w:hAnsi="Arial Narrow"/>
          <w:b/>
          <w:bCs/>
          <w:sz w:val="24"/>
          <w:szCs w:val="24"/>
          <w:lang w:val="en-US"/>
        </w:rPr>
        <w:tab/>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povećano</w:t>
      </w:r>
      <w:proofErr w:type="spellEnd"/>
      <w:r>
        <w:rPr>
          <w:rFonts w:ascii="Arial Narrow" w:hAnsi="Arial Narrow"/>
          <w:b/>
          <w:bCs/>
          <w:sz w:val="24"/>
          <w:szCs w:val="24"/>
          <w:lang w:val="en-US"/>
        </w:rPr>
        <w:t xml:space="preserve"> za 10% (13,3% u 2020), </w:t>
      </w:r>
      <w:proofErr w:type="spellStart"/>
      <w:r>
        <w:rPr>
          <w:rFonts w:ascii="Arial Narrow" w:hAnsi="Arial Narrow"/>
          <w:b/>
          <w:bCs/>
          <w:sz w:val="24"/>
          <w:szCs w:val="24"/>
          <w:lang w:val="en-US"/>
        </w:rPr>
        <w:t>dok</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broj</w:t>
      </w:r>
      <w:proofErr w:type="spellEnd"/>
      <w:r>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registrovanih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zanatlija</w:t>
      </w:r>
      <w:proofErr w:type="spellEnd"/>
      <w:r w:rsidRPr="003F1A02">
        <w:rPr>
          <w:rFonts w:ascii="Arial Narrow" w:hAnsi="Arial Narrow"/>
          <w:b/>
          <w:bCs/>
          <w:sz w:val="24"/>
          <w:szCs w:val="24"/>
          <w:lang w:val="en-US"/>
        </w:rPr>
        <w:t xml:space="preserve"> u JU </w:t>
      </w:r>
      <w:proofErr w:type="spellStart"/>
      <w:r w:rsidRPr="003F1A02">
        <w:rPr>
          <w:rFonts w:ascii="Arial Narrow" w:hAnsi="Arial Narrow"/>
          <w:b/>
          <w:bCs/>
          <w:sz w:val="24"/>
          <w:szCs w:val="24"/>
          <w:lang w:val="en-US"/>
        </w:rPr>
        <w:t>Zanatska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komora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porasti</w:t>
      </w:r>
      <w:proofErr w:type="spellEnd"/>
      <w:r>
        <w:rPr>
          <w:rFonts w:ascii="Arial Narrow" w:hAnsi="Arial Narrow"/>
          <w:b/>
          <w:bCs/>
          <w:sz w:val="24"/>
          <w:szCs w:val="24"/>
          <w:lang w:val="en-US"/>
        </w:rPr>
        <w:t xml:space="preserve"> za 100% - od 20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40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Pr>
          <w:rFonts w:ascii="Arial Narrow" w:hAnsi="Arial Narrow"/>
          <w:b/>
          <w:bCs/>
          <w:sz w:val="24"/>
          <w:szCs w:val="24"/>
          <w:lang w:val="en-US"/>
        </w:rPr>
        <w:t>godine</w:t>
      </w:r>
      <w:proofErr w:type="spellEnd"/>
      <w:r>
        <w:rPr>
          <w:rFonts w:ascii="Arial Narrow" w:hAnsi="Arial Narrow"/>
          <w:b/>
          <w:bCs/>
          <w:sz w:val="24"/>
          <w:szCs w:val="24"/>
          <w:lang w:val="en-US"/>
        </w:rPr>
        <w:t>.</w:t>
      </w:r>
    </w:p>
    <w:p w14:paraId="0F9B5F2E" w14:textId="77777777" w:rsidR="003D6416" w:rsidRPr="003F1A02" w:rsidRDefault="003D6416" w:rsidP="003D6416">
      <w:pPr>
        <w:jc w:val="both"/>
        <w:rPr>
          <w:rFonts w:ascii="Arial Narrow" w:hAnsi="Arial Narrow"/>
          <w:b/>
          <w:bCs/>
          <w:sz w:val="24"/>
          <w:szCs w:val="24"/>
          <w:lang w:val="en-US"/>
        </w:rPr>
      </w:pPr>
      <w:proofErr w:type="spellStart"/>
      <w:r w:rsidRPr="001801EE">
        <w:rPr>
          <w:rFonts w:ascii="Arial Narrow" w:hAnsi="Arial Narrow"/>
          <w:sz w:val="24"/>
          <w:szCs w:val="24"/>
          <w:lang w:val="en-US"/>
        </w:rPr>
        <w:t>Povezani</w:t>
      </w:r>
      <w:proofErr w:type="spellEnd"/>
      <w:r w:rsidRPr="001801EE">
        <w:rPr>
          <w:rFonts w:ascii="Arial Narrow" w:hAnsi="Arial Narrow"/>
          <w:sz w:val="24"/>
          <w:szCs w:val="24"/>
          <w:lang w:val="en-US"/>
        </w:rPr>
        <w:t xml:space="preserve"> </w:t>
      </w:r>
      <w:proofErr w:type="spellStart"/>
      <w:r w:rsidRPr="001801EE">
        <w:rPr>
          <w:rFonts w:ascii="Arial Narrow" w:hAnsi="Arial Narrow"/>
          <w:sz w:val="24"/>
          <w:szCs w:val="24"/>
          <w:lang w:val="en-US"/>
        </w:rPr>
        <w:t>dio</w:t>
      </w:r>
      <w:proofErr w:type="spellEnd"/>
      <w:r w:rsidRPr="001801EE">
        <w:rPr>
          <w:rFonts w:ascii="Arial Narrow" w:hAnsi="Arial Narrow"/>
          <w:sz w:val="24"/>
          <w:szCs w:val="24"/>
          <w:lang w:val="en-US"/>
        </w:rPr>
        <w:t xml:space="preserve"> </w:t>
      </w:r>
      <w:proofErr w:type="spellStart"/>
      <w:r w:rsidRPr="001801EE">
        <w:rPr>
          <w:rFonts w:ascii="Arial Narrow" w:hAnsi="Arial Narrow"/>
          <w:sz w:val="24"/>
          <w:szCs w:val="24"/>
          <w:lang w:val="en-US"/>
        </w:rPr>
        <w:t>industrije</w:t>
      </w:r>
      <w:proofErr w:type="spellEnd"/>
      <w:r w:rsidRPr="001801EE">
        <w:rPr>
          <w:rFonts w:ascii="Arial Narrow" w:hAnsi="Arial Narrow"/>
          <w:sz w:val="24"/>
          <w:szCs w:val="24"/>
          <w:lang w:val="en-US"/>
        </w:rPr>
        <w:t xml:space="preserve"> je </w:t>
      </w:r>
      <w:proofErr w:type="spellStart"/>
      <w:r w:rsidRPr="001801EE">
        <w:rPr>
          <w:rFonts w:ascii="Arial Narrow" w:hAnsi="Arial Narrow"/>
          <w:sz w:val="24"/>
          <w:szCs w:val="24"/>
          <w:lang w:val="en-US"/>
        </w:rPr>
        <w:t>svakako</w:t>
      </w:r>
      <w:proofErr w:type="spellEnd"/>
      <w:r w:rsidRPr="001801EE">
        <w:rPr>
          <w:rFonts w:ascii="Arial Narrow" w:hAnsi="Arial Narrow"/>
          <w:sz w:val="24"/>
          <w:szCs w:val="24"/>
          <w:lang w:val="en-US"/>
        </w:rPr>
        <w:t xml:space="preserve"> </w:t>
      </w:r>
      <w:proofErr w:type="spellStart"/>
      <w:r w:rsidRPr="001801EE">
        <w:rPr>
          <w:rFonts w:ascii="Arial Narrow" w:hAnsi="Arial Narrow"/>
          <w:sz w:val="24"/>
          <w:szCs w:val="24"/>
          <w:lang w:val="en-US"/>
        </w:rPr>
        <w:t>i</w:t>
      </w:r>
      <w:proofErr w:type="spellEnd"/>
      <w:r w:rsidRPr="001801EE">
        <w:rPr>
          <w:rFonts w:ascii="Arial Narrow" w:hAnsi="Arial Narrow"/>
          <w:sz w:val="24"/>
          <w:szCs w:val="24"/>
          <w:lang w:val="en-US"/>
        </w:rPr>
        <w:t xml:space="preserve"> </w:t>
      </w:r>
      <w:proofErr w:type="spellStart"/>
      <w:r w:rsidRPr="001801EE">
        <w:rPr>
          <w:rFonts w:ascii="Arial Narrow" w:hAnsi="Arial Narrow"/>
          <w:sz w:val="24"/>
          <w:szCs w:val="24"/>
          <w:lang w:val="en-US"/>
        </w:rPr>
        <w:t>približavanje</w:t>
      </w:r>
      <w:proofErr w:type="spellEnd"/>
      <w:r w:rsidRPr="001801EE">
        <w:rPr>
          <w:rFonts w:ascii="Arial Narrow" w:hAnsi="Arial Narrow"/>
          <w:sz w:val="24"/>
          <w:szCs w:val="24"/>
          <w:lang w:val="en-US"/>
        </w:rPr>
        <w:t xml:space="preserve"> </w:t>
      </w:r>
      <w:r w:rsidRPr="001801EE">
        <w:rPr>
          <w:rFonts w:ascii="Arial Narrow" w:hAnsi="Arial Narrow"/>
          <w:b/>
          <w:bCs/>
          <w:sz w:val="24"/>
          <w:szCs w:val="24"/>
          <w:lang w:val="en-US"/>
        </w:rPr>
        <w:t xml:space="preserve">NATO </w:t>
      </w:r>
      <w:proofErr w:type="spellStart"/>
      <w:r w:rsidRPr="001801EE">
        <w:rPr>
          <w:rFonts w:ascii="Arial Narrow" w:hAnsi="Arial Narrow"/>
          <w:b/>
          <w:bCs/>
          <w:sz w:val="24"/>
          <w:szCs w:val="24"/>
          <w:lang w:val="en-US"/>
        </w:rPr>
        <w:t>standardima</w:t>
      </w:r>
      <w:proofErr w:type="spellEnd"/>
      <w:r w:rsidRPr="001801EE">
        <w:rPr>
          <w:rFonts w:ascii="Arial Narrow" w:hAnsi="Arial Narrow"/>
          <w:sz w:val="24"/>
          <w:szCs w:val="24"/>
          <w:lang w:val="en-US"/>
        </w:rPr>
        <w:t xml:space="preserve"> u </w:t>
      </w:r>
      <w:proofErr w:type="spellStart"/>
      <w:r w:rsidRPr="001801EE">
        <w:rPr>
          <w:rFonts w:ascii="Arial Narrow" w:hAnsi="Arial Narrow"/>
          <w:sz w:val="24"/>
          <w:szCs w:val="24"/>
          <w:lang w:val="en-US"/>
        </w:rPr>
        <w:t>ovom</w:t>
      </w:r>
      <w:proofErr w:type="spellEnd"/>
      <w:r w:rsidRPr="001801EE">
        <w:rPr>
          <w:rFonts w:ascii="Arial Narrow" w:hAnsi="Arial Narrow"/>
          <w:sz w:val="24"/>
          <w:szCs w:val="24"/>
          <w:lang w:val="en-US"/>
        </w:rPr>
        <w:t xml:space="preserve"> </w:t>
      </w:r>
      <w:proofErr w:type="spellStart"/>
      <w:r w:rsidRPr="001801EE">
        <w:rPr>
          <w:rFonts w:ascii="Arial Narrow" w:hAnsi="Arial Narrow"/>
          <w:sz w:val="24"/>
          <w:szCs w:val="24"/>
          <w:lang w:val="en-US"/>
        </w:rPr>
        <w:t>sektoru</w:t>
      </w:r>
      <w:proofErr w:type="spellEnd"/>
      <w:r w:rsidRPr="001801EE">
        <w:rPr>
          <w:rFonts w:ascii="Arial Narrow" w:hAnsi="Arial Narrow"/>
          <w:sz w:val="24"/>
          <w:szCs w:val="24"/>
          <w:lang w:val="en-US"/>
        </w:rPr>
        <w:t xml:space="preserve">, </w:t>
      </w:r>
      <w:proofErr w:type="spellStart"/>
      <w:r w:rsidRPr="001801EE">
        <w:rPr>
          <w:rFonts w:ascii="Arial Narrow" w:hAnsi="Arial Narrow"/>
          <w:sz w:val="24"/>
          <w:szCs w:val="24"/>
          <w:lang w:val="en-US"/>
        </w:rPr>
        <w:t>zbog</w:t>
      </w:r>
      <w:proofErr w:type="spellEnd"/>
      <w:r w:rsidRPr="001801EE">
        <w:rPr>
          <w:rFonts w:ascii="Arial Narrow" w:hAnsi="Arial Narrow"/>
          <w:sz w:val="24"/>
          <w:szCs w:val="24"/>
          <w:lang w:val="en-US"/>
        </w:rPr>
        <w:t xml:space="preserve"> </w:t>
      </w:r>
      <w:proofErr w:type="spellStart"/>
      <w:r w:rsidRPr="001801EE">
        <w:rPr>
          <w:rFonts w:ascii="Arial Narrow" w:hAnsi="Arial Narrow"/>
          <w:sz w:val="24"/>
          <w:szCs w:val="24"/>
          <w:lang w:val="en-US"/>
        </w:rPr>
        <w:t>čega</w:t>
      </w:r>
      <w:proofErr w:type="spellEnd"/>
      <w:r w:rsidRPr="001801EE">
        <w:rPr>
          <w:rFonts w:ascii="Arial Narrow" w:hAnsi="Arial Narrow"/>
          <w:sz w:val="24"/>
          <w:szCs w:val="24"/>
          <w:lang w:val="en-US"/>
        </w:rPr>
        <w:t xml:space="preserve"> </w:t>
      </w:r>
      <w:proofErr w:type="spellStart"/>
      <w:r w:rsidRPr="001801EE">
        <w:rPr>
          <w:rFonts w:ascii="Arial Narrow" w:hAnsi="Arial Narrow"/>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w:t>
      </w:r>
      <w:r w:rsidRPr="001801EE">
        <w:rPr>
          <w:rFonts w:ascii="Arial Narrow" w:hAnsi="Arial Narrow"/>
          <w:b/>
          <w:bCs/>
          <w:sz w:val="24"/>
          <w:szCs w:val="24"/>
          <w:lang w:val="en-US"/>
        </w:rPr>
        <w:t>roj</w:t>
      </w:r>
      <w:proofErr w:type="spellEnd"/>
      <w:r w:rsidRPr="001801EE">
        <w:rPr>
          <w:rFonts w:ascii="Arial Narrow" w:hAnsi="Arial Narrow"/>
          <w:b/>
          <w:bCs/>
          <w:sz w:val="24"/>
          <w:szCs w:val="24"/>
          <w:lang w:val="en-US"/>
        </w:rPr>
        <w:t xml:space="preserve"> </w:t>
      </w:r>
      <w:proofErr w:type="spellStart"/>
      <w:r w:rsidRPr="001801EE">
        <w:rPr>
          <w:rFonts w:ascii="Arial Narrow" w:hAnsi="Arial Narrow"/>
          <w:b/>
          <w:bCs/>
          <w:sz w:val="24"/>
          <w:szCs w:val="24"/>
          <w:lang w:val="en-US"/>
        </w:rPr>
        <w:t>ukupno</w:t>
      </w:r>
      <w:proofErr w:type="spellEnd"/>
      <w:r w:rsidRPr="001801EE">
        <w:rPr>
          <w:rFonts w:ascii="Arial Narrow" w:hAnsi="Arial Narrow"/>
          <w:b/>
          <w:bCs/>
          <w:sz w:val="24"/>
          <w:szCs w:val="24"/>
          <w:lang w:val="en-US"/>
        </w:rPr>
        <w:t xml:space="preserve"> </w:t>
      </w:r>
      <w:proofErr w:type="spellStart"/>
      <w:r w:rsidRPr="001801EE">
        <w:rPr>
          <w:rFonts w:ascii="Arial Narrow" w:hAnsi="Arial Narrow"/>
          <w:b/>
          <w:bCs/>
          <w:sz w:val="24"/>
          <w:szCs w:val="24"/>
          <w:lang w:val="en-US"/>
        </w:rPr>
        <w:t>dodijeljenih</w:t>
      </w:r>
      <w:proofErr w:type="spellEnd"/>
      <w:r w:rsidRPr="001801EE">
        <w:rPr>
          <w:rFonts w:ascii="Arial Narrow" w:hAnsi="Arial Narrow"/>
          <w:b/>
          <w:bCs/>
          <w:sz w:val="24"/>
          <w:szCs w:val="24"/>
          <w:lang w:val="en-US"/>
        </w:rPr>
        <w:t xml:space="preserve"> </w:t>
      </w:r>
      <w:proofErr w:type="spellStart"/>
      <w:r w:rsidRPr="001801EE">
        <w:rPr>
          <w:rFonts w:ascii="Arial Narrow" w:hAnsi="Arial Narrow"/>
          <w:b/>
          <w:bCs/>
          <w:sz w:val="24"/>
          <w:szCs w:val="24"/>
          <w:lang w:val="en-US"/>
        </w:rPr>
        <w:t>kompanijskih</w:t>
      </w:r>
      <w:proofErr w:type="spellEnd"/>
      <w:r w:rsidRPr="001801EE">
        <w:rPr>
          <w:rFonts w:ascii="Arial Narrow" w:hAnsi="Arial Narrow"/>
          <w:b/>
          <w:bCs/>
          <w:sz w:val="24"/>
          <w:szCs w:val="24"/>
          <w:lang w:val="en-US"/>
        </w:rPr>
        <w:t xml:space="preserve"> </w:t>
      </w:r>
      <w:proofErr w:type="spellStart"/>
      <w:r w:rsidRPr="001801EE">
        <w:rPr>
          <w:rFonts w:ascii="Arial Narrow" w:hAnsi="Arial Narrow"/>
          <w:b/>
          <w:bCs/>
          <w:sz w:val="24"/>
          <w:szCs w:val="24"/>
          <w:lang w:val="en-US"/>
        </w:rPr>
        <w:t>kodova</w:t>
      </w:r>
      <w:proofErr w:type="spellEnd"/>
      <w:r w:rsidRPr="001801EE">
        <w:rPr>
          <w:rFonts w:ascii="Arial Narrow" w:hAnsi="Arial Narrow"/>
          <w:b/>
          <w:bCs/>
          <w:sz w:val="24"/>
          <w:szCs w:val="24"/>
          <w:lang w:val="en-US"/>
        </w:rPr>
        <w:t xml:space="preserve"> - NCAGE </w:t>
      </w:r>
      <w:proofErr w:type="spellStart"/>
      <w:r w:rsidRPr="001801EE">
        <w:rPr>
          <w:rFonts w:ascii="Arial Narrow" w:hAnsi="Arial Narrow"/>
          <w:b/>
          <w:bCs/>
          <w:sz w:val="24"/>
          <w:szCs w:val="24"/>
          <w:lang w:val="en-US"/>
        </w:rPr>
        <w:t>kodova</w:t>
      </w:r>
      <w:proofErr w:type="spellEnd"/>
      <w:r w:rsidRPr="001801EE">
        <w:rPr>
          <w:rFonts w:ascii="Arial Narrow" w:hAnsi="Arial Narrow"/>
          <w:b/>
          <w:bCs/>
          <w:sz w:val="24"/>
          <w:szCs w:val="24"/>
          <w:lang w:val="en-US"/>
        </w:rPr>
        <w:t xml:space="preserve"> </w:t>
      </w:r>
      <w:proofErr w:type="spellStart"/>
      <w:r w:rsidRPr="001801EE">
        <w:rPr>
          <w:rFonts w:ascii="Arial Narrow" w:hAnsi="Arial Narrow"/>
          <w:b/>
          <w:bCs/>
          <w:sz w:val="24"/>
          <w:szCs w:val="24"/>
          <w:lang w:val="en-US"/>
        </w:rPr>
        <w:t>crnogorskim</w:t>
      </w:r>
      <w:proofErr w:type="spellEnd"/>
      <w:r w:rsidRPr="001801EE">
        <w:rPr>
          <w:rFonts w:ascii="Arial Narrow" w:hAnsi="Arial Narrow"/>
          <w:b/>
          <w:bCs/>
          <w:sz w:val="24"/>
          <w:szCs w:val="24"/>
          <w:lang w:val="en-US"/>
        </w:rPr>
        <w:t xml:space="preserve"> </w:t>
      </w:r>
      <w:proofErr w:type="spellStart"/>
      <w:r w:rsidRPr="001801EE">
        <w:rPr>
          <w:rFonts w:ascii="Arial Narrow" w:hAnsi="Arial Narrow"/>
          <w:b/>
          <w:bCs/>
          <w:sz w:val="24"/>
          <w:szCs w:val="24"/>
          <w:lang w:val="en-US"/>
        </w:rPr>
        <w:t>kompanijama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r w:rsidRPr="001801EE">
        <w:rPr>
          <w:rFonts w:ascii="Arial Narrow" w:hAnsi="Arial Narrow"/>
          <w:b/>
          <w:bCs/>
          <w:sz w:val="24"/>
          <w:szCs w:val="24"/>
          <w:lang w:val="en-US"/>
        </w:rPr>
        <w:t>193</w:t>
      </w:r>
      <w:r>
        <w:rPr>
          <w:rFonts w:ascii="Arial Narrow" w:hAnsi="Arial Narrow"/>
          <w:b/>
          <w:bCs/>
          <w:sz w:val="24"/>
          <w:szCs w:val="24"/>
          <w:lang w:val="en-US"/>
        </w:rPr>
        <w:t xml:space="preserve"> (</w:t>
      </w:r>
      <w:proofErr w:type="spellStart"/>
      <w:r>
        <w:rPr>
          <w:rFonts w:ascii="Arial Narrow" w:hAnsi="Arial Narrow"/>
          <w:b/>
          <w:bCs/>
          <w:sz w:val="24"/>
          <w:szCs w:val="24"/>
          <w:lang w:val="en-US"/>
        </w:rPr>
        <w:t>trenutno</w:t>
      </w:r>
      <w:proofErr w:type="spellEnd"/>
      <w:r>
        <w:rPr>
          <w:rFonts w:ascii="Arial Narrow" w:hAnsi="Arial Narrow"/>
          <w:b/>
          <w:bCs/>
          <w:sz w:val="24"/>
          <w:szCs w:val="24"/>
          <w:lang w:val="en-US"/>
        </w:rPr>
        <w:t xml:space="preserve"> 181, </w:t>
      </w:r>
      <w:proofErr w:type="spellStart"/>
      <w:r>
        <w:rPr>
          <w:rFonts w:ascii="Arial Narrow" w:hAnsi="Arial Narrow"/>
          <w:b/>
          <w:bCs/>
          <w:sz w:val="24"/>
          <w:szCs w:val="24"/>
          <w:lang w:val="en-US"/>
        </w:rPr>
        <w:t>godišnje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uvećanej</w:t>
      </w:r>
      <w:proofErr w:type="spellEnd"/>
      <w:r>
        <w:rPr>
          <w:rFonts w:ascii="Arial Narrow" w:hAnsi="Arial Narrow"/>
          <w:b/>
          <w:bCs/>
          <w:sz w:val="24"/>
          <w:szCs w:val="24"/>
          <w:lang w:val="en-US"/>
        </w:rPr>
        <w:t xml:space="preserve"> za 2%), a </w:t>
      </w:r>
      <w:proofErr w:type="spellStart"/>
      <w:r>
        <w:rPr>
          <w:rFonts w:ascii="Arial Narrow" w:hAnsi="Arial Narrow"/>
          <w:b/>
          <w:bCs/>
          <w:sz w:val="24"/>
          <w:szCs w:val="24"/>
          <w:lang w:val="en-US"/>
        </w:rPr>
        <w:t>b</w:t>
      </w:r>
      <w:r w:rsidRPr="001801EE">
        <w:rPr>
          <w:rFonts w:ascii="Arial Narrow" w:hAnsi="Arial Narrow"/>
          <w:b/>
          <w:bCs/>
          <w:sz w:val="24"/>
          <w:szCs w:val="24"/>
          <w:lang w:val="en-US"/>
        </w:rPr>
        <w:t>roj</w:t>
      </w:r>
      <w:proofErr w:type="spellEnd"/>
      <w:r w:rsidRPr="001801EE">
        <w:rPr>
          <w:rFonts w:ascii="Arial Narrow" w:hAnsi="Arial Narrow"/>
          <w:b/>
          <w:bCs/>
          <w:sz w:val="24"/>
          <w:szCs w:val="24"/>
          <w:lang w:val="en-US"/>
        </w:rPr>
        <w:t xml:space="preserve"> </w:t>
      </w:r>
      <w:proofErr w:type="spellStart"/>
      <w:r w:rsidRPr="001801EE">
        <w:rPr>
          <w:rFonts w:ascii="Arial Narrow" w:hAnsi="Arial Narrow"/>
          <w:b/>
          <w:bCs/>
          <w:sz w:val="24"/>
          <w:szCs w:val="24"/>
          <w:lang w:val="en-US"/>
        </w:rPr>
        <w:t>ukupno</w:t>
      </w:r>
      <w:proofErr w:type="spellEnd"/>
      <w:r w:rsidRPr="001801EE">
        <w:rPr>
          <w:rFonts w:ascii="Arial Narrow" w:hAnsi="Arial Narrow"/>
          <w:b/>
          <w:bCs/>
          <w:sz w:val="24"/>
          <w:szCs w:val="24"/>
          <w:lang w:val="en-US"/>
        </w:rPr>
        <w:t xml:space="preserve"> </w:t>
      </w:r>
      <w:proofErr w:type="spellStart"/>
      <w:r w:rsidRPr="001801EE">
        <w:rPr>
          <w:rFonts w:ascii="Arial Narrow" w:hAnsi="Arial Narrow"/>
          <w:b/>
          <w:bCs/>
          <w:sz w:val="24"/>
          <w:szCs w:val="24"/>
          <w:lang w:val="en-US"/>
        </w:rPr>
        <w:t>dodijeljenih</w:t>
      </w:r>
      <w:proofErr w:type="spellEnd"/>
      <w:r w:rsidRPr="001801EE">
        <w:rPr>
          <w:rFonts w:ascii="Arial Narrow" w:hAnsi="Arial Narrow"/>
          <w:b/>
          <w:bCs/>
          <w:sz w:val="24"/>
          <w:szCs w:val="24"/>
          <w:lang w:val="en-US"/>
        </w:rPr>
        <w:t xml:space="preserve"> NATO </w:t>
      </w:r>
      <w:proofErr w:type="spellStart"/>
      <w:r w:rsidRPr="001801EE">
        <w:rPr>
          <w:rFonts w:ascii="Arial Narrow" w:hAnsi="Arial Narrow"/>
          <w:b/>
          <w:bCs/>
          <w:sz w:val="24"/>
          <w:szCs w:val="24"/>
          <w:lang w:val="en-US"/>
        </w:rPr>
        <w:t>skladišnih</w:t>
      </w:r>
      <w:proofErr w:type="spellEnd"/>
      <w:r w:rsidRPr="001801EE">
        <w:rPr>
          <w:rFonts w:ascii="Arial Narrow" w:hAnsi="Arial Narrow"/>
          <w:b/>
          <w:bCs/>
          <w:sz w:val="24"/>
          <w:szCs w:val="24"/>
          <w:lang w:val="en-US"/>
        </w:rPr>
        <w:t xml:space="preserve"> </w:t>
      </w:r>
      <w:proofErr w:type="spellStart"/>
      <w:r w:rsidRPr="001801EE">
        <w:rPr>
          <w:rFonts w:ascii="Arial Narrow" w:hAnsi="Arial Narrow"/>
          <w:b/>
          <w:bCs/>
          <w:sz w:val="24"/>
          <w:szCs w:val="24"/>
          <w:lang w:val="en-US"/>
        </w:rPr>
        <w:t>brojeva</w:t>
      </w:r>
      <w:proofErr w:type="spellEnd"/>
      <w:r w:rsidRPr="001801EE">
        <w:rPr>
          <w:rFonts w:ascii="Arial Narrow" w:hAnsi="Arial Narrow"/>
          <w:b/>
          <w:bCs/>
          <w:sz w:val="24"/>
          <w:szCs w:val="24"/>
          <w:lang w:val="en-US"/>
        </w:rPr>
        <w:t xml:space="preserve"> – NSN </w:t>
      </w:r>
      <w:proofErr w:type="spellStart"/>
      <w:r w:rsidRPr="001801EE">
        <w:rPr>
          <w:rFonts w:ascii="Arial Narrow" w:hAnsi="Arial Narrow"/>
          <w:b/>
          <w:bCs/>
          <w:sz w:val="24"/>
          <w:szCs w:val="24"/>
          <w:lang w:val="en-US"/>
        </w:rPr>
        <w:t>crnogorskim</w:t>
      </w:r>
      <w:proofErr w:type="spellEnd"/>
      <w:r w:rsidRPr="001801EE">
        <w:rPr>
          <w:rFonts w:ascii="Arial Narrow" w:hAnsi="Arial Narrow"/>
          <w:b/>
          <w:bCs/>
          <w:sz w:val="24"/>
          <w:szCs w:val="24"/>
          <w:lang w:val="en-US"/>
        </w:rPr>
        <w:t xml:space="preserve"> </w:t>
      </w:r>
      <w:proofErr w:type="spellStart"/>
      <w:r w:rsidRPr="001801EE">
        <w:rPr>
          <w:rFonts w:ascii="Arial Narrow" w:hAnsi="Arial Narrow"/>
          <w:b/>
          <w:bCs/>
          <w:sz w:val="24"/>
          <w:szCs w:val="24"/>
          <w:lang w:val="en-US"/>
        </w:rPr>
        <w:t>proizvodima</w:t>
      </w:r>
      <w:proofErr w:type="spellEnd"/>
      <w:r>
        <w:rPr>
          <w:rFonts w:ascii="Arial Narrow" w:hAnsi="Arial Narrow"/>
          <w:b/>
          <w:bCs/>
          <w:sz w:val="24"/>
          <w:szCs w:val="24"/>
          <w:lang w:val="en-US"/>
        </w:rPr>
        <w:t xml:space="preserve"> </w:t>
      </w:r>
      <w:r w:rsidRPr="001801EE">
        <w:rPr>
          <w:rFonts w:ascii="Arial Narrow" w:hAnsi="Arial Narrow"/>
          <w:b/>
          <w:bCs/>
          <w:sz w:val="24"/>
          <w:szCs w:val="24"/>
          <w:lang w:val="en-US"/>
        </w:rPr>
        <w:t>298</w:t>
      </w:r>
      <w:r>
        <w:rPr>
          <w:rFonts w:ascii="Arial Narrow" w:hAnsi="Arial Narrow"/>
          <w:b/>
          <w:bCs/>
          <w:sz w:val="24"/>
          <w:szCs w:val="24"/>
          <w:lang w:val="en-US"/>
        </w:rPr>
        <w:t xml:space="preserve"> </w:t>
      </w:r>
      <w:r w:rsidRPr="001801EE">
        <w:rPr>
          <w:rFonts w:ascii="Arial Narrow" w:hAnsi="Arial Narrow"/>
          <w:b/>
          <w:bCs/>
          <w:sz w:val="24"/>
          <w:szCs w:val="24"/>
          <w:lang w:val="en-US"/>
        </w:rPr>
        <w:t>(</w:t>
      </w:r>
      <w:proofErr w:type="spellStart"/>
      <w:r>
        <w:rPr>
          <w:rFonts w:ascii="Arial Narrow" w:hAnsi="Arial Narrow"/>
          <w:b/>
          <w:bCs/>
          <w:sz w:val="24"/>
          <w:szCs w:val="24"/>
          <w:lang w:val="en-US"/>
        </w:rPr>
        <w:t>trenutno</w:t>
      </w:r>
      <w:proofErr w:type="spellEnd"/>
      <w:r>
        <w:rPr>
          <w:rFonts w:ascii="Arial Narrow" w:hAnsi="Arial Narrow"/>
          <w:b/>
          <w:bCs/>
          <w:sz w:val="24"/>
          <w:szCs w:val="24"/>
          <w:lang w:val="en-US"/>
        </w:rPr>
        <w:t xml:space="preserve"> 257, </w:t>
      </w:r>
      <w:proofErr w:type="spellStart"/>
      <w:r>
        <w:rPr>
          <w:rFonts w:ascii="Arial Narrow" w:hAnsi="Arial Narrow"/>
          <w:b/>
          <w:bCs/>
          <w:sz w:val="24"/>
          <w:szCs w:val="24"/>
          <w:lang w:val="en-US"/>
        </w:rPr>
        <w:t>godišnje</w:t>
      </w:r>
      <w:proofErr w:type="spellEnd"/>
      <w:r>
        <w:rPr>
          <w:rFonts w:ascii="Arial Narrow" w:hAnsi="Arial Narrow"/>
          <w:b/>
          <w:bCs/>
          <w:sz w:val="24"/>
          <w:szCs w:val="24"/>
          <w:lang w:val="en-US"/>
        </w:rPr>
        <w:t xml:space="preserve"> </w:t>
      </w:r>
      <w:proofErr w:type="spellStart"/>
      <w:r w:rsidRPr="001801EE">
        <w:rPr>
          <w:rFonts w:ascii="Arial Narrow" w:hAnsi="Arial Narrow"/>
          <w:b/>
          <w:bCs/>
          <w:sz w:val="24"/>
          <w:szCs w:val="24"/>
          <w:lang w:val="en-US"/>
        </w:rPr>
        <w:t>uvećanje</w:t>
      </w:r>
      <w:proofErr w:type="spellEnd"/>
      <w:r w:rsidRPr="001801EE">
        <w:rPr>
          <w:rFonts w:ascii="Arial Narrow" w:hAnsi="Arial Narrow"/>
          <w:b/>
          <w:bCs/>
          <w:sz w:val="24"/>
          <w:szCs w:val="24"/>
          <w:lang w:val="en-US"/>
        </w:rPr>
        <w:t xml:space="preserve"> od 5%)</w:t>
      </w:r>
      <w:r>
        <w:rPr>
          <w:rFonts w:ascii="Arial Narrow" w:hAnsi="Arial Narrow"/>
          <w:b/>
          <w:bCs/>
          <w:sz w:val="24"/>
          <w:szCs w:val="24"/>
          <w:lang w:val="en-US"/>
        </w:rPr>
        <w:t>.</w:t>
      </w:r>
    </w:p>
    <w:p w14:paraId="569F2214" w14:textId="77777777" w:rsidR="003D6416" w:rsidRPr="003F1A02" w:rsidRDefault="003D6416" w:rsidP="003D6416">
      <w:pPr>
        <w:jc w:val="both"/>
        <w:rPr>
          <w:rFonts w:ascii="Arial Narrow" w:hAnsi="Arial Narrow"/>
          <w:b/>
          <w:bCs/>
          <w:sz w:val="24"/>
          <w:szCs w:val="24"/>
          <w:lang w:val="en-US"/>
        </w:rPr>
      </w:pPr>
      <w:r w:rsidRPr="003F1A02">
        <w:rPr>
          <w:rFonts w:ascii="Arial Narrow" w:hAnsi="Arial Narrow"/>
          <w:b/>
          <w:bCs/>
          <w:sz w:val="24"/>
          <w:szCs w:val="24"/>
          <w:lang w:val="en-US"/>
        </w:rPr>
        <w:t>CILJ 2.7.</w:t>
      </w:r>
      <w:r>
        <w:rPr>
          <w:rFonts w:ascii="Arial Narrow" w:hAnsi="Arial Narrow"/>
          <w:b/>
          <w:bCs/>
          <w:sz w:val="24"/>
          <w:szCs w:val="24"/>
          <w:lang w:val="en-US"/>
        </w:rPr>
        <w:t xml:space="preserve"> </w:t>
      </w:r>
      <w:r w:rsidRPr="003F1A02">
        <w:rPr>
          <w:rFonts w:ascii="Arial Narrow" w:hAnsi="Arial Narrow"/>
          <w:b/>
          <w:bCs/>
          <w:sz w:val="24"/>
          <w:szCs w:val="24"/>
          <w:lang w:val="en-US"/>
        </w:rPr>
        <w:t>JAČANJE KONKURENTNOSTI CRNOGORSKE PRIVREDE I KREIRANJA PREDUZETNIČKOG EKO-SISTEMA</w:t>
      </w:r>
      <w:r>
        <w:rPr>
          <w:rFonts w:ascii="Arial Narrow" w:hAnsi="Arial Narrow"/>
          <w:b/>
          <w:bCs/>
          <w:sz w:val="24"/>
          <w:szCs w:val="24"/>
          <w:lang w:val="en-US"/>
        </w:rPr>
        <w:t xml:space="preserve"> UZ SNAŽNU AKTIVNOST EKONOMSKE DIPLOMATIJE</w:t>
      </w:r>
    </w:p>
    <w:p w14:paraId="31EB4636" w14:textId="77777777" w:rsidR="003D6416" w:rsidRDefault="003D6416" w:rsidP="003D6416">
      <w:pPr>
        <w:jc w:val="both"/>
        <w:rPr>
          <w:rFonts w:ascii="Arial Narrow" w:hAnsi="Arial Narrow"/>
          <w:b/>
          <w:bCs/>
          <w:sz w:val="24"/>
          <w:szCs w:val="24"/>
          <w:lang w:val="en-US"/>
        </w:rPr>
      </w:pPr>
      <w:proofErr w:type="spellStart"/>
      <w:r>
        <w:rPr>
          <w:rFonts w:ascii="Arial Narrow" w:hAnsi="Arial Narrow"/>
          <w:b/>
          <w:bCs/>
          <w:sz w:val="24"/>
          <w:szCs w:val="24"/>
          <w:lang w:val="en-US"/>
        </w:rPr>
        <w:t>Ojačaćemo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preduzetnički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potencijal</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podsticati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investicije</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Crnu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Goru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kroz</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aktivnosti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unutrašnjem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spoljno-političkom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planu</w:t>
      </w:r>
      <w:proofErr w:type="spellEnd"/>
      <w:r>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Broj</w:t>
      </w:r>
      <w:proofErr w:type="spellEnd"/>
      <w:r w:rsidRPr="003F1A02">
        <w:rPr>
          <w:rFonts w:ascii="Arial Narrow" w:hAnsi="Arial Narrow"/>
          <w:b/>
          <w:bCs/>
          <w:sz w:val="24"/>
          <w:szCs w:val="24"/>
          <w:lang w:val="en-US"/>
        </w:rPr>
        <w:t xml:space="preserve"> </w:t>
      </w:r>
      <w:proofErr w:type="spellStart"/>
      <w:r>
        <w:rPr>
          <w:rFonts w:ascii="Arial Narrow" w:hAnsi="Arial Narrow"/>
          <w:b/>
          <w:bCs/>
          <w:sz w:val="24"/>
          <w:szCs w:val="24"/>
          <w:lang w:val="en-US"/>
        </w:rPr>
        <w:t>mikro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malih</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srednjih</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preduzeća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trenutno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iznosi</w:t>
      </w:r>
      <w:proofErr w:type="spellEnd"/>
      <w:r>
        <w:rPr>
          <w:rFonts w:ascii="Arial Narrow" w:hAnsi="Arial Narrow"/>
          <w:b/>
          <w:bCs/>
          <w:sz w:val="24"/>
          <w:szCs w:val="24"/>
          <w:lang w:val="en-US"/>
        </w:rPr>
        <w:t xml:space="preserve"> </w:t>
      </w:r>
      <w:r w:rsidRPr="003F1A02">
        <w:rPr>
          <w:rFonts w:ascii="Arial Narrow" w:hAnsi="Arial Narrow"/>
          <w:b/>
          <w:bCs/>
          <w:sz w:val="24"/>
          <w:szCs w:val="24"/>
          <w:lang w:val="en-US"/>
        </w:rPr>
        <w:t>37 217</w:t>
      </w:r>
      <w:r>
        <w:rPr>
          <w:rFonts w:ascii="Arial Narrow" w:hAnsi="Arial Narrow"/>
          <w:b/>
          <w:bCs/>
          <w:sz w:val="24"/>
          <w:szCs w:val="24"/>
          <w:lang w:val="en-US"/>
        </w:rPr>
        <w:t xml:space="preserve">, a do 2024. </w:t>
      </w:r>
      <w:proofErr w:type="spellStart"/>
      <w:r>
        <w:rPr>
          <w:rFonts w:ascii="Arial Narrow" w:hAnsi="Arial Narrow"/>
          <w:b/>
          <w:bCs/>
          <w:sz w:val="24"/>
          <w:szCs w:val="24"/>
          <w:lang w:val="en-US"/>
        </w:rPr>
        <w:t>očekujemo</w:t>
      </w:r>
      <w:proofErr w:type="spellEnd"/>
      <w:r>
        <w:rPr>
          <w:rFonts w:ascii="Arial Narrow" w:hAnsi="Arial Narrow"/>
          <w:b/>
          <w:bCs/>
          <w:sz w:val="24"/>
          <w:szCs w:val="24"/>
          <w:lang w:val="en-US"/>
        </w:rPr>
        <w:t xml:space="preserve"> da </w:t>
      </w:r>
      <w:proofErr w:type="spellStart"/>
      <w:r>
        <w:rPr>
          <w:rFonts w:ascii="Arial Narrow" w:hAnsi="Arial Narrow"/>
          <w:b/>
          <w:bCs/>
          <w:sz w:val="24"/>
          <w:szCs w:val="24"/>
          <w:lang w:val="en-US"/>
        </w:rPr>
        <w:t>ih</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bude</w:t>
      </w:r>
      <w:proofErr w:type="spellEnd"/>
      <w:r>
        <w:rPr>
          <w:rFonts w:ascii="Arial Narrow" w:hAnsi="Arial Narrow"/>
          <w:b/>
          <w:bCs/>
          <w:sz w:val="24"/>
          <w:szCs w:val="24"/>
          <w:lang w:val="en-US"/>
        </w:rPr>
        <w:t xml:space="preserve"> 20% </w:t>
      </w:r>
      <w:proofErr w:type="spellStart"/>
      <w:r>
        <w:rPr>
          <w:rFonts w:ascii="Arial Narrow" w:hAnsi="Arial Narrow"/>
          <w:b/>
          <w:bCs/>
          <w:sz w:val="24"/>
          <w:szCs w:val="24"/>
          <w:lang w:val="en-US"/>
        </w:rPr>
        <w:t>više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Crna</w:t>
      </w:r>
      <w:proofErr w:type="spellEnd"/>
      <w:r>
        <w:rPr>
          <w:rFonts w:ascii="Arial Narrow" w:hAnsi="Arial Narrow"/>
          <w:b/>
          <w:bCs/>
          <w:sz w:val="24"/>
          <w:szCs w:val="24"/>
          <w:lang w:val="en-US"/>
        </w:rPr>
        <w:t xml:space="preserve"> Gora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raditi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povećanju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w:t>
      </w:r>
      <w:r w:rsidRPr="003F1A02">
        <w:rPr>
          <w:rFonts w:ascii="Arial Narrow" w:hAnsi="Arial Narrow"/>
          <w:b/>
          <w:bCs/>
          <w:sz w:val="24"/>
          <w:szCs w:val="24"/>
          <w:lang w:val="en-US"/>
        </w:rPr>
        <w:t>roj</w:t>
      </w:r>
      <w:r>
        <w:rPr>
          <w:rFonts w:ascii="Arial Narrow" w:hAnsi="Arial Narrow"/>
          <w:b/>
          <w:bCs/>
          <w:sz w:val="24"/>
          <w:szCs w:val="24"/>
          <w:lang w:val="en-US"/>
        </w:rPr>
        <w:t>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sprovedenih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inicijativa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od</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značaja</w:t>
      </w:r>
      <w:proofErr w:type="spellEnd"/>
      <w:r w:rsidRPr="003F1A02">
        <w:rPr>
          <w:rFonts w:ascii="Arial Narrow" w:hAnsi="Arial Narrow"/>
          <w:b/>
          <w:bCs/>
          <w:sz w:val="24"/>
          <w:szCs w:val="24"/>
          <w:lang w:val="en-US"/>
        </w:rPr>
        <w:t xml:space="preserve"> za </w:t>
      </w:r>
      <w:proofErr w:type="spellStart"/>
      <w:r w:rsidRPr="003F1A02">
        <w:rPr>
          <w:rFonts w:ascii="Arial Narrow" w:hAnsi="Arial Narrow"/>
          <w:b/>
          <w:bCs/>
          <w:sz w:val="24"/>
          <w:szCs w:val="24"/>
          <w:lang w:val="en-US"/>
        </w:rPr>
        <w:t>promociju</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investicionih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potencijala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Crne</w:t>
      </w:r>
      <w:proofErr w:type="spellEnd"/>
      <w:r w:rsidRPr="003F1A02">
        <w:rPr>
          <w:rFonts w:ascii="Arial Narrow" w:hAnsi="Arial Narrow"/>
          <w:b/>
          <w:bCs/>
          <w:sz w:val="24"/>
          <w:szCs w:val="24"/>
          <w:lang w:val="en-US"/>
        </w:rPr>
        <w:t xml:space="preserve"> Gore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podsticanje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izvoza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proizvoda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usluga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crnogorskih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kompanija</w:t>
      </w:r>
      <w:proofErr w:type="spellEnd"/>
      <w:r>
        <w:rPr>
          <w:rFonts w:ascii="Arial Narrow" w:hAnsi="Arial Narrow"/>
          <w:b/>
          <w:bCs/>
          <w:sz w:val="24"/>
          <w:szCs w:val="24"/>
          <w:lang w:val="en-US"/>
        </w:rPr>
        <w:t>.</w:t>
      </w:r>
    </w:p>
    <w:p w14:paraId="29F16381" w14:textId="77777777" w:rsidR="003D6416" w:rsidRPr="003F1A02" w:rsidRDefault="003D6416" w:rsidP="003D6416">
      <w:pPr>
        <w:jc w:val="both"/>
        <w:rPr>
          <w:rFonts w:ascii="Arial Narrow" w:hAnsi="Arial Narrow"/>
          <w:b/>
          <w:bCs/>
          <w:sz w:val="24"/>
          <w:szCs w:val="24"/>
          <w:lang w:val="en-US"/>
        </w:rPr>
      </w:pPr>
      <w:proofErr w:type="spellStart"/>
      <w:r w:rsidRPr="003F1A02">
        <w:rPr>
          <w:rFonts w:ascii="Arial Narrow" w:hAnsi="Arial Narrow"/>
          <w:b/>
          <w:bCs/>
          <w:sz w:val="24"/>
          <w:szCs w:val="24"/>
          <w:lang w:val="en-US"/>
        </w:rPr>
        <w:t>Cilj</w:t>
      </w:r>
      <w:proofErr w:type="spellEnd"/>
      <w:r w:rsidRPr="003F1A02">
        <w:rPr>
          <w:rFonts w:ascii="Arial Narrow" w:hAnsi="Arial Narrow"/>
          <w:b/>
          <w:bCs/>
          <w:sz w:val="24"/>
          <w:szCs w:val="24"/>
          <w:lang w:val="en-US"/>
        </w:rPr>
        <w:t xml:space="preserve"> </w:t>
      </w:r>
      <w:r>
        <w:rPr>
          <w:rFonts w:ascii="Arial Narrow" w:hAnsi="Arial Narrow"/>
          <w:b/>
          <w:bCs/>
          <w:sz w:val="24"/>
          <w:szCs w:val="24"/>
          <w:lang w:val="en-US"/>
        </w:rPr>
        <w:t>2.</w:t>
      </w:r>
      <w:r w:rsidRPr="003F1A02">
        <w:rPr>
          <w:rFonts w:ascii="Arial Narrow" w:hAnsi="Arial Narrow"/>
          <w:b/>
          <w:bCs/>
          <w:sz w:val="24"/>
          <w:szCs w:val="24"/>
          <w:lang w:val="en-US"/>
        </w:rPr>
        <w:t>8</w:t>
      </w:r>
      <w:r>
        <w:rPr>
          <w:rFonts w:ascii="Arial Narrow" w:hAnsi="Arial Narrow"/>
          <w:b/>
          <w:bCs/>
          <w:sz w:val="24"/>
          <w:szCs w:val="24"/>
          <w:lang w:val="en-US"/>
        </w:rPr>
        <w:t xml:space="preserve">. </w:t>
      </w:r>
      <w:r w:rsidRPr="003F1A02">
        <w:rPr>
          <w:rFonts w:ascii="Arial Narrow" w:hAnsi="Arial Narrow"/>
          <w:b/>
          <w:bCs/>
          <w:sz w:val="24"/>
          <w:szCs w:val="24"/>
          <w:lang w:val="en-US"/>
        </w:rPr>
        <w:t>POBOLJŠANJE DOSTUPNOSTI, BEZBJEDNOSTI I SIGURNOSTI</w:t>
      </w:r>
      <w:r>
        <w:rPr>
          <w:rFonts w:ascii="Arial Narrow" w:hAnsi="Arial Narrow"/>
          <w:b/>
          <w:bCs/>
          <w:sz w:val="24"/>
          <w:szCs w:val="24"/>
          <w:lang w:val="en-US"/>
        </w:rPr>
        <w:t xml:space="preserve"> SAOBRAĆAJA</w:t>
      </w:r>
    </w:p>
    <w:p w14:paraId="2C831632" w14:textId="77777777" w:rsidR="003D6416" w:rsidRPr="003F1A02" w:rsidRDefault="003D6416" w:rsidP="003D6416">
      <w:pPr>
        <w:jc w:val="both"/>
        <w:rPr>
          <w:rFonts w:ascii="Arial Narrow" w:hAnsi="Arial Narrow"/>
          <w:b/>
          <w:bCs/>
          <w:sz w:val="24"/>
          <w:szCs w:val="24"/>
          <w:lang w:val="en-US"/>
        </w:rPr>
      </w:pPr>
      <w:r w:rsidRPr="006B0C2A">
        <w:rPr>
          <w:rFonts w:ascii="Arial Narrow" w:hAnsi="Arial Narrow"/>
          <w:sz w:val="24"/>
          <w:szCs w:val="24"/>
          <w:lang w:val="en-US"/>
        </w:rPr>
        <w:t xml:space="preserve">Do 2024. </w:t>
      </w:r>
      <w:proofErr w:type="spellStart"/>
      <w:r w:rsidRPr="006B0C2A">
        <w:rPr>
          <w:rFonts w:ascii="Arial Narrow" w:hAnsi="Arial Narrow"/>
          <w:sz w:val="24"/>
          <w:szCs w:val="24"/>
          <w:lang w:val="en-US"/>
        </w:rPr>
        <w:t>godine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v</w:t>
      </w:r>
      <w:r w:rsidRPr="003F1A02">
        <w:rPr>
          <w:rFonts w:ascii="Arial Narrow" w:hAnsi="Arial Narrow"/>
          <w:b/>
          <w:bCs/>
          <w:sz w:val="24"/>
          <w:szCs w:val="24"/>
          <w:lang w:val="en-US"/>
        </w:rPr>
        <w:t>rijednost</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sredstava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investiranih</w:t>
      </w:r>
      <w:proofErr w:type="spellEnd"/>
      <w:r w:rsidRPr="003F1A02">
        <w:rPr>
          <w:rFonts w:ascii="Arial Narrow" w:hAnsi="Arial Narrow"/>
          <w:b/>
          <w:bCs/>
          <w:sz w:val="24"/>
          <w:szCs w:val="24"/>
          <w:lang w:val="en-US"/>
        </w:rPr>
        <w:t xml:space="preserve"> u </w:t>
      </w:r>
      <w:proofErr w:type="spellStart"/>
      <w:r w:rsidRPr="003F1A02">
        <w:rPr>
          <w:rFonts w:ascii="Arial Narrow" w:hAnsi="Arial Narrow"/>
          <w:b/>
          <w:bCs/>
          <w:sz w:val="24"/>
          <w:szCs w:val="24"/>
          <w:lang w:val="en-US"/>
        </w:rPr>
        <w:t>izgradnju</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rekonstrukciju</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željezničke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mreže</w:t>
      </w:r>
      <w:proofErr w:type="spellEnd"/>
      <w:r w:rsidRPr="003F1A02">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obezbjeđena</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iznosu</w:t>
      </w:r>
      <w:proofErr w:type="spellEnd"/>
      <w:r>
        <w:rPr>
          <w:rFonts w:ascii="Arial Narrow" w:hAnsi="Arial Narrow"/>
          <w:b/>
          <w:bCs/>
          <w:sz w:val="24"/>
          <w:szCs w:val="24"/>
          <w:lang w:val="en-US"/>
        </w:rPr>
        <w:t xml:space="preserve"> od 10 </w:t>
      </w:r>
      <w:proofErr w:type="spellStart"/>
      <w:r>
        <w:rPr>
          <w:rFonts w:ascii="Arial Narrow" w:hAnsi="Arial Narrow"/>
          <w:b/>
          <w:bCs/>
          <w:sz w:val="24"/>
          <w:szCs w:val="24"/>
          <w:lang w:val="en-US"/>
        </w:rPr>
        <w:t>miliona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eura</w:t>
      </w:r>
      <w:proofErr w:type="spellEnd"/>
      <w:r>
        <w:rPr>
          <w:rFonts w:ascii="Arial Narrow" w:hAnsi="Arial Narrow"/>
          <w:b/>
          <w:bCs/>
          <w:sz w:val="24"/>
          <w:szCs w:val="24"/>
          <w:lang w:val="en-US"/>
        </w:rPr>
        <w:t xml:space="preserve">, </w:t>
      </w:r>
      <w:r w:rsidRPr="003F1A02">
        <w:rPr>
          <w:rFonts w:ascii="Arial Narrow" w:hAnsi="Arial Narrow"/>
          <w:b/>
          <w:bCs/>
          <w:sz w:val="24"/>
          <w:szCs w:val="24"/>
          <w:lang w:val="en-US"/>
        </w:rPr>
        <w:t xml:space="preserve">u </w:t>
      </w:r>
      <w:proofErr w:type="spellStart"/>
      <w:r w:rsidRPr="003F1A02">
        <w:rPr>
          <w:rFonts w:ascii="Arial Narrow" w:hAnsi="Arial Narrow"/>
          <w:b/>
          <w:bCs/>
          <w:sz w:val="24"/>
          <w:szCs w:val="24"/>
          <w:lang w:val="en-US"/>
        </w:rPr>
        <w:t>izgradnju</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rekonstrukciju</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putne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mreže</w:t>
      </w:r>
      <w:proofErr w:type="spellEnd"/>
      <w:r>
        <w:rPr>
          <w:rFonts w:ascii="Arial Narrow" w:hAnsi="Arial Narrow"/>
          <w:b/>
          <w:bCs/>
          <w:sz w:val="24"/>
          <w:szCs w:val="24"/>
          <w:lang w:val="en-US"/>
        </w:rPr>
        <w:t xml:space="preserve"> </w:t>
      </w:r>
      <w:r w:rsidRPr="003F1A02">
        <w:rPr>
          <w:rFonts w:ascii="Arial Narrow" w:hAnsi="Arial Narrow"/>
          <w:b/>
          <w:bCs/>
          <w:sz w:val="24"/>
          <w:szCs w:val="24"/>
          <w:lang w:val="en-US"/>
        </w:rPr>
        <w:t xml:space="preserve">85 </w:t>
      </w:r>
      <w:proofErr w:type="spellStart"/>
      <w:r w:rsidRPr="003F1A02">
        <w:rPr>
          <w:rFonts w:ascii="Arial Narrow" w:hAnsi="Arial Narrow"/>
          <w:b/>
          <w:bCs/>
          <w:sz w:val="24"/>
          <w:szCs w:val="24"/>
          <w:lang w:val="en-US"/>
        </w:rPr>
        <w:t>mil</w:t>
      </w:r>
      <w:r>
        <w:rPr>
          <w:rFonts w:ascii="Arial Narrow" w:hAnsi="Arial Narrow"/>
          <w:b/>
          <w:bCs/>
          <w:sz w:val="24"/>
          <w:szCs w:val="24"/>
          <w:lang w:val="en-US"/>
        </w:rPr>
        <w:t>iona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eura</w:t>
      </w:r>
      <w:proofErr w:type="spellEnd"/>
      <w:r>
        <w:rPr>
          <w:rFonts w:ascii="Arial Narrow" w:hAnsi="Arial Narrow"/>
          <w:b/>
          <w:bCs/>
          <w:sz w:val="24"/>
          <w:szCs w:val="24"/>
          <w:lang w:val="en-US"/>
        </w:rPr>
        <w:t xml:space="preserve">, a </w:t>
      </w:r>
      <w:proofErr w:type="spellStart"/>
      <w:r w:rsidRPr="003F1A02">
        <w:rPr>
          <w:rFonts w:ascii="Arial Narrow" w:hAnsi="Arial Narrow"/>
          <w:b/>
          <w:bCs/>
          <w:sz w:val="24"/>
          <w:szCs w:val="24"/>
          <w:lang w:val="en-US"/>
        </w:rPr>
        <w:t>ulaganja</w:t>
      </w:r>
      <w:proofErr w:type="spellEnd"/>
      <w:r w:rsidRPr="003F1A02">
        <w:rPr>
          <w:rFonts w:ascii="Arial Narrow" w:hAnsi="Arial Narrow"/>
          <w:b/>
          <w:bCs/>
          <w:sz w:val="24"/>
          <w:szCs w:val="24"/>
          <w:lang w:val="en-US"/>
        </w:rPr>
        <w:t xml:space="preserve"> u </w:t>
      </w:r>
      <w:proofErr w:type="spellStart"/>
      <w:r w:rsidRPr="003F1A02">
        <w:rPr>
          <w:rFonts w:ascii="Arial Narrow" w:hAnsi="Arial Narrow"/>
          <w:b/>
          <w:bCs/>
          <w:sz w:val="24"/>
          <w:szCs w:val="24"/>
          <w:lang w:val="en-US"/>
        </w:rPr>
        <w:t>bezbjednosti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na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putevima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kroz</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inspekcijski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nadzor</w:t>
      </w:r>
      <w:proofErr w:type="spellEnd"/>
      <w:r>
        <w:rPr>
          <w:rFonts w:ascii="Arial Narrow" w:hAnsi="Arial Narrow"/>
          <w:b/>
          <w:bCs/>
          <w:sz w:val="24"/>
          <w:szCs w:val="24"/>
          <w:lang w:val="en-US"/>
        </w:rPr>
        <w:t xml:space="preserve"> </w:t>
      </w:r>
      <w:r w:rsidRPr="003F1A02">
        <w:rPr>
          <w:rFonts w:ascii="Arial Narrow" w:hAnsi="Arial Narrow"/>
          <w:b/>
          <w:bCs/>
          <w:sz w:val="24"/>
          <w:szCs w:val="24"/>
          <w:lang w:val="en-US"/>
        </w:rPr>
        <w:t xml:space="preserve">0,2 </w:t>
      </w:r>
      <w:proofErr w:type="spellStart"/>
      <w:r w:rsidRPr="003F1A02">
        <w:rPr>
          <w:rFonts w:ascii="Arial Narrow" w:hAnsi="Arial Narrow"/>
          <w:b/>
          <w:bCs/>
          <w:sz w:val="24"/>
          <w:szCs w:val="24"/>
          <w:lang w:val="en-US"/>
        </w:rPr>
        <w:t>mil</w:t>
      </w:r>
      <w:r>
        <w:rPr>
          <w:rFonts w:ascii="Arial Narrow" w:hAnsi="Arial Narrow"/>
          <w:b/>
          <w:bCs/>
          <w:sz w:val="24"/>
          <w:szCs w:val="24"/>
          <w:lang w:val="en-US"/>
        </w:rPr>
        <w:t>iona</w:t>
      </w:r>
      <w:proofErr w:type="spellEnd"/>
      <w:r w:rsidRPr="003F1A02">
        <w:rPr>
          <w:rFonts w:ascii="Arial Narrow" w:hAnsi="Arial Narrow"/>
          <w:b/>
          <w:bCs/>
          <w:sz w:val="24"/>
          <w:szCs w:val="24"/>
          <w:lang w:val="en-US"/>
        </w:rPr>
        <w:t xml:space="preserve"> </w:t>
      </w:r>
      <w:proofErr w:type="spellStart"/>
      <w:r>
        <w:rPr>
          <w:rFonts w:ascii="Arial Narrow" w:hAnsi="Arial Narrow"/>
          <w:b/>
          <w:bCs/>
          <w:sz w:val="24"/>
          <w:szCs w:val="24"/>
          <w:lang w:val="en-US"/>
        </w:rPr>
        <w:t>eura</w:t>
      </w:r>
      <w:proofErr w:type="spellEnd"/>
      <w:r>
        <w:rPr>
          <w:rFonts w:ascii="Arial Narrow" w:hAnsi="Arial Narrow"/>
          <w:b/>
          <w:bCs/>
          <w:sz w:val="24"/>
          <w:szCs w:val="24"/>
          <w:lang w:val="en-US"/>
        </w:rPr>
        <w:t xml:space="preserve">. </w:t>
      </w:r>
      <w:r w:rsidRPr="006B0C2A">
        <w:rPr>
          <w:rFonts w:ascii="Arial Narrow" w:hAnsi="Arial Narrow"/>
          <w:sz w:val="24"/>
          <w:szCs w:val="24"/>
          <w:lang w:val="en-US"/>
        </w:rPr>
        <w:t xml:space="preserve">Za </w:t>
      </w:r>
      <w:proofErr w:type="spellStart"/>
      <w:r w:rsidRPr="006B0C2A">
        <w:rPr>
          <w:rFonts w:ascii="Arial Narrow" w:hAnsi="Arial Narrow"/>
          <w:sz w:val="24"/>
          <w:szCs w:val="24"/>
          <w:lang w:val="en-US"/>
        </w:rPr>
        <w:t>postizanje</w:t>
      </w:r>
      <w:proofErr w:type="spellEnd"/>
      <w:r w:rsidRPr="006B0C2A">
        <w:rPr>
          <w:rFonts w:ascii="Arial Narrow" w:hAnsi="Arial Narrow"/>
          <w:sz w:val="24"/>
          <w:szCs w:val="24"/>
          <w:lang w:val="en-US"/>
        </w:rPr>
        <w:t xml:space="preserve"> </w:t>
      </w:r>
      <w:proofErr w:type="spellStart"/>
      <w:r w:rsidRPr="006B0C2A">
        <w:rPr>
          <w:rFonts w:ascii="Arial Narrow" w:hAnsi="Arial Narrow"/>
          <w:sz w:val="24"/>
          <w:szCs w:val="24"/>
          <w:lang w:val="en-US"/>
        </w:rPr>
        <w:t>bezbjednosti</w:t>
      </w:r>
      <w:proofErr w:type="spellEnd"/>
      <w:r w:rsidRPr="006B0C2A">
        <w:rPr>
          <w:rFonts w:ascii="Arial Narrow" w:hAnsi="Arial Narrow"/>
          <w:sz w:val="24"/>
          <w:szCs w:val="24"/>
          <w:lang w:val="en-US"/>
        </w:rPr>
        <w:t xml:space="preserve"> u </w:t>
      </w:r>
      <w:proofErr w:type="spellStart"/>
      <w:r w:rsidRPr="006B0C2A">
        <w:rPr>
          <w:rFonts w:ascii="Arial Narrow" w:hAnsi="Arial Narrow"/>
          <w:sz w:val="24"/>
          <w:szCs w:val="24"/>
          <w:lang w:val="en-US"/>
        </w:rPr>
        <w:t>pomorskom</w:t>
      </w:r>
      <w:proofErr w:type="spellEnd"/>
      <w:r w:rsidRPr="006B0C2A">
        <w:rPr>
          <w:rFonts w:ascii="Arial Narrow" w:hAnsi="Arial Narrow"/>
          <w:sz w:val="24"/>
          <w:szCs w:val="24"/>
          <w:lang w:val="en-US"/>
        </w:rPr>
        <w:t xml:space="preserve"> </w:t>
      </w:r>
      <w:proofErr w:type="spellStart"/>
      <w:r w:rsidRPr="006B0C2A">
        <w:rPr>
          <w:rFonts w:ascii="Arial Narrow" w:hAnsi="Arial Narrow"/>
          <w:sz w:val="24"/>
          <w:szCs w:val="24"/>
          <w:lang w:val="en-US"/>
        </w:rPr>
        <w:t>saobraćaju</w:t>
      </w:r>
      <w:proofErr w:type="spellEnd"/>
      <w:r w:rsidRPr="006B0C2A">
        <w:rPr>
          <w:rFonts w:ascii="Arial Narrow" w:hAnsi="Arial Narrow"/>
          <w:sz w:val="24"/>
          <w:szCs w:val="24"/>
          <w:lang w:val="en-US"/>
        </w:rPr>
        <w:t xml:space="preserve">, </w:t>
      </w:r>
      <w:proofErr w:type="spellStart"/>
      <w:r w:rsidRPr="006B0C2A">
        <w:rPr>
          <w:rFonts w:ascii="Arial Narrow" w:hAnsi="Arial Narrow"/>
          <w:sz w:val="24"/>
          <w:szCs w:val="24"/>
          <w:lang w:val="en-US"/>
        </w:rPr>
        <w:t>pažnja</w:t>
      </w:r>
      <w:proofErr w:type="spellEnd"/>
      <w:r w:rsidRPr="006B0C2A">
        <w:rPr>
          <w:rFonts w:ascii="Arial Narrow" w:hAnsi="Arial Narrow"/>
          <w:sz w:val="24"/>
          <w:szCs w:val="24"/>
          <w:lang w:val="en-US"/>
        </w:rPr>
        <w:t xml:space="preserve"> </w:t>
      </w:r>
      <w:proofErr w:type="spellStart"/>
      <w:r w:rsidRPr="006B0C2A">
        <w:rPr>
          <w:rFonts w:ascii="Arial Narrow" w:hAnsi="Arial Narrow"/>
          <w:sz w:val="24"/>
          <w:szCs w:val="24"/>
          <w:lang w:val="en-US"/>
        </w:rPr>
        <w:t>će</w:t>
      </w:r>
      <w:proofErr w:type="spellEnd"/>
      <w:r w:rsidRPr="006B0C2A">
        <w:rPr>
          <w:rFonts w:ascii="Arial Narrow" w:hAnsi="Arial Narrow"/>
          <w:sz w:val="24"/>
          <w:szCs w:val="24"/>
          <w:lang w:val="en-US"/>
        </w:rPr>
        <w:t xml:space="preserve"> </w:t>
      </w:r>
      <w:proofErr w:type="spellStart"/>
      <w:r w:rsidRPr="006B0C2A">
        <w:rPr>
          <w:rFonts w:ascii="Arial Narrow" w:hAnsi="Arial Narrow"/>
          <w:sz w:val="24"/>
          <w:szCs w:val="24"/>
          <w:lang w:val="en-US"/>
        </w:rPr>
        <w:t>biti</w:t>
      </w:r>
      <w:proofErr w:type="spellEnd"/>
      <w:r w:rsidRPr="006B0C2A">
        <w:rPr>
          <w:rFonts w:ascii="Arial Narrow" w:hAnsi="Arial Narrow"/>
          <w:sz w:val="24"/>
          <w:szCs w:val="24"/>
          <w:lang w:val="en-US"/>
        </w:rPr>
        <w:t xml:space="preserve"> </w:t>
      </w:r>
      <w:proofErr w:type="spellStart"/>
      <w:r w:rsidRPr="006B0C2A">
        <w:rPr>
          <w:rFonts w:ascii="Arial Narrow" w:hAnsi="Arial Narrow"/>
          <w:sz w:val="24"/>
          <w:szCs w:val="24"/>
          <w:lang w:val="en-US"/>
        </w:rPr>
        <w:t>usmjerena</w:t>
      </w:r>
      <w:proofErr w:type="spellEnd"/>
      <w:r w:rsidRPr="006B0C2A">
        <w:rPr>
          <w:rFonts w:ascii="Arial Narrow" w:hAnsi="Arial Narrow"/>
          <w:sz w:val="24"/>
          <w:szCs w:val="24"/>
          <w:lang w:val="en-US"/>
        </w:rPr>
        <w:t xml:space="preserve"> </w:t>
      </w:r>
      <w:proofErr w:type="spellStart"/>
      <w:r w:rsidRPr="006B0C2A">
        <w:rPr>
          <w:rFonts w:ascii="Arial Narrow" w:hAnsi="Arial Narrow"/>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smanjenje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w:t>
      </w:r>
      <w:r w:rsidRPr="003F1A02">
        <w:rPr>
          <w:rFonts w:ascii="Arial Narrow" w:hAnsi="Arial Narrow"/>
          <w:b/>
          <w:bCs/>
          <w:sz w:val="24"/>
          <w:szCs w:val="24"/>
          <w:lang w:val="en-US"/>
        </w:rPr>
        <w:t>roj</w:t>
      </w:r>
      <w:r>
        <w:rPr>
          <w:rFonts w:ascii="Arial Narrow" w:hAnsi="Arial Narrow"/>
          <w:b/>
          <w:bCs/>
          <w:sz w:val="24"/>
          <w:szCs w:val="24"/>
          <w:lang w:val="en-US"/>
        </w:rPr>
        <w:t>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pomorskih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nezgoda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nesre</w:t>
      </w:r>
      <w:r>
        <w:rPr>
          <w:rFonts w:ascii="Arial Narrow" w:hAnsi="Arial Narrow"/>
          <w:b/>
          <w:bCs/>
          <w:sz w:val="24"/>
          <w:szCs w:val="24"/>
          <w:lang w:val="en-US"/>
        </w:rPr>
        <w:t>ća</w:t>
      </w:r>
      <w:proofErr w:type="spellEnd"/>
      <w:r>
        <w:rPr>
          <w:rFonts w:ascii="Arial Narrow" w:hAnsi="Arial Narrow"/>
          <w:b/>
          <w:bCs/>
          <w:sz w:val="24"/>
          <w:szCs w:val="24"/>
          <w:lang w:val="en-US"/>
        </w:rPr>
        <w:t>.</w:t>
      </w:r>
    </w:p>
    <w:p w14:paraId="3BF736D5" w14:textId="77777777" w:rsidR="003D6416" w:rsidRPr="003F1A02" w:rsidRDefault="003D6416" w:rsidP="003D6416">
      <w:pPr>
        <w:jc w:val="both"/>
        <w:rPr>
          <w:rFonts w:ascii="Arial Narrow" w:hAnsi="Arial Narrow"/>
          <w:b/>
          <w:bCs/>
          <w:sz w:val="24"/>
          <w:szCs w:val="24"/>
          <w:lang w:val="en-US"/>
        </w:rPr>
      </w:pPr>
      <w:proofErr w:type="spellStart"/>
      <w:r w:rsidRPr="003F1A02">
        <w:rPr>
          <w:rFonts w:ascii="Arial Narrow" w:hAnsi="Arial Narrow"/>
          <w:b/>
          <w:bCs/>
          <w:sz w:val="24"/>
          <w:szCs w:val="24"/>
          <w:lang w:val="en-US"/>
        </w:rPr>
        <w:t>Cilj</w:t>
      </w:r>
      <w:proofErr w:type="spellEnd"/>
      <w:r w:rsidRPr="003F1A02">
        <w:rPr>
          <w:rFonts w:ascii="Arial Narrow" w:hAnsi="Arial Narrow"/>
          <w:b/>
          <w:bCs/>
          <w:sz w:val="24"/>
          <w:szCs w:val="24"/>
          <w:lang w:val="en-US"/>
        </w:rPr>
        <w:t xml:space="preserve"> </w:t>
      </w:r>
      <w:r>
        <w:rPr>
          <w:rFonts w:ascii="Arial Narrow" w:hAnsi="Arial Narrow"/>
          <w:b/>
          <w:bCs/>
          <w:sz w:val="24"/>
          <w:szCs w:val="24"/>
          <w:lang w:val="en-US"/>
        </w:rPr>
        <w:t>2.</w:t>
      </w:r>
      <w:r w:rsidRPr="003F1A02">
        <w:rPr>
          <w:rFonts w:ascii="Arial Narrow" w:hAnsi="Arial Narrow"/>
          <w:b/>
          <w:bCs/>
          <w:sz w:val="24"/>
          <w:szCs w:val="24"/>
          <w:lang w:val="en-US"/>
        </w:rPr>
        <w:t>9</w:t>
      </w:r>
      <w:r>
        <w:rPr>
          <w:rFonts w:ascii="Arial Narrow" w:hAnsi="Arial Narrow"/>
          <w:b/>
          <w:bCs/>
          <w:sz w:val="24"/>
          <w:szCs w:val="24"/>
          <w:lang w:val="en-US"/>
        </w:rPr>
        <w:t xml:space="preserve">. </w:t>
      </w:r>
      <w:r w:rsidRPr="003F1A02">
        <w:rPr>
          <w:rFonts w:ascii="Arial Narrow" w:hAnsi="Arial Narrow"/>
          <w:b/>
          <w:bCs/>
          <w:sz w:val="24"/>
          <w:szCs w:val="24"/>
          <w:lang w:val="en-US"/>
        </w:rPr>
        <w:t>RAZVIJATI ENERGETSKI SEKTOR CRNE GORE UZ SMANJENJE NEGATIVNOG UTICAJA NA ŽIVOTNU SREDINU I KLIMATSKE PROMJENE</w:t>
      </w:r>
    </w:p>
    <w:p w14:paraId="15FF6BD6" w14:textId="77777777" w:rsidR="003D6416" w:rsidRDefault="003D6416" w:rsidP="003D6416">
      <w:pPr>
        <w:jc w:val="both"/>
        <w:rPr>
          <w:rFonts w:ascii="Arial Narrow" w:hAnsi="Arial Narrow"/>
          <w:b/>
          <w:bCs/>
          <w:sz w:val="24"/>
          <w:szCs w:val="24"/>
          <w:lang w:val="en-US"/>
        </w:rPr>
      </w:pPr>
      <w:proofErr w:type="spellStart"/>
      <w:r>
        <w:rPr>
          <w:rFonts w:ascii="Arial Narrow" w:hAnsi="Arial Narrow"/>
          <w:b/>
          <w:bCs/>
          <w:sz w:val="24"/>
          <w:szCs w:val="24"/>
          <w:lang w:val="en-US"/>
        </w:rPr>
        <w:t>Uz</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redovan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rast</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w:t>
      </w:r>
      <w:r w:rsidRPr="003F1A02">
        <w:rPr>
          <w:rFonts w:ascii="Arial Narrow" w:hAnsi="Arial Narrow"/>
          <w:b/>
          <w:bCs/>
          <w:sz w:val="24"/>
          <w:szCs w:val="24"/>
          <w:lang w:val="en-US"/>
        </w:rPr>
        <w:t>d</w:t>
      </w:r>
      <w:r>
        <w:rPr>
          <w:rFonts w:ascii="Arial Narrow" w:hAnsi="Arial Narrow"/>
          <w:b/>
          <w:bCs/>
          <w:sz w:val="24"/>
          <w:szCs w:val="24"/>
          <w:lang w:val="en-US"/>
        </w:rPr>
        <w:t>jela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električne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energije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proizvedene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iz</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obnovljivih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izvora</w:t>
      </w:r>
      <w:proofErr w:type="spellEnd"/>
      <w:r w:rsidRPr="003F1A02">
        <w:rPr>
          <w:rFonts w:ascii="Arial Narrow" w:hAnsi="Arial Narrow"/>
          <w:b/>
          <w:bCs/>
          <w:sz w:val="24"/>
          <w:szCs w:val="24"/>
          <w:lang w:val="en-US"/>
        </w:rPr>
        <w:t xml:space="preserve"> u </w:t>
      </w:r>
      <w:proofErr w:type="spellStart"/>
      <w:r w:rsidRPr="003F1A02">
        <w:rPr>
          <w:rFonts w:ascii="Arial Narrow" w:hAnsi="Arial Narrow"/>
          <w:b/>
          <w:bCs/>
          <w:sz w:val="24"/>
          <w:szCs w:val="24"/>
          <w:lang w:val="en-US"/>
        </w:rPr>
        <w:t>ukupnoj</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proizvodnji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električne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energije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na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godišnjem</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nivou</w:t>
      </w:r>
      <w:proofErr w:type="spellEnd"/>
      <w:r w:rsidRPr="003F1A02">
        <w:rPr>
          <w:rFonts w:ascii="Arial Narrow" w:hAnsi="Arial Narrow"/>
          <w:b/>
          <w:bCs/>
          <w:sz w:val="24"/>
          <w:szCs w:val="24"/>
          <w:lang w:val="en-US"/>
        </w:rPr>
        <w:t xml:space="preserve"> </w:t>
      </w:r>
      <w:r>
        <w:rPr>
          <w:rFonts w:ascii="Arial Narrow" w:hAnsi="Arial Narrow"/>
          <w:b/>
          <w:bCs/>
          <w:sz w:val="24"/>
          <w:szCs w:val="24"/>
          <w:lang w:val="en-US"/>
        </w:rPr>
        <w:t xml:space="preserve">za po 1%, </w:t>
      </w:r>
      <w:proofErr w:type="spellStart"/>
      <w:r>
        <w:rPr>
          <w:rFonts w:ascii="Arial Narrow" w:hAnsi="Arial Narrow"/>
          <w:b/>
          <w:bCs/>
          <w:sz w:val="24"/>
          <w:szCs w:val="24"/>
          <w:lang w:val="en-US"/>
        </w:rPr>
        <w:t>očekujemo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njihov</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ukupan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udio</w:t>
      </w:r>
      <w:proofErr w:type="spellEnd"/>
      <w:r>
        <w:rPr>
          <w:rFonts w:ascii="Arial Narrow" w:hAnsi="Arial Narrow"/>
          <w:b/>
          <w:bCs/>
          <w:sz w:val="24"/>
          <w:szCs w:val="24"/>
          <w:lang w:val="en-US"/>
        </w:rPr>
        <w:t xml:space="preserve"> do </w:t>
      </w:r>
      <w:proofErr w:type="spellStart"/>
      <w:r>
        <w:rPr>
          <w:rFonts w:ascii="Arial Narrow" w:hAnsi="Arial Narrow"/>
          <w:b/>
          <w:bCs/>
          <w:sz w:val="24"/>
          <w:szCs w:val="24"/>
          <w:lang w:val="en-US"/>
        </w:rPr>
        <w:t>nivoa</w:t>
      </w:r>
      <w:proofErr w:type="spellEnd"/>
      <w:r>
        <w:rPr>
          <w:rFonts w:ascii="Arial Narrow" w:hAnsi="Arial Narrow"/>
          <w:b/>
          <w:bCs/>
          <w:sz w:val="24"/>
          <w:szCs w:val="24"/>
          <w:lang w:val="en-US"/>
        </w:rPr>
        <w:t xml:space="preserve"> od </w:t>
      </w:r>
      <w:r w:rsidRPr="003F1A02">
        <w:rPr>
          <w:rFonts w:ascii="Arial Narrow" w:hAnsi="Arial Narrow"/>
          <w:b/>
          <w:bCs/>
          <w:sz w:val="24"/>
          <w:szCs w:val="24"/>
          <w:lang w:val="en-US"/>
        </w:rPr>
        <w:t>59%</w:t>
      </w:r>
      <w:r>
        <w:rPr>
          <w:rFonts w:ascii="Arial Narrow" w:hAnsi="Arial Narrow"/>
          <w:b/>
          <w:bCs/>
          <w:sz w:val="24"/>
          <w:szCs w:val="24"/>
          <w:lang w:val="en-US"/>
        </w:rPr>
        <w:t xml:space="preserve">, </w:t>
      </w:r>
      <w:proofErr w:type="spellStart"/>
      <w:r>
        <w:rPr>
          <w:rFonts w:ascii="Arial Narrow" w:hAnsi="Arial Narrow"/>
          <w:b/>
          <w:bCs/>
          <w:sz w:val="24"/>
          <w:szCs w:val="24"/>
          <w:lang w:val="en-US"/>
        </w:rPr>
        <w:t>dok</w:t>
      </w:r>
      <w:proofErr w:type="spellEnd"/>
      <w:r>
        <w:rPr>
          <w:rFonts w:ascii="Arial Narrow" w:hAnsi="Arial Narrow"/>
          <w:b/>
          <w:bCs/>
          <w:sz w:val="24"/>
          <w:szCs w:val="24"/>
          <w:lang w:val="en-US"/>
        </w:rPr>
        <w:t xml:space="preserve"> bi </w:t>
      </w:r>
      <w:proofErr w:type="spellStart"/>
      <w:r>
        <w:rPr>
          <w:rFonts w:ascii="Arial Narrow" w:hAnsi="Arial Narrow"/>
          <w:b/>
          <w:bCs/>
          <w:sz w:val="24"/>
          <w:szCs w:val="24"/>
          <w:lang w:val="en-US"/>
        </w:rPr>
        <w:t>u</w:t>
      </w:r>
      <w:r w:rsidRPr="003F1A02">
        <w:rPr>
          <w:rFonts w:ascii="Arial Narrow" w:hAnsi="Arial Narrow"/>
          <w:b/>
          <w:bCs/>
          <w:sz w:val="24"/>
          <w:szCs w:val="24"/>
          <w:lang w:val="en-US"/>
        </w:rPr>
        <w:t>dio</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električne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energije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proizvedene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iz</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obnovljivih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izvora</w:t>
      </w:r>
      <w:proofErr w:type="spellEnd"/>
      <w:r w:rsidRPr="003F1A02">
        <w:rPr>
          <w:rFonts w:ascii="Arial Narrow" w:hAnsi="Arial Narrow"/>
          <w:b/>
          <w:bCs/>
          <w:sz w:val="24"/>
          <w:szCs w:val="24"/>
          <w:lang w:val="en-US"/>
        </w:rPr>
        <w:t xml:space="preserve"> u </w:t>
      </w:r>
      <w:proofErr w:type="spellStart"/>
      <w:r w:rsidRPr="003F1A02">
        <w:rPr>
          <w:rFonts w:ascii="Arial Narrow" w:hAnsi="Arial Narrow"/>
          <w:b/>
          <w:bCs/>
          <w:sz w:val="24"/>
          <w:szCs w:val="24"/>
          <w:lang w:val="en-US"/>
        </w:rPr>
        <w:t>ukupnoj</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neto</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potrošnji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električne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energije</w:t>
      </w:r>
      <w:proofErr w:type="spellEnd"/>
      <w:r w:rsidRPr="003F1A02">
        <w:rPr>
          <w:rFonts w:ascii="Arial Narrow" w:hAnsi="Arial Narrow"/>
          <w:b/>
          <w:bCs/>
          <w:sz w:val="24"/>
          <w:szCs w:val="24"/>
          <w:lang w:val="en-US"/>
        </w:rPr>
        <w:t xml:space="preserve"> </w:t>
      </w:r>
      <w:proofErr w:type="spellStart"/>
      <w:r>
        <w:rPr>
          <w:rFonts w:ascii="Arial Narrow" w:hAnsi="Arial Narrow"/>
          <w:b/>
          <w:bCs/>
          <w:sz w:val="24"/>
          <w:szCs w:val="24"/>
          <w:lang w:val="en-US"/>
        </w:rPr>
        <w:t>trebalo</w:t>
      </w:r>
      <w:proofErr w:type="spellEnd"/>
      <w:r>
        <w:rPr>
          <w:rFonts w:ascii="Arial Narrow" w:hAnsi="Arial Narrow"/>
          <w:b/>
          <w:bCs/>
          <w:sz w:val="24"/>
          <w:szCs w:val="24"/>
          <w:lang w:val="en-US"/>
        </w:rPr>
        <w:t xml:space="preserve"> da </w:t>
      </w:r>
      <w:proofErr w:type="spellStart"/>
      <w:r>
        <w:rPr>
          <w:rFonts w:ascii="Arial Narrow" w:hAnsi="Arial Narrow"/>
          <w:b/>
          <w:bCs/>
          <w:sz w:val="24"/>
          <w:szCs w:val="24"/>
          <w:lang w:val="en-US"/>
        </w:rPr>
        <w:t>iznosi</w:t>
      </w:r>
      <w:proofErr w:type="spellEnd"/>
      <w:r>
        <w:rPr>
          <w:rFonts w:ascii="Arial Narrow" w:hAnsi="Arial Narrow"/>
          <w:b/>
          <w:bCs/>
          <w:sz w:val="24"/>
          <w:szCs w:val="24"/>
          <w:lang w:val="en-US"/>
        </w:rPr>
        <w:t xml:space="preserve"> </w:t>
      </w:r>
      <w:r w:rsidRPr="003F1A02">
        <w:rPr>
          <w:rFonts w:ascii="Arial Narrow" w:hAnsi="Arial Narrow"/>
          <w:b/>
          <w:bCs/>
          <w:sz w:val="24"/>
          <w:szCs w:val="24"/>
          <w:lang w:val="en-US"/>
        </w:rPr>
        <w:t>64%</w:t>
      </w:r>
      <w:r>
        <w:rPr>
          <w:rFonts w:ascii="Arial Narrow" w:hAnsi="Arial Narrow"/>
          <w:b/>
          <w:bCs/>
          <w:sz w:val="24"/>
          <w:szCs w:val="24"/>
          <w:lang w:val="en-US"/>
        </w:rPr>
        <w:t xml:space="preserve">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Pr>
          <w:rFonts w:ascii="Arial Narrow" w:hAnsi="Arial Narrow"/>
          <w:b/>
          <w:bCs/>
          <w:sz w:val="24"/>
          <w:szCs w:val="24"/>
          <w:lang w:val="en-US"/>
        </w:rPr>
        <w:t>godine</w:t>
      </w:r>
      <w:proofErr w:type="spellEnd"/>
      <w:r>
        <w:rPr>
          <w:rFonts w:ascii="Arial Narrow" w:hAnsi="Arial Narrow"/>
          <w:b/>
          <w:bCs/>
          <w:sz w:val="24"/>
          <w:szCs w:val="24"/>
          <w:lang w:val="en-US"/>
        </w:rPr>
        <w:t>.</w:t>
      </w:r>
    </w:p>
    <w:p w14:paraId="02D8BE26" w14:textId="77777777" w:rsidR="003D6416" w:rsidRPr="003F1A02" w:rsidRDefault="003D6416" w:rsidP="003D6416">
      <w:pPr>
        <w:jc w:val="both"/>
        <w:rPr>
          <w:rFonts w:ascii="Arial Narrow" w:hAnsi="Arial Narrow"/>
          <w:b/>
          <w:bCs/>
          <w:sz w:val="24"/>
          <w:szCs w:val="24"/>
          <w:lang w:val="en-US"/>
        </w:rPr>
      </w:pPr>
      <w:proofErr w:type="spellStart"/>
      <w:r w:rsidRPr="003F1A02">
        <w:rPr>
          <w:rFonts w:ascii="Arial Narrow" w:hAnsi="Arial Narrow"/>
          <w:b/>
          <w:bCs/>
          <w:sz w:val="24"/>
          <w:szCs w:val="24"/>
          <w:lang w:val="en-US"/>
        </w:rPr>
        <w:t>Cilj</w:t>
      </w:r>
      <w:proofErr w:type="spellEnd"/>
      <w:r w:rsidRPr="003F1A02">
        <w:rPr>
          <w:rFonts w:ascii="Arial Narrow" w:hAnsi="Arial Narrow"/>
          <w:b/>
          <w:bCs/>
          <w:sz w:val="24"/>
          <w:szCs w:val="24"/>
          <w:lang w:val="en-US"/>
        </w:rPr>
        <w:t xml:space="preserve"> </w:t>
      </w:r>
      <w:r>
        <w:rPr>
          <w:rFonts w:ascii="Arial Narrow" w:hAnsi="Arial Narrow"/>
          <w:b/>
          <w:bCs/>
          <w:sz w:val="24"/>
          <w:szCs w:val="24"/>
          <w:lang w:val="en-US"/>
        </w:rPr>
        <w:t>2.</w:t>
      </w:r>
      <w:r w:rsidRPr="003F1A02">
        <w:rPr>
          <w:rFonts w:ascii="Arial Narrow" w:hAnsi="Arial Narrow"/>
          <w:b/>
          <w:bCs/>
          <w:sz w:val="24"/>
          <w:szCs w:val="24"/>
          <w:lang w:val="en-US"/>
        </w:rPr>
        <w:t>10</w:t>
      </w:r>
      <w:r>
        <w:rPr>
          <w:rFonts w:ascii="Arial Narrow" w:hAnsi="Arial Narrow"/>
          <w:b/>
          <w:bCs/>
          <w:sz w:val="24"/>
          <w:szCs w:val="24"/>
          <w:lang w:val="en-US"/>
        </w:rPr>
        <w:t xml:space="preserve">. </w:t>
      </w:r>
      <w:r w:rsidRPr="003F1A02">
        <w:rPr>
          <w:rFonts w:ascii="Arial Narrow" w:hAnsi="Arial Narrow"/>
          <w:b/>
          <w:bCs/>
          <w:sz w:val="24"/>
          <w:szCs w:val="24"/>
          <w:lang w:val="en-US"/>
        </w:rPr>
        <w:t xml:space="preserve">RUDARSTVO: ODRŽIVO UPRAVLJANJE MINERALNIM RESURSIMA  </w:t>
      </w:r>
    </w:p>
    <w:p w14:paraId="50035D45" w14:textId="77777777" w:rsidR="003D6416" w:rsidRPr="003F1A02" w:rsidRDefault="003D6416" w:rsidP="003D6416">
      <w:pPr>
        <w:jc w:val="both"/>
        <w:rPr>
          <w:rFonts w:ascii="Arial Narrow" w:hAnsi="Arial Narrow"/>
          <w:b/>
          <w:bCs/>
          <w:sz w:val="24"/>
          <w:szCs w:val="24"/>
          <w:lang w:val="en-US"/>
        </w:rPr>
      </w:pPr>
      <w:r>
        <w:rPr>
          <w:rFonts w:ascii="Arial Narrow" w:hAnsi="Arial Narrow"/>
          <w:b/>
          <w:bCs/>
          <w:sz w:val="24"/>
          <w:szCs w:val="24"/>
          <w:lang w:val="en-US"/>
        </w:rPr>
        <w:t xml:space="preserve">U </w:t>
      </w:r>
      <w:proofErr w:type="spellStart"/>
      <w:r>
        <w:rPr>
          <w:rFonts w:ascii="Arial Narrow" w:hAnsi="Arial Narrow"/>
          <w:b/>
          <w:bCs/>
          <w:sz w:val="24"/>
          <w:szCs w:val="24"/>
          <w:lang w:val="en-US"/>
        </w:rPr>
        <w:t>oblasti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rudarstva</w:t>
      </w:r>
      <w:proofErr w:type="spellEnd"/>
      <w:r>
        <w:rPr>
          <w:rFonts w:ascii="Arial Narrow" w:hAnsi="Arial Narrow"/>
          <w:b/>
          <w:bCs/>
          <w:sz w:val="24"/>
          <w:szCs w:val="24"/>
          <w:lang w:val="en-US"/>
        </w:rPr>
        <w:t xml:space="preserve"> se </w:t>
      </w:r>
      <w:proofErr w:type="spellStart"/>
      <w:r>
        <w:rPr>
          <w:rFonts w:ascii="Arial Narrow" w:hAnsi="Arial Narrow"/>
          <w:b/>
          <w:bCs/>
          <w:sz w:val="24"/>
          <w:szCs w:val="24"/>
          <w:lang w:val="en-US"/>
        </w:rPr>
        <w:t>planira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omogućiti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veći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w:t>
      </w:r>
      <w:r w:rsidRPr="003F1A02">
        <w:rPr>
          <w:rFonts w:ascii="Arial Narrow" w:hAnsi="Arial Narrow"/>
          <w:b/>
          <w:bCs/>
          <w:sz w:val="24"/>
          <w:szCs w:val="24"/>
          <w:lang w:val="en-US"/>
        </w:rPr>
        <w:t>roj</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datih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koncesija</w:t>
      </w:r>
      <w:proofErr w:type="spellEnd"/>
      <w:r w:rsidRPr="003F1A02">
        <w:rPr>
          <w:rFonts w:ascii="Arial Narrow" w:hAnsi="Arial Narrow"/>
          <w:b/>
          <w:bCs/>
          <w:sz w:val="24"/>
          <w:szCs w:val="24"/>
          <w:lang w:val="en-US"/>
        </w:rPr>
        <w:t xml:space="preserve"> za </w:t>
      </w:r>
      <w:proofErr w:type="spellStart"/>
      <w:r w:rsidRPr="003F1A02">
        <w:rPr>
          <w:rFonts w:ascii="Arial Narrow" w:hAnsi="Arial Narrow"/>
          <w:b/>
          <w:bCs/>
          <w:sz w:val="24"/>
          <w:szCs w:val="24"/>
          <w:lang w:val="en-US"/>
        </w:rPr>
        <w:t>detaljna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geološka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istraživanja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eksploataciju</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mineralnih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sirovina</w:t>
      </w:r>
      <w:proofErr w:type="spellEnd"/>
      <w:r>
        <w:rPr>
          <w:rFonts w:ascii="Arial Narrow" w:hAnsi="Arial Narrow"/>
          <w:b/>
          <w:bCs/>
          <w:sz w:val="24"/>
          <w:szCs w:val="24"/>
          <w:lang w:val="en-US"/>
        </w:rPr>
        <w:t xml:space="preserve"> –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3F1A02">
        <w:rPr>
          <w:rFonts w:ascii="Arial Narrow" w:hAnsi="Arial Narrow"/>
          <w:b/>
          <w:bCs/>
          <w:sz w:val="24"/>
          <w:szCs w:val="24"/>
          <w:lang w:val="en-US"/>
        </w:rPr>
        <w:tab/>
        <w:t>52</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62 – </w:t>
      </w:r>
      <w:proofErr w:type="spellStart"/>
      <w:r>
        <w:rPr>
          <w:rFonts w:ascii="Arial Narrow" w:hAnsi="Arial Narrow"/>
          <w:b/>
          <w:bCs/>
          <w:sz w:val="24"/>
          <w:szCs w:val="24"/>
          <w:lang w:val="en-US"/>
        </w:rPr>
        <w:t>što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Pr>
          <w:rFonts w:ascii="Arial Narrow" w:hAnsi="Arial Narrow"/>
          <w:b/>
          <w:bCs/>
          <w:sz w:val="24"/>
          <w:szCs w:val="24"/>
          <w:lang w:val="en-US"/>
        </w:rPr>
        <w:t>dovesti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do </w:t>
      </w:r>
      <w:proofErr w:type="spellStart"/>
      <w:r>
        <w:rPr>
          <w:rFonts w:ascii="Arial Narrow" w:hAnsi="Arial Narrow"/>
          <w:b/>
          <w:bCs/>
          <w:sz w:val="24"/>
          <w:szCs w:val="24"/>
          <w:lang w:val="en-US"/>
        </w:rPr>
        <w:t>povećanja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koncesione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naknade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3F1A02">
        <w:rPr>
          <w:rFonts w:ascii="Arial Narrow" w:hAnsi="Arial Narrow"/>
          <w:b/>
          <w:bCs/>
          <w:sz w:val="24"/>
          <w:szCs w:val="24"/>
          <w:lang w:val="en-US"/>
        </w:rPr>
        <w:t xml:space="preserve">3.900.000,00 </w:t>
      </w:r>
      <w:proofErr w:type="spellStart"/>
      <w:r w:rsidRPr="003F1A02">
        <w:rPr>
          <w:rFonts w:ascii="Arial Narrow" w:hAnsi="Arial Narrow"/>
          <w:b/>
          <w:bCs/>
          <w:sz w:val="24"/>
          <w:szCs w:val="24"/>
          <w:lang w:val="en-US"/>
        </w:rPr>
        <w:t>eur</w:t>
      </w:r>
      <w:r>
        <w:rPr>
          <w:rFonts w:ascii="Arial Narrow" w:hAnsi="Arial Narrow"/>
          <w:b/>
          <w:bCs/>
          <w:sz w:val="24"/>
          <w:szCs w:val="24"/>
          <w:lang w:val="en-US"/>
        </w:rPr>
        <w:t>a</w:t>
      </w:r>
      <w:proofErr w:type="spellEnd"/>
      <w:r>
        <w:rPr>
          <w:rFonts w:ascii="Arial Narrow" w:hAnsi="Arial Narrow"/>
          <w:b/>
          <w:bCs/>
          <w:sz w:val="24"/>
          <w:szCs w:val="24"/>
          <w:lang w:val="en-US"/>
        </w:rPr>
        <w:t>.</w:t>
      </w:r>
    </w:p>
    <w:p w14:paraId="2C1DF304" w14:textId="77777777" w:rsidR="003D6416" w:rsidRPr="003F1A02" w:rsidRDefault="003D6416" w:rsidP="003D6416">
      <w:pPr>
        <w:jc w:val="both"/>
        <w:rPr>
          <w:rFonts w:ascii="Arial Narrow" w:hAnsi="Arial Narrow"/>
          <w:b/>
          <w:bCs/>
          <w:sz w:val="24"/>
          <w:szCs w:val="24"/>
          <w:lang w:val="en-US"/>
        </w:rPr>
      </w:pPr>
      <w:proofErr w:type="spellStart"/>
      <w:r w:rsidRPr="003F1A02">
        <w:rPr>
          <w:rFonts w:ascii="Arial Narrow" w:hAnsi="Arial Narrow"/>
          <w:b/>
          <w:bCs/>
          <w:sz w:val="24"/>
          <w:szCs w:val="24"/>
          <w:lang w:val="en-US"/>
        </w:rPr>
        <w:t>Cilj</w:t>
      </w:r>
      <w:proofErr w:type="spellEnd"/>
      <w:r w:rsidRPr="003F1A02">
        <w:rPr>
          <w:rFonts w:ascii="Arial Narrow" w:hAnsi="Arial Narrow"/>
          <w:b/>
          <w:bCs/>
          <w:sz w:val="24"/>
          <w:szCs w:val="24"/>
          <w:lang w:val="en-US"/>
        </w:rPr>
        <w:t xml:space="preserve"> </w:t>
      </w:r>
      <w:r>
        <w:rPr>
          <w:rFonts w:ascii="Arial Narrow" w:hAnsi="Arial Narrow"/>
          <w:b/>
          <w:bCs/>
          <w:sz w:val="24"/>
          <w:szCs w:val="24"/>
          <w:lang w:val="en-US"/>
        </w:rPr>
        <w:t>2.</w:t>
      </w:r>
      <w:r w:rsidRPr="003F1A02">
        <w:rPr>
          <w:rFonts w:ascii="Arial Narrow" w:hAnsi="Arial Narrow"/>
          <w:b/>
          <w:bCs/>
          <w:sz w:val="24"/>
          <w:szCs w:val="24"/>
          <w:lang w:val="en-US"/>
        </w:rPr>
        <w:t>11</w:t>
      </w:r>
      <w:r>
        <w:rPr>
          <w:rFonts w:ascii="Arial Narrow" w:hAnsi="Arial Narrow"/>
          <w:b/>
          <w:bCs/>
          <w:sz w:val="24"/>
          <w:szCs w:val="24"/>
          <w:lang w:val="en-US"/>
        </w:rPr>
        <w:t xml:space="preserve">. </w:t>
      </w:r>
      <w:r w:rsidRPr="003F1A02">
        <w:rPr>
          <w:rFonts w:ascii="Arial Narrow" w:hAnsi="Arial Narrow"/>
          <w:b/>
          <w:bCs/>
          <w:sz w:val="24"/>
          <w:szCs w:val="24"/>
          <w:lang w:val="en-US"/>
        </w:rPr>
        <w:t>UNAPREĐENJE SEKTORA POLJOPRIVREDE I RIBARSTVA KROZ ODRŽIVO KORIŠĆENJE RESURSA</w:t>
      </w:r>
    </w:p>
    <w:p w14:paraId="1400ADDB" w14:textId="77777777" w:rsidR="003D6416" w:rsidRDefault="003D6416" w:rsidP="003D6416">
      <w:pPr>
        <w:jc w:val="both"/>
        <w:rPr>
          <w:rFonts w:ascii="Arial Narrow" w:hAnsi="Arial Narrow"/>
          <w:b/>
          <w:bCs/>
          <w:sz w:val="24"/>
          <w:szCs w:val="24"/>
          <w:lang w:val="en-US"/>
        </w:rPr>
      </w:pPr>
      <w:proofErr w:type="spellStart"/>
      <w:r w:rsidRPr="003F1A02">
        <w:rPr>
          <w:rFonts w:ascii="Arial Narrow" w:hAnsi="Arial Narrow"/>
          <w:b/>
          <w:bCs/>
          <w:sz w:val="24"/>
          <w:szCs w:val="24"/>
          <w:lang w:val="en-US"/>
        </w:rPr>
        <w:lastRenderedPageBreak/>
        <w:t>Visina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vrijednosti</w:t>
      </w:r>
      <w:proofErr w:type="spellEnd"/>
      <w:r w:rsidRPr="003F1A02">
        <w:rPr>
          <w:rFonts w:ascii="Arial Narrow" w:hAnsi="Arial Narrow"/>
          <w:b/>
          <w:bCs/>
          <w:sz w:val="24"/>
          <w:szCs w:val="24"/>
          <w:lang w:val="en-US"/>
        </w:rPr>
        <w:t xml:space="preserve"> BDP u </w:t>
      </w:r>
      <w:proofErr w:type="spellStart"/>
      <w:r w:rsidRPr="003F1A02">
        <w:rPr>
          <w:rFonts w:ascii="Arial Narrow" w:hAnsi="Arial Narrow"/>
          <w:b/>
          <w:bCs/>
          <w:sz w:val="24"/>
          <w:szCs w:val="24"/>
          <w:lang w:val="en-US"/>
        </w:rPr>
        <w:t>poljoprivrednoj</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proizvodnji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šumarstvu</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ribarstv</w:t>
      </w:r>
      <w:r>
        <w:rPr>
          <w:rFonts w:ascii="Arial Narrow" w:hAnsi="Arial Narrow"/>
          <w:b/>
          <w:bCs/>
          <w:sz w:val="24"/>
          <w:szCs w:val="24"/>
          <w:lang w:val="en-US"/>
        </w:rPr>
        <w:t>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porasti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6</w:t>
      </w:r>
      <w:r w:rsidRPr="003F1A02">
        <w:rPr>
          <w:rFonts w:ascii="Arial Narrow" w:hAnsi="Arial Narrow"/>
          <w:b/>
          <w:bCs/>
          <w:sz w:val="24"/>
          <w:szCs w:val="24"/>
          <w:lang w:val="en-US"/>
        </w:rPr>
        <w:t xml:space="preserve">00 </w:t>
      </w:r>
      <w:proofErr w:type="spellStart"/>
      <w:r w:rsidRPr="003F1A02">
        <w:rPr>
          <w:rFonts w:ascii="Arial Narrow" w:hAnsi="Arial Narrow"/>
          <w:b/>
          <w:bCs/>
          <w:sz w:val="24"/>
          <w:szCs w:val="24"/>
          <w:lang w:val="en-US"/>
        </w:rPr>
        <w:t>miliona</w:t>
      </w:r>
      <w:proofErr w:type="spellEnd"/>
      <w:r>
        <w:rPr>
          <w:rFonts w:ascii="Arial Narrow" w:hAnsi="Arial Narrow"/>
          <w:b/>
          <w:bCs/>
          <w:sz w:val="24"/>
          <w:szCs w:val="24"/>
          <w:lang w:val="en-US"/>
        </w:rPr>
        <w:t xml:space="preserve">, a </w:t>
      </w:r>
      <w:proofErr w:type="spellStart"/>
      <w:r>
        <w:rPr>
          <w:rFonts w:ascii="Arial Narrow" w:hAnsi="Arial Narrow"/>
          <w:b/>
          <w:bCs/>
          <w:sz w:val="24"/>
          <w:szCs w:val="24"/>
          <w:lang w:val="en-US"/>
        </w:rPr>
        <w:t>ukupan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nivo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investicija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50 </w:t>
      </w:r>
      <w:proofErr w:type="spellStart"/>
      <w:r>
        <w:rPr>
          <w:rFonts w:ascii="Arial Narrow" w:hAnsi="Arial Narrow"/>
          <w:b/>
          <w:bCs/>
          <w:sz w:val="24"/>
          <w:szCs w:val="24"/>
          <w:lang w:val="en-US"/>
        </w:rPr>
        <w:t>miliona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eura</w:t>
      </w:r>
      <w:proofErr w:type="spellEnd"/>
      <w:r>
        <w:rPr>
          <w:rFonts w:ascii="Arial Narrow" w:hAnsi="Arial Narrow"/>
          <w:b/>
          <w:bCs/>
          <w:sz w:val="24"/>
          <w:szCs w:val="24"/>
          <w:lang w:val="en-US"/>
        </w:rPr>
        <w:t xml:space="preserve">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sidRPr="003F1A02">
        <w:rPr>
          <w:rFonts w:ascii="Arial Narrow" w:hAnsi="Arial Narrow"/>
          <w:b/>
          <w:bCs/>
          <w:sz w:val="24"/>
          <w:szCs w:val="24"/>
          <w:lang w:val="en-US"/>
        </w:rPr>
        <w:t>Ukupan</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broj</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odobrenih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zahtjeva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korisnika</w:t>
      </w:r>
      <w:proofErr w:type="spellEnd"/>
      <w:r w:rsidRPr="003F1A02">
        <w:rPr>
          <w:rFonts w:ascii="Arial Narrow" w:hAnsi="Arial Narrow"/>
          <w:b/>
          <w:bCs/>
          <w:sz w:val="24"/>
          <w:szCs w:val="24"/>
          <w:lang w:val="en-US"/>
        </w:rPr>
        <w:t xml:space="preserve"> u </w:t>
      </w:r>
      <w:proofErr w:type="spellStart"/>
      <w:r w:rsidRPr="003F1A02">
        <w:rPr>
          <w:rFonts w:ascii="Arial Narrow" w:hAnsi="Arial Narrow"/>
          <w:b/>
          <w:bCs/>
          <w:sz w:val="24"/>
          <w:szCs w:val="24"/>
          <w:lang w:val="en-US"/>
        </w:rPr>
        <w:t>oblasti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poljoprivrede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ruralnog</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razvoja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ribarstva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kroz</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nacionalne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međunarodne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programe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14.000 (u </w:t>
      </w:r>
      <w:proofErr w:type="spellStart"/>
      <w:r>
        <w:rPr>
          <w:rFonts w:ascii="Arial Narrow" w:hAnsi="Arial Narrow"/>
          <w:b/>
          <w:bCs/>
          <w:sz w:val="24"/>
          <w:szCs w:val="24"/>
          <w:lang w:val="en-US"/>
        </w:rPr>
        <w:t>odnosu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trenutnih</w:t>
      </w:r>
      <w:proofErr w:type="spellEnd"/>
      <w:r>
        <w:rPr>
          <w:rFonts w:ascii="Arial Narrow" w:hAnsi="Arial Narrow"/>
          <w:b/>
          <w:bCs/>
          <w:sz w:val="24"/>
          <w:szCs w:val="24"/>
          <w:lang w:val="en-US"/>
        </w:rPr>
        <w:t xml:space="preserve"> 13.000).</w:t>
      </w:r>
    </w:p>
    <w:p w14:paraId="791A7662" w14:textId="77777777" w:rsidR="003D6416" w:rsidRPr="00C20910" w:rsidRDefault="003D6416" w:rsidP="003D6416">
      <w:pPr>
        <w:jc w:val="both"/>
        <w:rPr>
          <w:rFonts w:ascii="Arial Narrow" w:hAnsi="Arial Narrow"/>
          <w:b/>
          <w:bCs/>
          <w:sz w:val="24"/>
          <w:szCs w:val="24"/>
          <w:lang w:val="en-US"/>
        </w:rPr>
      </w:pPr>
    </w:p>
    <w:p w14:paraId="073C86EA" w14:textId="77777777" w:rsidR="003D6416" w:rsidRDefault="003D6416" w:rsidP="003D6416">
      <w:pPr>
        <w:pStyle w:val="ListParagraph"/>
        <w:jc w:val="both"/>
        <w:rPr>
          <w:rFonts w:ascii="Arial Narrow" w:hAnsi="Arial Narrow"/>
          <w:b/>
          <w:bCs/>
          <w:sz w:val="24"/>
          <w:szCs w:val="24"/>
          <w:lang w:val="en-US"/>
        </w:rPr>
      </w:pPr>
      <w:r w:rsidRPr="00605A99">
        <w:rPr>
          <w:rFonts w:ascii="Arial Narrow" w:hAnsi="Arial Narrow"/>
          <w:b/>
          <w:bCs/>
          <w:noProof/>
          <w:lang w:val="en-US"/>
        </w:rPr>
        <w:drawing>
          <wp:anchor distT="0" distB="0" distL="114300" distR="114300" simplePos="0" relativeHeight="251707392" behindDoc="0" locked="0" layoutInCell="1" allowOverlap="1" wp14:anchorId="67667E7C" wp14:editId="620F3B07">
            <wp:simplePos x="0" y="0"/>
            <wp:positionH relativeFrom="margin">
              <wp:posOffset>261620</wp:posOffset>
            </wp:positionH>
            <wp:positionV relativeFrom="paragraph">
              <wp:posOffset>60198</wp:posOffset>
            </wp:positionV>
            <wp:extent cx="504825" cy="479425"/>
            <wp:effectExtent l="0" t="0" r="9525" b="0"/>
            <wp:wrapSquare wrapText="bothSides"/>
            <wp:docPr id="4" name="Picture 4" descr="Z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5A99">
        <w:rPr>
          <w:rFonts w:ascii="Arial Narrow" w:hAnsi="Arial Narrow"/>
          <w:b/>
          <w:bCs/>
          <w:sz w:val="24"/>
          <w:szCs w:val="24"/>
          <w:lang w:val="en-US"/>
        </w:rPr>
        <w:t>ZDRAVLJE I ZDRAVA ŽIVOTNA SREDINA</w:t>
      </w:r>
    </w:p>
    <w:p w14:paraId="3810757B" w14:textId="77777777" w:rsidR="003D6416" w:rsidRDefault="003D6416" w:rsidP="003D6416">
      <w:pPr>
        <w:pStyle w:val="ListParagraph"/>
        <w:jc w:val="both"/>
        <w:rPr>
          <w:rFonts w:ascii="Arial Narrow" w:hAnsi="Arial Narrow"/>
          <w:b/>
          <w:bCs/>
          <w:sz w:val="24"/>
          <w:szCs w:val="24"/>
          <w:lang w:val="en-US"/>
        </w:rPr>
      </w:pPr>
    </w:p>
    <w:p w14:paraId="6A77CB8B" w14:textId="77777777" w:rsidR="003D6416" w:rsidRDefault="003D6416" w:rsidP="003D6416">
      <w:pPr>
        <w:pStyle w:val="ListParagraph"/>
        <w:jc w:val="both"/>
        <w:rPr>
          <w:rFonts w:ascii="Arial Narrow" w:hAnsi="Arial Narrow"/>
          <w:b/>
          <w:bCs/>
          <w:sz w:val="24"/>
          <w:szCs w:val="24"/>
          <w:lang w:val="en-US"/>
        </w:rPr>
      </w:pPr>
    </w:p>
    <w:p w14:paraId="10C887DD" w14:textId="77777777" w:rsidR="003D6416" w:rsidRDefault="003D6416" w:rsidP="003D6416">
      <w:pPr>
        <w:pStyle w:val="ListParagraph"/>
        <w:jc w:val="both"/>
        <w:rPr>
          <w:rFonts w:ascii="Arial Narrow" w:hAnsi="Arial Narrow"/>
          <w:b/>
          <w:bCs/>
          <w:sz w:val="24"/>
          <w:szCs w:val="24"/>
          <w:lang w:val="en-US"/>
        </w:rPr>
      </w:pPr>
      <w:proofErr w:type="spellStart"/>
      <w:r w:rsidRPr="003F1A02">
        <w:rPr>
          <w:rFonts w:ascii="Arial Narrow" w:hAnsi="Arial Narrow"/>
          <w:b/>
          <w:bCs/>
          <w:sz w:val="24"/>
          <w:szCs w:val="24"/>
          <w:lang w:val="en-US"/>
        </w:rPr>
        <w:t>Cilj</w:t>
      </w:r>
      <w:proofErr w:type="spellEnd"/>
      <w:r w:rsidRPr="003F1A02">
        <w:rPr>
          <w:rFonts w:ascii="Arial Narrow" w:hAnsi="Arial Narrow"/>
          <w:b/>
          <w:bCs/>
          <w:sz w:val="24"/>
          <w:szCs w:val="24"/>
          <w:lang w:val="en-US"/>
        </w:rPr>
        <w:t xml:space="preserve"> 3.1.</w:t>
      </w:r>
      <w:r>
        <w:rPr>
          <w:rFonts w:ascii="Arial Narrow" w:hAnsi="Arial Narrow"/>
          <w:b/>
          <w:bCs/>
          <w:sz w:val="24"/>
          <w:szCs w:val="24"/>
          <w:lang w:val="en-US"/>
        </w:rPr>
        <w:t xml:space="preserve"> </w:t>
      </w:r>
      <w:r w:rsidRPr="00293650">
        <w:rPr>
          <w:rFonts w:ascii="Arial Narrow" w:hAnsi="Arial Narrow"/>
          <w:b/>
          <w:bCs/>
          <w:sz w:val="24"/>
          <w:szCs w:val="24"/>
          <w:lang w:val="en-US"/>
        </w:rPr>
        <w:t xml:space="preserve">OBEZBIJEDITI KONTINUITET U PRUZANJU ZDRAVSTVENIH USLUGA I JEDNAKU DOSTUPNOST SVIM PACIJENATIMA </w:t>
      </w:r>
    </w:p>
    <w:p w14:paraId="7810E021" w14:textId="77777777" w:rsidR="003D6416" w:rsidRPr="003F1A02" w:rsidRDefault="003D6416" w:rsidP="003D6416">
      <w:pPr>
        <w:jc w:val="both"/>
        <w:rPr>
          <w:rFonts w:ascii="Arial Narrow" w:hAnsi="Arial Narrow"/>
          <w:b/>
          <w:bCs/>
          <w:sz w:val="24"/>
          <w:szCs w:val="24"/>
          <w:lang w:val="en-US"/>
        </w:rPr>
      </w:pPr>
      <w:proofErr w:type="spellStart"/>
      <w:r w:rsidRPr="00293650">
        <w:rPr>
          <w:rFonts w:ascii="Arial Narrow" w:hAnsi="Arial Narrow"/>
          <w:sz w:val="24"/>
          <w:szCs w:val="24"/>
          <w:lang w:val="en-US"/>
        </w:rPr>
        <w:t>Kroz</w:t>
      </w:r>
      <w:proofErr w:type="spellEnd"/>
      <w:r w:rsidRPr="00293650">
        <w:rPr>
          <w:rFonts w:ascii="Arial Narrow" w:hAnsi="Arial Narrow"/>
          <w:sz w:val="24"/>
          <w:szCs w:val="24"/>
          <w:lang w:val="en-US"/>
        </w:rPr>
        <w:t xml:space="preserve"> </w:t>
      </w:r>
      <w:proofErr w:type="spellStart"/>
      <w:r w:rsidRPr="00293650">
        <w:rPr>
          <w:rFonts w:ascii="Arial Narrow" w:hAnsi="Arial Narrow"/>
          <w:sz w:val="24"/>
          <w:szCs w:val="24"/>
          <w:lang w:val="en-US"/>
        </w:rPr>
        <w:t>unapređenja</w:t>
      </w:r>
      <w:proofErr w:type="spellEnd"/>
      <w:r w:rsidRPr="00293650">
        <w:rPr>
          <w:rFonts w:ascii="Arial Narrow" w:hAnsi="Arial Narrow"/>
          <w:sz w:val="24"/>
          <w:szCs w:val="24"/>
          <w:lang w:val="en-US"/>
        </w:rPr>
        <w:t xml:space="preserve"> u </w:t>
      </w:r>
      <w:proofErr w:type="spellStart"/>
      <w:r w:rsidRPr="00293650">
        <w:rPr>
          <w:rFonts w:ascii="Arial Narrow" w:hAnsi="Arial Narrow"/>
          <w:sz w:val="24"/>
          <w:szCs w:val="24"/>
          <w:lang w:val="en-US"/>
        </w:rPr>
        <w:t>zdravstvenom</w:t>
      </w:r>
      <w:proofErr w:type="spellEnd"/>
      <w:r w:rsidRPr="00293650">
        <w:rPr>
          <w:rFonts w:ascii="Arial Narrow" w:hAnsi="Arial Narrow"/>
          <w:sz w:val="24"/>
          <w:szCs w:val="24"/>
          <w:lang w:val="en-US"/>
        </w:rPr>
        <w:t xml:space="preserve"> </w:t>
      </w:r>
      <w:proofErr w:type="spellStart"/>
      <w:r w:rsidRPr="00293650">
        <w:rPr>
          <w:rFonts w:ascii="Arial Narrow" w:hAnsi="Arial Narrow"/>
          <w:sz w:val="24"/>
          <w:szCs w:val="24"/>
          <w:lang w:val="en-US"/>
        </w:rPr>
        <w:t>sistemu</w:t>
      </w:r>
      <w:proofErr w:type="spellEnd"/>
      <w:r w:rsidRPr="00293650">
        <w:rPr>
          <w:rFonts w:ascii="Arial Narrow" w:hAnsi="Arial Narrow"/>
          <w:sz w:val="24"/>
          <w:szCs w:val="24"/>
          <w:lang w:val="en-US"/>
        </w:rPr>
        <w:t xml:space="preserve"> </w:t>
      </w:r>
      <w:proofErr w:type="spellStart"/>
      <w:r w:rsidRPr="00293650">
        <w:rPr>
          <w:rFonts w:ascii="Arial Narrow" w:hAnsi="Arial Narrow"/>
          <w:sz w:val="24"/>
          <w:szCs w:val="24"/>
          <w:lang w:val="en-US"/>
        </w:rPr>
        <w:t>na</w:t>
      </w:r>
      <w:proofErr w:type="spellEnd"/>
      <w:r w:rsidRPr="00293650">
        <w:rPr>
          <w:rFonts w:ascii="Arial Narrow" w:hAnsi="Arial Narrow"/>
          <w:sz w:val="24"/>
          <w:szCs w:val="24"/>
          <w:lang w:val="en-US"/>
        </w:rPr>
        <w:t xml:space="preserve"> </w:t>
      </w:r>
      <w:proofErr w:type="spellStart"/>
      <w:r w:rsidRPr="00293650">
        <w:rPr>
          <w:rFonts w:ascii="Arial Narrow" w:hAnsi="Arial Narrow"/>
          <w:sz w:val="24"/>
          <w:szCs w:val="24"/>
          <w:lang w:val="en-US"/>
        </w:rPr>
        <w:t>svim</w:t>
      </w:r>
      <w:proofErr w:type="spellEnd"/>
      <w:r w:rsidRPr="00293650">
        <w:rPr>
          <w:rFonts w:ascii="Arial Narrow" w:hAnsi="Arial Narrow"/>
          <w:sz w:val="24"/>
          <w:szCs w:val="24"/>
          <w:lang w:val="en-US"/>
        </w:rPr>
        <w:t xml:space="preserve"> </w:t>
      </w:r>
      <w:proofErr w:type="spellStart"/>
      <w:r w:rsidRPr="00293650">
        <w:rPr>
          <w:rFonts w:ascii="Arial Narrow" w:hAnsi="Arial Narrow"/>
          <w:sz w:val="24"/>
          <w:szCs w:val="24"/>
          <w:lang w:val="en-US"/>
        </w:rPr>
        <w:t>nivoima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obezbjedićemo</w:t>
      </w:r>
      <w:proofErr w:type="spellEnd"/>
      <w:r>
        <w:rPr>
          <w:rFonts w:ascii="Arial Narrow" w:hAnsi="Arial Narrow"/>
          <w:b/>
          <w:bCs/>
          <w:sz w:val="24"/>
          <w:szCs w:val="24"/>
          <w:lang w:val="en-US"/>
        </w:rPr>
        <w:t xml:space="preserve"> da se </w:t>
      </w:r>
      <w:proofErr w:type="spellStart"/>
      <w:r>
        <w:rPr>
          <w:rFonts w:ascii="Arial Narrow" w:hAnsi="Arial Narrow"/>
          <w:b/>
          <w:bCs/>
          <w:sz w:val="24"/>
          <w:szCs w:val="24"/>
          <w:lang w:val="en-US"/>
        </w:rPr>
        <w:t>smanji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w:t>
      </w:r>
      <w:r w:rsidRPr="003F1A02">
        <w:rPr>
          <w:rFonts w:ascii="Arial Narrow" w:hAnsi="Arial Narrow"/>
          <w:b/>
          <w:bCs/>
          <w:sz w:val="24"/>
          <w:szCs w:val="24"/>
          <w:lang w:val="en-US"/>
        </w:rPr>
        <w:t>roj</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prigovora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pacijenata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na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pružanje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zdravstvenih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usluga</w:t>
      </w:r>
      <w:proofErr w:type="spellEnd"/>
      <w:r>
        <w:rPr>
          <w:rFonts w:ascii="Arial Narrow" w:hAnsi="Arial Narrow"/>
          <w:b/>
          <w:bCs/>
          <w:sz w:val="24"/>
          <w:szCs w:val="24"/>
          <w:lang w:val="en-US"/>
        </w:rPr>
        <w:t xml:space="preserve">, da se </w:t>
      </w:r>
      <w:proofErr w:type="spellStart"/>
      <w:r>
        <w:rPr>
          <w:rFonts w:ascii="Arial Narrow" w:hAnsi="Arial Narrow"/>
          <w:b/>
          <w:bCs/>
          <w:sz w:val="24"/>
          <w:szCs w:val="24"/>
          <w:lang w:val="en-US"/>
        </w:rPr>
        <w:t>smanji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broj</w:t>
      </w:r>
      <w:proofErr w:type="spellEnd"/>
      <w:r>
        <w:rPr>
          <w:rFonts w:ascii="Arial Narrow" w:hAnsi="Arial Narrow"/>
          <w:b/>
          <w:bCs/>
          <w:sz w:val="24"/>
          <w:szCs w:val="24"/>
          <w:lang w:val="en-US"/>
        </w:rPr>
        <w:t xml:space="preserve"> </w:t>
      </w:r>
      <w:r w:rsidRPr="003F1A02">
        <w:rPr>
          <w:rFonts w:ascii="Arial Narrow" w:hAnsi="Arial Narrow"/>
          <w:b/>
          <w:bCs/>
          <w:sz w:val="24"/>
          <w:szCs w:val="24"/>
          <w:lang w:val="en-US"/>
        </w:rPr>
        <w:t xml:space="preserve">dana </w:t>
      </w:r>
      <w:proofErr w:type="spellStart"/>
      <w:r w:rsidRPr="003F1A02">
        <w:rPr>
          <w:rFonts w:ascii="Arial Narrow" w:hAnsi="Arial Narrow"/>
          <w:b/>
          <w:bCs/>
          <w:sz w:val="24"/>
          <w:szCs w:val="24"/>
          <w:lang w:val="en-US"/>
        </w:rPr>
        <w:t>čekanja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na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pregled</w:t>
      </w:r>
      <w:r>
        <w:rPr>
          <w:rFonts w:ascii="Arial Narrow" w:hAnsi="Arial Narrow"/>
          <w:b/>
          <w:bCs/>
          <w:sz w:val="24"/>
          <w:szCs w:val="24"/>
          <w:lang w:val="en-US"/>
        </w:rPr>
        <w:t>a</w:t>
      </w:r>
      <w:proofErr w:type="spellEnd"/>
      <w:r w:rsidRPr="003F1A02">
        <w:rPr>
          <w:rFonts w:ascii="Arial Narrow" w:hAnsi="Arial Narrow"/>
          <w:b/>
          <w:bCs/>
          <w:sz w:val="24"/>
          <w:szCs w:val="24"/>
          <w:lang w:val="en-US"/>
        </w:rPr>
        <w:t xml:space="preserve"> u </w:t>
      </w:r>
      <w:proofErr w:type="spellStart"/>
      <w:r w:rsidRPr="003F1A02">
        <w:rPr>
          <w:rFonts w:ascii="Arial Narrow" w:hAnsi="Arial Narrow"/>
          <w:b/>
          <w:bCs/>
          <w:sz w:val="24"/>
          <w:szCs w:val="24"/>
          <w:lang w:val="en-US"/>
        </w:rPr>
        <w:t>oblasti</w:t>
      </w:r>
      <w:proofErr w:type="spellEnd"/>
      <w:r w:rsidRPr="003F1A02">
        <w:rPr>
          <w:rFonts w:ascii="Arial Narrow" w:hAnsi="Arial Narrow"/>
          <w:b/>
          <w:bCs/>
          <w:sz w:val="24"/>
          <w:szCs w:val="24"/>
          <w:lang w:val="en-US"/>
        </w:rPr>
        <w:t xml:space="preserve"> ORL, </w:t>
      </w:r>
      <w:proofErr w:type="spellStart"/>
      <w:r w:rsidRPr="003F1A02">
        <w:rPr>
          <w:rFonts w:ascii="Arial Narrow" w:hAnsi="Arial Narrow"/>
          <w:b/>
          <w:bCs/>
          <w:sz w:val="24"/>
          <w:szCs w:val="24"/>
          <w:lang w:val="en-US"/>
        </w:rPr>
        <w:t>psihijatrije</w:t>
      </w:r>
      <w:proofErr w:type="spellEnd"/>
      <w:r w:rsidRPr="003F1A02">
        <w:rPr>
          <w:rFonts w:ascii="Arial Narrow" w:hAnsi="Arial Narrow"/>
          <w:b/>
          <w:bCs/>
          <w:sz w:val="24"/>
          <w:szCs w:val="24"/>
          <w:lang w:val="en-US"/>
        </w:rPr>
        <w:t xml:space="preserve"> i </w:t>
      </w:r>
      <w:proofErr w:type="spellStart"/>
      <w:r w:rsidRPr="003F1A02">
        <w:rPr>
          <w:rFonts w:ascii="Arial Narrow" w:hAnsi="Arial Narrow"/>
          <w:b/>
          <w:bCs/>
          <w:sz w:val="24"/>
          <w:szCs w:val="24"/>
          <w:lang w:val="en-US"/>
        </w:rPr>
        <w:t>dermatovenerologije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3F1A02">
        <w:rPr>
          <w:rFonts w:ascii="Arial Narrow" w:hAnsi="Arial Narrow"/>
          <w:b/>
          <w:bCs/>
          <w:sz w:val="24"/>
          <w:szCs w:val="24"/>
          <w:lang w:val="en-US"/>
        </w:rPr>
        <w:t>45</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3F1A02">
        <w:rPr>
          <w:rFonts w:ascii="Arial Narrow" w:hAnsi="Arial Narrow"/>
          <w:b/>
          <w:bCs/>
          <w:sz w:val="24"/>
          <w:szCs w:val="24"/>
          <w:lang w:val="en-US"/>
        </w:rPr>
        <w:t>30</w:t>
      </w:r>
      <w:r>
        <w:rPr>
          <w:rFonts w:ascii="Arial Narrow" w:hAnsi="Arial Narrow"/>
          <w:b/>
          <w:bCs/>
          <w:sz w:val="24"/>
          <w:szCs w:val="24"/>
          <w:lang w:val="en-US"/>
        </w:rPr>
        <w:t xml:space="preserve"> u 2022, </w:t>
      </w:r>
      <w:r w:rsidRPr="003F1A02">
        <w:rPr>
          <w:rFonts w:ascii="Arial Narrow" w:hAnsi="Arial Narrow"/>
          <w:b/>
          <w:bCs/>
          <w:sz w:val="24"/>
          <w:szCs w:val="24"/>
          <w:lang w:val="en-US"/>
        </w:rPr>
        <w:t>25</w:t>
      </w:r>
      <w:r w:rsidRPr="003F1A02">
        <w:rPr>
          <w:rFonts w:ascii="Arial Narrow" w:hAnsi="Arial Narrow"/>
          <w:b/>
          <w:bCs/>
          <w:sz w:val="24"/>
          <w:szCs w:val="24"/>
          <w:lang w:val="en-US"/>
        </w:rPr>
        <w:tab/>
      </w:r>
      <w:r>
        <w:rPr>
          <w:rFonts w:ascii="Arial Narrow" w:hAnsi="Arial Narrow"/>
          <w:b/>
          <w:bCs/>
          <w:sz w:val="24"/>
          <w:szCs w:val="24"/>
          <w:lang w:val="en-US"/>
        </w:rPr>
        <w:t xml:space="preserve">u 2023.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r w:rsidRPr="003F1A02">
        <w:rPr>
          <w:rFonts w:ascii="Arial Narrow" w:hAnsi="Arial Narrow"/>
          <w:b/>
          <w:bCs/>
          <w:sz w:val="24"/>
          <w:szCs w:val="24"/>
          <w:lang w:val="en-US"/>
        </w:rPr>
        <w:t>21</w:t>
      </w:r>
      <w:r>
        <w:rPr>
          <w:rFonts w:ascii="Arial Narrow" w:hAnsi="Arial Narrow"/>
          <w:b/>
          <w:bCs/>
          <w:sz w:val="24"/>
          <w:szCs w:val="24"/>
          <w:lang w:val="en-US"/>
        </w:rPr>
        <w:t xml:space="preserve">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sidRPr="00293650">
        <w:rPr>
          <w:rFonts w:ascii="Arial Narrow" w:hAnsi="Arial Narrow"/>
          <w:sz w:val="24"/>
          <w:szCs w:val="24"/>
          <w:lang w:val="en-US"/>
        </w:rPr>
        <w:t>Unaprijedićemo</w:t>
      </w:r>
      <w:proofErr w:type="spellEnd"/>
      <w:r w:rsidRPr="00293650">
        <w:rPr>
          <w:rFonts w:ascii="Arial Narrow" w:hAnsi="Arial Narrow"/>
          <w:sz w:val="24"/>
          <w:szCs w:val="24"/>
          <w:lang w:val="en-US"/>
        </w:rPr>
        <w:t xml:space="preserve"> </w:t>
      </w:r>
      <w:proofErr w:type="spellStart"/>
      <w:r w:rsidRPr="00293650">
        <w:rPr>
          <w:rFonts w:ascii="Arial Narrow" w:hAnsi="Arial Narrow"/>
          <w:sz w:val="24"/>
          <w:szCs w:val="24"/>
          <w:lang w:val="en-US"/>
        </w:rPr>
        <w:t>i</w:t>
      </w:r>
      <w:proofErr w:type="spellEnd"/>
      <w:r w:rsidRPr="00293650">
        <w:rPr>
          <w:rFonts w:ascii="Arial Narrow" w:hAnsi="Arial Narrow"/>
          <w:sz w:val="24"/>
          <w:szCs w:val="24"/>
          <w:lang w:val="en-US"/>
        </w:rPr>
        <w:t xml:space="preserve"> </w:t>
      </w:r>
      <w:proofErr w:type="spellStart"/>
      <w:r w:rsidRPr="00293650">
        <w:rPr>
          <w:rFonts w:ascii="Arial Narrow" w:hAnsi="Arial Narrow"/>
          <w:sz w:val="24"/>
          <w:szCs w:val="24"/>
          <w:lang w:val="en-US"/>
        </w:rPr>
        <w:t>infrastrukturu</w:t>
      </w:r>
      <w:proofErr w:type="spellEnd"/>
      <w:r w:rsidRPr="00293650">
        <w:rPr>
          <w:rFonts w:ascii="Arial Narrow" w:hAnsi="Arial Narrow"/>
          <w:sz w:val="24"/>
          <w:szCs w:val="24"/>
          <w:lang w:val="en-US"/>
        </w:rPr>
        <w:t xml:space="preserve"> </w:t>
      </w:r>
      <w:proofErr w:type="spellStart"/>
      <w:r w:rsidRPr="00293650">
        <w:rPr>
          <w:rFonts w:ascii="Arial Narrow" w:hAnsi="Arial Narrow"/>
          <w:sz w:val="24"/>
          <w:szCs w:val="24"/>
          <w:lang w:val="en-US"/>
        </w:rPr>
        <w:t>zdravstevenog</w:t>
      </w:r>
      <w:proofErr w:type="spellEnd"/>
      <w:r w:rsidRPr="00293650">
        <w:rPr>
          <w:rFonts w:ascii="Arial Narrow" w:hAnsi="Arial Narrow"/>
          <w:sz w:val="24"/>
          <w:szCs w:val="24"/>
          <w:lang w:val="en-US"/>
        </w:rPr>
        <w:t xml:space="preserve"> </w:t>
      </w:r>
      <w:proofErr w:type="spellStart"/>
      <w:r w:rsidRPr="00293650">
        <w:rPr>
          <w:rFonts w:ascii="Arial Narrow" w:hAnsi="Arial Narrow"/>
          <w:sz w:val="24"/>
          <w:szCs w:val="24"/>
          <w:lang w:val="en-US"/>
        </w:rPr>
        <w:t>sistema</w:t>
      </w:r>
      <w:proofErr w:type="spellEnd"/>
      <w:r>
        <w:rPr>
          <w:rFonts w:ascii="Arial Narrow" w:hAnsi="Arial Narrow"/>
          <w:b/>
          <w:bCs/>
          <w:sz w:val="24"/>
          <w:szCs w:val="24"/>
          <w:lang w:val="en-US"/>
        </w:rPr>
        <w:t xml:space="preserve"> – </w:t>
      </w:r>
      <w:proofErr w:type="spellStart"/>
      <w:r>
        <w:rPr>
          <w:rFonts w:ascii="Arial Narrow" w:hAnsi="Arial Narrow"/>
          <w:b/>
          <w:bCs/>
          <w:sz w:val="24"/>
          <w:szCs w:val="24"/>
          <w:lang w:val="en-US"/>
        </w:rPr>
        <w:t>povećati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broj</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a</w:t>
      </w:r>
      <w:r w:rsidRPr="003F1A02">
        <w:rPr>
          <w:rFonts w:ascii="Arial Narrow" w:hAnsi="Arial Narrow"/>
          <w:b/>
          <w:bCs/>
          <w:sz w:val="24"/>
          <w:szCs w:val="24"/>
          <w:lang w:val="en-US"/>
        </w:rPr>
        <w:t>daptiranih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mikrobioloških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laboratori</w:t>
      </w:r>
      <w:r>
        <w:rPr>
          <w:rFonts w:ascii="Arial Narrow" w:hAnsi="Arial Narrow"/>
          <w:b/>
          <w:bCs/>
          <w:sz w:val="24"/>
          <w:szCs w:val="24"/>
          <w:lang w:val="en-US"/>
        </w:rPr>
        <w:t>ja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otvoriti</w:t>
      </w:r>
      <w:proofErr w:type="spellEnd"/>
      <w:r>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klinik</w:t>
      </w:r>
      <w:r>
        <w:rPr>
          <w:rFonts w:ascii="Arial Narrow" w:hAnsi="Arial Narrow"/>
          <w:b/>
          <w:bCs/>
          <w:sz w:val="24"/>
          <w:szCs w:val="24"/>
          <w:lang w:val="en-US"/>
        </w:rPr>
        <w:t>u</w:t>
      </w:r>
      <w:proofErr w:type="spellEnd"/>
      <w:r w:rsidRPr="003F1A02">
        <w:rPr>
          <w:rFonts w:ascii="Arial Narrow" w:hAnsi="Arial Narrow"/>
          <w:b/>
          <w:bCs/>
          <w:sz w:val="24"/>
          <w:szCs w:val="24"/>
          <w:lang w:val="en-US"/>
        </w:rPr>
        <w:t xml:space="preserve"> za </w:t>
      </w:r>
      <w:proofErr w:type="spellStart"/>
      <w:r w:rsidRPr="003F1A02">
        <w:rPr>
          <w:rFonts w:ascii="Arial Narrow" w:hAnsi="Arial Narrow"/>
          <w:b/>
          <w:bCs/>
          <w:sz w:val="24"/>
          <w:szCs w:val="24"/>
          <w:lang w:val="en-US"/>
        </w:rPr>
        <w:t>infektivne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bolesti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klinik</w:t>
      </w:r>
      <w:r>
        <w:rPr>
          <w:rFonts w:ascii="Arial Narrow" w:hAnsi="Arial Narrow"/>
          <w:b/>
          <w:bCs/>
          <w:sz w:val="24"/>
          <w:szCs w:val="24"/>
          <w:lang w:val="en-US"/>
        </w:rPr>
        <w:t>u</w:t>
      </w:r>
      <w:proofErr w:type="spellEnd"/>
      <w:r w:rsidRPr="003F1A02">
        <w:rPr>
          <w:rFonts w:ascii="Arial Narrow" w:hAnsi="Arial Narrow"/>
          <w:b/>
          <w:bCs/>
          <w:sz w:val="24"/>
          <w:szCs w:val="24"/>
          <w:lang w:val="en-US"/>
        </w:rPr>
        <w:t xml:space="preserve"> za </w:t>
      </w:r>
      <w:proofErr w:type="spellStart"/>
      <w:r w:rsidRPr="003F1A02">
        <w:rPr>
          <w:rFonts w:ascii="Arial Narrow" w:hAnsi="Arial Narrow"/>
          <w:b/>
          <w:bCs/>
          <w:sz w:val="24"/>
          <w:szCs w:val="24"/>
          <w:lang w:val="en-US"/>
        </w:rPr>
        <w:t>dermatovenerologij</w:t>
      </w:r>
      <w:r>
        <w:rPr>
          <w:rFonts w:ascii="Arial Narrow" w:hAnsi="Arial Narrow"/>
          <w:b/>
          <w:bCs/>
          <w:sz w:val="24"/>
          <w:szCs w:val="24"/>
          <w:lang w:val="en-US"/>
        </w:rPr>
        <w:t>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broj</w:t>
      </w:r>
      <w:proofErr w:type="spellEnd"/>
      <w:r>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centrara</w:t>
      </w:r>
      <w:proofErr w:type="spellEnd"/>
      <w:r w:rsidRPr="003F1A02">
        <w:rPr>
          <w:rFonts w:ascii="Arial Narrow" w:hAnsi="Arial Narrow"/>
          <w:b/>
          <w:bCs/>
          <w:sz w:val="24"/>
          <w:szCs w:val="24"/>
          <w:lang w:val="en-US"/>
        </w:rPr>
        <w:t xml:space="preserve"> za </w:t>
      </w:r>
      <w:proofErr w:type="spellStart"/>
      <w:r w:rsidRPr="003F1A02">
        <w:rPr>
          <w:rFonts w:ascii="Arial Narrow" w:hAnsi="Arial Narrow"/>
          <w:b/>
          <w:bCs/>
          <w:sz w:val="24"/>
          <w:szCs w:val="24"/>
          <w:lang w:val="en-US"/>
        </w:rPr>
        <w:t>kontrolu</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prevenciju</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zaraznih</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bolesti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sa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Operativnim</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centrom</w:t>
      </w:r>
      <w:proofErr w:type="spellEnd"/>
      <w:r w:rsidRPr="003F1A02">
        <w:rPr>
          <w:rFonts w:ascii="Arial Narrow" w:hAnsi="Arial Narrow"/>
          <w:b/>
          <w:bCs/>
          <w:sz w:val="24"/>
          <w:szCs w:val="24"/>
          <w:lang w:val="en-US"/>
        </w:rPr>
        <w:t xml:space="preserve"> za </w:t>
      </w:r>
      <w:proofErr w:type="spellStart"/>
      <w:r w:rsidRPr="003F1A02">
        <w:rPr>
          <w:rFonts w:ascii="Arial Narrow" w:hAnsi="Arial Narrow"/>
          <w:b/>
          <w:bCs/>
          <w:sz w:val="24"/>
          <w:szCs w:val="24"/>
          <w:lang w:val="en-US"/>
        </w:rPr>
        <w:t>vanredne</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situacije</w:t>
      </w:r>
      <w:proofErr w:type="spellEnd"/>
      <w:r w:rsidRPr="003F1A02">
        <w:rPr>
          <w:rFonts w:ascii="Arial Narrow" w:hAnsi="Arial Narrow"/>
          <w:b/>
          <w:bCs/>
          <w:sz w:val="24"/>
          <w:szCs w:val="24"/>
          <w:lang w:val="en-US"/>
        </w:rPr>
        <w:t xml:space="preserve"> (EOC) </w:t>
      </w:r>
      <w:proofErr w:type="spellStart"/>
      <w:r w:rsidRPr="003F1A02">
        <w:rPr>
          <w:rFonts w:ascii="Arial Narrow" w:hAnsi="Arial Narrow"/>
          <w:b/>
          <w:bCs/>
          <w:sz w:val="24"/>
          <w:szCs w:val="24"/>
          <w:lang w:val="en-US"/>
        </w:rPr>
        <w:t>sa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unapređenim</w:t>
      </w:r>
      <w:proofErr w:type="spellEnd"/>
      <w:r w:rsidRPr="003F1A02">
        <w:rPr>
          <w:rFonts w:ascii="Arial Narrow" w:hAnsi="Arial Narrow"/>
          <w:b/>
          <w:bCs/>
          <w:sz w:val="24"/>
          <w:szCs w:val="24"/>
          <w:lang w:val="en-US"/>
        </w:rPr>
        <w:t xml:space="preserve"> IT </w:t>
      </w:r>
      <w:proofErr w:type="spellStart"/>
      <w:r w:rsidRPr="003F1A02">
        <w:rPr>
          <w:rFonts w:ascii="Arial Narrow" w:hAnsi="Arial Narrow"/>
          <w:b/>
          <w:bCs/>
          <w:sz w:val="24"/>
          <w:szCs w:val="24"/>
          <w:lang w:val="en-US"/>
        </w:rPr>
        <w:t>sistemom</w:t>
      </w:r>
      <w:proofErr w:type="spellEnd"/>
      <w:r w:rsidRPr="003F1A02">
        <w:rPr>
          <w:rFonts w:ascii="Arial Narrow" w:hAnsi="Arial Narrow"/>
          <w:b/>
          <w:bCs/>
          <w:sz w:val="24"/>
          <w:szCs w:val="24"/>
          <w:lang w:val="en-US"/>
        </w:rPr>
        <w:t xml:space="preserve"> u </w:t>
      </w:r>
      <w:proofErr w:type="spellStart"/>
      <w:r w:rsidRPr="003F1A02">
        <w:rPr>
          <w:rFonts w:ascii="Arial Narrow" w:hAnsi="Arial Narrow"/>
          <w:b/>
          <w:bCs/>
          <w:sz w:val="24"/>
          <w:szCs w:val="24"/>
          <w:lang w:val="en-US"/>
        </w:rPr>
        <w:t>oblasti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prikupljanja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podataka</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i</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upravljanja</w:t>
      </w:r>
      <w:proofErr w:type="spellEnd"/>
      <w:r w:rsidRPr="003F1A02">
        <w:rPr>
          <w:rFonts w:ascii="Arial Narrow" w:hAnsi="Arial Narrow"/>
          <w:b/>
          <w:bCs/>
          <w:sz w:val="24"/>
          <w:szCs w:val="24"/>
          <w:lang w:val="en-US"/>
        </w:rPr>
        <w:t xml:space="preserve"> u </w:t>
      </w:r>
      <w:proofErr w:type="spellStart"/>
      <w:r w:rsidRPr="003F1A02">
        <w:rPr>
          <w:rFonts w:ascii="Arial Narrow" w:hAnsi="Arial Narrow"/>
          <w:b/>
          <w:bCs/>
          <w:sz w:val="24"/>
          <w:szCs w:val="24"/>
          <w:lang w:val="en-US"/>
        </w:rPr>
        <w:t>kriznim</w:t>
      </w:r>
      <w:proofErr w:type="spellEnd"/>
      <w:r w:rsidRPr="003F1A02">
        <w:rPr>
          <w:rFonts w:ascii="Arial Narrow" w:hAnsi="Arial Narrow"/>
          <w:b/>
          <w:bCs/>
          <w:sz w:val="24"/>
          <w:szCs w:val="24"/>
          <w:lang w:val="en-US"/>
        </w:rPr>
        <w:t xml:space="preserve"> </w:t>
      </w:r>
      <w:proofErr w:type="spellStart"/>
      <w:r w:rsidRPr="003F1A02">
        <w:rPr>
          <w:rFonts w:ascii="Arial Narrow" w:hAnsi="Arial Narrow"/>
          <w:b/>
          <w:bCs/>
          <w:sz w:val="24"/>
          <w:szCs w:val="24"/>
          <w:lang w:val="en-US"/>
        </w:rPr>
        <w:t>situacijama</w:t>
      </w:r>
      <w:proofErr w:type="spellEnd"/>
      <w:r>
        <w:rPr>
          <w:rFonts w:ascii="Arial Narrow" w:hAnsi="Arial Narrow"/>
          <w:b/>
          <w:bCs/>
          <w:sz w:val="24"/>
          <w:szCs w:val="24"/>
          <w:lang w:val="en-US"/>
        </w:rPr>
        <w:t>.</w:t>
      </w:r>
    </w:p>
    <w:p w14:paraId="3A7350B1" w14:textId="77777777" w:rsidR="003D6416" w:rsidRPr="00293650" w:rsidRDefault="003D6416" w:rsidP="003D6416">
      <w:pPr>
        <w:jc w:val="both"/>
        <w:rPr>
          <w:rFonts w:ascii="Arial Narrow" w:hAnsi="Arial Narrow"/>
          <w:b/>
          <w:bCs/>
          <w:sz w:val="24"/>
          <w:szCs w:val="24"/>
          <w:lang w:val="en-GB" w:eastAsia="en-GB"/>
        </w:rPr>
      </w:pPr>
      <w:proofErr w:type="spellStart"/>
      <w:r w:rsidRPr="00293650">
        <w:rPr>
          <w:rFonts w:ascii="Arial Narrow" w:hAnsi="Arial Narrow"/>
          <w:b/>
          <w:bCs/>
          <w:sz w:val="24"/>
          <w:szCs w:val="24"/>
          <w:lang w:val="en-GB" w:eastAsia="en-GB"/>
        </w:rPr>
        <w:t>Cilj</w:t>
      </w:r>
      <w:proofErr w:type="spellEnd"/>
      <w:r w:rsidRPr="00293650">
        <w:rPr>
          <w:rFonts w:ascii="Arial Narrow" w:hAnsi="Arial Narrow"/>
          <w:b/>
          <w:bCs/>
          <w:sz w:val="24"/>
          <w:szCs w:val="24"/>
          <w:lang w:val="en-GB" w:eastAsia="en-GB"/>
        </w:rPr>
        <w:t xml:space="preserve"> 3.2. UNAPREĐENJE KOORDINACIJE I KONTROLE U OBLASTI PREVENCIJE HRONOČNIH NEZARAZNIH BOLESTI</w:t>
      </w:r>
    </w:p>
    <w:p w14:paraId="74EB7622" w14:textId="77777777" w:rsidR="003D6416" w:rsidRDefault="003D6416" w:rsidP="003D6416">
      <w:pPr>
        <w:jc w:val="both"/>
        <w:rPr>
          <w:rFonts w:ascii="Arial Narrow" w:hAnsi="Arial Narrow"/>
          <w:sz w:val="24"/>
          <w:szCs w:val="24"/>
          <w:lang w:val="en-GB" w:eastAsia="en-GB"/>
        </w:rPr>
      </w:pPr>
      <w:proofErr w:type="spellStart"/>
      <w:r>
        <w:rPr>
          <w:rFonts w:ascii="Arial Narrow" w:hAnsi="Arial Narrow"/>
          <w:sz w:val="24"/>
          <w:szCs w:val="24"/>
          <w:lang w:val="en-GB" w:eastAsia="en-GB"/>
        </w:rPr>
        <w:t>Unapređenje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zdravstva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sobom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nosi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pozitivne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efekte</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drugim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segmentima</w:t>
      </w:r>
      <w:proofErr w:type="spellEnd"/>
      <w:r>
        <w:rPr>
          <w:rFonts w:ascii="Arial Narrow" w:hAnsi="Arial Narrow"/>
          <w:sz w:val="24"/>
          <w:szCs w:val="24"/>
          <w:lang w:val="en-GB" w:eastAsia="en-GB"/>
        </w:rPr>
        <w:t xml:space="preserve">, a </w:t>
      </w:r>
      <w:proofErr w:type="spellStart"/>
      <w:r>
        <w:rPr>
          <w:rFonts w:ascii="Arial Narrow" w:hAnsi="Arial Narrow"/>
          <w:sz w:val="24"/>
          <w:szCs w:val="24"/>
          <w:lang w:val="en-GB" w:eastAsia="en-GB"/>
        </w:rPr>
        <w:t>posebno</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oblasti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hroničnih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bolesti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Kroz</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kontinuiran</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kvalitetan</w:t>
      </w:r>
      <w:proofErr w:type="spellEnd"/>
      <w:r>
        <w:rPr>
          <w:rFonts w:ascii="Arial Narrow" w:hAnsi="Arial Narrow"/>
          <w:sz w:val="24"/>
          <w:szCs w:val="24"/>
          <w:lang w:val="en-GB" w:eastAsia="en-GB"/>
        </w:rPr>
        <w:t xml:space="preserve"> rad s </w:t>
      </w:r>
      <w:proofErr w:type="spellStart"/>
      <w:r>
        <w:rPr>
          <w:rFonts w:ascii="Arial Narrow" w:hAnsi="Arial Narrow"/>
          <w:sz w:val="24"/>
          <w:szCs w:val="24"/>
          <w:lang w:val="en-GB" w:eastAsia="en-GB"/>
        </w:rPr>
        <w:t>pacijentima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pružanje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kvalitetne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zdravtsvene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usluge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podstiče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zdrave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stilove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života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ćemo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nastojati</w:t>
      </w:r>
      <w:proofErr w:type="spellEnd"/>
      <w:r>
        <w:rPr>
          <w:rFonts w:ascii="Arial Narrow" w:hAnsi="Arial Narrow"/>
          <w:sz w:val="24"/>
          <w:szCs w:val="24"/>
          <w:lang w:val="en-GB" w:eastAsia="en-GB"/>
        </w:rPr>
        <w:t xml:space="preserve"> da </w:t>
      </w:r>
      <w:proofErr w:type="spellStart"/>
      <w:r w:rsidRPr="00692070">
        <w:rPr>
          <w:rFonts w:ascii="Arial Narrow" w:hAnsi="Arial Narrow"/>
          <w:b/>
          <w:bCs/>
          <w:sz w:val="24"/>
          <w:szCs w:val="24"/>
          <w:lang w:val="en-GB" w:eastAsia="en-GB"/>
        </w:rPr>
        <w:t>smanjimo</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procenat</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umrlih</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od</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hroničnih</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nezaraznih</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bolesti</w:t>
      </w:r>
      <w:proofErr w:type="spellEnd"/>
      <w:r w:rsidRPr="00692070">
        <w:rPr>
          <w:rFonts w:ascii="Arial Narrow" w:hAnsi="Arial Narrow"/>
          <w:b/>
          <w:bCs/>
          <w:sz w:val="24"/>
          <w:szCs w:val="24"/>
          <w:lang w:val="en-GB" w:eastAsia="en-GB"/>
        </w:rPr>
        <w:t xml:space="preserve"> u </w:t>
      </w:r>
      <w:proofErr w:type="spellStart"/>
      <w:r w:rsidRPr="00692070">
        <w:rPr>
          <w:rFonts w:ascii="Arial Narrow" w:hAnsi="Arial Narrow"/>
          <w:b/>
          <w:bCs/>
          <w:sz w:val="24"/>
          <w:szCs w:val="24"/>
          <w:lang w:val="en-GB" w:eastAsia="en-GB"/>
        </w:rPr>
        <w:t>odnosu</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na</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ukupan</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broj</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umrlih</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na</w:t>
      </w:r>
      <w:proofErr w:type="spellEnd"/>
      <w:r w:rsidRPr="00692070">
        <w:rPr>
          <w:rFonts w:ascii="Arial Narrow" w:hAnsi="Arial Narrow"/>
          <w:b/>
          <w:bCs/>
          <w:sz w:val="24"/>
          <w:szCs w:val="24"/>
          <w:lang w:val="en-GB" w:eastAsia="en-GB"/>
        </w:rPr>
        <w:t xml:space="preserve"> 65% do </w:t>
      </w:r>
      <w:proofErr w:type="spellStart"/>
      <w:r w:rsidRPr="00692070">
        <w:rPr>
          <w:rFonts w:ascii="Arial Narrow" w:hAnsi="Arial Narrow"/>
          <w:b/>
          <w:bCs/>
          <w:sz w:val="24"/>
          <w:szCs w:val="24"/>
          <w:lang w:val="en-GB" w:eastAsia="en-GB"/>
        </w:rPr>
        <w:t>kraja</w:t>
      </w:r>
      <w:proofErr w:type="spellEnd"/>
      <w:r w:rsidRPr="00692070">
        <w:rPr>
          <w:rFonts w:ascii="Arial Narrow" w:hAnsi="Arial Narrow"/>
          <w:b/>
          <w:bCs/>
          <w:sz w:val="24"/>
          <w:szCs w:val="24"/>
          <w:lang w:val="en-GB" w:eastAsia="en-GB"/>
        </w:rPr>
        <w:t xml:space="preserve"> 2024.</w:t>
      </w:r>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odnosu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na</w:t>
      </w:r>
      <w:proofErr w:type="spellEnd"/>
      <w:r>
        <w:rPr>
          <w:rFonts w:ascii="Arial Narrow" w:hAnsi="Arial Narrow"/>
          <w:sz w:val="24"/>
          <w:szCs w:val="24"/>
          <w:lang w:val="en-GB" w:eastAsia="en-GB"/>
        </w:rPr>
        <w:t xml:space="preserve"> 75% u 2020)</w:t>
      </w:r>
      <w:r w:rsidRPr="003F1A02">
        <w:rPr>
          <w:rFonts w:ascii="Arial Narrow" w:hAnsi="Arial Narrow"/>
          <w:sz w:val="24"/>
          <w:szCs w:val="24"/>
          <w:lang w:val="en-GB" w:eastAsia="en-GB"/>
        </w:rPr>
        <w:t xml:space="preserve"> </w:t>
      </w:r>
    </w:p>
    <w:p w14:paraId="081FDC68" w14:textId="77777777" w:rsidR="003D6416" w:rsidRPr="00692070" w:rsidRDefault="003D6416" w:rsidP="003D6416">
      <w:pPr>
        <w:jc w:val="both"/>
        <w:rPr>
          <w:rFonts w:ascii="Arial Narrow" w:hAnsi="Arial Narrow"/>
          <w:b/>
          <w:bCs/>
          <w:sz w:val="24"/>
          <w:szCs w:val="24"/>
          <w:lang w:val="en-GB" w:eastAsia="en-GB"/>
        </w:rPr>
      </w:pPr>
      <w:proofErr w:type="spellStart"/>
      <w:r w:rsidRPr="00692070">
        <w:rPr>
          <w:rFonts w:ascii="Arial Narrow" w:hAnsi="Arial Narrow"/>
          <w:b/>
          <w:bCs/>
          <w:sz w:val="24"/>
          <w:szCs w:val="24"/>
          <w:lang w:val="en-GB" w:eastAsia="en-GB"/>
        </w:rPr>
        <w:t>Cilj</w:t>
      </w:r>
      <w:proofErr w:type="spellEnd"/>
      <w:r w:rsidRPr="00692070">
        <w:rPr>
          <w:rFonts w:ascii="Arial Narrow" w:hAnsi="Arial Narrow"/>
          <w:b/>
          <w:bCs/>
          <w:sz w:val="24"/>
          <w:szCs w:val="24"/>
          <w:lang w:val="en-GB" w:eastAsia="en-GB"/>
        </w:rPr>
        <w:t xml:space="preserve"> 3.3. JAČANJE INTEGRISANOG PRISTUPA OTKRIVANJU, DIJAGNOSTICI, PREVENCIJI I SOCIJALNOJ INTEGRACIJI LICA SA RIJETKIM BOLESTIMA I NJIHOVIH PORODICA</w:t>
      </w:r>
    </w:p>
    <w:p w14:paraId="4957448B" w14:textId="77777777" w:rsidR="003D6416" w:rsidRDefault="003D6416" w:rsidP="003D6416">
      <w:pPr>
        <w:jc w:val="both"/>
        <w:rPr>
          <w:rFonts w:ascii="Arial Narrow" w:hAnsi="Arial Narrow"/>
          <w:sz w:val="24"/>
          <w:szCs w:val="24"/>
          <w:lang w:val="en-GB" w:eastAsia="en-GB"/>
        </w:rPr>
      </w:pPr>
      <w:r>
        <w:rPr>
          <w:rFonts w:ascii="Arial Narrow" w:hAnsi="Arial Narrow"/>
          <w:sz w:val="24"/>
          <w:szCs w:val="24"/>
          <w:lang w:val="en-GB" w:eastAsia="en-GB"/>
        </w:rPr>
        <w:t xml:space="preserve">Pored </w:t>
      </w:r>
      <w:proofErr w:type="spellStart"/>
      <w:r>
        <w:rPr>
          <w:rFonts w:ascii="Arial Narrow" w:hAnsi="Arial Narrow"/>
          <w:sz w:val="24"/>
          <w:szCs w:val="24"/>
          <w:lang w:val="en-GB" w:eastAsia="en-GB"/>
        </w:rPr>
        <w:t>navedenog</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unaprijedićemo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dijagnostifikovanje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rijetkih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bolesti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te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očekujemo</w:t>
      </w:r>
      <w:proofErr w:type="spellEnd"/>
      <w:r>
        <w:rPr>
          <w:rFonts w:ascii="Arial Narrow" w:hAnsi="Arial Narrow"/>
          <w:sz w:val="24"/>
          <w:szCs w:val="24"/>
          <w:lang w:val="en-GB" w:eastAsia="en-GB"/>
        </w:rPr>
        <w:t xml:space="preserve"> da </w:t>
      </w:r>
      <w:proofErr w:type="spellStart"/>
      <w:r w:rsidRPr="00692070">
        <w:rPr>
          <w:rFonts w:ascii="Arial Narrow" w:hAnsi="Arial Narrow"/>
          <w:b/>
          <w:bCs/>
          <w:sz w:val="24"/>
          <w:szCs w:val="24"/>
          <w:lang w:val="en-GB" w:eastAsia="en-GB"/>
        </w:rPr>
        <w:t>procenat</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potvrđenih</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slučajeva</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sa</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sumnjom</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na</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rijetke</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bolesti</w:t>
      </w:r>
      <w:proofErr w:type="spellEnd"/>
      <w:r w:rsidRPr="00692070">
        <w:rPr>
          <w:rFonts w:ascii="Arial Narrow" w:hAnsi="Arial Narrow"/>
          <w:b/>
          <w:bCs/>
          <w:sz w:val="24"/>
          <w:szCs w:val="24"/>
          <w:lang w:val="en-GB" w:eastAsia="en-GB"/>
        </w:rPr>
        <w:t xml:space="preserve"> </w:t>
      </w:r>
      <w:proofErr w:type="spellStart"/>
      <w:r w:rsidRPr="00692070">
        <w:rPr>
          <w:rFonts w:ascii="Arial Narrow" w:hAnsi="Arial Narrow"/>
          <w:b/>
          <w:bCs/>
          <w:sz w:val="24"/>
          <w:szCs w:val="24"/>
          <w:lang w:val="en-GB" w:eastAsia="en-GB"/>
        </w:rPr>
        <w:t>poratse</w:t>
      </w:r>
      <w:proofErr w:type="spellEnd"/>
      <w:r w:rsidRPr="00692070">
        <w:rPr>
          <w:rFonts w:ascii="Arial Narrow" w:hAnsi="Arial Narrow"/>
          <w:b/>
          <w:bCs/>
          <w:sz w:val="24"/>
          <w:szCs w:val="24"/>
          <w:lang w:val="en-GB" w:eastAsia="en-GB"/>
        </w:rPr>
        <w:t xml:space="preserve"> do 70% u 2024.</w:t>
      </w:r>
    </w:p>
    <w:p w14:paraId="33ED5C44" w14:textId="77777777" w:rsidR="003D6416" w:rsidRPr="00692070" w:rsidRDefault="003D6416" w:rsidP="003D6416">
      <w:pPr>
        <w:jc w:val="both"/>
        <w:rPr>
          <w:rFonts w:ascii="Arial Narrow" w:hAnsi="Arial Narrow"/>
          <w:b/>
          <w:bCs/>
          <w:sz w:val="24"/>
          <w:szCs w:val="24"/>
          <w:lang w:val="en-GB" w:eastAsia="en-GB"/>
        </w:rPr>
      </w:pPr>
      <w:proofErr w:type="spellStart"/>
      <w:r w:rsidRPr="00692070">
        <w:rPr>
          <w:rFonts w:ascii="Arial Narrow" w:hAnsi="Arial Narrow"/>
          <w:b/>
          <w:bCs/>
          <w:sz w:val="24"/>
          <w:szCs w:val="24"/>
          <w:lang w:val="en-GB" w:eastAsia="en-GB"/>
        </w:rPr>
        <w:t>Cilj</w:t>
      </w:r>
      <w:proofErr w:type="spellEnd"/>
      <w:r w:rsidRPr="00692070">
        <w:rPr>
          <w:rFonts w:ascii="Arial Narrow" w:hAnsi="Arial Narrow"/>
          <w:b/>
          <w:bCs/>
          <w:sz w:val="24"/>
          <w:szCs w:val="24"/>
          <w:lang w:val="en-GB" w:eastAsia="en-GB"/>
        </w:rPr>
        <w:t xml:space="preserve"> 3.4.</w:t>
      </w:r>
      <w:r w:rsidRPr="00692070">
        <w:rPr>
          <w:rFonts w:ascii="Arial Narrow" w:hAnsi="Arial Narrow"/>
          <w:b/>
          <w:bCs/>
          <w:sz w:val="24"/>
          <w:szCs w:val="24"/>
          <w:lang w:val="en-GB" w:eastAsia="en-GB"/>
        </w:rPr>
        <w:tab/>
        <w:t>UNAPREĐENJE STANJA I OČUVANJE ŽIVOTNE SREDINE</w:t>
      </w:r>
    </w:p>
    <w:p w14:paraId="33F97964" w14:textId="77777777" w:rsidR="003D6416" w:rsidRDefault="003D6416" w:rsidP="003D6416">
      <w:pPr>
        <w:jc w:val="both"/>
        <w:rPr>
          <w:rFonts w:ascii="Arial Narrow" w:hAnsi="Arial Narrow"/>
          <w:sz w:val="24"/>
          <w:szCs w:val="24"/>
          <w:lang w:val="en-GB" w:eastAsia="en-GB"/>
        </w:rPr>
      </w:pPr>
      <w:proofErr w:type="spellStart"/>
      <w:r>
        <w:rPr>
          <w:rFonts w:ascii="Arial Narrow" w:hAnsi="Arial Narrow"/>
          <w:sz w:val="24"/>
          <w:szCs w:val="24"/>
          <w:lang w:val="en-GB" w:eastAsia="en-GB"/>
        </w:rPr>
        <w:t>Podsricaćemo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zdrave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navike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kreirati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okvr</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kojim</w:t>
      </w:r>
      <w:proofErr w:type="spellEnd"/>
      <w:r>
        <w:rPr>
          <w:rFonts w:ascii="Arial Narrow" w:hAnsi="Arial Narrow"/>
          <w:sz w:val="24"/>
          <w:szCs w:val="24"/>
          <w:lang w:val="en-GB" w:eastAsia="en-GB"/>
        </w:rPr>
        <w:t xml:space="preserve"> ć emo </w:t>
      </w:r>
      <w:proofErr w:type="spellStart"/>
      <w:r>
        <w:rPr>
          <w:rFonts w:ascii="Arial Narrow" w:hAnsi="Arial Narrow"/>
          <w:sz w:val="24"/>
          <w:szCs w:val="24"/>
          <w:lang w:val="en-GB" w:eastAsia="en-GB"/>
        </w:rPr>
        <w:t>obezbjediti</w:t>
      </w:r>
      <w:proofErr w:type="spellEnd"/>
      <w:r>
        <w:rPr>
          <w:rFonts w:ascii="Arial Narrow" w:hAnsi="Arial Narrow"/>
          <w:sz w:val="24"/>
          <w:szCs w:val="24"/>
          <w:lang w:val="en-GB" w:eastAsia="en-GB"/>
        </w:rPr>
        <w:t xml:space="preserve"> </w:t>
      </w:r>
      <w:r w:rsidRPr="00A439DE">
        <w:rPr>
          <w:rFonts w:ascii="Arial Narrow" w:hAnsi="Arial Narrow"/>
          <w:b/>
          <w:bCs/>
          <w:sz w:val="24"/>
          <w:szCs w:val="24"/>
          <w:lang w:val="en-GB" w:eastAsia="en-GB"/>
        </w:rPr>
        <w:t xml:space="preserve">da </w:t>
      </w:r>
      <w:proofErr w:type="spellStart"/>
      <w:r w:rsidRPr="00A439DE">
        <w:rPr>
          <w:rFonts w:ascii="Arial Narrow" w:hAnsi="Arial Narrow"/>
          <w:b/>
          <w:bCs/>
          <w:sz w:val="24"/>
          <w:szCs w:val="24"/>
          <w:lang w:val="en-GB" w:eastAsia="en-GB"/>
        </w:rPr>
        <w:t>procenat</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količina</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otpada</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pripremljenih</w:t>
      </w:r>
      <w:proofErr w:type="spellEnd"/>
      <w:r w:rsidRPr="00A439DE">
        <w:rPr>
          <w:rFonts w:ascii="Arial Narrow" w:hAnsi="Arial Narrow"/>
          <w:b/>
          <w:bCs/>
          <w:sz w:val="24"/>
          <w:szCs w:val="24"/>
          <w:lang w:val="en-GB" w:eastAsia="en-GB"/>
        </w:rPr>
        <w:t xml:space="preserve"> za </w:t>
      </w:r>
      <w:proofErr w:type="spellStart"/>
      <w:r w:rsidRPr="00A439DE">
        <w:rPr>
          <w:rFonts w:ascii="Arial Narrow" w:hAnsi="Arial Narrow"/>
          <w:b/>
          <w:bCs/>
          <w:sz w:val="24"/>
          <w:szCs w:val="24"/>
          <w:lang w:val="en-GB" w:eastAsia="en-GB"/>
        </w:rPr>
        <w:t>ponovnu</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upotrebu</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i</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recikliranje</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iznosi</w:t>
      </w:r>
      <w:proofErr w:type="spellEnd"/>
      <w:r w:rsidRPr="00A439DE">
        <w:rPr>
          <w:rFonts w:ascii="Arial Narrow" w:hAnsi="Arial Narrow"/>
          <w:b/>
          <w:bCs/>
          <w:sz w:val="24"/>
          <w:szCs w:val="24"/>
          <w:lang w:val="en-GB" w:eastAsia="en-GB"/>
        </w:rPr>
        <w:t xml:space="preserve"> 25% u 2024</w:t>
      </w:r>
      <w:r>
        <w:rPr>
          <w:rFonts w:ascii="Arial Narrow" w:hAnsi="Arial Narrow"/>
          <w:sz w:val="24"/>
          <w:szCs w:val="24"/>
          <w:lang w:val="en-GB" w:eastAsia="en-GB"/>
        </w:rPr>
        <w:t xml:space="preserve">. Na </w:t>
      </w:r>
      <w:proofErr w:type="spellStart"/>
      <w:r>
        <w:rPr>
          <w:rFonts w:ascii="Arial Narrow" w:hAnsi="Arial Narrow"/>
          <w:sz w:val="24"/>
          <w:szCs w:val="24"/>
          <w:lang w:val="en-GB" w:eastAsia="en-GB"/>
        </w:rPr>
        <w:t>tragu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prethodnih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uspjeha</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zaštiti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područja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povećaćemo</w:t>
      </w:r>
      <w:proofErr w:type="spellEnd"/>
      <w:r>
        <w:rPr>
          <w:rFonts w:ascii="Arial Narrow" w:hAnsi="Arial Narrow"/>
          <w:sz w:val="24"/>
          <w:szCs w:val="24"/>
          <w:lang w:val="en-GB" w:eastAsia="en-GB"/>
        </w:rPr>
        <w:t xml:space="preserve"> </w:t>
      </w:r>
      <w:proofErr w:type="spellStart"/>
      <w:r w:rsidRPr="00A439DE">
        <w:rPr>
          <w:rFonts w:ascii="Arial Narrow" w:hAnsi="Arial Narrow"/>
          <w:b/>
          <w:bCs/>
          <w:sz w:val="24"/>
          <w:szCs w:val="24"/>
          <w:lang w:val="en-GB" w:eastAsia="en-GB"/>
        </w:rPr>
        <w:t>udio</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zaštićenih</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područja</w:t>
      </w:r>
      <w:proofErr w:type="spellEnd"/>
      <w:r w:rsidRPr="00A439DE">
        <w:rPr>
          <w:rFonts w:ascii="Arial Narrow" w:hAnsi="Arial Narrow"/>
          <w:b/>
          <w:bCs/>
          <w:sz w:val="24"/>
          <w:szCs w:val="24"/>
          <w:lang w:val="en-GB" w:eastAsia="en-GB"/>
        </w:rPr>
        <w:t xml:space="preserve"> u </w:t>
      </w:r>
      <w:proofErr w:type="spellStart"/>
      <w:r w:rsidRPr="00A439DE">
        <w:rPr>
          <w:rFonts w:ascii="Arial Narrow" w:hAnsi="Arial Narrow"/>
          <w:b/>
          <w:bCs/>
          <w:sz w:val="24"/>
          <w:szCs w:val="24"/>
          <w:lang w:val="en-GB" w:eastAsia="en-GB"/>
        </w:rPr>
        <w:t>ukupnoj</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teritoriji</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Crne</w:t>
      </w:r>
      <w:proofErr w:type="spellEnd"/>
      <w:r w:rsidRPr="00A439DE">
        <w:rPr>
          <w:rFonts w:ascii="Arial Narrow" w:hAnsi="Arial Narrow"/>
          <w:b/>
          <w:bCs/>
          <w:sz w:val="24"/>
          <w:szCs w:val="24"/>
          <w:lang w:val="en-GB" w:eastAsia="en-GB"/>
        </w:rPr>
        <w:t xml:space="preserve"> Gore do 2024. </w:t>
      </w:r>
      <w:proofErr w:type="spellStart"/>
      <w:r w:rsidRPr="00A439DE">
        <w:rPr>
          <w:rFonts w:ascii="Arial Narrow" w:hAnsi="Arial Narrow"/>
          <w:b/>
          <w:bCs/>
          <w:sz w:val="24"/>
          <w:szCs w:val="24"/>
          <w:lang w:val="en-GB" w:eastAsia="en-GB"/>
        </w:rPr>
        <w:t>godine</w:t>
      </w:r>
      <w:proofErr w:type="spellEnd"/>
      <w:r w:rsidRPr="00A439DE">
        <w:rPr>
          <w:rFonts w:ascii="Arial Narrow" w:hAnsi="Arial Narrow"/>
          <w:b/>
          <w:bCs/>
          <w:sz w:val="24"/>
          <w:szCs w:val="24"/>
          <w:lang w:val="en-GB" w:eastAsia="en-GB"/>
        </w:rPr>
        <w:t xml:space="preserve"> </w:t>
      </w:r>
      <w:proofErr w:type="spellStart"/>
      <w:r w:rsidRPr="00A439DE">
        <w:rPr>
          <w:rFonts w:ascii="Arial Narrow" w:hAnsi="Arial Narrow"/>
          <w:b/>
          <w:bCs/>
          <w:sz w:val="24"/>
          <w:szCs w:val="24"/>
          <w:lang w:val="en-GB" w:eastAsia="en-GB"/>
        </w:rPr>
        <w:t>na</w:t>
      </w:r>
      <w:proofErr w:type="spellEnd"/>
      <w:r w:rsidRPr="00A439DE">
        <w:rPr>
          <w:rFonts w:ascii="Arial Narrow" w:hAnsi="Arial Narrow"/>
          <w:b/>
          <w:bCs/>
          <w:sz w:val="24"/>
          <w:szCs w:val="24"/>
          <w:lang w:val="en-GB" w:eastAsia="en-GB"/>
        </w:rPr>
        <w:t xml:space="preserve"> 17%.</w:t>
      </w:r>
    </w:p>
    <w:p w14:paraId="04B2BF42" w14:textId="77777777" w:rsidR="003D6416" w:rsidRPr="00A439DE" w:rsidRDefault="003D6416" w:rsidP="003D6416">
      <w:pPr>
        <w:jc w:val="both"/>
        <w:rPr>
          <w:rFonts w:ascii="Arial Narrow" w:hAnsi="Arial Narrow"/>
          <w:b/>
          <w:bCs/>
          <w:sz w:val="24"/>
          <w:szCs w:val="24"/>
          <w:lang w:val="en-GB" w:eastAsia="en-GB"/>
        </w:rPr>
      </w:pPr>
      <w:proofErr w:type="spellStart"/>
      <w:r w:rsidRPr="00A439DE">
        <w:rPr>
          <w:rFonts w:ascii="Arial Narrow" w:hAnsi="Arial Narrow"/>
          <w:b/>
          <w:bCs/>
          <w:sz w:val="24"/>
          <w:szCs w:val="24"/>
          <w:lang w:val="en-GB" w:eastAsia="en-GB"/>
        </w:rPr>
        <w:t>Cilj</w:t>
      </w:r>
      <w:proofErr w:type="spellEnd"/>
      <w:r w:rsidRPr="00A439DE">
        <w:rPr>
          <w:rFonts w:ascii="Arial Narrow" w:hAnsi="Arial Narrow"/>
          <w:b/>
          <w:bCs/>
          <w:sz w:val="24"/>
          <w:szCs w:val="24"/>
          <w:lang w:val="en-GB" w:eastAsia="en-GB"/>
        </w:rPr>
        <w:t xml:space="preserve"> 3.5.</w:t>
      </w:r>
      <w:r w:rsidRPr="00A439DE">
        <w:rPr>
          <w:rFonts w:ascii="Arial Narrow" w:hAnsi="Arial Narrow"/>
          <w:b/>
          <w:bCs/>
          <w:sz w:val="24"/>
          <w:szCs w:val="24"/>
          <w:lang w:val="en-GB" w:eastAsia="en-GB"/>
        </w:rPr>
        <w:tab/>
        <w:t xml:space="preserve">STVARANJE PREDUSLOVA ZA EFIKASNO UPRAVLJANJE PROSTOROM I IZGRADNJOM OBJEKATA </w:t>
      </w:r>
    </w:p>
    <w:p w14:paraId="585FF6DB" w14:textId="77777777" w:rsidR="003D6416" w:rsidRPr="003F1A02" w:rsidRDefault="003D6416" w:rsidP="003D6416">
      <w:pPr>
        <w:jc w:val="both"/>
        <w:rPr>
          <w:rFonts w:ascii="Arial Narrow" w:hAnsi="Arial Narrow"/>
          <w:sz w:val="24"/>
          <w:szCs w:val="24"/>
          <w:lang w:val="en-GB" w:eastAsia="en-GB"/>
        </w:rPr>
      </w:pPr>
      <w:r>
        <w:rPr>
          <w:rFonts w:ascii="Arial Narrow" w:hAnsi="Arial Narrow"/>
          <w:sz w:val="24"/>
          <w:szCs w:val="24"/>
          <w:lang w:val="en-GB" w:eastAsia="en-GB"/>
        </w:rPr>
        <w:t xml:space="preserve">Pored </w:t>
      </w:r>
      <w:proofErr w:type="spellStart"/>
      <w:r>
        <w:rPr>
          <w:rFonts w:ascii="Arial Narrow" w:hAnsi="Arial Narrow"/>
          <w:sz w:val="24"/>
          <w:szCs w:val="24"/>
          <w:lang w:val="en-GB" w:eastAsia="en-GB"/>
        </w:rPr>
        <w:t>potrebe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redovnog</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usaglašavanja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zakonodavstva</w:t>
      </w:r>
      <w:proofErr w:type="spellEnd"/>
      <w:r>
        <w:rPr>
          <w:rFonts w:ascii="Arial Narrow" w:hAnsi="Arial Narrow"/>
          <w:sz w:val="24"/>
          <w:szCs w:val="24"/>
          <w:lang w:val="en-GB" w:eastAsia="en-GB"/>
        </w:rPr>
        <w:t xml:space="preserve"> s </w:t>
      </w:r>
      <w:proofErr w:type="spellStart"/>
      <w:r>
        <w:rPr>
          <w:rFonts w:ascii="Arial Narrow" w:hAnsi="Arial Narrow"/>
          <w:sz w:val="24"/>
          <w:szCs w:val="24"/>
          <w:lang w:val="en-GB" w:eastAsia="en-GB"/>
        </w:rPr>
        <w:t>pravnom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tekovinom</w:t>
      </w:r>
      <w:proofErr w:type="spellEnd"/>
      <w:r>
        <w:rPr>
          <w:rFonts w:ascii="Arial Narrow" w:hAnsi="Arial Narrow"/>
          <w:sz w:val="24"/>
          <w:szCs w:val="24"/>
          <w:lang w:val="en-GB" w:eastAsia="en-GB"/>
        </w:rPr>
        <w:t xml:space="preserve"> EU u </w:t>
      </w:r>
      <w:proofErr w:type="spellStart"/>
      <w:r>
        <w:rPr>
          <w:rFonts w:ascii="Arial Narrow" w:hAnsi="Arial Narrow"/>
          <w:sz w:val="24"/>
          <w:szCs w:val="24"/>
          <w:lang w:val="en-GB" w:eastAsia="en-GB"/>
        </w:rPr>
        <w:t>ovoj</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oblasti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radićemo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povećanju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inspekcisjkog</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nadzora</w:t>
      </w:r>
      <w:proofErr w:type="spellEnd"/>
      <w:r>
        <w:rPr>
          <w:rFonts w:ascii="Arial Narrow" w:hAnsi="Arial Narrow"/>
          <w:sz w:val="24"/>
          <w:szCs w:val="24"/>
          <w:lang w:val="en-GB" w:eastAsia="en-GB"/>
        </w:rPr>
        <w:t xml:space="preserve"> </w:t>
      </w:r>
      <w:r w:rsidRPr="003F1A02">
        <w:rPr>
          <w:rFonts w:ascii="Arial Narrow" w:hAnsi="Arial Narrow"/>
          <w:sz w:val="24"/>
          <w:szCs w:val="24"/>
          <w:lang w:val="en-GB" w:eastAsia="en-GB"/>
        </w:rPr>
        <w:t xml:space="preserve">u </w:t>
      </w:r>
      <w:proofErr w:type="spellStart"/>
      <w:r w:rsidRPr="003F1A02">
        <w:rPr>
          <w:rFonts w:ascii="Arial Narrow" w:hAnsi="Arial Narrow"/>
          <w:sz w:val="24"/>
          <w:szCs w:val="24"/>
          <w:lang w:val="en-GB" w:eastAsia="en-GB"/>
        </w:rPr>
        <w:t>cilju</w:t>
      </w:r>
      <w:proofErr w:type="spellEnd"/>
      <w:r w:rsidRPr="003F1A02">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poboljšanja</w:t>
      </w:r>
      <w:proofErr w:type="spellEnd"/>
      <w:r w:rsidRPr="003F1A02">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uslova</w:t>
      </w:r>
      <w:proofErr w:type="spellEnd"/>
      <w:r w:rsidRPr="003F1A02">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stanovanja</w:t>
      </w:r>
      <w:proofErr w:type="spellEnd"/>
      <w:r w:rsidRPr="003F1A02">
        <w:rPr>
          <w:rFonts w:ascii="Arial Narrow" w:hAnsi="Arial Narrow"/>
          <w:sz w:val="24"/>
          <w:szCs w:val="24"/>
          <w:lang w:val="en-GB" w:eastAsia="en-GB"/>
        </w:rPr>
        <w:t xml:space="preserve"> u </w:t>
      </w:r>
      <w:proofErr w:type="spellStart"/>
      <w:r w:rsidRPr="003F1A02">
        <w:rPr>
          <w:rFonts w:ascii="Arial Narrow" w:hAnsi="Arial Narrow"/>
          <w:sz w:val="24"/>
          <w:szCs w:val="24"/>
          <w:lang w:val="en-GB" w:eastAsia="en-GB"/>
        </w:rPr>
        <w:t>stambenim</w:t>
      </w:r>
      <w:proofErr w:type="spellEnd"/>
      <w:r w:rsidRPr="003F1A02">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zgradama</w:t>
      </w:r>
      <w:proofErr w:type="spellEnd"/>
      <w:r>
        <w:rPr>
          <w:rFonts w:ascii="Arial Narrow" w:hAnsi="Arial Narrow"/>
          <w:sz w:val="24"/>
          <w:szCs w:val="24"/>
          <w:lang w:val="en-GB" w:eastAsia="en-GB"/>
        </w:rPr>
        <w:t xml:space="preserve">, I </w:t>
      </w:r>
      <w:proofErr w:type="spellStart"/>
      <w:r>
        <w:rPr>
          <w:rFonts w:ascii="Arial Narrow" w:hAnsi="Arial Narrow"/>
          <w:sz w:val="24"/>
          <w:szCs w:val="24"/>
          <w:lang w:val="en-GB" w:eastAsia="en-GB"/>
        </w:rPr>
        <w:t>legalizovati</w:t>
      </w:r>
      <w:proofErr w:type="spellEnd"/>
      <w:r w:rsidRPr="003F1A02">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bespravn</w:t>
      </w:r>
      <w:r>
        <w:rPr>
          <w:rFonts w:ascii="Arial Narrow" w:hAnsi="Arial Narrow"/>
          <w:sz w:val="24"/>
          <w:szCs w:val="24"/>
          <w:lang w:val="en-GB" w:eastAsia="en-GB"/>
        </w:rPr>
        <w:t>e</w:t>
      </w:r>
      <w:proofErr w:type="spellEnd"/>
      <w:r w:rsidRPr="003F1A02">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objekt</w:t>
      </w:r>
      <w:r>
        <w:rPr>
          <w:rFonts w:ascii="Arial Narrow" w:hAnsi="Arial Narrow"/>
          <w:sz w:val="24"/>
          <w:szCs w:val="24"/>
          <w:lang w:val="en-GB" w:eastAsia="en-GB"/>
        </w:rPr>
        <w:t>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kroz</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redovno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rješavanje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dostavljenih</w:t>
      </w:r>
      <w:proofErr w:type="spellEnd"/>
      <w:r>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predmet</w:t>
      </w:r>
      <w:r>
        <w:rPr>
          <w:rFonts w:ascii="Arial Narrow" w:hAnsi="Arial Narrow"/>
          <w:sz w:val="24"/>
          <w:szCs w:val="24"/>
          <w:lang w:val="en-GB" w:eastAsia="en-GB"/>
        </w:rPr>
        <w:t>a</w:t>
      </w:r>
      <w:proofErr w:type="spellEnd"/>
      <w:r>
        <w:rPr>
          <w:rFonts w:ascii="Arial Narrow" w:hAnsi="Arial Narrow"/>
          <w:sz w:val="24"/>
          <w:szCs w:val="24"/>
          <w:lang w:val="en-GB" w:eastAsia="en-GB"/>
        </w:rPr>
        <w:t>.</w:t>
      </w:r>
      <w:r w:rsidRPr="003F1A02">
        <w:rPr>
          <w:rFonts w:ascii="Arial Narrow" w:hAnsi="Arial Narrow"/>
          <w:sz w:val="24"/>
          <w:szCs w:val="24"/>
          <w:lang w:val="en-GB" w:eastAsia="en-GB"/>
        </w:rPr>
        <w:t xml:space="preserve"> </w:t>
      </w:r>
    </w:p>
    <w:p w14:paraId="748E0C04" w14:textId="77777777" w:rsidR="003D6416" w:rsidRDefault="003D6416" w:rsidP="003D6416">
      <w:pPr>
        <w:jc w:val="both"/>
        <w:rPr>
          <w:rFonts w:ascii="Arial Narrow" w:hAnsi="Arial Narrow"/>
          <w:b/>
          <w:bCs/>
          <w:sz w:val="24"/>
          <w:szCs w:val="24"/>
          <w:lang w:val="en-GB" w:eastAsia="en-GB"/>
        </w:rPr>
      </w:pPr>
      <w:proofErr w:type="spellStart"/>
      <w:r w:rsidRPr="00F929B3">
        <w:rPr>
          <w:rFonts w:ascii="Arial Narrow" w:hAnsi="Arial Narrow"/>
          <w:b/>
          <w:bCs/>
          <w:sz w:val="24"/>
          <w:szCs w:val="24"/>
          <w:lang w:val="en-GB" w:eastAsia="en-GB"/>
        </w:rPr>
        <w:lastRenderedPageBreak/>
        <w:t>Cilj</w:t>
      </w:r>
      <w:proofErr w:type="spellEnd"/>
      <w:r w:rsidRPr="00F929B3">
        <w:rPr>
          <w:rFonts w:ascii="Arial Narrow" w:hAnsi="Arial Narrow"/>
          <w:b/>
          <w:bCs/>
          <w:sz w:val="24"/>
          <w:szCs w:val="24"/>
          <w:lang w:val="en-GB" w:eastAsia="en-GB"/>
        </w:rPr>
        <w:t xml:space="preserve"> 3.6.</w:t>
      </w:r>
      <w:r w:rsidRPr="00F929B3">
        <w:rPr>
          <w:rFonts w:ascii="Arial Narrow" w:hAnsi="Arial Narrow"/>
          <w:b/>
          <w:bCs/>
          <w:sz w:val="24"/>
          <w:szCs w:val="24"/>
          <w:lang w:val="en-GB" w:eastAsia="en-GB"/>
        </w:rPr>
        <w:tab/>
        <w:t xml:space="preserve"> JAČANJE SISTEMA U OBLASTI BEZBJEDNOSTI HRANE, VETERINE I FITOSANITARNOJ OBLASTI</w:t>
      </w:r>
    </w:p>
    <w:p w14:paraId="086FFB34" w14:textId="77777777" w:rsidR="003D6416" w:rsidRPr="00AB406A" w:rsidRDefault="003D6416" w:rsidP="003D6416">
      <w:pPr>
        <w:jc w:val="both"/>
        <w:rPr>
          <w:rFonts w:ascii="Arial Narrow" w:hAnsi="Arial Narrow"/>
          <w:b/>
          <w:bCs/>
          <w:sz w:val="24"/>
          <w:szCs w:val="24"/>
          <w:lang w:val="en-GB" w:eastAsia="en-GB"/>
        </w:rPr>
      </w:pPr>
      <w:r w:rsidRPr="00F929B3">
        <w:rPr>
          <w:rFonts w:ascii="Arial Narrow" w:hAnsi="Arial Narrow"/>
          <w:sz w:val="24"/>
          <w:szCs w:val="24"/>
          <w:lang w:val="en-GB" w:eastAsia="en-GB"/>
        </w:rPr>
        <w:t xml:space="preserve">Do 2024. </w:t>
      </w:r>
      <w:proofErr w:type="spellStart"/>
      <w:r w:rsidRPr="00F929B3">
        <w:rPr>
          <w:rFonts w:ascii="Arial Narrow" w:hAnsi="Arial Narrow"/>
          <w:sz w:val="24"/>
          <w:szCs w:val="24"/>
          <w:lang w:val="en-GB" w:eastAsia="en-GB"/>
        </w:rPr>
        <w:t>godine</w:t>
      </w:r>
      <w:proofErr w:type="spellEnd"/>
      <w:r w:rsidRPr="00F929B3">
        <w:rPr>
          <w:rFonts w:ascii="Arial Narrow" w:hAnsi="Arial Narrow"/>
          <w:sz w:val="24"/>
          <w:szCs w:val="24"/>
          <w:lang w:val="en-GB" w:eastAsia="en-GB"/>
        </w:rPr>
        <w:t xml:space="preserve"> </w:t>
      </w:r>
      <w:proofErr w:type="spellStart"/>
      <w:r w:rsidRPr="00F929B3">
        <w:rPr>
          <w:rFonts w:ascii="Arial Narrow" w:hAnsi="Arial Narrow"/>
          <w:sz w:val="24"/>
          <w:szCs w:val="24"/>
          <w:lang w:val="en-GB" w:eastAsia="en-GB"/>
        </w:rPr>
        <w:t>ćemo</w:t>
      </w:r>
      <w:proofErr w:type="spellEnd"/>
      <w:r w:rsidRPr="00F929B3">
        <w:rPr>
          <w:rFonts w:ascii="Arial Narrow" w:hAnsi="Arial Narrow"/>
          <w:sz w:val="24"/>
          <w:szCs w:val="24"/>
          <w:lang w:val="en-GB" w:eastAsia="en-GB"/>
        </w:rPr>
        <w:t xml:space="preserve"> </w:t>
      </w:r>
      <w:proofErr w:type="spellStart"/>
      <w:r w:rsidRPr="00AB406A">
        <w:rPr>
          <w:rFonts w:ascii="Arial Narrow" w:hAnsi="Arial Narrow"/>
          <w:b/>
          <w:bCs/>
          <w:sz w:val="24"/>
          <w:szCs w:val="24"/>
          <w:lang w:val="en-GB" w:eastAsia="en-GB"/>
        </w:rPr>
        <w:t>povećati</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ukupan</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broj</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inspektora</w:t>
      </w:r>
      <w:proofErr w:type="spellEnd"/>
      <w:r w:rsidRPr="00AB406A">
        <w:rPr>
          <w:rFonts w:ascii="Arial Narrow" w:hAnsi="Arial Narrow"/>
          <w:b/>
          <w:bCs/>
          <w:sz w:val="24"/>
          <w:szCs w:val="24"/>
          <w:lang w:val="en-GB" w:eastAsia="en-GB"/>
        </w:rPr>
        <w:t xml:space="preserve"> za </w:t>
      </w:r>
      <w:proofErr w:type="spellStart"/>
      <w:r w:rsidRPr="00AB406A">
        <w:rPr>
          <w:rFonts w:ascii="Arial Narrow" w:hAnsi="Arial Narrow"/>
          <w:b/>
          <w:bCs/>
          <w:sz w:val="24"/>
          <w:szCs w:val="24"/>
          <w:lang w:val="en-GB" w:eastAsia="en-GB"/>
        </w:rPr>
        <w:t>sprovođenje</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službenih</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kontrola</w:t>
      </w:r>
      <w:proofErr w:type="spellEnd"/>
      <w:r w:rsidRPr="003F1A02">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i</w:t>
      </w:r>
      <w:proofErr w:type="spellEnd"/>
      <w:r w:rsidRPr="003F1A02">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jačanje</w:t>
      </w:r>
      <w:proofErr w:type="spellEnd"/>
      <w:r w:rsidRPr="003F1A02">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administrativnih</w:t>
      </w:r>
      <w:proofErr w:type="spellEnd"/>
      <w:r w:rsidRPr="003F1A02">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kapaciteta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osigurati</w:t>
      </w:r>
      <w:proofErr w:type="spellEnd"/>
      <w:r>
        <w:rPr>
          <w:rFonts w:ascii="Arial Narrow" w:hAnsi="Arial Narrow"/>
          <w:sz w:val="24"/>
          <w:szCs w:val="24"/>
          <w:lang w:val="en-GB" w:eastAsia="en-GB"/>
        </w:rPr>
        <w:t xml:space="preserve"> </w:t>
      </w:r>
      <w:proofErr w:type="spellStart"/>
      <w:r w:rsidRPr="00AB406A">
        <w:rPr>
          <w:rFonts w:ascii="Arial Narrow" w:hAnsi="Arial Narrow"/>
          <w:b/>
          <w:bCs/>
          <w:sz w:val="24"/>
          <w:szCs w:val="24"/>
          <w:lang w:val="en-GB" w:eastAsia="en-GB"/>
        </w:rPr>
        <w:t>visok</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nivo</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bezbjednosti</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hrane</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i</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zaštite</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zdravlja</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ljudi</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životinja</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i</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bilja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Obezbjedićemo</w:t>
      </w:r>
      <w:proofErr w:type="spellEnd"/>
      <w:r>
        <w:rPr>
          <w:rFonts w:ascii="Arial Narrow" w:hAnsi="Arial Narrow"/>
          <w:sz w:val="24"/>
          <w:szCs w:val="24"/>
          <w:lang w:val="en-GB" w:eastAsia="en-GB"/>
        </w:rPr>
        <w:t xml:space="preserve"> da, pored Luke Bar, </w:t>
      </w:r>
      <w:proofErr w:type="spellStart"/>
      <w:r w:rsidRPr="00AB406A">
        <w:rPr>
          <w:rFonts w:ascii="Arial Narrow" w:hAnsi="Arial Narrow"/>
          <w:b/>
          <w:bCs/>
          <w:sz w:val="24"/>
          <w:szCs w:val="24"/>
          <w:lang w:val="en-GB" w:eastAsia="en-GB"/>
        </w:rPr>
        <w:t>još</w:t>
      </w:r>
      <w:proofErr w:type="spellEnd"/>
      <w:r w:rsidRPr="00AB406A">
        <w:rPr>
          <w:rFonts w:ascii="Arial Narrow" w:hAnsi="Arial Narrow"/>
          <w:b/>
          <w:bCs/>
          <w:sz w:val="24"/>
          <w:szCs w:val="24"/>
          <w:lang w:val="en-GB" w:eastAsia="en-GB"/>
        </w:rPr>
        <w:t xml:space="preserve"> tri </w:t>
      </w:r>
      <w:proofErr w:type="spellStart"/>
      <w:r w:rsidRPr="00AB406A">
        <w:rPr>
          <w:rFonts w:ascii="Arial Narrow" w:hAnsi="Arial Narrow"/>
          <w:b/>
          <w:bCs/>
          <w:sz w:val="24"/>
          <w:szCs w:val="24"/>
          <w:lang w:val="en-GB" w:eastAsia="en-GB"/>
        </w:rPr>
        <w:t>granična</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inspekcijska</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mjesta</w:t>
      </w:r>
      <w:proofErr w:type="spellEnd"/>
      <w:r w:rsidRPr="00AB406A">
        <w:rPr>
          <w:rFonts w:ascii="Arial Narrow" w:hAnsi="Arial Narrow"/>
          <w:b/>
          <w:bCs/>
          <w:sz w:val="24"/>
          <w:szCs w:val="24"/>
          <w:lang w:val="en-GB" w:eastAsia="en-GB"/>
        </w:rPr>
        <w:t xml:space="preserve"> za </w:t>
      </w:r>
      <w:proofErr w:type="spellStart"/>
      <w:r w:rsidRPr="00AB406A">
        <w:rPr>
          <w:rFonts w:ascii="Arial Narrow" w:hAnsi="Arial Narrow"/>
          <w:b/>
          <w:bCs/>
          <w:sz w:val="24"/>
          <w:szCs w:val="24"/>
          <w:lang w:val="en-GB" w:eastAsia="en-GB"/>
        </w:rPr>
        <w:t>graničnu</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veterinarsku</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i</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fitosanitarnu</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kontrolu</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koja</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ispunjavaju</w:t>
      </w:r>
      <w:proofErr w:type="spellEnd"/>
      <w:r w:rsidRPr="00AB406A">
        <w:rPr>
          <w:rFonts w:ascii="Arial Narrow" w:hAnsi="Arial Narrow"/>
          <w:b/>
          <w:bCs/>
          <w:sz w:val="24"/>
          <w:szCs w:val="24"/>
          <w:lang w:val="en-GB" w:eastAsia="en-GB"/>
        </w:rPr>
        <w:t xml:space="preserve"> EU </w:t>
      </w:r>
      <w:proofErr w:type="spellStart"/>
      <w:r w:rsidRPr="00AB406A">
        <w:rPr>
          <w:rFonts w:ascii="Arial Narrow" w:hAnsi="Arial Narrow"/>
          <w:b/>
          <w:bCs/>
          <w:sz w:val="24"/>
          <w:szCs w:val="24"/>
          <w:lang w:val="en-GB" w:eastAsia="en-GB"/>
        </w:rPr>
        <w:t>standard</w:t>
      </w:r>
      <w:r>
        <w:rPr>
          <w:rFonts w:ascii="Arial Narrow" w:hAnsi="Arial Narrow"/>
          <w:sz w:val="24"/>
          <w:szCs w:val="24"/>
          <w:lang w:val="en-GB" w:eastAsia="en-GB"/>
        </w:rPr>
        <w:t>e</w:t>
      </w:r>
      <w:proofErr w:type="spellEnd"/>
      <w:r>
        <w:rPr>
          <w:rFonts w:ascii="Arial Narrow" w:hAnsi="Arial Narrow"/>
          <w:sz w:val="24"/>
          <w:szCs w:val="24"/>
          <w:lang w:val="en-GB" w:eastAsia="en-GB"/>
        </w:rPr>
        <w:t xml:space="preserve"> - </w:t>
      </w:r>
      <w:proofErr w:type="spellStart"/>
      <w:r w:rsidRPr="003F1A02">
        <w:rPr>
          <w:rFonts w:ascii="Arial Narrow" w:hAnsi="Arial Narrow"/>
          <w:sz w:val="24"/>
          <w:szCs w:val="24"/>
          <w:lang w:val="en-GB" w:eastAsia="en-GB"/>
        </w:rPr>
        <w:t>Božaj</w:t>
      </w:r>
      <w:proofErr w:type="spellEnd"/>
      <w:r w:rsidRPr="003F1A02">
        <w:rPr>
          <w:rFonts w:ascii="Arial Narrow" w:hAnsi="Arial Narrow"/>
          <w:sz w:val="24"/>
          <w:szCs w:val="24"/>
          <w:lang w:val="en-GB" w:eastAsia="en-GB"/>
        </w:rPr>
        <w:t xml:space="preserve">, </w:t>
      </w:r>
      <w:proofErr w:type="spellStart"/>
      <w:r w:rsidRPr="003F1A02">
        <w:rPr>
          <w:rFonts w:ascii="Arial Narrow" w:hAnsi="Arial Narrow"/>
          <w:sz w:val="24"/>
          <w:szCs w:val="24"/>
          <w:lang w:val="en-GB" w:eastAsia="en-GB"/>
        </w:rPr>
        <w:t>Aerodrom</w:t>
      </w:r>
      <w:proofErr w:type="spellEnd"/>
      <w:r w:rsidRPr="003F1A02">
        <w:rPr>
          <w:rFonts w:ascii="Arial Narrow" w:hAnsi="Arial Narrow"/>
          <w:sz w:val="24"/>
          <w:szCs w:val="24"/>
          <w:lang w:val="en-GB" w:eastAsia="en-GB"/>
        </w:rPr>
        <w:t xml:space="preserve"> Podgorica </w:t>
      </w:r>
      <w:proofErr w:type="spellStart"/>
      <w:r w:rsidRPr="003F1A02">
        <w:rPr>
          <w:rFonts w:ascii="Arial Narrow" w:hAnsi="Arial Narrow"/>
          <w:sz w:val="24"/>
          <w:szCs w:val="24"/>
          <w:lang w:val="en-GB" w:eastAsia="en-GB"/>
        </w:rPr>
        <w:t>i</w:t>
      </w:r>
      <w:proofErr w:type="spellEnd"/>
      <w:r w:rsidRPr="003F1A02">
        <w:rPr>
          <w:rFonts w:ascii="Arial Narrow" w:hAnsi="Arial Narrow"/>
          <w:sz w:val="24"/>
          <w:szCs w:val="24"/>
          <w:lang w:val="en-GB" w:eastAsia="en-GB"/>
        </w:rPr>
        <w:t xml:space="preserve"> Kula</w:t>
      </w:r>
      <w:r>
        <w:rPr>
          <w:rFonts w:ascii="Arial Narrow" w:hAnsi="Arial Narrow"/>
          <w:sz w:val="24"/>
          <w:szCs w:val="24"/>
          <w:lang w:val="en-GB" w:eastAsia="en-GB"/>
        </w:rPr>
        <w:t xml:space="preserve">, </w:t>
      </w:r>
      <w:proofErr w:type="spellStart"/>
      <w:r>
        <w:rPr>
          <w:rFonts w:ascii="Arial Narrow" w:hAnsi="Arial Narrow"/>
          <w:sz w:val="24"/>
          <w:szCs w:val="24"/>
          <w:lang w:val="en-GB" w:eastAsia="en-GB"/>
        </w:rPr>
        <w:t>te</w:t>
      </w:r>
      <w:proofErr w:type="spellEnd"/>
      <w:r>
        <w:rPr>
          <w:rFonts w:ascii="Arial Narrow" w:hAnsi="Arial Narrow"/>
          <w:sz w:val="24"/>
          <w:szCs w:val="24"/>
          <w:lang w:val="en-GB" w:eastAsia="en-GB"/>
        </w:rPr>
        <w:t xml:space="preserve"> da </w:t>
      </w:r>
      <w:r w:rsidRPr="00AB406A">
        <w:rPr>
          <w:rFonts w:ascii="Arial Narrow" w:hAnsi="Arial Narrow"/>
          <w:b/>
          <w:bCs/>
          <w:sz w:val="24"/>
          <w:szCs w:val="24"/>
          <w:lang w:val="en-GB" w:eastAsia="en-GB"/>
        </w:rPr>
        <w:t xml:space="preserve">do </w:t>
      </w:r>
      <w:proofErr w:type="spellStart"/>
      <w:r w:rsidRPr="00AB406A">
        <w:rPr>
          <w:rFonts w:ascii="Arial Narrow" w:hAnsi="Arial Narrow"/>
          <w:b/>
          <w:bCs/>
          <w:sz w:val="24"/>
          <w:szCs w:val="24"/>
          <w:lang w:val="en-GB" w:eastAsia="en-GB"/>
        </w:rPr>
        <w:t>kraja</w:t>
      </w:r>
      <w:proofErr w:type="spellEnd"/>
      <w:r w:rsidRPr="00AB406A">
        <w:rPr>
          <w:rFonts w:ascii="Arial Narrow" w:hAnsi="Arial Narrow"/>
          <w:b/>
          <w:bCs/>
          <w:sz w:val="24"/>
          <w:szCs w:val="24"/>
          <w:lang w:val="en-GB" w:eastAsia="en-GB"/>
        </w:rPr>
        <w:t xml:space="preserve"> 2024. </w:t>
      </w:r>
      <w:proofErr w:type="spellStart"/>
      <w:r>
        <w:rPr>
          <w:rFonts w:ascii="Arial Narrow" w:hAnsi="Arial Narrow"/>
          <w:b/>
          <w:bCs/>
          <w:sz w:val="24"/>
          <w:szCs w:val="24"/>
          <w:lang w:val="en-GB" w:eastAsia="en-GB"/>
        </w:rPr>
        <w:t>i</w:t>
      </w:r>
      <w:r w:rsidRPr="00AB406A">
        <w:rPr>
          <w:rFonts w:ascii="Arial Narrow" w:hAnsi="Arial Narrow"/>
          <w:b/>
          <w:bCs/>
          <w:sz w:val="24"/>
          <w:szCs w:val="24"/>
          <w:lang w:val="en-GB" w:eastAsia="en-GB"/>
        </w:rPr>
        <w:t>mamo</w:t>
      </w:r>
      <w:proofErr w:type="spellEnd"/>
      <w:r w:rsidRPr="00AB406A">
        <w:rPr>
          <w:rFonts w:ascii="Arial Narrow" w:hAnsi="Arial Narrow"/>
          <w:b/>
          <w:bCs/>
          <w:sz w:val="24"/>
          <w:szCs w:val="24"/>
          <w:lang w:val="en-GB" w:eastAsia="en-GB"/>
        </w:rPr>
        <w:t xml:space="preserve"> pet </w:t>
      </w:r>
      <w:proofErr w:type="spellStart"/>
      <w:r w:rsidRPr="00AB406A">
        <w:rPr>
          <w:rFonts w:ascii="Arial Narrow" w:hAnsi="Arial Narrow"/>
          <w:b/>
          <w:bCs/>
          <w:sz w:val="24"/>
          <w:szCs w:val="24"/>
          <w:lang w:val="en-GB" w:eastAsia="en-GB"/>
        </w:rPr>
        <w:t>referentnih</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laboratorija</w:t>
      </w:r>
      <w:proofErr w:type="spellEnd"/>
      <w:r w:rsidRPr="00AB406A">
        <w:rPr>
          <w:rFonts w:ascii="Arial Narrow" w:hAnsi="Arial Narrow"/>
          <w:b/>
          <w:bCs/>
          <w:sz w:val="24"/>
          <w:szCs w:val="24"/>
          <w:lang w:val="en-GB" w:eastAsia="en-GB"/>
        </w:rPr>
        <w:t xml:space="preserve"> za </w:t>
      </w:r>
      <w:proofErr w:type="spellStart"/>
      <w:r w:rsidRPr="00AB406A">
        <w:rPr>
          <w:rFonts w:ascii="Arial Narrow" w:hAnsi="Arial Narrow"/>
          <w:b/>
          <w:bCs/>
          <w:sz w:val="24"/>
          <w:szCs w:val="24"/>
          <w:lang w:val="en-GB" w:eastAsia="en-GB"/>
        </w:rPr>
        <w:t>laboratorijska</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ispitivanja</w:t>
      </w:r>
      <w:proofErr w:type="spellEnd"/>
      <w:r w:rsidRPr="00AB406A">
        <w:rPr>
          <w:rFonts w:ascii="Arial Narrow" w:hAnsi="Arial Narrow"/>
          <w:b/>
          <w:bCs/>
          <w:sz w:val="24"/>
          <w:szCs w:val="24"/>
          <w:lang w:val="en-GB" w:eastAsia="en-GB"/>
        </w:rPr>
        <w:t xml:space="preserve"> u </w:t>
      </w:r>
      <w:proofErr w:type="spellStart"/>
      <w:r w:rsidRPr="00AB406A">
        <w:rPr>
          <w:rFonts w:ascii="Arial Narrow" w:hAnsi="Arial Narrow"/>
          <w:b/>
          <w:bCs/>
          <w:sz w:val="24"/>
          <w:szCs w:val="24"/>
          <w:lang w:val="en-GB" w:eastAsia="en-GB"/>
        </w:rPr>
        <w:t>skladu</w:t>
      </w:r>
      <w:proofErr w:type="spellEnd"/>
      <w:r w:rsidRPr="00AB406A">
        <w:rPr>
          <w:rFonts w:ascii="Arial Narrow" w:hAnsi="Arial Narrow"/>
          <w:b/>
          <w:bCs/>
          <w:sz w:val="24"/>
          <w:szCs w:val="24"/>
          <w:lang w:val="en-GB" w:eastAsia="en-GB"/>
        </w:rPr>
        <w:t xml:space="preserve"> </w:t>
      </w:r>
      <w:proofErr w:type="spellStart"/>
      <w:r w:rsidRPr="00AB406A">
        <w:rPr>
          <w:rFonts w:ascii="Arial Narrow" w:hAnsi="Arial Narrow"/>
          <w:b/>
          <w:bCs/>
          <w:sz w:val="24"/>
          <w:szCs w:val="24"/>
          <w:lang w:val="en-GB" w:eastAsia="en-GB"/>
        </w:rPr>
        <w:t>sa</w:t>
      </w:r>
      <w:proofErr w:type="spellEnd"/>
      <w:r w:rsidRPr="00AB406A">
        <w:rPr>
          <w:rFonts w:ascii="Arial Narrow" w:hAnsi="Arial Narrow"/>
          <w:b/>
          <w:bCs/>
          <w:sz w:val="24"/>
          <w:szCs w:val="24"/>
          <w:lang w:val="en-GB" w:eastAsia="en-GB"/>
        </w:rPr>
        <w:t xml:space="preserve"> EU </w:t>
      </w:r>
      <w:proofErr w:type="spellStart"/>
      <w:r w:rsidRPr="00AB406A">
        <w:rPr>
          <w:rFonts w:ascii="Arial Narrow" w:hAnsi="Arial Narrow"/>
          <w:b/>
          <w:bCs/>
          <w:sz w:val="24"/>
          <w:szCs w:val="24"/>
          <w:lang w:val="en-GB" w:eastAsia="en-GB"/>
        </w:rPr>
        <w:t>zahtjevima</w:t>
      </w:r>
      <w:proofErr w:type="spellEnd"/>
      <w:r w:rsidRPr="00AB406A">
        <w:rPr>
          <w:rFonts w:ascii="Arial Narrow" w:hAnsi="Arial Narrow"/>
          <w:b/>
          <w:bCs/>
          <w:sz w:val="24"/>
          <w:szCs w:val="24"/>
          <w:lang w:val="en-GB" w:eastAsia="en-GB"/>
        </w:rPr>
        <w:t>.</w:t>
      </w:r>
    </w:p>
    <w:p w14:paraId="4B04B635" w14:textId="77777777" w:rsidR="003D6416" w:rsidRPr="00AB406A" w:rsidRDefault="003D6416" w:rsidP="003D6416">
      <w:pPr>
        <w:jc w:val="both"/>
        <w:rPr>
          <w:rFonts w:ascii="Arial Narrow" w:hAnsi="Arial Narrow"/>
          <w:b/>
          <w:bCs/>
          <w:sz w:val="24"/>
          <w:szCs w:val="24"/>
          <w:lang w:val="en-GB" w:eastAsia="en-GB"/>
        </w:rPr>
      </w:pPr>
      <w:proofErr w:type="spellStart"/>
      <w:r w:rsidRPr="00AB406A">
        <w:rPr>
          <w:rFonts w:ascii="Arial Narrow" w:hAnsi="Arial Narrow"/>
          <w:b/>
          <w:bCs/>
          <w:sz w:val="24"/>
          <w:szCs w:val="24"/>
          <w:lang w:val="en-GB" w:eastAsia="en-GB"/>
        </w:rPr>
        <w:t>Cilj</w:t>
      </w:r>
      <w:proofErr w:type="spellEnd"/>
      <w:r w:rsidRPr="00AB406A">
        <w:rPr>
          <w:rFonts w:ascii="Arial Narrow" w:hAnsi="Arial Narrow"/>
          <w:b/>
          <w:bCs/>
          <w:sz w:val="24"/>
          <w:szCs w:val="24"/>
          <w:lang w:val="en-GB" w:eastAsia="en-GB"/>
        </w:rPr>
        <w:t xml:space="preserve"> 3.7. OBEZBJEĐENJE INTEGRALNOG UPRAVLJANJA VODAMA </w:t>
      </w:r>
    </w:p>
    <w:p w14:paraId="0ECEF190" w14:textId="77777777" w:rsidR="003D6416" w:rsidRPr="003B119D" w:rsidRDefault="003D6416" w:rsidP="003D6416">
      <w:pPr>
        <w:jc w:val="both"/>
        <w:rPr>
          <w:rFonts w:ascii="Arial Narrow" w:hAnsi="Arial Narrow"/>
          <w:sz w:val="24"/>
          <w:szCs w:val="24"/>
          <w:lang w:val="en-GB" w:eastAsia="en-GB"/>
        </w:rPr>
      </w:pPr>
      <w:proofErr w:type="spellStart"/>
      <w:r w:rsidRPr="004F3EAD">
        <w:rPr>
          <w:rFonts w:ascii="Arial Narrow" w:hAnsi="Arial Narrow"/>
          <w:b/>
          <w:bCs/>
          <w:sz w:val="24"/>
          <w:szCs w:val="24"/>
          <w:lang w:val="en-GB" w:eastAsia="en-GB"/>
        </w:rPr>
        <w:t>Podržaćemo</w:t>
      </w:r>
      <w:proofErr w:type="spellEnd"/>
      <w:r w:rsidRPr="004F3EAD">
        <w:rPr>
          <w:rFonts w:ascii="Arial Narrow" w:hAnsi="Arial Narrow"/>
          <w:b/>
          <w:bCs/>
          <w:sz w:val="24"/>
          <w:szCs w:val="24"/>
          <w:lang w:val="en-GB" w:eastAsia="en-GB"/>
        </w:rPr>
        <w:t xml:space="preserve"> 46  </w:t>
      </w:r>
      <w:proofErr w:type="spellStart"/>
      <w:r w:rsidRPr="004F3EAD">
        <w:rPr>
          <w:rFonts w:ascii="Arial Narrow" w:hAnsi="Arial Narrow"/>
          <w:b/>
          <w:bCs/>
          <w:sz w:val="24"/>
          <w:szCs w:val="24"/>
          <w:lang w:val="en-GB" w:eastAsia="en-GB"/>
        </w:rPr>
        <w:t>projekata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kroz</w:t>
      </w:r>
      <w:proofErr w:type="spellEnd"/>
      <w:r w:rsidRPr="004F3EAD">
        <w:rPr>
          <w:rFonts w:ascii="Arial Narrow" w:hAnsi="Arial Narrow"/>
          <w:b/>
          <w:bCs/>
          <w:sz w:val="24"/>
          <w:szCs w:val="24"/>
          <w:lang w:val="en-GB" w:eastAsia="en-GB"/>
        </w:rPr>
        <w:t xml:space="preserve"> Program </w:t>
      </w:r>
      <w:proofErr w:type="spellStart"/>
      <w:r w:rsidRPr="004F3EAD">
        <w:rPr>
          <w:rFonts w:ascii="Arial Narrow" w:hAnsi="Arial Narrow"/>
          <w:b/>
          <w:bCs/>
          <w:sz w:val="24"/>
          <w:szCs w:val="24"/>
          <w:lang w:val="en-GB" w:eastAsia="en-GB"/>
        </w:rPr>
        <w:t>podsticanja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projekata</w:t>
      </w:r>
      <w:proofErr w:type="spellEnd"/>
      <w:r w:rsidRPr="004F3EAD">
        <w:rPr>
          <w:rFonts w:ascii="Arial Narrow" w:hAnsi="Arial Narrow"/>
          <w:b/>
          <w:bCs/>
          <w:sz w:val="24"/>
          <w:szCs w:val="24"/>
          <w:lang w:val="en-GB" w:eastAsia="en-GB"/>
        </w:rPr>
        <w:t xml:space="preserve"> u </w:t>
      </w:r>
      <w:proofErr w:type="spellStart"/>
      <w:r w:rsidRPr="004F3EAD">
        <w:rPr>
          <w:rFonts w:ascii="Arial Narrow" w:hAnsi="Arial Narrow"/>
          <w:b/>
          <w:bCs/>
          <w:sz w:val="24"/>
          <w:szCs w:val="24"/>
          <w:lang w:val="en-GB" w:eastAsia="en-GB"/>
        </w:rPr>
        <w:t>vodoprivredi</w:t>
      </w:r>
      <w:proofErr w:type="spellEnd"/>
      <w:r w:rsidRPr="004F3EAD">
        <w:rPr>
          <w:rFonts w:ascii="Arial Narrow" w:hAnsi="Arial Narrow"/>
          <w:b/>
          <w:bCs/>
          <w:sz w:val="24"/>
          <w:szCs w:val="24"/>
          <w:lang w:val="en-GB" w:eastAsia="en-GB"/>
        </w:rPr>
        <w:t xml:space="preserve">, a </w:t>
      </w:r>
      <w:proofErr w:type="spellStart"/>
      <w:r w:rsidRPr="004F3EAD">
        <w:rPr>
          <w:rFonts w:ascii="Arial Narrow" w:hAnsi="Arial Narrow"/>
          <w:b/>
          <w:bCs/>
          <w:sz w:val="24"/>
          <w:szCs w:val="24"/>
          <w:lang w:val="en-GB" w:eastAsia="en-GB"/>
        </w:rPr>
        <w:t>realizovati</w:t>
      </w:r>
      <w:proofErr w:type="spellEnd"/>
      <w:r w:rsidRPr="004F3EAD">
        <w:rPr>
          <w:rFonts w:ascii="Arial Narrow" w:hAnsi="Arial Narrow"/>
          <w:b/>
          <w:bCs/>
          <w:sz w:val="24"/>
          <w:szCs w:val="24"/>
          <w:lang w:val="en-GB" w:eastAsia="en-GB"/>
        </w:rPr>
        <w:t xml:space="preserve"> 10 </w:t>
      </w:r>
      <w:proofErr w:type="spellStart"/>
      <w:r w:rsidRPr="004F3EAD">
        <w:rPr>
          <w:rFonts w:ascii="Arial Narrow" w:hAnsi="Arial Narrow"/>
          <w:b/>
          <w:bCs/>
          <w:sz w:val="24"/>
          <w:szCs w:val="24"/>
          <w:lang w:val="en-GB" w:eastAsia="en-GB"/>
        </w:rPr>
        <w:t>projekata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kroz</w:t>
      </w:r>
      <w:proofErr w:type="spellEnd"/>
      <w:r w:rsidRPr="004F3EAD">
        <w:rPr>
          <w:rFonts w:ascii="Arial Narrow" w:hAnsi="Arial Narrow"/>
          <w:b/>
          <w:bCs/>
          <w:sz w:val="24"/>
          <w:szCs w:val="24"/>
          <w:lang w:val="en-GB" w:eastAsia="en-GB"/>
        </w:rPr>
        <w:t xml:space="preserve"> Program </w:t>
      </w:r>
      <w:proofErr w:type="spellStart"/>
      <w:r w:rsidRPr="004F3EAD">
        <w:rPr>
          <w:rFonts w:ascii="Arial Narrow" w:hAnsi="Arial Narrow"/>
          <w:b/>
          <w:bCs/>
          <w:sz w:val="24"/>
          <w:szCs w:val="24"/>
          <w:lang w:val="en-GB" w:eastAsia="en-GB"/>
        </w:rPr>
        <w:t>korišćenja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sredstava</w:t>
      </w:r>
      <w:proofErr w:type="spellEnd"/>
      <w:r w:rsidRPr="004F3EAD">
        <w:rPr>
          <w:rFonts w:ascii="Arial Narrow" w:hAnsi="Arial Narrow"/>
          <w:b/>
          <w:bCs/>
          <w:sz w:val="24"/>
          <w:szCs w:val="24"/>
          <w:lang w:val="en-GB" w:eastAsia="en-GB"/>
        </w:rPr>
        <w:t xml:space="preserve"> za </w:t>
      </w:r>
      <w:proofErr w:type="spellStart"/>
      <w:r w:rsidRPr="004F3EAD">
        <w:rPr>
          <w:rFonts w:ascii="Arial Narrow" w:hAnsi="Arial Narrow"/>
          <w:b/>
          <w:bCs/>
          <w:sz w:val="24"/>
          <w:szCs w:val="24"/>
          <w:lang w:val="en-GB" w:eastAsia="en-GB"/>
        </w:rPr>
        <w:t>upravljanje</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vodama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Ujedno</w:t>
      </w:r>
      <w:proofErr w:type="spellEnd"/>
      <w:r>
        <w:rPr>
          <w:rFonts w:ascii="Arial Narrow" w:hAnsi="Arial Narrow"/>
          <w:sz w:val="24"/>
          <w:szCs w:val="24"/>
          <w:lang w:val="en-GB" w:eastAsia="en-GB"/>
        </w:rPr>
        <w:t xml:space="preserve">, </w:t>
      </w:r>
      <w:proofErr w:type="spellStart"/>
      <w:r w:rsidRPr="004F3EAD">
        <w:rPr>
          <w:rFonts w:ascii="Arial Narrow" w:hAnsi="Arial Narrow"/>
          <w:b/>
          <w:bCs/>
          <w:sz w:val="24"/>
          <w:szCs w:val="24"/>
          <w:lang w:val="en-GB" w:eastAsia="en-GB"/>
        </w:rPr>
        <w:t>podsticaćemo</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koncesije</w:t>
      </w:r>
      <w:proofErr w:type="spellEnd"/>
      <w:r w:rsidRPr="004F3EAD">
        <w:rPr>
          <w:rFonts w:ascii="Arial Narrow" w:hAnsi="Arial Narrow"/>
          <w:b/>
          <w:bCs/>
          <w:sz w:val="24"/>
          <w:szCs w:val="24"/>
          <w:lang w:val="en-GB" w:eastAsia="en-GB"/>
        </w:rPr>
        <w:t xml:space="preserve"> u </w:t>
      </w:r>
      <w:proofErr w:type="spellStart"/>
      <w:r w:rsidRPr="004F3EAD">
        <w:rPr>
          <w:rFonts w:ascii="Arial Narrow" w:hAnsi="Arial Narrow"/>
          <w:b/>
          <w:bCs/>
          <w:sz w:val="24"/>
          <w:szCs w:val="24"/>
          <w:lang w:val="en-GB" w:eastAsia="en-GB"/>
        </w:rPr>
        <w:t>vodoprivredi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su</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skladu</w:t>
      </w:r>
      <w:proofErr w:type="spellEnd"/>
      <w:r>
        <w:rPr>
          <w:rFonts w:ascii="Arial Narrow" w:hAnsi="Arial Narrow"/>
          <w:sz w:val="24"/>
          <w:szCs w:val="24"/>
          <w:lang w:val="en-GB" w:eastAsia="en-GB"/>
        </w:rPr>
        <w:t xml:space="preserve"> s </w:t>
      </w:r>
      <w:proofErr w:type="spellStart"/>
      <w:r>
        <w:rPr>
          <w:rFonts w:ascii="Arial Narrow" w:hAnsi="Arial Narrow"/>
          <w:sz w:val="24"/>
          <w:szCs w:val="24"/>
          <w:lang w:val="en-GB" w:eastAsia="en-GB"/>
        </w:rPr>
        <w:t>očuvanjem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postojećih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ekosistema</w:t>
      </w:r>
      <w:proofErr w:type="spellEnd"/>
      <w:r>
        <w:rPr>
          <w:rFonts w:ascii="Arial Narrow" w:hAnsi="Arial Narrow"/>
          <w:sz w:val="24"/>
          <w:szCs w:val="24"/>
          <w:lang w:val="en-GB" w:eastAsia="en-GB"/>
        </w:rPr>
        <w:t xml:space="preserve">, a </w:t>
      </w:r>
      <w:proofErr w:type="spellStart"/>
      <w:r>
        <w:rPr>
          <w:rFonts w:ascii="Arial Narrow" w:hAnsi="Arial Narrow"/>
          <w:sz w:val="24"/>
          <w:szCs w:val="24"/>
          <w:lang w:val="en-GB" w:eastAsia="en-GB"/>
        </w:rPr>
        <w:t>imaju</w:t>
      </w:r>
      <w:proofErr w:type="spellEnd"/>
      <w:r>
        <w:rPr>
          <w:rFonts w:ascii="Arial Narrow" w:hAnsi="Arial Narrow"/>
          <w:sz w:val="24"/>
          <w:szCs w:val="24"/>
          <w:lang w:val="en-GB" w:eastAsia="en-GB"/>
        </w:rPr>
        <w:t xml:space="preserve"> za </w:t>
      </w:r>
      <w:proofErr w:type="spellStart"/>
      <w:r>
        <w:rPr>
          <w:rFonts w:ascii="Arial Narrow" w:hAnsi="Arial Narrow"/>
          <w:sz w:val="24"/>
          <w:szCs w:val="24"/>
          <w:lang w:val="en-GB" w:eastAsia="en-GB"/>
        </w:rPr>
        <w:t>cilj</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unapređenje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privrede</w:t>
      </w:r>
      <w:proofErr w:type="spellEnd"/>
      <w:r>
        <w:rPr>
          <w:rFonts w:ascii="Arial Narrow" w:hAnsi="Arial Narrow"/>
          <w:sz w:val="24"/>
          <w:szCs w:val="24"/>
          <w:lang w:val="en-GB" w:eastAsia="en-GB"/>
        </w:rPr>
        <w:t>.</w:t>
      </w:r>
    </w:p>
    <w:p w14:paraId="3415E0C7" w14:textId="77777777" w:rsidR="003D6416" w:rsidRPr="004F3EAD" w:rsidRDefault="003D6416" w:rsidP="003D6416">
      <w:pPr>
        <w:jc w:val="both"/>
        <w:rPr>
          <w:rFonts w:ascii="Arial Narrow" w:hAnsi="Arial Narrow"/>
          <w:b/>
          <w:bCs/>
          <w:sz w:val="24"/>
          <w:szCs w:val="24"/>
          <w:lang w:val="en-GB" w:eastAsia="en-GB"/>
        </w:rPr>
      </w:pPr>
      <w:proofErr w:type="spellStart"/>
      <w:r w:rsidRPr="004F3EAD">
        <w:rPr>
          <w:rFonts w:ascii="Arial Narrow" w:hAnsi="Arial Narrow"/>
          <w:b/>
          <w:bCs/>
          <w:sz w:val="24"/>
          <w:szCs w:val="24"/>
          <w:lang w:val="en-GB" w:eastAsia="en-GB"/>
        </w:rPr>
        <w:t>Cilj</w:t>
      </w:r>
      <w:proofErr w:type="spellEnd"/>
      <w:r w:rsidRPr="004F3EAD">
        <w:rPr>
          <w:rFonts w:ascii="Arial Narrow" w:hAnsi="Arial Narrow"/>
          <w:b/>
          <w:bCs/>
          <w:sz w:val="24"/>
          <w:szCs w:val="24"/>
          <w:lang w:val="en-GB" w:eastAsia="en-GB"/>
        </w:rPr>
        <w:t xml:space="preserve"> 3.8.</w:t>
      </w:r>
      <w:r w:rsidRPr="004F3EAD">
        <w:rPr>
          <w:rFonts w:ascii="Arial Narrow" w:hAnsi="Arial Narrow"/>
          <w:b/>
          <w:bCs/>
          <w:sz w:val="24"/>
          <w:szCs w:val="24"/>
          <w:lang w:val="en-GB" w:eastAsia="en-GB"/>
        </w:rPr>
        <w:tab/>
        <w:t>UNAPRIJEĐENO UPRAVLJANJE ŠUMAMA I RAZVOJ DRVNE INDUSTRIJE NA BAZI POTENCIJALA NAŠIH ŠUMA</w:t>
      </w:r>
    </w:p>
    <w:p w14:paraId="465D065D" w14:textId="77777777" w:rsidR="003D6416" w:rsidRPr="004F3EAD" w:rsidRDefault="003D6416" w:rsidP="003D6416">
      <w:pPr>
        <w:jc w:val="both"/>
        <w:rPr>
          <w:rFonts w:ascii="Arial Narrow" w:hAnsi="Arial Narrow"/>
          <w:b/>
          <w:bCs/>
          <w:sz w:val="24"/>
          <w:szCs w:val="24"/>
          <w:lang w:val="en-GB" w:eastAsia="en-GB"/>
        </w:rPr>
      </w:pPr>
      <w:r>
        <w:rPr>
          <w:rFonts w:ascii="Arial Narrow" w:hAnsi="Arial Narrow"/>
          <w:sz w:val="24"/>
          <w:szCs w:val="24"/>
          <w:lang w:val="en-GB" w:eastAsia="en-GB"/>
        </w:rPr>
        <w:t xml:space="preserve">Pored </w:t>
      </w:r>
      <w:proofErr w:type="spellStart"/>
      <w:r w:rsidRPr="004F3EAD">
        <w:rPr>
          <w:rFonts w:ascii="Arial Narrow" w:hAnsi="Arial Narrow"/>
          <w:b/>
          <w:bCs/>
          <w:sz w:val="24"/>
          <w:szCs w:val="24"/>
          <w:lang w:val="en-GB" w:eastAsia="en-GB"/>
        </w:rPr>
        <w:t>unapređenja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znanja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i</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vještina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kadrova</w:t>
      </w:r>
      <w:proofErr w:type="spellEnd"/>
      <w:r>
        <w:rPr>
          <w:rFonts w:ascii="Arial Narrow" w:hAnsi="Arial Narrow"/>
          <w:sz w:val="24"/>
          <w:szCs w:val="24"/>
          <w:lang w:val="en-GB" w:eastAsia="en-GB"/>
        </w:rPr>
        <w:t xml:space="preserve"> koji </w:t>
      </w:r>
      <w:proofErr w:type="spellStart"/>
      <w:r>
        <w:rPr>
          <w:rFonts w:ascii="Arial Narrow" w:hAnsi="Arial Narrow"/>
          <w:sz w:val="24"/>
          <w:szCs w:val="24"/>
          <w:lang w:val="en-GB" w:eastAsia="en-GB"/>
        </w:rPr>
        <w:t>rade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na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ovim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poslovima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kao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sidRPr="004F3EAD">
        <w:rPr>
          <w:rFonts w:ascii="Arial Narrow" w:hAnsi="Arial Narrow"/>
          <w:b/>
          <w:bCs/>
          <w:sz w:val="24"/>
          <w:szCs w:val="24"/>
          <w:lang w:val="en-GB" w:eastAsia="en-GB"/>
        </w:rPr>
        <w:t>potpune</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usaglašenosti</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nacionalne</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metodologije</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monitoringa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zdravstvenog</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stanja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šuma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i</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šteta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od</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šumskih</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požara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sa</w:t>
      </w:r>
      <w:proofErr w:type="spellEnd"/>
      <w:r w:rsidRPr="004F3EAD">
        <w:rPr>
          <w:rFonts w:ascii="Arial Narrow" w:hAnsi="Arial Narrow"/>
          <w:b/>
          <w:bCs/>
          <w:sz w:val="24"/>
          <w:szCs w:val="24"/>
          <w:lang w:val="en-GB" w:eastAsia="en-GB"/>
        </w:rPr>
        <w:t xml:space="preserve"> EU </w:t>
      </w:r>
      <w:proofErr w:type="spellStart"/>
      <w:r w:rsidRPr="004F3EAD">
        <w:rPr>
          <w:rFonts w:ascii="Arial Narrow" w:hAnsi="Arial Narrow"/>
          <w:b/>
          <w:bCs/>
          <w:sz w:val="24"/>
          <w:szCs w:val="24"/>
          <w:lang w:val="en-GB" w:eastAsia="en-GB"/>
        </w:rPr>
        <w:t>metodologijama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ključna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promjena</w:t>
      </w:r>
      <w:proofErr w:type="spellEnd"/>
      <w:r>
        <w:rPr>
          <w:rFonts w:ascii="Arial Narrow" w:hAnsi="Arial Narrow"/>
          <w:sz w:val="24"/>
          <w:szCs w:val="24"/>
          <w:lang w:val="en-GB" w:eastAsia="en-GB"/>
        </w:rPr>
        <w:t xml:space="preserve"> se </w:t>
      </w:r>
      <w:proofErr w:type="spellStart"/>
      <w:r>
        <w:rPr>
          <w:rFonts w:ascii="Arial Narrow" w:hAnsi="Arial Narrow"/>
          <w:sz w:val="24"/>
          <w:szCs w:val="24"/>
          <w:lang w:val="en-GB" w:eastAsia="en-GB"/>
        </w:rPr>
        <w:t>ogleda</w:t>
      </w:r>
      <w:proofErr w:type="spellEnd"/>
      <w:r>
        <w:rPr>
          <w:rFonts w:ascii="Arial Narrow" w:hAnsi="Arial Narrow"/>
          <w:sz w:val="24"/>
          <w:szCs w:val="24"/>
          <w:lang w:val="en-GB" w:eastAsia="en-GB"/>
        </w:rPr>
        <w:t xml:space="preserve"> u </w:t>
      </w:r>
      <w:proofErr w:type="spellStart"/>
      <w:r w:rsidRPr="004F3EAD">
        <w:rPr>
          <w:rFonts w:ascii="Arial Narrow" w:hAnsi="Arial Narrow"/>
          <w:b/>
          <w:bCs/>
          <w:sz w:val="24"/>
          <w:szCs w:val="24"/>
          <w:lang w:val="en-GB" w:eastAsia="en-GB"/>
        </w:rPr>
        <w:t>osnivanju</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državnog</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preduzeća</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koje</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sprovodi</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proizvodne</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i</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komercijalne</w:t>
      </w:r>
      <w:proofErr w:type="spellEnd"/>
      <w:r w:rsidRPr="004F3EAD">
        <w:rPr>
          <w:rFonts w:ascii="Arial Narrow" w:hAnsi="Arial Narrow"/>
          <w:b/>
          <w:bCs/>
          <w:sz w:val="24"/>
          <w:szCs w:val="24"/>
          <w:lang w:val="en-GB" w:eastAsia="en-GB"/>
        </w:rPr>
        <w:t xml:space="preserve"> </w:t>
      </w:r>
      <w:proofErr w:type="spellStart"/>
      <w:r w:rsidRPr="004F3EAD">
        <w:rPr>
          <w:rFonts w:ascii="Arial Narrow" w:hAnsi="Arial Narrow"/>
          <w:b/>
          <w:bCs/>
          <w:sz w:val="24"/>
          <w:szCs w:val="24"/>
          <w:lang w:val="en-GB" w:eastAsia="en-GB"/>
        </w:rPr>
        <w:t>poslove</w:t>
      </w:r>
      <w:proofErr w:type="spellEnd"/>
      <w:r w:rsidRPr="004F3EAD">
        <w:rPr>
          <w:rFonts w:ascii="Arial Narrow" w:hAnsi="Arial Narrow"/>
          <w:b/>
          <w:bCs/>
          <w:sz w:val="24"/>
          <w:szCs w:val="24"/>
          <w:lang w:val="en-GB" w:eastAsia="en-GB"/>
        </w:rPr>
        <w:t xml:space="preserve"> u </w:t>
      </w:r>
      <w:proofErr w:type="spellStart"/>
      <w:r w:rsidRPr="004F3EAD">
        <w:rPr>
          <w:rFonts w:ascii="Arial Narrow" w:hAnsi="Arial Narrow"/>
          <w:b/>
          <w:bCs/>
          <w:sz w:val="24"/>
          <w:szCs w:val="24"/>
          <w:lang w:val="en-GB" w:eastAsia="en-GB"/>
        </w:rPr>
        <w:t>šumarstvu</w:t>
      </w:r>
      <w:proofErr w:type="spellEnd"/>
      <w:r>
        <w:rPr>
          <w:rFonts w:ascii="Arial Narrow" w:hAnsi="Arial Narrow"/>
          <w:b/>
          <w:bCs/>
          <w:sz w:val="24"/>
          <w:szCs w:val="24"/>
          <w:lang w:val="en-GB" w:eastAsia="en-GB"/>
        </w:rPr>
        <w:t xml:space="preserve">, </w:t>
      </w:r>
      <w:proofErr w:type="spellStart"/>
      <w:r>
        <w:rPr>
          <w:rFonts w:ascii="Arial Narrow" w:hAnsi="Arial Narrow"/>
          <w:b/>
          <w:bCs/>
          <w:sz w:val="24"/>
          <w:szCs w:val="24"/>
          <w:lang w:val="en-GB" w:eastAsia="en-GB"/>
        </w:rPr>
        <w:t>koje</w:t>
      </w:r>
      <w:proofErr w:type="spellEnd"/>
      <w:r>
        <w:rPr>
          <w:rFonts w:ascii="Arial Narrow" w:hAnsi="Arial Narrow"/>
          <w:b/>
          <w:bCs/>
          <w:sz w:val="24"/>
          <w:szCs w:val="24"/>
          <w:lang w:val="en-GB" w:eastAsia="en-GB"/>
        </w:rPr>
        <w:t xml:space="preserve"> </w:t>
      </w:r>
      <w:proofErr w:type="spellStart"/>
      <w:r>
        <w:rPr>
          <w:rFonts w:ascii="Arial Narrow" w:hAnsi="Arial Narrow"/>
          <w:b/>
          <w:bCs/>
          <w:sz w:val="24"/>
          <w:szCs w:val="24"/>
          <w:lang w:val="en-GB" w:eastAsia="en-GB"/>
        </w:rPr>
        <w:t>će</w:t>
      </w:r>
      <w:proofErr w:type="spellEnd"/>
      <w:r>
        <w:rPr>
          <w:rFonts w:ascii="Arial Narrow" w:hAnsi="Arial Narrow"/>
          <w:b/>
          <w:bCs/>
          <w:sz w:val="24"/>
          <w:szCs w:val="24"/>
          <w:lang w:val="en-GB" w:eastAsia="en-GB"/>
        </w:rPr>
        <w:t xml:space="preserve"> do 2024. </w:t>
      </w:r>
      <w:r w:rsidRPr="003B119D">
        <w:rPr>
          <w:rFonts w:ascii="Arial Narrow" w:hAnsi="Arial Narrow"/>
          <w:sz w:val="24"/>
          <w:szCs w:val="24"/>
          <w:lang w:val="en-GB" w:eastAsia="en-GB"/>
        </w:rPr>
        <w:t xml:space="preserve">u </w:t>
      </w:r>
      <w:proofErr w:type="spellStart"/>
      <w:r w:rsidRPr="003B119D">
        <w:rPr>
          <w:rFonts w:ascii="Arial Narrow" w:hAnsi="Arial Narrow"/>
          <w:sz w:val="24"/>
          <w:szCs w:val="24"/>
          <w:lang w:val="en-GB" w:eastAsia="en-GB"/>
        </w:rPr>
        <w:t>potpunosti</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vrši</w:t>
      </w:r>
      <w:r>
        <w:rPr>
          <w:rFonts w:ascii="Arial Narrow" w:hAnsi="Arial Narrow"/>
          <w:sz w:val="24"/>
          <w:szCs w:val="24"/>
          <w:lang w:val="en-GB" w:eastAsia="en-GB"/>
        </w:rPr>
        <w:t>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poslove</w:t>
      </w:r>
      <w:proofErr w:type="spellEnd"/>
      <w:r>
        <w:rPr>
          <w:rFonts w:ascii="Arial Narrow" w:hAnsi="Arial Narrow"/>
          <w:sz w:val="24"/>
          <w:szCs w:val="24"/>
          <w:lang w:val="en-GB" w:eastAsia="en-GB"/>
        </w:rPr>
        <w:t xml:space="preserve"> u </w:t>
      </w:r>
      <w:proofErr w:type="spellStart"/>
      <w:r>
        <w:rPr>
          <w:rFonts w:ascii="Arial Narrow" w:hAnsi="Arial Narrow"/>
          <w:sz w:val="24"/>
          <w:szCs w:val="24"/>
          <w:lang w:val="en-GB" w:eastAsia="en-GB"/>
        </w:rPr>
        <w:t>oblasti</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korišćenj</w:t>
      </w:r>
      <w:r>
        <w:rPr>
          <w:rFonts w:ascii="Arial Narrow" w:hAnsi="Arial Narrow"/>
          <w:sz w:val="24"/>
          <w:szCs w:val="24"/>
          <w:lang w:val="en-GB" w:eastAsia="en-GB"/>
        </w:rPr>
        <w:t>a</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šuma</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i</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prodaj</w:t>
      </w:r>
      <w:r>
        <w:rPr>
          <w:rFonts w:ascii="Arial Narrow" w:hAnsi="Arial Narrow"/>
          <w:sz w:val="24"/>
          <w:szCs w:val="24"/>
          <w:lang w:val="en-GB" w:eastAsia="en-GB"/>
        </w:rPr>
        <w:t>e</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drvnih</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proizvoda</w:t>
      </w:r>
      <w:proofErr w:type="spellEnd"/>
      <w:r>
        <w:rPr>
          <w:rFonts w:ascii="Arial Narrow" w:hAnsi="Arial Narrow"/>
          <w:sz w:val="24"/>
          <w:szCs w:val="24"/>
          <w:lang w:val="en-GB" w:eastAsia="en-GB"/>
        </w:rPr>
        <w:t>.</w:t>
      </w:r>
    </w:p>
    <w:p w14:paraId="79C9EFFA" w14:textId="77777777" w:rsidR="003D6416" w:rsidRPr="004F3EAD" w:rsidRDefault="003D6416" w:rsidP="003D6416">
      <w:pPr>
        <w:jc w:val="both"/>
        <w:rPr>
          <w:rFonts w:ascii="Arial Narrow" w:hAnsi="Arial Narrow"/>
          <w:b/>
          <w:bCs/>
          <w:sz w:val="24"/>
          <w:szCs w:val="24"/>
          <w:lang w:val="en-GB" w:eastAsia="en-GB"/>
        </w:rPr>
      </w:pPr>
      <w:proofErr w:type="spellStart"/>
      <w:r w:rsidRPr="004F3EAD">
        <w:rPr>
          <w:rFonts w:ascii="Arial Narrow" w:hAnsi="Arial Narrow"/>
          <w:b/>
          <w:bCs/>
          <w:sz w:val="24"/>
          <w:szCs w:val="24"/>
          <w:lang w:val="en-GB" w:eastAsia="en-GB"/>
        </w:rPr>
        <w:t>Cilj</w:t>
      </w:r>
      <w:proofErr w:type="spellEnd"/>
      <w:r w:rsidRPr="004F3EAD">
        <w:rPr>
          <w:rFonts w:ascii="Arial Narrow" w:hAnsi="Arial Narrow"/>
          <w:b/>
          <w:bCs/>
          <w:sz w:val="24"/>
          <w:szCs w:val="24"/>
          <w:lang w:val="en-GB" w:eastAsia="en-GB"/>
        </w:rPr>
        <w:t xml:space="preserve"> 3.9.</w:t>
      </w:r>
      <w:r w:rsidRPr="004F3EAD">
        <w:rPr>
          <w:rFonts w:ascii="Arial Narrow" w:hAnsi="Arial Narrow"/>
          <w:b/>
          <w:bCs/>
          <w:sz w:val="24"/>
          <w:szCs w:val="24"/>
          <w:lang w:val="en-GB" w:eastAsia="en-GB"/>
        </w:rPr>
        <w:tab/>
        <w:t>UNAPREĐENJE LOVSTVA KAO DJELATNOSTI OD JAVNOG INTERESA</w:t>
      </w:r>
    </w:p>
    <w:p w14:paraId="530853FD" w14:textId="77777777" w:rsidR="003D6416" w:rsidRPr="003B119D" w:rsidRDefault="003D6416" w:rsidP="003D6416">
      <w:pPr>
        <w:jc w:val="both"/>
        <w:rPr>
          <w:rFonts w:ascii="Arial Narrow" w:hAnsi="Arial Narrow"/>
          <w:sz w:val="24"/>
          <w:szCs w:val="24"/>
          <w:lang w:val="en-GB" w:eastAsia="en-GB"/>
        </w:rPr>
      </w:pPr>
      <w:r>
        <w:rPr>
          <w:rFonts w:ascii="Arial Narrow" w:hAnsi="Arial Narrow"/>
          <w:sz w:val="24"/>
          <w:szCs w:val="24"/>
          <w:lang w:val="en-GB" w:eastAsia="en-GB"/>
        </w:rPr>
        <w:t xml:space="preserve">U </w:t>
      </w:r>
      <w:proofErr w:type="spellStart"/>
      <w:r>
        <w:rPr>
          <w:rFonts w:ascii="Arial Narrow" w:hAnsi="Arial Narrow"/>
          <w:sz w:val="24"/>
          <w:szCs w:val="24"/>
          <w:lang w:val="en-GB" w:eastAsia="en-GB"/>
        </w:rPr>
        <w:t>cilju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kontrolisanja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ove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oblasti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treba</w:t>
      </w:r>
      <w:proofErr w:type="spellEnd"/>
      <w:r>
        <w:rPr>
          <w:rFonts w:ascii="Arial Narrow" w:hAnsi="Arial Narrow"/>
          <w:sz w:val="24"/>
          <w:szCs w:val="24"/>
          <w:lang w:val="en-GB" w:eastAsia="en-GB"/>
        </w:rPr>
        <w:t xml:space="preserve"> da </w:t>
      </w:r>
      <w:proofErr w:type="spellStart"/>
      <w:r>
        <w:rPr>
          <w:rFonts w:ascii="Arial Narrow" w:hAnsi="Arial Narrow"/>
          <w:sz w:val="24"/>
          <w:szCs w:val="24"/>
          <w:lang w:val="en-GB" w:eastAsia="en-GB"/>
        </w:rPr>
        <w:t>funkcioniše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prema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svim</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standardima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očuvanja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životne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sredine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postojećeg</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biodiverziteta</w:t>
      </w:r>
      <w:proofErr w:type="spellEnd"/>
      <w:r>
        <w:rPr>
          <w:rFonts w:ascii="Arial Narrow" w:hAnsi="Arial Narrow"/>
          <w:sz w:val="24"/>
          <w:szCs w:val="24"/>
          <w:lang w:val="en-GB" w:eastAsia="en-GB"/>
        </w:rPr>
        <w:t xml:space="preserve">, do 2024. </w:t>
      </w:r>
      <w:proofErr w:type="spellStart"/>
      <w:r>
        <w:rPr>
          <w:rFonts w:ascii="Arial Narrow" w:hAnsi="Arial Narrow"/>
          <w:sz w:val="24"/>
          <w:szCs w:val="24"/>
          <w:lang w:val="en-GB" w:eastAsia="en-GB"/>
        </w:rPr>
        <w:t>će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biti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povećan</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broj</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donijetih</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planova</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gazdovanja</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zaštićenim</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vrstama</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divljači</w:t>
      </w:r>
      <w:proofErr w:type="spellEnd"/>
      <w:r w:rsidRPr="003B119D">
        <w:rPr>
          <w:rFonts w:ascii="Arial Narrow" w:hAnsi="Arial Narrow"/>
          <w:sz w:val="24"/>
          <w:szCs w:val="24"/>
          <w:lang w:val="en-GB" w:eastAsia="en-GB"/>
        </w:rPr>
        <w:t xml:space="preserve"> u </w:t>
      </w:r>
      <w:proofErr w:type="spellStart"/>
      <w:r w:rsidRPr="003B119D">
        <w:rPr>
          <w:rFonts w:ascii="Arial Narrow" w:hAnsi="Arial Narrow"/>
          <w:sz w:val="24"/>
          <w:szCs w:val="24"/>
          <w:lang w:val="en-GB" w:eastAsia="en-GB"/>
        </w:rPr>
        <w:t>skladu</w:t>
      </w:r>
      <w:proofErr w:type="spellEnd"/>
      <w:r w:rsidRPr="003B119D">
        <w:rPr>
          <w:rFonts w:ascii="Arial Narrow" w:hAnsi="Arial Narrow"/>
          <w:sz w:val="24"/>
          <w:szCs w:val="24"/>
          <w:lang w:val="en-GB" w:eastAsia="en-GB"/>
        </w:rPr>
        <w:t xml:space="preserve"> </w:t>
      </w:r>
      <w:proofErr w:type="spellStart"/>
      <w:r w:rsidRPr="003B119D">
        <w:rPr>
          <w:rFonts w:ascii="Arial Narrow" w:hAnsi="Arial Narrow"/>
          <w:sz w:val="24"/>
          <w:szCs w:val="24"/>
          <w:lang w:val="en-GB" w:eastAsia="en-GB"/>
        </w:rPr>
        <w:t>sa</w:t>
      </w:r>
      <w:proofErr w:type="spellEnd"/>
      <w:r w:rsidRPr="003B119D">
        <w:rPr>
          <w:rFonts w:ascii="Arial Narrow" w:hAnsi="Arial Narrow"/>
          <w:sz w:val="24"/>
          <w:szCs w:val="24"/>
          <w:lang w:val="en-GB" w:eastAsia="en-GB"/>
        </w:rPr>
        <w:t xml:space="preserve"> EU </w:t>
      </w:r>
      <w:proofErr w:type="spellStart"/>
      <w:r w:rsidRPr="003B119D">
        <w:rPr>
          <w:rFonts w:ascii="Arial Narrow" w:hAnsi="Arial Narrow"/>
          <w:sz w:val="24"/>
          <w:szCs w:val="24"/>
          <w:lang w:val="en-GB" w:eastAsia="en-GB"/>
        </w:rPr>
        <w:t>direktivama</w:t>
      </w:r>
      <w:proofErr w:type="spellEnd"/>
      <w:r>
        <w:rPr>
          <w:rFonts w:ascii="Arial Narrow" w:hAnsi="Arial Narrow"/>
          <w:sz w:val="24"/>
          <w:szCs w:val="24"/>
          <w:lang w:val="en-GB" w:eastAsia="en-GB"/>
        </w:rPr>
        <w:t xml:space="preserve"> do </w:t>
      </w:r>
    </w:p>
    <w:p w14:paraId="018AE8A8" w14:textId="77777777" w:rsidR="003D6416" w:rsidRDefault="003D6416" w:rsidP="003D6416">
      <w:pPr>
        <w:jc w:val="both"/>
        <w:rPr>
          <w:rFonts w:ascii="Arial Narrow" w:hAnsi="Arial Narrow"/>
          <w:sz w:val="24"/>
          <w:szCs w:val="24"/>
          <w:lang w:val="en-GB" w:eastAsia="en-GB"/>
        </w:rPr>
      </w:pPr>
      <w:r w:rsidRPr="003B119D">
        <w:rPr>
          <w:rFonts w:ascii="Arial Narrow" w:hAnsi="Arial Narrow"/>
          <w:sz w:val="24"/>
          <w:szCs w:val="24"/>
          <w:lang w:val="en-GB" w:eastAsia="en-GB"/>
        </w:rPr>
        <w:tab/>
      </w:r>
    </w:p>
    <w:p w14:paraId="490C1D0B" w14:textId="77777777" w:rsidR="003D6416" w:rsidRDefault="003D6416" w:rsidP="003D6416">
      <w:pPr>
        <w:pStyle w:val="ListParagraph"/>
        <w:jc w:val="both"/>
        <w:rPr>
          <w:rFonts w:ascii="Arial Narrow" w:hAnsi="Arial Narrow"/>
          <w:b/>
          <w:bCs/>
          <w:sz w:val="24"/>
          <w:szCs w:val="24"/>
          <w:lang w:val="en-US"/>
        </w:rPr>
      </w:pPr>
      <w:r w:rsidRPr="00605A99">
        <w:rPr>
          <w:rFonts w:ascii="Arial Narrow" w:hAnsi="Arial Narrow"/>
          <w:b/>
          <w:bCs/>
          <w:noProof/>
          <w:lang w:val="en-US"/>
        </w:rPr>
        <w:drawing>
          <wp:anchor distT="0" distB="0" distL="114300" distR="114300" simplePos="0" relativeHeight="251708416" behindDoc="0" locked="0" layoutInCell="1" allowOverlap="1" wp14:anchorId="7D586F87" wp14:editId="44BB9524">
            <wp:simplePos x="0" y="0"/>
            <wp:positionH relativeFrom="margin">
              <wp:posOffset>371856</wp:posOffset>
            </wp:positionH>
            <wp:positionV relativeFrom="paragraph">
              <wp:posOffset>-64897</wp:posOffset>
            </wp:positionV>
            <wp:extent cx="447675" cy="415925"/>
            <wp:effectExtent l="0" t="0" r="9525" b="3175"/>
            <wp:wrapSquare wrapText="bothSides"/>
            <wp:docPr id="6" name="Picture 6" descr="N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5A99">
        <w:rPr>
          <w:rFonts w:ascii="Arial Narrow" w:hAnsi="Arial Narrow"/>
          <w:b/>
          <w:bCs/>
          <w:sz w:val="24"/>
          <w:szCs w:val="24"/>
          <w:lang w:val="en-US"/>
        </w:rPr>
        <w:t xml:space="preserve">OBRAZOVANJE I DRUŠTVO ZASNOVANO NA ZNANJU </w:t>
      </w:r>
    </w:p>
    <w:p w14:paraId="70C308AF" w14:textId="77777777" w:rsidR="003D6416" w:rsidRDefault="003D6416" w:rsidP="003D6416">
      <w:pPr>
        <w:pStyle w:val="ListParagraph"/>
        <w:jc w:val="both"/>
        <w:rPr>
          <w:rFonts w:ascii="Arial Narrow" w:hAnsi="Arial Narrow"/>
          <w:b/>
          <w:bCs/>
          <w:sz w:val="24"/>
          <w:szCs w:val="24"/>
          <w:lang w:val="en-US"/>
        </w:rPr>
      </w:pPr>
    </w:p>
    <w:p w14:paraId="05311724" w14:textId="77777777" w:rsidR="003D6416" w:rsidRPr="0095749E" w:rsidRDefault="003D6416" w:rsidP="003D6416">
      <w:pPr>
        <w:jc w:val="both"/>
        <w:rPr>
          <w:rFonts w:ascii="Arial Narrow" w:hAnsi="Arial Narrow"/>
          <w:b/>
          <w:bCs/>
          <w:sz w:val="24"/>
          <w:szCs w:val="24"/>
          <w:lang w:val="en-US"/>
        </w:rPr>
      </w:pPr>
      <w:proofErr w:type="spellStart"/>
      <w:r w:rsidRPr="0095749E">
        <w:rPr>
          <w:rFonts w:ascii="Arial Narrow" w:hAnsi="Arial Narrow"/>
          <w:b/>
          <w:bCs/>
          <w:sz w:val="24"/>
          <w:szCs w:val="24"/>
          <w:lang w:val="en-US"/>
        </w:rPr>
        <w:t>Cilj</w:t>
      </w:r>
      <w:proofErr w:type="spellEnd"/>
      <w:r w:rsidRPr="0095749E">
        <w:rPr>
          <w:rFonts w:ascii="Arial Narrow" w:hAnsi="Arial Narrow"/>
          <w:b/>
          <w:bCs/>
          <w:sz w:val="24"/>
          <w:szCs w:val="24"/>
          <w:lang w:val="en-US"/>
        </w:rPr>
        <w:t xml:space="preserve"> 4.1.</w:t>
      </w:r>
      <w:r>
        <w:rPr>
          <w:rFonts w:ascii="Arial Narrow" w:hAnsi="Arial Narrow"/>
          <w:b/>
          <w:bCs/>
          <w:sz w:val="24"/>
          <w:szCs w:val="24"/>
          <w:lang w:val="en-US"/>
        </w:rPr>
        <w:t xml:space="preserve"> </w:t>
      </w:r>
      <w:r w:rsidRPr="0095749E">
        <w:rPr>
          <w:rFonts w:ascii="Arial Narrow" w:hAnsi="Arial Narrow"/>
          <w:b/>
          <w:bCs/>
          <w:sz w:val="24"/>
          <w:szCs w:val="24"/>
          <w:lang w:val="en-US"/>
        </w:rPr>
        <w:t xml:space="preserve">UNAPREĐENJE SISTEMA OBRAZOVANJA NA SVIM NIVOIMA </w:t>
      </w:r>
    </w:p>
    <w:p w14:paraId="47517367" w14:textId="77777777" w:rsidR="003D6416" w:rsidRPr="00862EAF" w:rsidRDefault="003D6416" w:rsidP="003D6416">
      <w:pPr>
        <w:jc w:val="both"/>
        <w:rPr>
          <w:rFonts w:ascii="Arial Narrow" w:hAnsi="Arial Narrow"/>
          <w:b/>
          <w:bCs/>
          <w:sz w:val="24"/>
          <w:szCs w:val="24"/>
          <w:lang w:val="en-US"/>
        </w:rPr>
      </w:pPr>
      <w:proofErr w:type="spellStart"/>
      <w:r w:rsidRPr="00D85583">
        <w:rPr>
          <w:rFonts w:ascii="Arial Narrow" w:hAnsi="Arial Narrow"/>
          <w:sz w:val="24"/>
          <w:szCs w:val="24"/>
          <w:lang w:val="en-US"/>
        </w:rPr>
        <w:t>Kroz</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unapređenje</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sistema</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obrazovanja</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ćemo</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uticati</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w:t>
      </w:r>
      <w:r w:rsidRPr="0095749E">
        <w:rPr>
          <w:rFonts w:ascii="Arial Narrow" w:hAnsi="Arial Narrow"/>
          <w:b/>
          <w:bCs/>
          <w:sz w:val="24"/>
          <w:szCs w:val="24"/>
          <w:lang w:val="en-US"/>
        </w:rPr>
        <w:t>manjenje</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procenta</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učenika</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čija</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su</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postignuća</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na</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nivou</w:t>
      </w:r>
      <w:proofErr w:type="spellEnd"/>
      <w:r w:rsidRPr="0095749E">
        <w:rPr>
          <w:rFonts w:ascii="Arial Narrow" w:hAnsi="Arial Narrow"/>
          <w:b/>
          <w:bCs/>
          <w:sz w:val="24"/>
          <w:szCs w:val="24"/>
          <w:lang w:val="en-US"/>
        </w:rPr>
        <w:t xml:space="preserve"> 1 </w:t>
      </w:r>
      <w:proofErr w:type="spellStart"/>
      <w:r w:rsidRPr="0095749E">
        <w:rPr>
          <w:rFonts w:ascii="Arial Narrow" w:hAnsi="Arial Narrow"/>
          <w:b/>
          <w:bCs/>
          <w:sz w:val="24"/>
          <w:szCs w:val="24"/>
          <w:lang w:val="en-US"/>
        </w:rPr>
        <w:t>i</w:t>
      </w:r>
      <w:proofErr w:type="spellEnd"/>
      <w:r w:rsidRPr="0095749E">
        <w:rPr>
          <w:rFonts w:ascii="Arial Narrow" w:hAnsi="Arial Narrow"/>
          <w:b/>
          <w:bCs/>
          <w:sz w:val="24"/>
          <w:szCs w:val="24"/>
          <w:lang w:val="en-US"/>
        </w:rPr>
        <w:t xml:space="preserve"> 2 za 10%  </w:t>
      </w:r>
      <w:proofErr w:type="spellStart"/>
      <w:r w:rsidRPr="0095749E">
        <w:rPr>
          <w:rFonts w:ascii="Arial Narrow" w:hAnsi="Arial Narrow"/>
          <w:b/>
          <w:bCs/>
          <w:sz w:val="24"/>
          <w:szCs w:val="24"/>
          <w:lang w:val="en-US"/>
        </w:rPr>
        <w:t>na</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ciklusu</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nakon</w:t>
      </w:r>
      <w:proofErr w:type="spellEnd"/>
      <w:r w:rsidRPr="0095749E">
        <w:rPr>
          <w:rFonts w:ascii="Arial Narrow" w:hAnsi="Arial Narrow"/>
          <w:b/>
          <w:bCs/>
          <w:sz w:val="24"/>
          <w:szCs w:val="24"/>
          <w:lang w:val="en-US"/>
        </w:rPr>
        <w:t xml:space="preserve"> 2022.  </w:t>
      </w:r>
      <w:proofErr w:type="spellStart"/>
      <w:r w:rsidRPr="0095749E">
        <w:rPr>
          <w:rFonts w:ascii="Arial Narrow" w:hAnsi="Arial Narrow"/>
          <w:b/>
          <w:bCs/>
          <w:sz w:val="24"/>
          <w:szCs w:val="24"/>
          <w:lang w:val="en-US"/>
        </w:rPr>
        <w:t>iz</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svih</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vrsta</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pismenosti</w:t>
      </w:r>
      <w:proofErr w:type="spellEnd"/>
      <w:r w:rsidRPr="0095749E">
        <w:rPr>
          <w:rFonts w:ascii="Arial Narrow" w:hAnsi="Arial Narrow"/>
          <w:b/>
          <w:bCs/>
          <w:sz w:val="24"/>
          <w:szCs w:val="24"/>
          <w:lang w:val="en-US"/>
        </w:rPr>
        <w:t xml:space="preserve"> </w:t>
      </w:r>
      <w:proofErr w:type="spellStart"/>
      <w:r w:rsidRPr="0095749E">
        <w:rPr>
          <w:rFonts w:ascii="Arial Narrow" w:hAnsi="Arial Narrow"/>
          <w:b/>
          <w:bCs/>
          <w:sz w:val="24"/>
          <w:szCs w:val="24"/>
          <w:lang w:val="en-US"/>
        </w:rPr>
        <w:t>na</w:t>
      </w:r>
      <w:proofErr w:type="spellEnd"/>
      <w:r w:rsidRPr="0095749E">
        <w:rPr>
          <w:rFonts w:ascii="Arial Narrow" w:hAnsi="Arial Narrow"/>
          <w:b/>
          <w:bCs/>
          <w:sz w:val="24"/>
          <w:szCs w:val="24"/>
          <w:lang w:val="en-US"/>
        </w:rPr>
        <w:t xml:space="preserve"> PISA </w:t>
      </w:r>
      <w:proofErr w:type="spellStart"/>
      <w:r w:rsidRPr="0095749E">
        <w:rPr>
          <w:rFonts w:ascii="Arial Narrow" w:hAnsi="Arial Narrow"/>
          <w:b/>
          <w:bCs/>
          <w:sz w:val="24"/>
          <w:szCs w:val="24"/>
          <w:lang w:val="en-US"/>
        </w:rPr>
        <w:t>testiranju</w:t>
      </w:r>
      <w:proofErr w:type="spellEnd"/>
      <w:r>
        <w:rPr>
          <w:rFonts w:ascii="Arial Narrow" w:hAnsi="Arial Narrow"/>
          <w:b/>
          <w:bCs/>
          <w:sz w:val="24"/>
          <w:szCs w:val="24"/>
          <w:lang w:val="en-US"/>
        </w:rPr>
        <w:t xml:space="preserve">, a </w:t>
      </w:r>
      <w:proofErr w:type="spellStart"/>
      <w:r>
        <w:rPr>
          <w:rFonts w:ascii="Arial Narrow" w:hAnsi="Arial Narrow"/>
          <w:b/>
          <w:bCs/>
          <w:sz w:val="24"/>
          <w:szCs w:val="24"/>
          <w:lang w:val="en-US"/>
        </w:rPr>
        <w:t>isto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tako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w:t>
      </w:r>
      <w:r w:rsidRPr="00862EAF">
        <w:rPr>
          <w:rFonts w:ascii="Arial Narrow" w:hAnsi="Arial Narrow"/>
          <w:b/>
          <w:bCs/>
          <w:sz w:val="24"/>
          <w:szCs w:val="24"/>
          <w:lang w:val="en-US"/>
        </w:rPr>
        <w:t>ovećanje</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postignuća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učenika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na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nivoima</w:t>
      </w:r>
      <w:proofErr w:type="spellEnd"/>
      <w:r w:rsidRPr="00862EAF">
        <w:rPr>
          <w:rFonts w:ascii="Arial Narrow" w:hAnsi="Arial Narrow"/>
          <w:b/>
          <w:bCs/>
          <w:sz w:val="24"/>
          <w:szCs w:val="24"/>
          <w:lang w:val="en-US"/>
        </w:rPr>
        <w:t xml:space="preserve"> 5 </w:t>
      </w:r>
      <w:proofErr w:type="spellStart"/>
      <w:r w:rsidRPr="00862EAF">
        <w:rPr>
          <w:rFonts w:ascii="Arial Narrow" w:hAnsi="Arial Narrow"/>
          <w:b/>
          <w:bCs/>
          <w:sz w:val="24"/>
          <w:szCs w:val="24"/>
          <w:lang w:val="en-US"/>
        </w:rPr>
        <w:t>i</w:t>
      </w:r>
      <w:proofErr w:type="spellEnd"/>
      <w:r w:rsidRPr="00862EAF">
        <w:rPr>
          <w:rFonts w:ascii="Arial Narrow" w:hAnsi="Arial Narrow"/>
          <w:b/>
          <w:bCs/>
          <w:sz w:val="24"/>
          <w:szCs w:val="24"/>
          <w:lang w:val="en-US"/>
        </w:rPr>
        <w:t xml:space="preserve"> 6 za 5% </w:t>
      </w:r>
      <w:proofErr w:type="spellStart"/>
      <w:r w:rsidRPr="00862EAF">
        <w:rPr>
          <w:rFonts w:ascii="Arial Narrow" w:hAnsi="Arial Narrow"/>
          <w:b/>
          <w:bCs/>
          <w:sz w:val="24"/>
          <w:szCs w:val="24"/>
          <w:lang w:val="en-US"/>
        </w:rPr>
        <w:t>iz</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svih</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vrsta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pismenosti</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na</w:t>
      </w:r>
      <w:proofErr w:type="spellEnd"/>
      <w:r w:rsidRPr="00862EAF">
        <w:rPr>
          <w:rFonts w:ascii="Arial Narrow" w:hAnsi="Arial Narrow"/>
          <w:b/>
          <w:bCs/>
          <w:sz w:val="24"/>
          <w:szCs w:val="24"/>
          <w:lang w:val="en-US"/>
        </w:rPr>
        <w:t xml:space="preserve"> PISA </w:t>
      </w:r>
      <w:proofErr w:type="spellStart"/>
      <w:r w:rsidRPr="00862EAF">
        <w:rPr>
          <w:rFonts w:ascii="Arial Narrow" w:hAnsi="Arial Narrow"/>
          <w:b/>
          <w:bCs/>
          <w:sz w:val="24"/>
          <w:szCs w:val="24"/>
          <w:lang w:val="en-US"/>
        </w:rPr>
        <w:t>testiranju</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na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ciklusu</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nakon</w:t>
      </w:r>
      <w:proofErr w:type="spellEnd"/>
      <w:r w:rsidRPr="00862EAF">
        <w:rPr>
          <w:rFonts w:ascii="Arial Narrow" w:hAnsi="Arial Narrow"/>
          <w:b/>
          <w:bCs/>
          <w:sz w:val="24"/>
          <w:szCs w:val="24"/>
          <w:lang w:val="en-US"/>
        </w:rPr>
        <w:t xml:space="preserve"> 2022. </w:t>
      </w:r>
      <w:proofErr w:type="spellStart"/>
      <w:r>
        <w:rPr>
          <w:rFonts w:ascii="Arial Narrow" w:hAnsi="Arial Narrow"/>
          <w:b/>
          <w:bCs/>
          <w:sz w:val="24"/>
          <w:szCs w:val="24"/>
          <w:lang w:val="en-US"/>
        </w:rPr>
        <w:t>g</w:t>
      </w:r>
      <w:r w:rsidRPr="00862EAF">
        <w:rPr>
          <w:rFonts w:ascii="Arial Narrow" w:hAnsi="Arial Narrow"/>
          <w:b/>
          <w:bCs/>
          <w:sz w:val="24"/>
          <w:szCs w:val="24"/>
          <w:lang w:val="en-US"/>
        </w:rPr>
        <w:t>odine</w:t>
      </w:r>
      <w:proofErr w:type="spellEnd"/>
      <w:r>
        <w:rPr>
          <w:rFonts w:ascii="Arial Narrow" w:hAnsi="Arial Narrow"/>
          <w:b/>
          <w:bCs/>
          <w:sz w:val="24"/>
          <w:szCs w:val="24"/>
          <w:lang w:val="en-US"/>
        </w:rPr>
        <w:t xml:space="preserve">. </w:t>
      </w:r>
      <w:r w:rsidRPr="00D85583">
        <w:rPr>
          <w:rFonts w:ascii="Arial Narrow" w:hAnsi="Arial Narrow"/>
          <w:sz w:val="24"/>
          <w:szCs w:val="24"/>
          <w:lang w:val="en-US"/>
        </w:rPr>
        <w:t xml:space="preserve">To </w:t>
      </w:r>
      <w:proofErr w:type="spellStart"/>
      <w:r w:rsidRPr="00D85583">
        <w:rPr>
          <w:rFonts w:ascii="Arial Narrow" w:hAnsi="Arial Narrow"/>
          <w:sz w:val="24"/>
          <w:szCs w:val="24"/>
          <w:lang w:val="en-US"/>
        </w:rPr>
        <w:t>će</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ujedno</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dopriniejti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povećanju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prosječne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ocjene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predmetima</w:t>
      </w:r>
      <w:proofErr w:type="spellEnd"/>
      <w:r>
        <w:rPr>
          <w:rFonts w:ascii="Arial Narrow" w:hAnsi="Arial Narrow"/>
          <w:b/>
          <w:bCs/>
          <w:sz w:val="24"/>
          <w:szCs w:val="24"/>
          <w:lang w:val="en-US"/>
        </w:rPr>
        <w:t xml:space="preserve"> mature. </w:t>
      </w:r>
      <w:proofErr w:type="spellStart"/>
      <w:r>
        <w:rPr>
          <w:rFonts w:ascii="Arial Narrow" w:hAnsi="Arial Narrow"/>
          <w:b/>
          <w:bCs/>
          <w:sz w:val="24"/>
          <w:szCs w:val="24"/>
          <w:lang w:val="en-US"/>
        </w:rPr>
        <w:t>Nastavnici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većem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procentu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učestvovati</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profesionalnom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razvoju</w:t>
      </w:r>
      <w:proofErr w:type="spellEnd"/>
      <w:r>
        <w:rPr>
          <w:rFonts w:ascii="Arial Narrow" w:hAnsi="Arial Narrow"/>
          <w:b/>
          <w:bCs/>
          <w:sz w:val="24"/>
          <w:szCs w:val="24"/>
          <w:lang w:val="en-US"/>
        </w:rPr>
        <w:t xml:space="preserve"> </w:t>
      </w:r>
      <w:proofErr w:type="spellStart"/>
      <w:r w:rsidRPr="00D85583">
        <w:rPr>
          <w:rFonts w:ascii="Arial Narrow" w:hAnsi="Arial Narrow"/>
          <w:sz w:val="24"/>
          <w:szCs w:val="24"/>
          <w:lang w:val="en-US"/>
        </w:rPr>
        <w:t>kako</w:t>
      </w:r>
      <w:proofErr w:type="spellEnd"/>
      <w:r w:rsidRPr="00D85583">
        <w:rPr>
          <w:rFonts w:ascii="Arial Narrow" w:hAnsi="Arial Narrow"/>
          <w:sz w:val="24"/>
          <w:szCs w:val="24"/>
          <w:lang w:val="en-US"/>
        </w:rPr>
        <w:t xml:space="preserve"> bi se u </w:t>
      </w:r>
      <w:proofErr w:type="spellStart"/>
      <w:r w:rsidRPr="00D85583">
        <w:rPr>
          <w:rFonts w:ascii="Arial Narrow" w:hAnsi="Arial Narrow"/>
          <w:sz w:val="24"/>
          <w:szCs w:val="24"/>
          <w:lang w:val="en-US"/>
        </w:rPr>
        <w:t>ontinuitetu</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prilagođavali</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promjenama</w:t>
      </w:r>
      <w:proofErr w:type="spellEnd"/>
      <w:r w:rsidRPr="00D85583">
        <w:rPr>
          <w:rFonts w:ascii="Arial Narrow" w:hAnsi="Arial Narrow"/>
          <w:sz w:val="24"/>
          <w:szCs w:val="24"/>
          <w:lang w:val="en-US"/>
        </w:rPr>
        <w:t xml:space="preserve"> u </w:t>
      </w:r>
      <w:proofErr w:type="spellStart"/>
      <w:r w:rsidRPr="00D85583">
        <w:rPr>
          <w:rFonts w:ascii="Arial Narrow" w:hAnsi="Arial Narrow"/>
          <w:sz w:val="24"/>
          <w:szCs w:val="24"/>
          <w:lang w:val="en-US"/>
        </w:rPr>
        <w:t>obrazovanju</w:t>
      </w:r>
      <w:proofErr w:type="spellEnd"/>
      <w:r>
        <w:rPr>
          <w:rFonts w:ascii="Arial Narrow" w:hAnsi="Arial Narrow"/>
          <w:b/>
          <w:bCs/>
          <w:sz w:val="24"/>
          <w:szCs w:val="24"/>
          <w:lang w:val="en-US"/>
        </w:rPr>
        <w:t xml:space="preserve">. </w:t>
      </w:r>
      <w:r w:rsidRPr="00D85583">
        <w:rPr>
          <w:rFonts w:ascii="Arial Narrow" w:hAnsi="Arial Narrow"/>
          <w:sz w:val="24"/>
          <w:szCs w:val="24"/>
          <w:lang w:val="en-US"/>
        </w:rPr>
        <w:t xml:space="preserve">Na </w:t>
      </w:r>
      <w:proofErr w:type="spellStart"/>
      <w:r w:rsidRPr="00D85583">
        <w:rPr>
          <w:rFonts w:ascii="Arial Narrow" w:hAnsi="Arial Narrow"/>
          <w:sz w:val="24"/>
          <w:szCs w:val="24"/>
          <w:lang w:val="en-US"/>
        </w:rPr>
        <w:t>kraju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obezbjedićemo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w:t>
      </w:r>
      <w:r w:rsidRPr="00862EAF">
        <w:rPr>
          <w:rFonts w:ascii="Arial Narrow" w:hAnsi="Arial Narrow"/>
          <w:b/>
          <w:bCs/>
          <w:sz w:val="24"/>
          <w:szCs w:val="24"/>
          <w:lang w:val="en-US"/>
        </w:rPr>
        <w:t>ovećanje</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broja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licenciranih</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obrazovanja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odraslih</w:t>
      </w:r>
      <w:proofErr w:type="spellEnd"/>
      <w:r w:rsidRPr="00862EAF">
        <w:rPr>
          <w:rFonts w:ascii="Arial Narrow" w:hAnsi="Arial Narrow"/>
          <w:b/>
          <w:bCs/>
          <w:sz w:val="24"/>
          <w:szCs w:val="24"/>
          <w:lang w:val="en-US"/>
        </w:rPr>
        <w:t xml:space="preserve"> za 5% </w:t>
      </w:r>
      <w:proofErr w:type="spellStart"/>
      <w:r w:rsidRPr="00862EAF">
        <w:rPr>
          <w:rFonts w:ascii="Arial Narrow" w:hAnsi="Arial Narrow"/>
          <w:b/>
          <w:bCs/>
          <w:sz w:val="24"/>
          <w:szCs w:val="24"/>
          <w:lang w:val="en-US"/>
        </w:rPr>
        <w:t>na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godišnjem</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nivo</w:t>
      </w:r>
      <w:r>
        <w:rPr>
          <w:rFonts w:ascii="Arial Narrow" w:hAnsi="Arial Narrow"/>
          <w:b/>
          <w:bCs/>
          <w:sz w:val="24"/>
          <w:szCs w:val="24"/>
          <w:lang w:val="en-US"/>
        </w:rPr>
        <w:t>u</w:t>
      </w:r>
      <w:proofErr w:type="spellEnd"/>
      <w:r>
        <w:rPr>
          <w:rFonts w:ascii="Arial Narrow" w:hAnsi="Arial Narrow"/>
          <w:b/>
          <w:bCs/>
          <w:sz w:val="24"/>
          <w:szCs w:val="24"/>
          <w:lang w:val="en-US"/>
        </w:rPr>
        <w:t xml:space="preserve"> –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862EAF">
        <w:rPr>
          <w:rFonts w:ascii="Arial Narrow" w:hAnsi="Arial Narrow"/>
          <w:b/>
          <w:bCs/>
          <w:sz w:val="24"/>
          <w:szCs w:val="24"/>
          <w:lang w:val="en-US"/>
        </w:rPr>
        <w:t>118</w:t>
      </w:r>
      <w:r w:rsidRPr="00862EAF">
        <w:rPr>
          <w:rFonts w:ascii="Arial Narrow" w:hAnsi="Arial Narrow"/>
          <w:b/>
          <w:bCs/>
          <w:sz w:val="24"/>
          <w:szCs w:val="24"/>
          <w:lang w:val="en-US"/>
        </w:rPr>
        <w:tab/>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1</w:t>
      </w:r>
      <w:r w:rsidRPr="00862EAF">
        <w:rPr>
          <w:rFonts w:ascii="Arial Narrow" w:hAnsi="Arial Narrow"/>
          <w:b/>
          <w:bCs/>
          <w:sz w:val="24"/>
          <w:szCs w:val="24"/>
          <w:lang w:val="en-US"/>
        </w:rPr>
        <w:t>36</w:t>
      </w:r>
      <w:r>
        <w:rPr>
          <w:rFonts w:ascii="Arial Narrow" w:hAnsi="Arial Narrow"/>
          <w:b/>
          <w:bCs/>
          <w:sz w:val="24"/>
          <w:szCs w:val="24"/>
          <w:lang w:val="en-US"/>
        </w:rPr>
        <w:t xml:space="preserve"> u 2024.</w:t>
      </w:r>
    </w:p>
    <w:p w14:paraId="1AC52085" w14:textId="77777777" w:rsidR="003D6416" w:rsidRPr="00862EAF" w:rsidRDefault="003D6416" w:rsidP="003D6416">
      <w:pPr>
        <w:jc w:val="both"/>
        <w:rPr>
          <w:rFonts w:ascii="Arial Narrow" w:hAnsi="Arial Narrow"/>
          <w:b/>
          <w:bCs/>
          <w:sz w:val="24"/>
          <w:szCs w:val="24"/>
          <w:lang w:val="en-US"/>
        </w:rPr>
      </w:pPr>
      <w:proofErr w:type="spellStart"/>
      <w:r w:rsidRPr="00862EAF">
        <w:rPr>
          <w:rFonts w:ascii="Arial Narrow" w:hAnsi="Arial Narrow"/>
          <w:b/>
          <w:bCs/>
          <w:sz w:val="24"/>
          <w:szCs w:val="24"/>
          <w:lang w:val="en-US"/>
        </w:rPr>
        <w:t>Cilj</w:t>
      </w:r>
      <w:proofErr w:type="spellEnd"/>
      <w:r w:rsidRPr="00862EAF">
        <w:rPr>
          <w:rFonts w:ascii="Arial Narrow" w:hAnsi="Arial Narrow"/>
          <w:b/>
          <w:bCs/>
          <w:sz w:val="24"/>
          <w:szCs w:val="24"/>
          <w:lang w:val="en-US"/>
        </w:rPr>
        <w:t xml:space="preserve"> 4.2</w:t>
      </w:r>
      <w:r>
        <w:rPr>
          <w:rFonts w:ascii="Arial Narrow" w:hAnsi="Arial Narrow"/>
          <w:b/>
          <w:bCs/>
          <w:sz w:val="24"/>
          <w:szCs w:val="24"/>
          <w:lang w:val="en-US"/>
        </w:rPr>
        <w:t xml:space="preserve">. </w:t>
      </w:r>
      <w:r w:rsidRPr="00862EAF">
        <w:rPr>
          <w:rFonts w:ascii="Arial Narrow" w:hAnsi="Arial Narrow"/>
          <w:b/>
          <w:bCs/>
          <w:sz w:val="24"/>
          <w:szCs w:val="24"/>
          <w:lang w:val="en-US"/>
        </w:rPr>
        <w:t>JEDNAKE ŠANSE ZA SVE U KULTURI</w:t>
      </w:r>
    </w:p>
    <w:p w14:paraId="177D4996" w14:textId="77777777" w:rsidR="003D6416" w:rsidRPr="00AD0AE2" w:rsidRDefault="003D6416" w:rsidP="003D6416">
      <w:pPr>
        <w:jc w:val="both"/>
        <w:rPr>
          <w:rFonts w:ascii="Arial Narrow" w:hAnsi="Arial Narrow"/>
          <w:b/>
          <w:bCs/>
          <w:sz w:val="24"/>
          <w:szCs w:val="24"/>
          <w:lang w:val="en-US"/>
        </w:rPr>
      </w:pPr>
      <w:proofErr w:type="spellStart"/>
      <w:r w:rsidRPr="00D85583">
        <w:rPr>
          <w:rFonts w:ascii="Arial Narrow" w:hAnsi="Arial Narrow"/>
          <w:sz w:val="24"/>
          <w:szCs w:val="24"/>
          <w:lang w:val="en-US"/>
        </w:rPr>
        <w:lastRenderedPageBreak/>
        <w:t>Svima</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dostupan</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i</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otvoren</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sektor</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kulture</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će</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biti</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unaprijeđen</w:t>
      </w:r>
      <w:proofErr w:type="spellEnd"/>
      <w:r w:rsidRPr="00D85583">
        <w:rPr>
          <w:rFonts w:ascii="Arial Narrow" w:hAnsi="Arial Narrow"/>
          <w:sz w:val="24"/>
          <w:szCs w:val="24"/>
          <w:lang w:val="en-US"/>
        </w:rPr>
        <w:t xml:space="preserve"> </w:t>
      </w:r>
      <w:proofErr w:type="spellStart"/>
      <w:r w:rsidRPr="00D85583">
        <w:rPr>
          <w:rFonts w:ascii="Arial Narrow" w:hAnsi="Arial Narrow"/>
          <w:sz w:val="24"/>
          <w:szCs w:val="24"/>
          <w:lang w:val="en-US"/>
        </w:rPr>
        <w:t>kroz</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povećanje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w:t>
      </w:r>
      <w:r w:rsidRPr="00862EAF">
        <w:rPr>
          <w:rFonts w:ascii="Arial Narrow" w:hAnsi="Arial Narrow"/>
          <w:b/>
          <w:bCs/>
          <w:sz w:val="24"/>
          <w:szCs w:val="24"/>
          <w:lang w:val="en-US"/>
        </w:rPr>
        <w:t>roj</w:t>
      </w:r>
      <w:r>
        <w:rPr>
          <w:rFonts w:ascii="Arial Narrow" w:hAnsi="Arial Narrow"/>
          <w:b/>
          <w:bCs/>
          <w:sz w:val="24"/>
          <w:szCs w:val="24"/>
          <w:lang w:val="en-US"/>
        </w:rPr>
        <w:t>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licenciranih</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ustanova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i</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pojedinaca</w:t>
      </w:r>
      <w:proofErr w:type="spellEnd"/>
      <w:r>
        <w:rPr>
          <w:rFonts w:ascii="Arial Narrow" w:hAnsi="Arial Narrow"/>
          <w:b/>
          <w:bCs/>
          <w:sz w:val="24"/>
          <w:szCs w:val="24"/>
          <w:lang w:val="en-US"/>
        </w:rPr>
        <w:t xml:space="preserve"> za 30% </w:t>
      </w:r>
      <w:proofErr w:type="spellStart"/>
      <w:r>
        <w:rPr>
          <w:rFonts w:ascii="Arial Narrow" w:hAnsi="Arial Narrow"/>
          <w:b/>
          <w:bCs/>
          <w:sz w:val="24"/>
          <w:szCs w:val="24"/>
          <w:lang w:val="en-US"/>
        </w:rPr>
        <w:t>do</w:t>
      </w:r>
      <w:proofErr w:type="spellEnd"/>
      <w:r>
        <w:rPr>
          <w:rFonts w:ascii="Arial Narrow" w:hAnsi="Arial Narrow"/>
          <w:b/>
          <w:bCs/>
          <w:sz w:val="24"/>
          <w:szCs w:val="24"/>
          <w:lang w:val="en-US"/>
        </w:rPr>
        <w:t xml:space="preserve"> 2024, </w:t>
      </w:r>
      <w:proofErr w:type="spellStart"/>
      <w:r>
        <w:rPr>
          <w:rFonts w:ascii="Arial Narrow" w:hAnsi="Arial Narrow"/>
          <w:b/>
          <w:bCs/>
          <w:sz w:val="24"/>
          <w:szCs w:val="24"/>
          <w:lang w:val="en-US"/>
        </w:rPr>
        <w:t>dok</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w:t>
      </w:r>
      <w:r w:rsidRPr="00862EAF">
        <w:rPr>
          <w:rFonts w:ascii="Arial Narrow" w:hAnsi="Arial Narrow"/>
          <w:b/>
          <w:bCs/>
          <w:sz w:val="24"/>
          <w:szCs w:val="24"/>
          <w:lang w:val="en-US"/>
        </w:rPr>
        <w:t>rocenat</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usaglašenih</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propisa</w:t>
      </w:r>
      <w:proofErr w:type="spellEnd"/>
      <w:r w:rsidRPr="00862EAF">
        <w:rPr>
          <w:rFonts w:ascii="Arial Narrow" w:hAnsi="Arial Narrow"/>
          <w:b/>
          <w:bCs/>
          <w:sz w:val="24"/>
          <w:szCs w:val="24"/>
          <w:lang w:val="en-US"/>
        </w:rPr>
        <w:t xml:space="preserve"> u </w:t>
      </w:r>
      <w:proofErr w:type="spellStart"/>
      <w:r w:rsidRPr="00862EAF">
        <w:rPr>
          <w:rFonts w:ascii="Arial Narrow" w:hAnsi="Arial Narrow"/>
          <w:b/>
          <w:bCs/>
          <w:sz w:val="24"/>
          <w:szCs w:val="24"/>
          <w:lang w:val="en-US"/>
        </w:rPr>
        <w:t>oblasti</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bibliotečke</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djelatnosti</w:t>
      </w:r>
      <w:proofErr w:type="spellEnd"/>
      <w:r w:rsidRPr="00862EAF">
        <w:rPr>
          <w:rFonts w:ascii="Arial Narrow" w:hAnsi="Arial Narrow"/>
          <w:b/>
          <w:bCs/>
          <w:sz w:val="24"/>
          <w:szCs w:val="24"/>
          <w:lang w:val="en-US"/>
        </w:rPr>
        <w:t xml:space="preserve"> u </w:t>
      </w:r>
      <w:proofErr w:type="spellStart"/>
      <w:r w:rsidRPr="00862EAF">
        <w:rPr>
          <w:rFonts w:ascii="Arial Narrow" w:hAnsi="Arial Narrow"/>
          <w:b/>
          <w:bCs/>
          <w:sz w:val="24"/>
          <w:szCs w:val="24"/>
          <w:lang w:val="en-US"/>
        </w:rPr>
        <w:t>vezi</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sa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prilag</w:t>
      </w:r>
      <w:r>
        <w:rPr>
          <w:rFonts w:ascii="Arial Narrow" w:hAnsi="Arial Narrow"/>
          <w:b/>
          <w:bCs/>
          <w:sz w:val="24"/>
          <w:szCs w:val="24"/>
          <w:lang w:val="en-US"/>
        </w:rPr>
        <w:t>o</w:t>
      </w:r>
      <w:r w:rsidRPr="00862EAF">
        <w:rPr>
          <w:rFonts w:ascii="Arial Narrow" w:hAnsi="Arial Narrow"/>
          <w:b/>
          <w:bCs/>
          <w:sz w:val="24"/>
          <w:szCs w:val="24"/>
          <w:lang w:val="en-US"/>
        </w:rPr>
        <w:t>đavanjem</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osobama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sa</w:t>
      </w:r>
      <w:proofErr w:type="spellEnd"/>
      <w:r w:rsidRPr="00862EAF">
        <w:rPr>
          <w:rFonts w:ascii="Arial Narrow" w:hAnsi="Arial Narrow"/>
          <w:b/>
          <w:bCs/>
          <w:sz w:val="24"/>
          <w:szCs w:val="24"/>
          <w:lang w:val="en-US"/>
        </w:rPr>
        <w:t xml:space="preserve"> </w:t>
      </w:r>
      <w:proofErr w:type="spellStart"/>
      <w:r w:rsidRPr="00862EAF">
        <w:rPr>
          <w:rFonts w:ascii="Arial Narrow" w:hAnsi="Arial Narrow"/>
          <w:b/>
          <w:bCs/>
          <w:sz w:val="24"/>
          <w:szCs w:val="24"/>
          <w:lang w:val="en-US"/>
        </w:rPr>
        <w:t>invaliditetom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realizovan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nivou</w:t>
      </w:r>
      <w:proofErr w:type="spellEnd"/>
      <w:r>
        <w:rPr>
          <w:rFonts w:ascii="Arial Narrow" w:hAnsi="Arial Narrow"/>
          <w:b/>
          <w:bCs/>
          <w:sz w:val="24"/>
          <w:szCs w:val="24"/>
          <w:lang w:val="en-US"/>
        </w:rPr>
        <w:t xml:space="preserve"> od </w:t>
      </w:r>
      <w:r w:rsidRPr="00862EAF">
        <w:rPr>
          <w:rFonts w:ascii="Arial Narrow" w:hAnsi="Arial Narrow"/>
          <w:b/>
          <w:bCs/>
          <w:sz w:val="24"/>
          <w:szCs w:val="24"/>
          <w:lang w:val="en-US"/>
        </w:rPr>
        <w:t>100%</w:t>
      </w:r>
      <w:r>
        <w:rPr>
          <w:rFonts w:ascii="Arial Narrow" w:hAnsi="Arial Narrow"/>
          <w:b/>
          <w:bCs/>
          <w:sz w:val="24"/>
          <w:szCs w:val="24"/>
          <w:lang w:val="en-US"/>
        </w:rPr>
        <w:t>.</w:t>
      </w:r>
    </w:p>
    <w:p w14:paraId="3C7CCCF8" w14:textId="77777777" w:rsidR="003D6416" w:rsidRPr="00AD0AE2" w:rsidRDefault="003D6416" w:rsidP="003D6416">
      <w:pPr>
        <w:jc w:val="both"/>
        <w:rPr>
          <w:rFonts w:ascii="Arial Narrow" w:hAnsi="Arial Narrow"/>
          <w:b/>
          <w:bCs/>
          <w:sz w:val="24"/>
          <w:szCs w:val="24"/>
          <w:lang w:val="en-US"/>
        </w:rPr>
      </w:pPr>
      <w:proofErr w:type="spellStart"/>
      <w:r w:rsidRPr="00AD0AE2">
        <w:rPr>
          <w:rFonts w:ascii="Arial Narrow" w:hAnsi="Arial Narrow"/>
          <w:b/>
          <w:bCs/>
          <w:sz w:val="24"/>
          <w:szCs w:val="24"/>
          <w:lang w:val="en-US"/>
        </w:rPr>
        <w:t>Cilj</w:t>
      </w:r>
      <w:proofErr w:type="spellEnd"/>
      <w:r w:rsidRPr="00AD0AE2">
        <w:rPr>
          <w:rFonts w:ascii="Arial Narrow" w:hAnsi="Arial Narrow"/>
          <w:b/>
          <w:bCs/>
          <w:sz w:val="24"/>
          <w:szCs w:val="24"/>
          <w:lang w:val="en-US"/>
        </w:rPr>
        <w:t xml:space="preserve"> 4.3</w:t>
      </w:r>
      <w:r>
        <w:rPr>
          <w:rFonts w:ascii="Arial Narrow" w:hAnsi="Arial Narrow"/>
          <w:b/>
          <w:bCs/>
          <w:sz w:val="24"/>
          <w:szCs w:val="24"/>
          <w:lang w:val="en-US"/>
        </w:rPr>
        <w:t xml:space="preserve">. </w:t>
      </w:r>
      <w:r w:rsidRPr="00AD0AE2">
        <w:rPr>
          <w:rFonts w:ascii="Arial Narrow" w:hAnsi="Arial Narrow"/>
          <w:b/>
          <w:bCs/>
          <w:sz w:val="24"/>
          <w:szCs w:val="24"/>
          <w:lang w:val="en-US"/>
        </w:rPr>
        <w:t>UNAPREĐENJE KVALITETA USLUGA ZA MLADE I NJIHOVO UČEŠĆE U KREIRANJU JAVNIH POLITIKA</w:t>
      </w:r>
    </w:p>
    <w:p w14:paraId="1AD018E4" w14:textId="77777777" w:rsidR="003D6416" w:rsidRPr="00AD0AE2" w:rsidRDefault="003D6416" w:rsidP="003D6416">
      <w:pPr>
        <w:jc w:val="both"/>
        <w:rPr>
          <w:rFonts w:ascii="Arial Narrow" w:hAnsi="Arial Narrow"/>
          <w:b/>
          <w:bCs/>
          <w:sz w:val="24"/>
          <w:szCs w:val="24"/>
          <w:lang w:val="en-US"/>
        </w:rPr>
      </w:pPr>
      <w:r w:rsidRPr="004A0212">
        <w:rPr>
          <w:rFonts w:ascii="Arial Narrow" w:hAnsi="Arial Narrow"/>
          <w:sz w:val="24"/>
          <w:szCs w:val="24"/>
          <w:lang w:val="en-US"/>
        </w:rPr>
        <w:t xml:space="preserve">Za </w:t>
      </w:r>
      <w:proofErr w:type="spellStart"/>
      <w:r w:rsidRPr="004A0212">
        <w:rPr>
          <w:rFonts w:ascii="Arial Narrow" w:hAnsi="Arial Narrow"/>
          <w:sz w:val="24"/>
          <w:szCs w:val="24"/>
          <w:lang w:val="en-US"/>
        </w:rPr>
        <w:t>aktivno</w:t>
      </w:r>
      <w:proofErr w:type="spellEnd"/>
      <w:r w:rsidRPr="004A0212">
        <w:rPr>
          <w:rFonts w:ascii="Arial Narrow" w:hAnsi="Arial Narrow"/>
          <w:sz w:val="24"/>
          <w:szCs w:val="24"/>
          <w:lang w:val="en-US"/>
        </w:rPr>
        <w:t xml:space="preserve"> </w:t>
      </w:r>
      <w:proofErr w:type="spellStart"/>
      <w:r w:rsidRPr="004A0212">
        <w:rPr>
          <w:rFonts w:ascii="Arial Narrow" w:hAnsi="Arial Narrow"/>
          <w:sz w:val="24"/>
          <w:szCs w:val="24"/>
          <w:lang w:val="en-US"/>
        </w:rPr>
        <w:t>učešće</w:t>
      </w:r>
      <w:proofErr w:type="spellEnd"/>
      <w:r w:rsidRPr="004A0212">
        <w:rPr>
          <w:rFonts w:ascii="Arial Narrow" w:hAnsi="Arial Narrow"/>
          <w:sz w:val="24"/>
          <w:szCs w:val="24"/>
          <w:lang w:val="en-US"/>
        </w:rPr>
        <w:t xml:space="preserve"> </w:t>
      </w:r>
      <w:proofErr w:type="spellStart"/>
      <w:r w:rsidRPr="004A0212">
        <w:rPr>
          <w:rFonts w:ascii="Arial Narrow" w:hAnsi="Arial Narrow"/>
          <w:sz w:val="24"/>
          <w:szCs w:val="24"/>
          <w:lang w:val="en-US"/>
        </w:rPr>
        <w:t>mladih</w:t>
      </w:r>
      <w:proofErr w:type="spellEnd"/>
      <w:r w:rsidRPr="004A0212">
        <w:rPr>
          <w:rFonts w:ascii="Arial Narrow" w:hAnsi="Arial Narrow"/>
          <w:sz w:val="24"/>
          <w:szCs w:val="24"/>
          <w:lang w:val="en-US"/>
        </w:rPr>
        <w:t xml:space="preserve"> u </w:t>
      </w:r>
      <w:proofErr w:type="spellStart"/>
      <w:r w:rsidRPr="004A0212">
        <w:rPr>
          <w:rFonts w:ascii="Arial Narrow" w:hAnsi="Arial Narrow"/>
          <w:sz w:val="24"/>
          <w:szCs w:val="24"/>
          <w:lang w:val="en-US"/>
        </w:rPr>
        <w:t>kreiranju</w:t>
      </w:r>
      <w:proofErr w:type="spellEnd"/>
      <w:r w:rsidRPr="004A0212">
        <w:rPr>
          <w:rFonts w:ascii="Arial Narrow" w:hAnsi="Arial Narrow"/>
          <w:sz w:val="24"/>
          <w:szCs w:val="24"/>
          <w:lang w:val="en-US"/>
        </w:rPr>
        <w:t xml:space="preserve"> </w:t>
      </w:r>
      <w:proofErr w:type="spellStart"/>
      <w:r w:rsidRPr="004A0212">
        <w:rPr>
          <w:rFonts w:ascii="Arial Narrow" w:hAnsi="Arial Narrow"/>
          <w:sz w:val="24"/>
          <w:szCs w:val="24"/>
          <w:lang w:val="en-US"/>
        </w:rPr>
        <w:t>politika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povećaćemo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broj</w:t>
      </w:r>
      <w:proofErr w:type="spellEnd"/>
      <w:r>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omladinskih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servisa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tako</w:t>
      </w:r>
      <w:proofErr w:type="spellEnd"/>
      <w:r>
        <w:rPr>
          <w:rFonts w:ascii="Arial Narrow" w:hAnsi="Arial Narrow"/>
          <w:b/>
          <w:bCs/>
          <w:sz w:val="24"/>
          <w:szCs w:val="24"/>
          <w:lang w:val="en-US"/>
        </w:rPr>
        <w:t xml:space="preserve"> da </w:t>
      </w:r>
      <w:proofErr w:type="spellStart"/>
      <w:r>
        <w:rPr>
          <w:rFonts w:ascii="Arial Narrow" w:hAnsi="Arial Narrow"/>
          <w:b/>
          <w:bCs/>
          <w:sz w:val="24"/>
          <w:szCs w:val="24"/>
          <w:lang w:val="en-US"/>
        </w:rPr>
        <w:t>oni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budu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dostupni</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svim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lokalnim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samouprava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teritoriji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Crne</w:t>
      </w:r>
      <w:proofErr w:type="spellEnd"/>
      <w:r>
        <w:rPr>
          <w:rFonts w:ascii="Arial Narrow" w:hAnsi="Arial Narrow"/>
          <w:b/>
          <w:bCs/>
          <w:sz w:val="24"/>
          <w:szCs w:val="24"/>
          <w:lang w:val="en-US"/>
        </w:rPr>
        <w:t xml:space="preserve"> Gore, </w:t>
      </w:r>
      <w:proofErr w:type="spellStart"/>
      <w:r>
        <w:rPr>
          <w:rFonts w:ascii="Arial Narrow" w:hAnsi="Arial Narrow"/>
          <w:b/>
          <w:bCs/>
          <w:sz w:val="24"/>
          <w:szCs w:val="24"/>
          <w:lang w:val="en-US"/>
        </w:rPr>
        <w:t>ali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w:t>
      </w:r>
      <w:r w:rsidRPr="00AD0AE2">
        <w:rPr>
          <w:rFonts w:ascii="Arial Narrow" w:hAnsi="Arial Narrow"/>
          <w:b/>
          <w:bCs/>
          <w:sz w:val="24"/>
          <w:szCs w:val="24"/>
          <w:lang w:val="en-US"/>
        </w:rPr>
        <w:t>roj</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angažovanih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omladinskih</w:t>
      </w:r>
      <w:proofErr w:type="spellEnd"/>
      <w:r w:rsidRPr="00AD0AE2">
        <w:rPr>
          <w:rFonts w:ascii="Arial Narrow" w:hAnsi="Arial Narrow"/>
          <w:b/>
          <w:bCs/>
          <w:sz w:val="24"/>
          <w:szCs w:val="24"/>
          <w:lang w:val="en-US"/>
        </w:rPr>
        <w:t xml:space="preserve"> </w:t>
      </w:r>
      <w:r>
        <w:rPr>
          <w:rFonts w:ascii="Arial Narrow" w:hAnsi="Arial Narrow"/>
          <w:b/>
          <w:bCs/>
          <w:sz w:val="24"/>
          <w:szCs w:val="24"/>
          <w:lang w:val="en-US"/>
        </w:rPr>
        <w:t xml:space="preserve">administrator ana 30 do </w:t>
      </w:r>
      <w:proofErr w:type="spellStart"/>
      <w:r>
        <w:rPr>
          <w:rFonts w:ascii="Arial Narrow" w:hAnsi="Arial Narrow"/>
          <w:b/>
          <w:bCs/>
          <w:sz w:val="24"/>
          <w:szCs w:val="24"/>
          <w:lang w:val="en-US"/>
        </w:rPr>
        <w:t>kraja</w:t>
      </w:r>
      <w:proofErr w:type="spellEnd"/>
      <w:r>
        <w:rPr>
          <w:rFonts w:ascii="Arial Narrow" w:hAnsi="Arial Narrow"/>
          <w:b/>
          <w:bCs/>
          <w:sz w:val="24"/>
          <w:szCs w:val="24"/>
          <w:lang w:val="en-US"/>
        </w:rPr>
        <w:t xml:space="preserve"> 2024. </w:t>
      </w:r>
      <w:proofErr w:type="spellStart"/>
      <w:r w:rsidRPr="004A0212">
        <w:rPr>
          <w:rFonts w:ascii="Arial Narrow" w:hAnsi="Arial Narrow"/>
          <w:sz w:val="24"/>
          <w:szCs w:val="24"/>
          <w:lang w:val="en-US"/>
        </w:rPr>
        <w:t>Radiće</w:t>
      </w:r>
      <w:proofErr w:type="spellEnd"/>
      <w:r w:rsidRPr="004A0212">
        <w:rPr>
          <w:rFonts w:ascii="Arial Narrow" w:hAnsi="Arial Narrow"/>
          <w:sz w:val="24"/>
          <w:szCs w:val="24"/>
          <w:lang w:val="en-US"/>
        </w:rPr>
        <w:t xml:space="preserve"> se </w:t>
      </w:r>
      <w:proofErr w:type="spellStart"/>
      <w:r w:rsidRPr="004A0212">
        <w:rPr>
          <w:rFonts w:ascii="Arial Narrow" w:hAnsi="Arial Narrow"/>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povećanju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broja</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organizovanih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događaja</w:t>
      </w:r>
      <w:proofErr w:type="spellEnd"/>
      <w:r w:rsidRPr="00AD0AE2">
        <w:rPr>
          <w:rFonts w:ascii="Arial Narrow" w:hAnsi="Arial Narrow"/>
          <w:b/>
          <w:bCs/>
          <w:sz w:val="24"/>
          <w:szCs w:val="24"/>
          <w:lang w:val="en-US"/>
        </w:rPr>
        <w:t xml:space="preserve"> za </w:t>
      </w:r>
      <w:proofErr w:type="spellStart"/>
      <w:r w:rsidRPr="00AD0AE2">
        <w:rPr>
          <w:rFonts w:ascii="Arial Narrow" w:hAnsi="Arial Narrow"/>
          <w:b/>
          <w:bCs/>
          <w:sz w:val="24"/>
          <w:szCs w:val="24"/>
          <w:lang w:val="en-US"/>
        </w:rPr>
        <w:t>mlade</w:t>
      </w:r>
      <w:proofErr w:type="spellEnd"/>
      <w:r w:rsidRPr="00AD0AE2">
        <w:rPr>
          <w:rFonts w:ascii="Arial Narrow" w:hAnsi="Arial Narrow"/>
          <w:b/>
          <w:bCs/>
          <w:sz w:val="24"/>
          <w:szCs w:val="24"/>
          <w:lang w:val="en-US"/>
        </w:rPr>
        <w:t xml:space="preserve"> u </w:t>
      </w:r>
      <w:proofErr w:type="spellStart"/>
      <w:r w:rsidRPr="00AD0AE2">
        <w:rPr>
          <w:rFonts w:ascii="Arial Narrow" w:hAnsi="Arial Narrow"/>
          <w:b/>
          <w:bCs/>
          <w:sz w:val="24"/>
          <w:szCs w:val="24"/>
          <w:lang w:val="en-US"/>
        </w:rPr>
        <w:t>okviru</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omladinskih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servisa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sa</w:t>
      </w:r>
      <w:proofErr w:type="spellEnd"/>
      <w:r>
        <w:rPr>
          <w:rFonts w:ascii="Arial Narrow" w:hAnsi="Arial Narrow"/>
          <w:b/>
          <w:bCs/>
          <w:sz w:val="24"/>
          <w:szCs w:val="24"/>
          <w:lang w:val="en-US"/>
        </w:rPr>
        <w:t xml:space="preserve"> </w:t>
      </w:r>
      <w:r w:rsidRPr="00AD0AE2">
        <w:rPr>
          <w:rFonts w:ascii="Arial Narrow" w:hAnsi="Arial Narrow"/>
          <w:b/>
          <w:bCs/>
          <w:sz w:val="24"/>
          <w:szCs w:val="24"/>
          <w:lang w:val="en-US"/>
        </w:rPr>
        <w:t>65</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2</w:t>
      </w:r>
      <w:r w:rsidRPr="00AD0AE2">
        <w:rPr>
          <w:rFonts w:ascii="Arial Narrow" w:hAnsi="Arial Narrow"/>
          <w:b/>
          <w:bCs/>
          <w:sz w:val="24"/>
          <w:szCs w:val="24"/>
          <w:lang w:val="en-US"/>
        </w:rPr>
        <w:t>70</w:t>
      </w:r>
      <w:r>
        <w:rPr>
          <w:rFonts w:ascii="Arial Narrow" w:hAnsi="Arial Narrow"/>
          <w:b/>
          <w:bCs/>
          <w:sz w:val="24"/>
          <w:szCs w:val="24"/>
          <w:lang w:val="en-US"/>
        </w:rPr>
        <w:t xml:space="preserve"> u 2024. </w:t>
      </w:r>
      <w:proofErr w:type="spellStart"/>
      <w:r>
        <w:rPr>
          <w:rFonts w:ascii="Arial Narrow" w:hAnsi="Arial Narrow"/>
          <w:b/>
          <w:bCs/>
          <w:sz w:val="24"/>
          <w:szCs w:val="24"/>
          <w:lang w:val="en-US"/>
        </w:rPr>
        <w:t>godini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Kroz</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navedene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promjene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ćemo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uticati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povećanje</w:t>
      </w:r>
      <w:proofErr w:type="spellEnd"/>
      <w:r>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broj</w:t>
      </w:r>
      <w:r>
        <w:rPr>
          <w:rFonts w:ascii="Arial Narrow" w:hAnsi="Arial Narrow"/>
          <w:b/>
          <w:bCs/>
          <w:sz w:val="24"/>
          <w:szCs w:val="24"/>
          <w:lang w:val="en-US"/>
        </w:rPr>
        <w:t>a</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mladih</w:t>
      </w:r>
      <w:proofErr w:type="spellEnd"/>
      <w:r w:rsidRPr="00AD0AE2">
        <w:rPr>
          <w:rFonts w:ascii="Arial Narrow" w:hAnsi="Arial Narrow"/>
          <w:b/>
          <w:bCs/>
          <w:sz w:val="24"/>
          <w:szCs w:val="24"/>
          <w:lang w:val="en-US"/>
        </w:rPr>
        <w:t xml:space="preserve"> koji </w:t>
      </w:r>
      <w:proofErr w:type="spellStart"/>
      <w:r w:rsidRPr="00AD0AE2">
        <w:rPr>
          <w:rFonts w:ascii="Arial Narrow" w:hAnsi="Arial Narrow"/>
          <w:b/>
          <w:bCs/>
          <w:sz w:val="24"/>
          <w:szCs w:val="24"/>
          <w:lang w:val="en-US"/>
        </w:rPr>
        <w:t>su</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aktivno</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učestvovali</w:t>
      </w:r>
      <w:proofErr w:type="spellEnd"/>
      <w:r w:rsidRPr="00AD0AE2">
        <w:rPr>
          <w:rFonts w:ascii="Arial Narrow" w:hAnsi="Arial Narrow"/>
          <w:b/>
          <w:bCs/>
          <w:sz w:val="24"/>
          <w:szCs w:val="24"/>
          <w:lang w:val="en-US"/>
        </w:rPr>
        <w:t xml:space="preserve"> u </w:t>
      </w:r>
      <w:proofErr w:type="spellStart"/>
      <w:r w:rsidRPr="00AD0AE2">
        <w:rPr>
          <w:rFonts w:ascii="Arial Narrow" w:hAnsi="Arial Narrow"/>
          <w:b/>
          <w:bCs/>
          <w:sz w:val="24"/>
          <w:szCs w:val="24"/>
          <w:lang w:val="en-US"/>
        </w:rPr>
        <w:t>događajima</w:t>
      </w:r>
      <w:proofErr w:type="spellEnd"/>
      <w:r w:rsidRPr="00AD0AE2">
        <w:rPr>
          <w:rFonts w:ascii="Arial Narrow" w:hAnsi="Arial Narrow"/>
          <w:b/>
          <w:bCs/>
          <w:sz w:val="24"/>
          <w:szCs w:val="24"/>
          <w:lang w:val="en-US"/>
        </w:rPr>
        <w:t xml:space="preserve"> u </w:t>
      </w:r>
      <w:proofErr w:type="spellStart"/>
      <w:r w:rsidRPr="00AD0AE2">
        <w:rPr>
          <w:rFonts w:ascii="Arial Narrow" w:hAnsi="Arial Narrow"/>
          <w:b/>
          <w:bCs/>
          <w:sz w:val="24"/>
          <w:szCs w:val="24"/>
          <w:lang w:val="en-US"/>
        </w:rPr>
        <w:t>pravcu</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kreiranja</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javnih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politika</w:t>
      </w:r>
      <w:proofErr w:type="spellEnd"/>
      <w:r>
        <w:rPr>
          <w:rFonts w:ascii="Arial Narrow" w:hAnsi="Arial Narrow"/>
          <w:b/>
          <w:bCs/>
          <w:sz w:val="24"/>
          <w:szCs w:val="24"/>
          <w:lang w:val="en-US"/>
        </w:rPr>
        <w:t xml:space="preserve">. </w:t>
      </w:r>
      <w:r w:rsidRPr="004A0212">
        <w:rPr>
          <w:rFonts w:ascii="Arial Narrow" w:hAnsi="Arial Narrow"/>
          <w:sz w:val="24"/>
          <w:szCs w:val="24"/>
          <w:lang w:val="en-US"/>
        </w:rPr>
        <w:t>Pored toga</w:t>
      </w:r>
      <w:r>
        <w:rPr>
          <w:rFonts w:ascii="Arial Narrow" w:hAnsi="Arial Narrow"/>
          <w:b/>
          <w:bCs/>
          <w:sz w:val="24"/>
          <w:szCs w:val="24"/>
          <w:lang w:val="en-US"/>
        </w:rPr>
        <w:t xml:space="preserve">, </w:t>
      </w:r>
      <w:proofErr w:type="spellStart"/>
      <w:r>
        <w:rPr>
          <w:rFonts w:ascii="Arial Narrow" w:hAnsi="Arial Narrow"/>
          <w:b/>
          <w:bCs/>
          <w:sz w:val="24"/>
          <w:szCs w:val="24"/>
          <w:lang w:val="en-US"/>
        </w:rPr>
        <w:t>obezbjeđeno</w:t>
      </w:r>
      <w:proofErr w:type="spellEnd"/>
      <w:r>
        <w:rPr>
          <w:rFonts w:ascii="Arial Narrow" w:hAnsi="Arial Narrow"/>
          <w:b/>
          <w:bCs/>
          <w:sz w:val="24"/>
          <w:szCs w:val="24"/>
          <w:lang w:val="en-US"/>
        </w:rPr>
        <w:t xml:space="preserve"> je </w:t>
      </w:r>
      <w:proofErr w:type="spellStart"/>
      <w:r>
        <w:rPr>
          <w:rFonts w:ascii="Arial Narrow" w:hAnsi="Arial Narrow"/>
          <w:b/>
          <w:bCs/>
          <w:sz w:val="24"/>
          <w:szCs w:val="24"/>
          <w:lang w:val="en-US"/>
        </w:rPr>
        <w:t>korišćenje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Evropske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omladinske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kartice</w:t>
      </w:r>
      <w:proofErr w:type="spellEnd"/>
      <w:r w:rsidRPr="004A021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koja</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pruža</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benefite</w:t>
      </w:r>
      <w:proofErr w:type="spellEnd"/>
      <w:r w:rsidRPr="00AD0AE2">
        <w:rPr>
          <w:rFonts w:ascii="Arial Narrow" w:hAnsi="Arial Narrow"/>
          <w:b/>
          <w:bCs/>
          <w:sz w:val="24"/>
          <w:szCs w:val="24"/>
          <w:lang w:val="en-US"/>
        </w:rPr>
        <w:t xml:space="preserve"> za </w:t>
      </w:r>
      <w:proofErr w:type="spellStart"/>
      <w:r w:rsidRPr="00AD0AE2">
        <w:rPr>
          <w:rFonts w:ascii="Arial Narrow" w:hAnsi="Arial Narrow"/>
          <w:b/>
          <w:bCs/>
          <w:sz w:val="24"/>
          <w:szCs w:val="24"/>
          <w:lang w:val="en-US"/>
        </w:rPr>
        <w:t>mlade</w:t>
      </w:r>
      <w:proofErr w:type="spellEnd"/>
      <w:r>
        <w:rPr>
          <w:rFonts w:ascii="Arial Narrow" w:hAnsi="Arial Narrow"/>
          <w:b/>
          <w:bCs/>
          <w:sz w:val="24"/>
          <w:szCs w:val="24"/>
          <w:lang w:val="en-US"/>
        </w:rPr>
        <w:t xml:space="preserve">, za </w:t>
      </w:r>
      <w:proofErr w:type="spellStart"/>
      <w:r>
        <w:rPr>
          <w:rFonts w:ascii="Arial Narrow" w:hAnsi="Arial Narrow"/>
          <w:b/>
          <w:bCs/>
          <w:sz w:val="24"/>
          <w:szCs w:val="24"/>
          <w:lang w:val="en-US"/>
        </w:rPr>
        <w:t>koju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očekujemo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povećanje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broja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korisnika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66.000 u 2024. </w:t>
      </w:r>
      <w:proofErr w:type="spellStart"/>
      <w:r>
        <w:rPr>
          <w:rFonts w:ascii="Arial Narrow" w:hAnsi="Arial Narrow"/>
          <w:b/>
          <w:bCs/>
          <w:sz w:val="24"/>
          <w:szCs w:val="24"/>
          <w:lang w:val="en-US"/>
        </w:rPr>
        <w:t>godini</w:t>
      </w:r>
      <w:proofErr w:type="spellEnd"/>
      <w:r>
        <w:rPr>
          <w:rFonts w:ascii="Arial Narrow" w:hAnsi="Arial Narrow"/>
          <w:b/>
          <w:bCs/>
          <w:sz w:val="24"/>
          <w:szCs w:val="24"/>
          <w:lang w:val="en-US"/>
        </w:rPr>
        <w:t>.</w:t>
      </w:r>
    </w:p>
    <w:p w14:paraId="3C57B1A7" w14:textId="77777777" w:rsidR="003D6416" w:rsidRPr="00AD0AE2" w:rsidRDefault="003D6416" w:rsidP="003D6416">
      <w:pPr>
        <w:jc w:val="both"/>
        <w:rPr>
          <w:rFonts w:ascii="Arial Narrow" w:hAnsi="Arial Narrow"/>
          <w:b/>
          <w:bCs/>
          <w:sz w:val="24"/>
          <w:szCs w:val="24"/>
          <w:lang w:val="en-US"/>
        </w:rPr>
      </w:pPr>
      <w:proofErr w:type="spellStart"/>
      <w:r w:rsidRPr="00AD0AE2">
        <w:rPr>
          <w:rFonts w:ascii="Arial Narrow" w:hAnsi="Arial Narrow"/>
          <w:b/>
          <w:bCs/>
          <w:sz w:val="24"/>
          <w:szCs w:val="24"/>
          <w:lang w:val="en-US"/>
        </w:rPr>
        <w:t>Cilj</w:t>
      </w:r>
      <w:proofErr w:type="spellEnd"/>
      <w:r w:rsidRPr="00AD0AE2">
        <w:rPr>
          <w:rFonts w:ascii="Arial Narrow" w:hAnsi="Arial Narrow"/>
          <w:b/>
          <w:bCs/>
          <w:sz w:val="24"/>
          <w:szCs w:val="24"/>
          <w:lang w:val="en-US"/>
        </w:rPr>
        <w:t xml:space="preserve"> 4.</w:t>
      </w:r>
      <w:r>
        <w:rPr>
          <w:rFonts w:ascii="Arial Narrow" w:hAnsi="Arial Narrow"/>
          <w:b/>
          <w:bCs/>
          <w:sz w:val="24"/>
          <w:szCs w:val="24"/>
          <w:lang w:val="en-US"/>
        </w:rPr>
        <w:t>4</w:t>
      </w:r>
      <w:r w:rsidRPr="00AD0AE2">
        <w:rPr>
          <w:rFonts w:ascii="Arial Narrow" w:hAnsi="Arial Narrow"/>
          <w:b/>
          <w:bCs/>
          <w:sz w:val="24"/>
          <w:szCs w:val="24"/>
          <w:lang w:val="en-US"/>
        </w:rPr>
        <w:t>.</w:t>
      </w:r>
      <w:r>
        <w:rPr>
          <w:rFonts w:ascii="Arial Narrow" w:hAnsi="Arial Narrow"/>
          <w:b/>
          <w:bCs/>
          <w:sz w:val="24"/>
          <w:szCs w:val="24"/>
          <w:lang w:val="en-US"/>
        </w:rPr>
        <w:t xml:space="preserve"> </w:t>
      </w:r>
      <w:r w:rsidRPr="00AD0AE2">
        <w:rPr>
          <w:rFonts w:ascii="Arial Narrow" w:hAnsi="Arial Narrow"/>
          <w:b/>
          <w:bCs/>
          <w:sz w:val="24"/>
          <w:szCs w:val="24"/>
          <w:lang w:val="en-US"/>
        </w:rPr>
        <w:t>PODSTICANJE RAZVOJA I POVEĆANJE DOSTUPNOSTI SPORTA</w:t>
      </w:r>
    </w:p>
    <w:p w14:paraId="0B4730CF" w14:textId="77777777" w:rsidR="003D6416" w:rsidRPr="00AD0AE2" w:rsidRDefault="003D6416" w:rsidP="003D6416">
      <w:pPr>
        <w:jc w:val="both"/>
        <w:rPr>
          <w:rFonts w:ascii="Arial Narrow" w:hAnsi="Arial Narrow"/>
          <w:b/>
          <w:bCs/>
          <w:sz w:val="24"/>
          <w:szCs w:val="24"/>
          <w:lang w:val="en-US"/>
        </w:rPr>
      </w:pPr>
      <w:proofErr w:type="spellStart"/>
      <w:r w:rsidRPr="0054452D">
        <w:rPr>
          <w:rFonts w:ascii="Arial Narrow" w:hAnsi="Arial Narrow"/>
          <w:sz w:val="24"/>
          <w:szCs w:val="24"/>
          <w:lang w:val="en-US"/>
        </w:rPr>
        <w:t>Kroz</w:t>
      </w:r>
      <w:proofErr w:type="spellEnd"/>
      <w:r w:rsidRPr="0054452D">
        <w:rPr>
          <w:rFonts w:ascii="Arial Narrow" w:hAnsi="Arial Narrow"/>
          <w:sz w:val="24"/>
          <w:szCs w:val="24"/>
          <w:lang w:val="en-US"/>
        </w:rPr>
        <w:t xml:space="preserve"> </w:t>
      </w:r>
      <w:proofErr w:type="spellStart"/>
      <w:r w:rsidRPr="0054452D">
        <w:rPr>
          <w:rFonts w:ascii="Arial Narrow" w:hAnsi="Arial Narrow"/>
          <w:sz w:val="24"/>
          <w:szCs w:val="24"/>
          <w:lang w:val="en-US"/>
        </w:rPr>
        <w:t>pobolšan</w:t>
      </w:r>
      <w:proofErr w:type="spellEnd"/>
      <w:r w:rsidRPr="0054452D">
        <w:rPr>
          <w:rFonts w:ascii="Arial Narrow" w:hAnsi="Arial Narrow"/>
          <w:sz w:val="24"/>
          <w:szCs w:val="24"/>
          <w:lang w:val="en-US"/>
        </w:rPr>
        <w:t xml:space="preserve"> </w:t>
      </w:r>
      <w:proofErr w:type="spellStart"/>
      <w:r w:rsidRPr="0054452D">
        <w:rPr>
          <w:rFonts w:ascii="Arial Narrow" w:hAnsi="Arial Narrow"/>
          <w:sz w:val="24"/>
          <w:szCs w:val="24"/>
          <w:lang w:val="en-US"/>
        </w:rPr>
        <w:t>zakonodavni</w:t>
      </w:r>
      <w:proofErr w:type="spellEnd"/>
      <w:r w:rsidRPr="0054452D">
        <w:rPr>
          <w:rFonts w:ascii="Arial Narrow" w:hAnsi="Arial Narrow"/>
          <w:sz w:val="24"/>
          <w:szCs w:val="24"/>
          <w:lang w:val="en-US"/>
        </w:rPr>
        <w:t xml:space="preserve"> </w:t>
      </w:r>
      <w:proofErr w:type="spellStart"/>
      <w:r w:rsidRPr="0054452D">
        <w:rPr>
          <w:rFonts w:ascii="Arial Narrow" w:hAnsi="Arial Narrow"/>
          <w:sz w:val="24"/>
          <w:szCs w:val="24"/>
          <w:lang w:val="en-US"/>
        </w:rPr>
        <w:t>i</w:t>
      </w:r>
      <w:proofErr w:type="spellEnd"/>
      <w:r w:rsidRPr="0054452D">
        <w:rPr>
          <w:rFonts w:ascii="Arial Narrow" w:hAnsi="Arial Narrow"/>
          <w:sz w:val="24"/>
          <w:szCs w:val="24"/>
          <w:lang w:val="en-US"/>
        </w:rPr>
        <w:t xml:space="preserve"> </w:t>
      </w:r>
      <w:proofErr w:type="spellStart"/>
      <w:r w:rsidRPr="0054452D">
        <w:rPr>
          <w:rFonts w:ascii="Arial Narrow" w:hAnsi="Arial Narrow"/>
          <w:sz w:val="24"/>
          <w:szCs w:val="24"/>
          <w:lang w:val="en-US"/>
        </w:rPr>
        <w:t>strateški</w:t>
      </w:r>
      <w:proofErr w:type="spellEnd"/>
      <w:r w:rsidRPr="0054452D">
        <w:rPr>
          <w:rFonts w:ascii="Arial Narrow" w:hAnsi="Arial Narrow"/>
          <w:sz w:val="24"/>
          <w:szCs w:val="24"/>
          <w:lang w:val="en-US"/>
        </w:rPr>
        <w:t xml:space="preserve"> </w:t>
      </w:r>
      <w:proofErr w:type="spellStart"/>
      <w:r w:rsidRPr="0054452D">
        <w:rPr>
          <w:rFonts w:ascii="Arial Narrow" w:hAnsi="Arial Narrow"/>
          <w:sz w:val="24"/>
          <w:szCs w:val="24"/>
          <w:lang w:val="en-US"/>
        </w:rPr>
        <w:t>okvir</w:t>
      </w:r>
      <w:proofErr w:type="spellEnd"/>
      <w:r w:rsidRPr="0054452D">
        <w:rPr>
          <w:rFonts w:ascii="Arial Narrow" w:hAnsi="Arial Narrow"/>
          <w:sz w:val="24"/>
          <w:szCs w:val="24"/>
          <w:lang w:val="en-US"/>
        </w:rPr>
        <w:t xml:space="preserve"> </w:t>
      </w:r>
      <w:proofErr w:type="spellStart"/>
      <w:r w:rsidRPr="0054452D">
        <w:rPr>
          <w:rFonts w:ascii="Arial Narrow" w:hAnsi="Arial Narrow"/>
          <w:sz w:val="24"/>
          <w:szCs w:val="24"/>
          <w:lang w:val="en-US"/>
        </w:rPr>
        <w:t>ćemo</w:t>
      </w:r>
      <w:proofErr w:type="spellEnd"/>
      <w:r w:rsidRPr="0054452D">
        <w:rPr>
          <w:rFonts w:ascii="Arial Narrow" w:hAnsi="Arial Narrow"/>
          <w:sz w:val="24"/>
          <w:szCs w:val="24"/>
          <w:lang w:val="en-US"/>
        </w:rPr>
        <w:t xml:space="preserve"> </w:t>
      </w:r>
      <w:proofErr w:type="spellStart"/>
      <w:r w:rsidRPr="0054452D">
        <w:rPr>
          <w:rFonts w:ascii="Arial Narrow" w:hAnsi="Arial Narrow"/>
          <w:sz w:val="24"/>
          <w:szCs w:val="24"/>
          <w:lang w:val="en-US"/>
        </w:rPr>
        <w:t>osigurati</w:t>
      </w:r>
      <w:proofErr w:type="spellEnd"/>
      <w:r w:rsidRPr="0054452D">
        <w:rPr>
          <w:rFonts w:ascii="Arial Narrow" w:hAnsi="Arial Narrow"/>
          <w:sz w:val="24"/>
          <w:szCs w:val="24"/>
          <w:lang w:val="en-US"/>
        </w:rPr>
        <w:t xml:space="preserve"> da do </w:t>
      </w:r>
      <w:proofErr w:type="spellStart"/>
      <w:r w:rsidRPr="0054452D">
        <w:rPr>
          <w:rFonts w:ascii="Arial Narrow" w:hAnsi="Arial Narrow"/>
          <w:sz w:val="24"/>
          <w:szCs w:val="24"/>
          <w:lang w:val="en-US"/>
        </w:rPr>
        <w:t>kraja</w:t>
      </w:r>
      <w:proofErr w:type="spellEnd"/>
      <w:r w:rsidRPr="0054452D">
        <w:rPr>
          <w:rFonts w:ascii="Arial Narrow" w:hAnsi="Arial Narrow"/>
          <w:sz w:val="24"/>
          <w:szCs w:val="24"/>
          <w:lang w:val="en-US"/>
        </w:rPr>
        <w:t xml:space="preserve"> 2024. </w:t>
      </w:r>
      <w:r>
        <w:rPr>
          <w:rFonts w:ascii="Arial Narrow" w:hAnsi="Arial Narrow"/>
          <w:sz w:val="24"/>
          <w:szCs w:val="24"/>
          <w:lang w:val="en-US"/>
        </w:rPr>
        <w:t>u</w:t>
      </w:r>
      <w:r w:rsidRPr="0054452D">
        <w:rPr>
          <w:rFonts w:ascii="Arial Narrow" w:hAnsi="Arial Narrow"/>
          <w:sz w:val="24"/>
          <w:szCs w:val="24"/>
          <w:lang w:val="en-US"/>
        </w:rPr>
        <w:t xml:space="preserve"> </w:t>
      </w:r>
      <w:proofErr w:type="spellStart"/>
      <w:r w:rsidRPr="0054452D">
        <w:rPr>
          <w:rFonts w:ascii="Arial Narrow" w:hAnsi="Arial Narrow"/>
          <w:sz w:val="24"/>
          <w:szCs w:val="24"/>
          <w:lang w:val="en-US"/>
        </w:rPr>
        <w:t>Crnoj</w:t>
      </w:r>
      <w:proofErr w:type="spellEnd"/>
      <w:r w:rsidRPr="0054452D">
        <w:rPr>
          <w:rFonts w:ascii="Arial Narrow" w:hAnsi="Arial Narrow"/>
          <w:sz w:val="24"/>
          <w:szCs w:val="24"/>
          <w:lang w:val="en-US"/>
        </w:rPr>
        <w:t xml:space="preserve"> Gor</w:t>
      </w:r>
      <w:r>
        <w:rPr>
          <w:rFonts w:ascii="Arial Narrow" w:hAnsi="Arial Narrow"/>
          <w:sz w:val="24"/>
          <w:szCs w:val="24"/>
          <w:lang w:val="en-US"/>
        </w:rPr>
        <w:t>i</w:t>
      </w:r>
      <w:r w:rsidRPr="0054452D">
        <w:rPr>
          <w:rFonts w:ascii="Arial Narrow" w:hAnsi="Arial Narrow"/>
          <w:sz w:val="24"/>
          <w:szCs w:val="24"/>
          <w:lang w:val="en-US"/>
        </w:rPr>
        <w:t xml:space="preserve"> </w:t>
      </w:r>
      <w:proofErr w:type="spellStart"/>
      <w:r w:rsidRPr="0054452D">
        <w:rPr>
          <w:rFonts w:ascii="Arial Narrow" w:hAnsi="Arial Narrow"/>
          <w:sz w:val="24"/>
          <w:szCs w:val="24"/>
          <w:lang w:val="en-US"/>
        </w:rPr>
        <w:t>bude</w:t>
      </w:r>
      <w:proofErr w:type="spellEnd"/>
      <w:r>
        <w:rPr>
          <w:rFonts w:ascii="Arial Narrow" w:hAnsi="Arial Narrow"/>
          <w:b/>
          <w:bCs/>
          <w:sz w:val="24"/>
          <w:szCs w:val="24"/>
          <w:lang w:val="en-US"/>
        </w:rPr>
        <w:t xml:space="preserve"> 1000</w:t>
      </w:r>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registrovanih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i</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aktivnih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sportskih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klubova</w:t>
      </w:r>
      <w:proofErr w:type="spellEnd"/>
      <w:r>
        <w:rPr>
          <w:rFonts w:ascii="Arial Narrow" w:hAnsi="Arial Narrow"/>
          <w:b/>
          <w:bCs/>
          <w:sz w:val="24"/>
          <w:szCs w:val="24"/>
          <w:lang w:val="en-US"/>
        </w:rPr>
        <w:t xml:space="preserve">, </w:t>
      </w:r>
      <w:r w:rsidRPr="00AD0AE2">
        <w:rPr>
          <w:rFonts w:ascii="Arial Narrow" w:hAnsi="Arial Narrow"/>
          <w:b/>
          <w:bCs/>
          <w:sz w:val="24"/>
          <w:szCs w:val="24"/>
          <w:lang w:val="en-US"/>
        </w:rPr>
        <w:t>14.689</w:t>
      </w:r>
      <w:r>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sportista</w:t>
      </w:r>
      <w:proofErr w:type="spellEnd"/>
      <w:r w:rsidRPr="00AD0AE2">
        <w:rPr>
          <w:rFonts w:ascii="Arial Narrow" w:hAnsi="Arial Narrow"/>
          <w:b/>
          <w:bCs/>
          <w:sz w:val="24"/>
          <w:szCs w:val="24"/>
          <w:lang w:val="en-US"/>
        </w:rPr>
        <w:t xml:space="preserve"> do 18 </w:t>
      </w:r>
      <w:proofErr w:type="spellStart"/>
      <w:r w:rsidRPr="00AD0AE2">
        <w:rPr>
          <w:rFonts w:ascii="Arial Narrow" w:hAnsi="Arial Narrow"/>
          <w:b/>
          <w:bCs/>
          <w:sz w:val="24"/>
          <w:szCs w:val="24"/>
          <w:lang w:val="en-US"/>
        </w:rPr>
        <w:t>godina</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uključenih</w:t>
      </w:r>
      <w:proofErr w:type="spellEnd"/>
      <w:r w:rsidRPr="00AD0AE2">
        <w:rPr>
          <w:rFonts w:ascii="Arial Narrow" w:hAnsi="Arial Narrow"/>
          <w:b/>
          <w:bCs/>
          <w:sz w:val="24"/>
          <w:szCs w:val="24"/>
          <w:lang w:val="en-US"/>
        </w:rPr>
        <w:t xml:space="preserve"> u </w:t>
      </w:r>
      <w:proofErr w:type="spellStart"/>
      <w:r w:rsidRPr="00AD0AE2">
        <w:rPr>
          <w:rFonts w:ascii="Arial Narrow" w:hAnsi="Arial Narrow"/>
          <w:b/>
          <w:bCs/>
          <w:sz w:val="24"/>
          <w:szCs w:val="24"/>
          <w:lang w:val="en-US"/>
        </w:rPr>
        <w:t>organizovanu</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sportsku</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aktivnost</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koje</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sprovode</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sportske</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organizacije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kao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30 </w:t>
      </w:r>
      <w:proofErr w:type="spellStart"/>
      <w:r w:rsidRPr="00AD0AE2">
        <w:rPr>
          <w:rFonts w:ascii="Arial Narrow" w:hAnsi="Arial Narrow"/>
          <w:b/>
          <w:bCs/>
          <w:sz w:val="24"/>
          <w:szCs w:val="24"/>
          <w:lang w:val="en-US"/>
        </w:rPr>
        <w:t>rekonstruisanih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adaptiranih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i</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opremljenih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sportskih</w:t>
      </w:r>
      <w:proofErr w:type="spellEnd"/>
      <w:r w:rsidRPr="00AD0AE2">
        <w:rPr>
          <w:rFonts w:ascii="Arial Narrow" w:hAnsi="Arial Narrow"/>
          <w:b/>
          <w:bCs/>
          <w:sz w:val="24"/>
          <w:szCs w:val="24"/>
          <w:lang w:val="en-US"/>
        </w:rPr>
        <w:t xml:space="preserve"> </w:t>
      </w:r>
      <w:proofErr w:type="spellStart"/>
      <w:r>
        <w:rPr>
          <w:rFonts w:ascii="Arial Narrow" w:hAnsi="Arial Narrow"/>
          <w:b/>
          <w:bCs/>
          <w:sz w:val="24"/>
          <w:szCs w:val="24"/>
          <w:lang w:val="en-US"/>
        </w:rPr>
        <w:t>objekata</w:t>
      </w:r>
      <w:proofErr w:type="spellEnd"/>
      <w:r>
        <w:rPr>
          <w:rFonts w:ascii="Arial Narrow" w:hAnsi="Arial Narrow"/>
          <w:b/>
          <w:bCs/>
          <w:sz w:val="24"/>
          <w:szCs w:val="24"/>
          <w:lang w:val="en-US"/>
        </w:rPr>
        <w:t>.</w:t>
      </w:r>
    </w:p>
    <w:p w14:paraId="45282035" w14:textId="77777777" w:rsidR="003D6416" w:rsidRPr="00AD0AE2" w:rsidRDefault="003D6416" w:rsidP="003D6416">
      <w:pPr>
        <w:jc w:val="both"/>
        <w:rPr>
          <w:rFonts w:ascii="Arial Narrow" w:hAnsi="Arial Narrow"/>
          <w:b/>
          <w:bCs/>
          <w:sz w:val="24"/>
          <w:szCs w:val="24"/>
          <w:lang w:val="en-US"/>
        </w:rPr>
      </w:pPr>
      <w:proofErr w:type="spellStart"/>
      <w:r w:rsidRPr="00AD0AE2">
        <w:rPr>
          <w:rFonts w:ascii="Arial Narrow" w:hAnsi="Arial Narrow"/>
          <w:b/>
          <w:bCs/>
          <w:sz w:val="24"/>
          <w:szCs w:val="24"/>
          <w:lang w:val="en-US"/>
        </w:rPr>
        <w:t>Cilj</w:t>
      </w:r>
      <w:proofErr w:type="spellEnd"/>
      <w:r w:rsidRPr="00AD0AE2">
        <w:rPr>
          <w:rFonts w:ascii="Arial Narrow" w:hAnsi="Arial Narrow"/>
          <w:b/>
          <w:bCs/>
          <w:sz w:val="24"/>
          <w:szCs w:val="24"/>
          <w:lang w:val="en-US"/>
        </w:rPr>
        <w:t xml:space="preserve"> 4.</w:t>
      </w:r>
      <w:r>
        <w:rPr>
          <w:rFonts w:ascii="Arial Narrow" w:hAnsi="Arial Narrow"/>
          <w:b/>
          <w:bCs/>
          <w:sz w:val="24"/>
          <w:szCs w:val="24"/>
          <w:lang w:val="en-US"/>
        </w:rPr>
        <w:t>5</w:t>
      </w:r>
      <w:r w:rsidRPr="00AD0AE2">
        <w:rPr>
          <w:rFonts w:ascii="Arial Narrow" w:hAnsi="Arial Narrow"/>
          <w:b/>
          <w:bCs/>
          <w:sz w:val="24"/>
          <w:szCs w:val="24"/>
          <w:lang w:val="en-US"/>
        </w:rPr>
        <w:t>. JAČANJE NACIONALNE NAUČNE, ISTRAŽIVAČKE I INOVACIONE INFRASTRUKTURE</w:t>
      </w:r>
    </w:p>
    <w:p w14:paraId="2F687522" w14:textId="77777777" w:rsidR="003D6416" w:rsidRPr="00AD0AE2" w:rsidRDefault="003D6416" w:rsidP="003D6416">
      <w:pPr>
        <w:jc w:val="both"/>
        <w:rPr>
          <w:rFonts w:ascii="Arial Narrow" w:hAnsi="Arial Narrow"/>
          <w:b/>
          <w:bCs/>
          <w:sz w:val="24"/>
          <w:szCs w:val="24"/>
          <w:lang w:val="en-US"/>
        </w:rPr>
      </w:pPr>
      <w:r>
        <w:rPr>
          <w:rFonts w:ascii="Arial Narrow" w:hAnsi="Arial Narrow"/>
          <w:b/>
          <w:bCs/>
          <w:sz w:val="24"/>
          <w:szCs w:val="24"/>
          <w:lang w:val="en-US"/>
        </w:rPr>
        <w:t xml:space="preserve">Kao </w:t>
      </w:r>
      <w:proofErr w:type="spellStart"/>
      <w:r>
        <w:rPr>
          <w:rFonts w:ascii="Arial Narrow" w:hAnsi="Arial Narrow"/>
          <w:b/>
          <w:bCs/>
          <w:sz w:val="24"/>
          <w:szCs w:val="24"/>
          <w:lang w:val="en-US"/>
        </w:rPr>
        <w:t>potvrda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ulaganja</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inovacije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naša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pozicija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Globaln</w:t>
      </w:r>
      <w:r>
        <w:rPr>
          <w:rFonts w:ascii="Arial Narrow" w:hAnsi="Arial Narrow"/>
          <w:b/>
          <w:bCs/>
          <w:sz w:val="24"/>
          <w:szCs w:val="24"/>
          <w:lang w:val="en-US"/>
        </w:rPr>
        <w:t>om</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indeks</w:t>
      </w:r>
      <w:r>
        <w:rPr>
          <w:rFonts w:ascii="Arial Narrow" w:hAnsi="Arial Narrow"/>
          <w:b/>
          <w:bCs/>
          <w:sz w:val="24"/>
          <w:szCs w:val="24"/>
          <w:lang w:val="en-US"/>
        </w:rPr>
        <w:t>u</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inovativnosti</w:t>
      </w:r>
      <w:proofErr w:type="spellEnd"/>
      <w:r w:rsidRPr="00AD0AE2">
        <w:rPr>
          <w:rFonts w:ascii="Arial Narrow" w:hAnsi="Arial Narrow"/>
          <w:b/>
          <w:bCs/>
          <w:sz w:val="24"/>
          <w:szCs w:val="24"/>
          <w:lang w:val="en-US"/>
        </w:rPr>
        <w:t xml:space="preserve"> (GII) </w:t>
      </w:r>
      <w:r>
        <w:rPr>
          <w:rFonts w:ascii="Arial Narrow" w:hAnsi="Arial Narrow"/>
          <w:b/>
          <w:bCs/>
          <w:sz w:val="24"/>
          <w:szCs w:val="24"/>
          <w:lang w:val="en-US"/>
        </w:rPr>
        <w:t xml:space="preserve">u </w:t>
      </w:r>
      <w:proofErr w:type="spellStart"/>
      <w:r>
        <w:rPr>
          <w:rFonts w:ascii="Arial Narrow" w:hAnsi="Arial Narrow"/>
          <w:b/>
          <w:bCs/>
          <w:sz w:val="24"/>
          <w:szCs w:val="24"/>
          <w:lang w:val="en-US"/>
        </w:rPr>
        <w:t>okviru</w:t>
      </w:r>
      <w:proofErr w:type="spellEnd"/>
      <w:r>
        <w:rPr>
          <w:rFonts w:ascii="Arial Narrow" w:hAnsi="Arial Narrow"/>
          <w:b/>
          <w:bCs/>
          <w:sz w:val="24"/>
          <w:szCs w:val="24"/>
          <w:lang w:val="en-US"/>
        </w:rPr>
        <w:t xml:space="preserve"> infrastructure,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unaprijeđena</w:t>
      </w:r>
      <w:proofErr w:type="spellEnd"/>
      <w:r>
        <w:rPr>
          <w:rFonts w:ascii="Arial Narrow" w:hAnsi="Arial Narrow"/>
          <w:b/>
          <w:bCs/>
          <w:sz w:val="24"/>
          <w:szCs w:val="24"/>
          <w:lang w:val="en-US"/>
        </w:rPr>
        <w:t xml:space="preserve"> za </w:t>
      </w:r>
      <w:proofErr w:type="spellStart"/>
      <w:r>
        <w:rPr>
          <w:rFonts w:ascii="Arial Narrow" w:hAnsi="Arial Narrow"/>
          <w:b/>
          <w:bCs/>
          <w:sz w:val="24"/>
          <w:szCs w:val="24"/>
          <w:lang w:val="en-US"/>
        </w:rPr>
        <w:t>sedam</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mjesta</w:t>
      </w:r>
      <w:proofErr w:type="spellEnd"/>
      <w:r>
        <w:rPr>
          <w:rFonts w:ascii="Arial Narrow" w:hAnsi="Arial Narrow"/>
          <w:b/>
          <w:bCs/>
          <w:sz w:val="24"/>
          <w:szCs w:val="24"/>
          <w:lang w:val="en-US"/>
        </w:rPr>
        <w:t xml:space="preserve"> – od 60. do 53. </w:t>
      </w:r>
      <w:proofErr w:type="spellStart"/>
      <w:r>
        <w:rPr>
          <w:rFonts w:ascii="Arial Narrow" w:hAnsi="Arial Narrow"/>
          <w:b/>
          <w:bCs/>
          <w:sz w:val="24"/>
          <w:szCs w:val="24"/>
          <w:lang w:val="en-US"/>
        </w:rPr>
        <w:t>Ulaganja</w:t>
      </w:r>
      <w:proofErr w:type="spellEnd"/>
      <w:r>
        <w:rPr>
          <w:rFonts w:ascii="Arial Narrow" w:hAnsi="Arial Narrow"/>
          <w:b/>
          <w:bCs/>
          <w:sz w:val="24"/>
          <w:szCs w:val="24"/>
          <w:lang w:val="en-US"/>
        </w:rPr>
        <w:t xml:space="preserve"> u </w:t>
      </w:r>
      <w:proofErr w:type="spellStart"/>
      <w:r>
        <w:rPr>
          <w:rFonts w:ascii="Arial Narrow" w:hAnsi="Arial Narrow"/>
          <w:b/>
          <w:bCs/>
          <w:sz w:val="24"/>
          <w:szCs w:val="24"/>
          <w:lang w:val="en-US"/>
        </w:rPr>
        <w:t>istraživanje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razvoj</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porasti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izdvojićemo</w:t>
      </w:r>
      <w:proofErr w:type="spellEnd"/>
      <w:r>
        <w:rPr>
          <w:rFonts w:ascii="Arial Narrow" w:hAnsi="Arial Narrow"/>
          <w:b/>
          <w:bCs/>
          <w:sz w:val="24"/>
          <w:szCs w:val="24"/>
          <w:lang w:val="en-US"/>
        </w:rPr>
        <w:t xml:space="preserve"> 0,5% BDP-a za </w:t>
      </w:r>
      <w:proofErr w:type="spellStart"/>
      <w:r>
        <w:rPr>
          <w:rFonts w:ascii="Arial Narrow" w:hAnsi="Arial Narrow"/>
          <w:b/>
          <w:bCs/>
          <w:sz w:val="24"/>
          <w:szCs w:val="24"/>
          <w:lang w:val="en-US"/>
        </w:rPr>
        <w:t>te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svrhe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što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dopriniejti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povećanju</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w:t>
      </w:r>
      <w:r w:rsidRPr="00AD0AE2">
        <w:rPr>
          <w:rFonts w:ascii="Arial Narrow" w:hAnsi="Arial Narrow"/>
          <w:b/>
          <w:bCs/>
          <w:sz w:val="24"/>
          <w:szCs w:val="24"/>
          <w:lang w:val="en-US"/>
        </w:rPr>
        <w:t>roj</w:t>
      </w:r>
      <w:r>
        <w:rPr>
          <w:rFonts w:ascii="Arial Narrow" w:hAnsi="Arial Narrow"/>
          <w:b/>
          <w:bCs/>
          <w:sz w:val="24"/>
          <w:szCs w:val="24"/>
          <w:lang w:val="en-US"/>
        </w:rPr>
        <w:t>a</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ukupno</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registrovanih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istraživača</w:t>
      </w:r>
      <w:proofErr w:type="spellEnd"/>
      <w:r w:rsidRPr="00AD0AE2">
        <w:rPr>
          <w:rFonts w:ascii="Arial Narrow" w:hAnsi="Arial Narrow"/>
          <w:b/>
          <w:bCs/>
          <w:sz w:val="24"/>
          <w:szCs w:val="24"/>
          <w:lang w:val="en-US"/>
        </w:rPr>
        <w:t xml:space="preserve"> u </w:t>
      </w:r>
      <w:proofErr w:type="spellStart"/>
      <w:r w:rsidRPr="00AD0AE2">
        <w:rPr>
          <w:rFonts w:ascii="Arial Narrow" w:hAnsi="Arial Narrow"/>
          <w:b/>
          <w:bCs/>
          <w:sz w:val="24"/>
          <w:szCs w:val="24"/>
          <w:lang w:val="en-US"/>
        </w:rPr>
        <w:t>Crnoj</w:t>
      </w:r>
      <w:proofErr w:type="spellEnd"/>
      <w:r w:rsidRPr="00AD0AE2">
        <w:rPr>
          <w:rFonts w:ascii="Arial Narrow" w:hAnsi="Arial Narrow"/>
          <w:b/>
          <w:bCs/>
          <w:sz w:val="24"/>
          <w:szCs w:val="24"/>
          <w:lang w:val="en-US"/>
        </w:rPr>
        <w:t xml:space="preserve"> Gori</w:t>
      </w:r>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AD0AE2">
        <w:rPr>
          <w:rFonts w:ascii="Arial Narrow" w:hAnsi="Arial Narrow"/>
          <w:b/>
          <w:bCs/>
          <w:sz w:val="24"/>
          <w:szCs w:val="24"/>
          <w:lang w:val="en-US"/>
        </w:rPr>
        <w:t>1600</w:t>
      </w:r>
      <w:r>
        <w:rPr>
          <w:rFonts w:ascii="Arial Narrow" w:hAnsi="Arial Narrow"/>
          <w:b/>
          <w:bCs/>
          <w:sz w:val="24"/>
          <w:szCs w:val="24"/>
          <w:lang w:val="en-US"/>
        </w:rPr>
        <w:t>.</w:t>
      </w:r>
    </w:p>
    <w:p w14:paraId="5562780F" w14:textId="77777777" w:rsidR="003D6416" w:rsidRDefault="003D6416" w:rsidP="003D6416">
      <w:pPr>
        <w:jc w:val="both"/>
        <w:rPr>
          <w:rFonts w:ascii="Arial Narrow" w:hAnsi="Arial Narrow"/>
          <w:sz w:val="24"/>
          <w:szCs w:val="24"/>
          <w:lang w:val="en-GB" w:eastAsia="en-GB"/>
        </w:rPr>
      </w:pPr>
    </w:p>
    <w:p w14:paraId="3DA4C811" w14:textId="77777777" w:rsidR="003D6416" w:rsidRDefault="003D6416" w:rsidP="003D6416">
      <w:pPr>
        <w:pStyle w:val="ListParagraph"/>
        <w:jc w:val="both"/>
        <w:rPr>
          <w:rFonts w:ascii="Arial Narrow" w:hAnsi="Arial Narrow"/>
          <w:b/>
          <w:bCs/>
          <w:sz w:val="24"/>
          <w:szCs w:val="24"/>
          <w:lang w:val="en-US"/>
        </w:rPr>
      </w:pPr>
      <w:r w:rsidRPr="00605A99">
        <w:rPr>
          <w:rFonts w:ascii="Arial Narrow" w:hAnsi="Arial Narrow" w:cs="TimesNewRoman"/>
          <w:b/>
          <w:bCs/>
          <w:noProof/>
          <w:lang w:val="en-US"/>
        </w:rPr>
        <w:drawing>
          <wp:anchor distT="0" distB="0" distL="114300" distR="114300" simplePos="0" relativeHeight="251709440" behindDoc="0" locked="0" layoutInCell="1" allowOverlap="1" wp14:anchorId="6B554CBC" wp14:editId="426DAD27">
            <wp:simplePos x="0" y="0"/>
            <wp:positionH relativeFrom="margin">
              <wp:posOffset>310642</wp:posOffset>
            </wp:positionH>
            <wp:positionV relativeFrom="paragraph">
              <wp:posOffset>11430</wp:posOffset>
            </wp:positionV>
            <wp:extent cx="474980" cy="474980"/>
            <wp:effectExtent l="0" t="0" r="1270" b="1270"/>
            <wp:wrapSquare wrapText="bothSides"/>
            <wp:docPr id="8" name="Picture 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054-technology-innovation-digital-data-information-51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4980" cy="474980"/>
                    </a:xfrm>
                    <a:prstGeom prst="rect">
                      <a:avLst/>
                    </a:prstGeom>
                  </pic:spPr>
                </pic:pic>
              </a:graphicData>
            </a:graphic>
            <wp14:sizeRelH relativeFrom="margin">
              <wp14:pctWidth>0</wp14:pctWidth>
            </wp14:sizeRelH>
          </wp:anchor>
        </w:drawing>
      </w:r>
      <w:r w:rsidRPr="00605A99">
        <w:rPr>
          <w:rFonts w:ascii="Arial Narrow" w:hAnsi="Arial Narrow"/>
          <w:b/>
          <w:bCs/>
          <w:sz w:val="24"/>
          <w:szCs w:val="24"/>
          <w:lang w:val="en-US"/>
        </w:rPr>
        <w:t>DIGITALNA TRANSFORMACIJA</w:t>
      </w:r>
    </w:p>
    <w:p w14:paraId="759C0E3D" w14:textId="77777777" w:rsidR="003D6416" w:rsidRDefault="003D6416" w:rsidP="003D6416">
      <w:pPr>
        <w:pStyle w:val="ListParagraph"/>
        <w:jc w:val="both"/>
        <w:rPr>
          <w:rFonts w:ascii="Arial Narrow" w:hAnsi="Arial Narrow"/>
          <w:b/>
          <w:bCs/>
          <w:sz w:val="24"/>
          <w:szCs w:val="24"/>
          <w:lang w:val="en-US"/>
        </w:rPr>
      </w:pPr>
    </w:p>
    <w:p w14:paraId="7EDB20BC" w14:textId="77777777" w:rsidR="003D6416" w:rsidRDefault="003D6416" w:rsidP="003D6416">
      <w:pPr>
        <w:pStyle w:val="ListParagraph"/>
        <w:jc w:val="both"/>
        <w:rPr>
          <w:rFonts w:ascii="Arial Narrow" w:hAnsi="Arial Narrow"/>
          <w:b/>
          <w:bCs/>
          <w:sz w:val="24"/>
          <w:szCs w:val="24"/>
          <w:lang w:val="en-US"/>
        </w:rPr>
      </w:pPr>
    </w:p>
    <w:p w14:paraId="3783BFC3" w14:textId="77777777" w:rsidR="003D6416" w:rsidRPr="00160909" w:rsidRDefault="003D6416" w:rsidP="003D6416">
      <w:pPr>
        <w:jc w:val="both"/>
        <w:rPr>
          <w:rFonts w:ascii="Arial Narrow" w:hAnsi="Arial Narrow"/>
          <w:b/>
          <w:bCs/>
          <w:sz w:val="24"/>
          <w:szCs w:val="24"/>
          <w:lang w:val="en-US"/>
        </w:rPr>
      </w:pPr>
      <w:proofErr w:type="spellStart"/>
      <w:r w:rsidRPr="00160909">
        <w:rPr>
          <w:rFonts w:ascii="Arial Narrow" w:hAnsi="Arial Narrow"/>
          <w:b/>
          <w:bCs/>
          <w:sz w:val="24"/>
          <w:szCs w:val="24"/>
          <w:lang w:val="en-US"/>
        </w:rPr>
        <w:t>Cilj</w:t>
      </w:r>
      <w:proofErr w:type="spellEnd"/>
      <w:r w:rsidRPr="00160909">
        <w:rPr>
          <w:rFonts w:ascii="Arial Narrow" w:hAnsi="Arial Narrow"/>
          <w:b/>
          <w:bCs/>
          <w:sz w:val="24"/>
          <w:szCs w:val="24"/>
          <w:lang w:val="en-US"/>
        </w:rPr>
        <w:t xml:space="preserve"> 5.1.</w:t>
      </w:r>
      <w:r>
        <w:rPr>
          <w:rFonts w:ascii="Arial Narrow" w:hAnsi="Arial Narrow"/>
          <w:b/>
          <w:bCs/>
          <w:sz w:val="24"/>
          <w:szCs w:val="24"/>
          <w:lang w:val="en-US"/>
        </w:rPr>
        <w:t xml:space="preserve"> </w:t>
      </w:r>
      <w:r w:rsidRPr="00160909">
        <w:rPr>
          <w:rFonts w:ascii="Arial Narrow" w:hAnsi="Arial Narrow"/>
          <w:b/>
          <w:bCs/>
          <w:sz w:val="24"/>
          <w:szCs w:val="24"/>
          <w:lang w:val="en-US"/>
        </w:rPr>
        <w:t>ADMINISTRACIJA BEZ PAPIRA I RAZVOJ ELEKTRONSKIH USLUGA</w:t>
      </w:r>
    </w:p>
    <w:p w14:paraId="5460723B" w14:textId="77777777" w:rsidR="003D6416" w:rsidRDefault="003D6416" w:rsidP="003D6416">
      <w:pPr>
        <w:jc w:val="both"/>
        <w:rPr>
          <w:rFonts w:ascii="Arial Narrow" w:hAnsi="Arial Narrow"/>
          <w:b/>
          <w:bCs/>
          <w:sz w:val="24"/>
          <w:szCs w:val="24"/>
          <w:lang w:val="en-US"/>
        </w:rPr>
      </w:pPr>
      <w:proofErr w:type="spellStart"/>
      <w:r w:rsidRPr="00A90D15">
        <w:rPr>
          <w:rFonts w:ascii="Arial Narrow" w:hAnsi="Arial Narrow"/>
          <w:sz w:val="24"/>
          <w:szCs w:val="24"/>
          <w:lang w:val="en-US"/>
        </w:rPr>
        <w:t>Kroz</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digitalizaciju</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sistema</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javne</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uprave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ćemo</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omogućiti</w:t>
      </w:r>
      <w:proofErr w:type="spellEnd"/>
      <w:r>
        <w:rPr>
          <w:rFonts w:ascii="Arial Narrow" w:hAnsi="Arial Narrow"/>
          <w:b/>
          <w:bCs/>
          <w:sz w:val="24"/>
          <w:szCs w:val="24"/>
          <w:lang w:val="en-US"/>
        </w:rPr>
        <w:t xml:space="preserve"> da u 50% </w:t>
      </w:r>
      <w:r w:rsidRPr="00160909">
        <w:rPr>
          <w:rFonts w:ascii="Arial Narrow" w:hAnsi="Arial Narrow"/>
          <w:b/>
          <w:bCs/>
          <w:sz w:val="24"/>
          <w:szCs w:val="24"/>
          <w:lang w:val="en-US"/>
        </w:rPr>
        <w:t xml:space="preserve">organa u </w:t>
      </w:r>
      <w:proofErr w:type="spellStart"/>
      <w:r w:rsidRPr="00160909">
        <w:rPr>
          <w:rFonts w:ascii="Arial Narrow" w:hAnsi="Arial Narrow"/>
          <w:b/>
          <w:bCs/>
          <w:sz w:val="24"/>
          <w:szCs w:val="24"/>
          <w:lang w:val="en-US"/>
        </w:rPr>
        <w:t>javnoj</w:t>
      </w:r>
      <w:proofErr w:type="spellEnd"/>
      <w:r w:rsidRPr="00160909">
        <w:rPr>
          <w:rFonts w:ascii="Arial Narrow" w:hAnsi="Arial Narrow"/>
          <w:b/>
          <w:bCs/>
          <w:sz w:val="24"/>
          <w:szCs w:val="24"/>
          <w:lang w:val="en-US"/>
        </w:rPr>
        <w:t xml:space="preserve"> </w:t>
      </w:r>
      <w:proofErr w:type="spellStart"/>
      <w:r w:rsidRPr="00160909">
        <w:rPr>
          <w:rFonts w:ascii="Arial Narrow" w:hAnsi="Arial Narrow"/>
          <w:b/>
          <w:bCs/>
          <w:sz w:val="24"/>
          <w:szCs w:val="24"/>
          <w:lang w:val="en-US"/>
        </w:rPr>
        <w:t>upravi</w:t>
      </w:r>
      <w:proofErr w:type="spellEnd"/>
      <w:r w:rsidRPr="00160909">
        <w:rPr>
          <w:rFonts w:ascii="Arial Narrow" w:hAnsi="Arial Narrow"/>
          <w:b/>
          <w:bCs/>
          <w:sz w:val="24"/>
          <w:szCs w:val="24"/>
          <w:lang w:val="en-US"/>
        </w:rPr>
        <w:t xml:space="preserve"> </w:t>
      </w:r>
      <w:proofErr w:type="spellStart"/>
      <w:r>
        <w:rPr>
          <w:rFonts w:ascii="Arial Narrow" w:hAnsi="Arial Narrow"/>
          <w:b/>
          <w:bCs/>
          <w:sz w:val="24"/>
          <w:szCs w:val="24"/>
          <w:lang w:val="en-US"/>
        </w:rPr>
        <w:t>bude</w:t>
      </w:r>
      <w:proofErr w:type="spellEnd"/>
      <w:r w:rsidRPr="00160909">
        <w:rPr>
          <w:rFonts w:ascii="Arial Narrow" w:hAnsi="Arial Narrow"/>
          <w:b/>
          <w:bCs/>
          <w:sz w:val="24"/>
          <w:szCs w:val="24"/>
          <w:lang w:val="en-US"/>
        </w:rPr>
        <w:t xml:space="preserve"> </w:t>
      </w:r>
      <w:proofErr w:type="spellStart"/>
      <w:r w:rsidRPr="00160909">
        <w:rPr>
          <w:rFonts w:ascii="Arial Narrow" w:hAnsi="Arial Narrow"/>
          <w:b/>
          <w:bCs/>
          <w:sz w:val="24"/>
          <w:szCs w:val="24"/>
          <w:lang w:val="en-US"/>
        </w:rPr>
        <w:t>uspostavljen</w:t>
      </w:r>
      <w:proofErr w:type="spellEnd"/>
      <w:r w:rsidRPr="00160909">
        <w:rPr>
          <w:rFonts w:ascii="Arial Narrow" w:hAnsi="Arial Narrow"/>
          <w:b/>
          <w:bCs/>
          <w:sz w:val="24"/>
          <w:szCs w:val="24"/>
          <w:lang w:val="en-US"/>
        </w:rPr>
        <w:t xml:space="preserve"> </w:t>
      </w:r>
      <w:proofErr w:type="spellStart"/>
      <w:r w:rsidRPr="00160909">
        <w:rPr>
          <w:rFonts w:ascii="Arial Narrow" w:hAnsi="Arial Narrow"/>
          <w:b/>
          <w:bCs/>
          <w:sz w:val="24"/>
          <w:szCs w:val="24"/>
          <w:lang w:val="en-US"/>
        </w:rPr>
        <w:t>elektronski</w:t>
      </w:r>
      <w:proofErr w:type="spellEnd"/>
      <w:r w:rsidRPr="00160909">
        <w:rPr>
          <w:rFonts w:ascii="Arial Narrow" w:hAnsi="Arial Narrow"/>
          <w:b/>
          <w:bCs/>
          <w:sz w:val="24"/>
          <w:szCs w:val="24"/>
          <w:lang w:val="en-US"/>
        </w:rPr>
        <w:t xml:space="preserve"> </w:t>
      </w:r>
      <w:proofErr w:type="spellStart"/>
      <w:r w:rsidRPr="00160909">
        <w:rPr>
          <w:rFonts w:ascii="Arial Narrow" w:hAnsi="Arial Narrow"/>
          <w:b/>
          <w:bCs/>
          <w:sz w:val="24"/>
          <w:szCs w:val="24"/>
          <w:lang w:val="en-US"/>
        </w:rPr>
        <w:t>sistem</w:t>
      </w:r>
      <w:proofErr w:type="spellEnd"/>
      <w:r w:rsidRPr="00160909">
        <w:rPr>
          <w:rFonts w:ascii="Arial Narrow" w:hAnsi="Arial Narrow"/>
          <w:b/>
          <w:bCs/>
          <w:sz w:val="24"/>
          <w:szCs w:val="24"/>
          <w:lang w:val="en-US"/>
        </w:rPr>
        <w:t xml:space="preserve"> </w:t>
      </w:r>
      <w:proofErr w:type="spellStart"/>
      <w:r w:rsidRPr="00160909">
        <w:rPr>
          <w:rFonts w:ascii="Arial Narrow" w:hAnsi="Arial Narrow"/>
          <w:b/>
          <w:bCs/>
          <w:sz w:val="24"/>
          <w:szCs w:val="24"/>
          <w:lang w:val="en-US"/>
        </w:rPr>
        <w:t>upravljanja</w:t>
      </w:r>
      <w:proofErr w:type="spellEnd"/>
      <w:r w:rsidRPr="00160909">
        <w:rPr>
          <w:rFonts w:ascii="Arial Narrow" w:hAnsi="Arial Narrow"/>
          <w:b/>
          <w:bCs/>
          <w:sz w:val="24"/>
          <w:szCs w:val="24"/>
          <w:lang w:val="en-US"/>
        </w:rPr>
        <w:t xml:space="preserve"> </w:t>
      </w:r>
      <w:proofErr w:type="spellStart"/>
      <w:r w:rsidRPr="00160909">
        <w:rPr>
          <w:rFonts w:ascii="Arial Narrow" w:hAnsi="Arial Narrow"/>
          <w:b/>
          <w:bCs/>
          <w:sz w:val="24"/>
          <w:szCs w:val="24"/>
          <w:lang w:val="en-US"/>
        </w:rPr>
        <w:t>dokumenata</w:t>
      </w:r>
      <w:proofErr w:type="spellEnd"/>
      <w:r>
        <w:rPr>
          <w:rFonts w:ascii="Arial Narrow" w:hAnsi="Arial Narrow"/>
          <w:b/>
          <w:bCs/>
          <w:sz w:val="24"/>
          <w:szCs w:val="24"/>
          <w:lang w:val="en-US"/>
        </w:rPr>
        <w:t xml:space="preserve">, da se </w:t>
      </w:r>
      <w:proofErr w:type="spellStart"/>
      <w:r>
        <w:rPr>
          <w:rFonts w:ascii="Arial Narrow" w:hAnsi="Arial Narrow"/>
          <w:b/>
          <w:bCs/>
          <w:sz w:val="24"/>
          <w:szCs w:val="24"/>
          <w:lang w:val="en-US"/>
        </w:rPr>
        <w:t>broj</w:t>
      </w:r>
      <w:proofErr w:type="spellEnd"/>
      <w:r>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elektronskih</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razmjena</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između</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registara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poveća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AD0AE2">
        <w:rPr>
          <w:rFonts w:ascii="Arial Narrow" w:hAnsi="Arial Narrow"/>
          <w:b/>
          <w:bCs/>
          <w:sz w:val="24"/>
          <w:szCs w:val="24"/>
          <w:lang w:val="en-US"/>
        </w:rPr>
        <w:t>30</w:t>
      </w:r>
      <w:r>
        <w:rPr>
          <w:rFonts w:ascii="Arial Narrow" w:hAnsi="Arial Narrow"/>
          <w:b/>
          <w:bCs/>
          <w:sz w:val="24"/>
          <w:szCs w:val="24"/>
          <w:lang w:val="en-US"/>
        </w:rPr>
        <w:t xml:space="preserve">, a </w:t>
      </w:r>
      <w:proofErr w:type="spellStart"/>
      <w:r>
        <w:rPr>
          <w:rFonts w:ascii="Arial Narrow" w:hAnsi="Arial Narrow"/>
          <w:b/>
          <w:bCs/>
          <w:sz w:val="24"/>
          <w:szCs w:val="24"/>
          <w:lang w:val="en-US"/>
        </w:rPr>
        <w:t>broj</w:t>
      </w:r>
      <w:proofErr w:type="spellEnd"/>
      <w:r>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novih</w:t>
      </w:r>
      <w:proofErr w:type="spellEnd"/>
      <w:r w:rsidRPr="00AD0AE2">
        <w:rPr>
          <w:rFonts w:ascii="Arial Narrow" w:hAnsi="Arial Narrow"/>
          <w:b/>
          <w:bCs/>
          <w:sz w:val="24"/>
          <w:szCs w:val="24"/>
          <w:lang w:val="en-US"/>
        </w:rPr>
        <w:t xml:space="preserve"> e-</w:t>
      </w:r>
      <w:proofErr w:type="spellStart"/>
      <w:r w:rsidRPr="00AD0AE2">
        <w:rPr>
          <w:rFonts w:ascii="Arial Narrow" w:hAnsi="Arial Narrow"/>
          <w:b/>
          <w:bCs/>
          <w:sz w:val="24"/>
          <w:szCs w:val="24"/>
          <w:lang w:val="en-US"/>
        </w:rPr>
        <w:t>usluga</w:t>
      </w:r>
      <w:proofErr w:type="spellEnd"/>
      <w:r w:rsidRPr="00AD0AE2">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r w:rsidRPr="00AD0AE2">
        <w:rPr>
          <w:rFonts w:ascii="Arial Narrow" w:hAnsi="Arial Narrow"/>
          <w:b/>
          <w:bCs/>
          <w:sz w:val="24"/>
          <w:szCs w:val="24"/>
          <w:lang w:val="en-US"/>
        </w:rPr>
        <w:t>15</w:t>
      </w:r>
      <w:r>
        <w:rPr>
          <w:rFonts w:ascii="Arial Narrow" w:hAnsi="Arial Narrow"/>
          <w:b/>
          <w:bCs/>
          <w:sz w:val="24"/>
          <w:szCs w:val="24"/>
          <w:lang w:val="en-US"/>
        </w:rPr>
        <w:t>.</w:t>
      </w:r>
    </w:p>
    <w:p w14:paraId="130B2BD6" w14:textId="77777777" w:rsidR="003D6416" w:rsidRPr="00AD0AE2" w:rsidRDefault="003D6416" w:rsidP="003D6416">
      <w:pPr>
        <w:jc w:val="both"/>
        <w:rPr>
          <w:rFonts w:ascii="Arial Narrow" w:hAnsi="Arial Narrow"/>
          <w:b/>
          <w:bCs/>
          <w:sz w:val="24"/>
          <w:szCs w:val="24"/>
          <w:lang w:val="en-US"/>
        </w:rPr>
      </w:pPr>
      <w:proofErr w:type="spellStart"/>
      <w:r w:rsidRPr="00AD0AE2">
        <w:rPr>
          <w:rFonts w:ascii="Arial Narrow" w:hAnsi="Arial Narrow"/>
          <w:b/>
          <w:bCs/>
          <w:sz w:val="24"/>
          <w:szCs w:val="24"/>
          <w:lang w:val="en-US"/>
        </w:rPr>
        <w:t>Cilj</w:t>
      </w:r>
      <w:proofErr w:type="spellEnd"/>
      <w:r w:rsidRPr="00AD0AE2">
        <w:rPr>
          <w:rFonts w:ascii="Arial Narrow" w:hAnsi="Arial Narrow"/>
          <w:b/>
          <w:bCs/>
          <w:sz w:val="24"/>
          <w:szCs w:val="24"/>
          <w:lang w:val="en-US"/>
        </w:rPr>
        <w:t xml:space="preserve"> 5.2.</w:t>
      </w:r>
      <w:r>
        <w:rPr>
          <w:rFonts w:ascii="Arial Narrow" w:hAnsi="Arial Narrow"/>
          <w:b/>
          <w:bCs/>
          <w:sz w:val="24"/>
          <w:szCs w:val="24"/>
          <w:lang w:val="en-US"/>
        </w:rPr>
        <w:t xml:space="preserve"> </w:t>
      </w:r>
      <w:r w:rsidRPr="00AD0AE2">
        <w:rPr>
          <w:rFonts w:ascii="Arial Narrow" w:hAnsi="Arial Narrow"/>
          <w:b/>
          <w:bCs/>
          <w:sz w:val="24"/>
          <w:szCs w:val="24"/>
          <w:lang w:val="en-US"/>
        </w:rPr>
        <w:t>UPRAVLJANJE  DIGITALNOM TRANSFORMACIJOM I PODIZANJE SVIJESTI O VAŽNOSTI DIGITALNOG RAZVOJA</w:t>
      </w:r>
    </w:p>
    <w:p w14:paraId="2E9D6186" w14:textId="77777777" w:rsidR="003D6416" w:rsidRDefault="003D6416" w:rsidP="003D6416">
      <w:pPr>
        <w:jc w:val="both"/>
        <w:rPr>
          <w:rFonts w:ascii="Arial Narrow" w:hAnsi="Arial Narrow"/>
          <w:b/>
          <w:bCs/>
          <w:sz w:val="24"/>
          <w:szCs w:val="24"/>
          <w:lang w:val="en-US"/>
        </w:rPr>
      </w:pPr>
      <w:r w:rsidRPr="00A90D15">
        <w:rPr>
          <w:rFonts w:ascii="Arial Narrow" w:hAnsi="Arial Narrow"/>
          <w:sz w:val="24"/>
          <w:szCs w:val="24"/>
          <w:lang w:val="en-US"/>
        </w:rPr>
        <w:t xml:space="preserve">Pored </w:t>
      </w:r>
      <w:proofErr w:type="spellStart"/>
      <w:r w:rsidRPr="00A90D15">
        <w:rPr>
          <w:rFonts w:ascii="Arial Narrow" w:hAnsi="Arial Narrow"/>
          <w:sz w:val="24"/>
          <w:szCs w:val="24"/>
          <w:lang w:val="en-US"/>
        </w:rPr>
        <w:t>javne</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uprave</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radićemo</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na</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povećanju</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korišćenja</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i</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informisanosti</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građana</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i</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građanki</w:t>
      </w:r>
      <w:proofErr w:type="spellEnd"/>
      <w:r w:rsidRPr="00A90D15">
        <w:rPr>
          <w:rFonts w:ascii="Arial Narrow" w:hAnsi="Arial Narrow"/>
          <w:sz w:val="24"/>
          <w:szCs w:val="24"/>
          <w:lang w:val="en-US"/>
        </w:rPr>
        <w:t xml:space="preserve"> o </w:t>
      </w:r>
      <w:proofErr w:type="spellStart"/>
      <w:r w:rsidRPr="00A90D15">
        <w:rPr>
          <w:rFonts w:ascii="Arial Narrow" w:hAnsi="Arial Narrow"/>
          <w:sz w:val="24"/>
          <w:szCs w:val="24"/>
          <w:lang w:val="en-US"/>
        </w:rPr>
        <w:t>digitalnim</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uslugama</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uz</w:t>
      </w:r>
      <w:proofErr w:type="spellEnd"/>
      <w:r w:rsidRPr="00A90D15">
        <w:rPr>
          <w:rFonts w:ascii="Arial Narrow" w:hAnsi="Arial Narrow"/>
          <w:sz w:val="24"/>
          <w:szCs w:val="24"/>
          <w:lang w:val="en-US"/>
        </w:rPr>
        <w:t xml:space="preserve"> </w:t>
      </w:r>
      <w:proofErr w:type="spellStart"/>
      <w:r w:rsidRPr="00A90D15">
        <w:rPr>
          <w:rFonts w:ascii="Arial Narrow" w:hAnsi="Arial Narrow"/>
          <w:sz w:val="24"/>
          <w:szCs w:val="24"/>
          <w:lang w:val="en-US"/>
        </w:rPr>
        <w:t>težnju</w:t>
      </w:r>
      <w:proofErr w:type="spellEnd"/>
      <w:r w:rsidRPr="00A90D15">
        <w:rPr>
          <w:rFonts w:ascii="Arial Narrow" w:hAnsi="Arial Narrow"/>
          <w:sz w:val="24"/>
          <w:szCs w:val="24"/>
          <w:lang w:val="en-US"/>
        </w:rPr>
        <w:t xml:space="preserve"> da</w:t>
      </w:r>
      <w:r>
        <w:rPr>
          <w:rFonts w:ascii="Arial Narrow" w:hAnsi="Arial Narrow"/>
          <w:b/>
          <w:bCs/>
          <w:sz w:val="24"/>
          <w:szCs w:val="24"/>
          <w:lang w:val="en-US"/>
        </w:rPr>
        <w:t xml:space="preserve"> do 2024. </w:t>
      </w:r>
      <w:proofErr w:type="spellStart"/>
      <w:r>
        <w:rPr>
          <w:rFonts w:ascii="Arial Narrow" w:hAnsi="Arial Narrow"/>
          <w:b/>
          <w:bCs/>
          <w:sz w:val="24"/>
          <w:szCs w:val="24"/>
          <w:lang w:val="en-US"/>
        </w:rPr>
        <w:t>bude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barem</w:t>
      </w:r>
      <w:proofErr w:type="spellEnd"/>
      <w:r>
        <w:rPr>
          <w:rFonts w:ascii="Arial Narrow" w:hAnsi="Arial Narrow"/>
          <w:b/>
          <w:bCs/>
          <w:sz w:val="24"/>
          <w:szCs w:val="24"/>
          <w:lang w:val="en-US"/>
        </w:rPr>
        <w:t xml:space="preserve"> </w:t>
      </w:r>
      <w:r w:rsidRPr="00AD0AE2">
        <w:rPr>
          <w:rFonts w:ascii="Arial Narrow" w:hAnsi="Arial Narrow"/>
          <w:b/>
          <w:bCs/>
          <w:sz w:val="24"/>
          <w:szCs w:val="24"/>
          <w:lang w:val="en-US"/>
        </w:rPr>
        <w:t xml:space="preserve">45% </w:t>
      </w:r>
      <w:proofErr w:type="spellStart"/>
      <w:r w:rsidRPr="00AD0AE2">
        <w:rPr>
          <w:rFonts w:ascii="Arial Narrow" w:hAnsi="Arial Narrow"/>
          <w:b/>
          <w:bCs/>
          <w:sz w:val="24"/>
          <w:szCs w:val="24"/>
          <w:lang w:val="en-US"/>
        </w:rPr>
        <w:t>građana</w:t>
      </w:r>
      <w:proofErr w:type="spellEnd"/>
      <w:r w:rsidRPr="00AD0AE2">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građanki</w:t>
      </w:r>
      <w:proofErr w:type="spellEnd"/>
      <w:r>
        <w:rPr>
          <w:rFonts w:ascii="Arial Narrow" w:hAnsi="Arial Narrow"/>
          <w:b/>
          <w:bCs/>
          <w:sz w:val="24"/>
          <w:szCs w:val="24"/>
          <w:lang w:val="en-US"/>
        </w:rPr>
        <w:t xml:space="preserve"> koji </w:t>
      </w:r>
      <w:proofErr w:type="spellStart"/>
      <w:r w:rsidRPr="00AD0AE2">
        <w:rPr>
          <w:rFonts w:ascii="Arial Narrow" w:hAnsi="Arial Narrow"/>
          <w:b/>
          <w:bCs/>
          <w:sz w:val="24"/>
          <w:szCs w:val="24"/>
          <w:lang w:val="en-US"/>
        </w:rPr>
        <w:t>sebe</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smatra</w:t>
      </w:r>
      <w:r>
        <w:rPr>
          <w:rFonts w:ascii="Arial Narrow" w:hAnsi="Arial Narrow"/>
          <w:b/>
          <w:bCs/>
          <w:sz w:val="24"/>
          <w:szCs w:val="24"/>
          <w:lang w:val="en-US"/>
        </w:rPr>
        <w:t>ju</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uglavnom</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ili</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potpuno</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upoznatim</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sa</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elektronskim</w:t>
      </w:r>
      <w:proofErr w:type="spellEnd"/>
      <w:r w:rsidRPr="00AD0AE2">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uslugama</w:t>
      </w:r>
      <w:proofErr w:type="spellEnd"/>
      <w:r>
        <w:rPr>
          <w:rFonts w:ascii="Arial Narrow" w:hAnsi="Arial Narrow"/>
          <w:b/>
          <w:bCs/>
          <w:sz w:val="24"/>
          <w:szCs w:val="24"/>
          <w:lang w:val="en-US"/>
        </w:rPr>
        <w:t>.</w:t>
      </w:r>
    </w:p>
    <w:p w14:paraId="66B30EAB" w14:textId="77777777" w:rsidR="003D6416" w:rsidRPr="00AD0AE2" w:rsidRDefault="003D6416" w:rsidP="003D6416">
      <w:pPr>
        <w:jc w:val="both"/>
        <w:rPr>
          <w:rFonts w:ascii="Arial Narrow" w:hAnsi="Arial Narrow"/>
          <w:b/>
          <w:bCs/>
          <w:sz w:val="24"/>
          <w:szCs w:val="24"/>
          <w:lang w:val="en-US"/>
        </w:rPr>
      </w:pPr>
      <w:proofErr w:type="spellStart"/>
      <w:r w:rsidRPr="00AD0AE2">
        <w:rPr>
          <w:rFonts w:ascii="Arial Narrow" w:hAnsi="Arial Narrow"/>
          <w:b/>
          <w:bCs/>
          <w:sz w:val="24"/>
          <w:szCs w:val="24"/>
          <w:lang w:val="en-US"/>
        </w:rPr>
        <w:t>Cilj</w:t>
      </w:r>
      <w:proofErr w:type="spellEnd"/>
      <w:r w:rsidRPr="00AD0AE2">
        <w:rPr>
          <w:rFonts w:ascii="Arial Narrow" w:hAnsi="Arial Narrow"/>
          <w:b/>
          <w:bCs/>
          <w:sz w:val="24"/>
          <w:szCs w:val="24"/>
          <w:lang w:val="en-US"/>
        </w:rPr>
        <w:t xml:space="preserve"> 5.3.</w:t>
      </w:r>
      <w:r>
        <w:rPr>
          <w:rFonts w:ascii="Arial Narrow" w:hAnsi="Arial Narrow"/>
          <w:b/>
          <w:bCs/>
          <w:sz w:val="24"/>
          <w:szCs w:val="24"/>
          <w:lang w:val="en-US"/>
        </w:rPr>
        <w:t xml:space="preserve"> </w:t>
      </w:r>
      <w:r w:rsidRPr="00AD0AE2">
        <w:rPr>
          <w:rFonts w:ascii="Arial Narrow" w:hAnsi="Arial Narrow"/>
          <w:b/>
          <w:bCs/>
          <w:sz w:val="24"/>
          <w:szCs w:val="24"/>
          <w:lang w:val="en-US"/>
        </w:rPr>
        <w:t>JAČANJE VLADINE INFORMATIČKE INFRASTRUKTURE</w:t>
      </w:r>
    </w:p>
    <w:p w14:paraId="7E46B0C6" w14:textId="77777777" w:rsidR="003D6416" w:rsidRDefault="003D6416" w:rsidP="003D6416">
      <w:pPr>
        <w:jc w:val="both"/>
        <w:rPr>
          <w:rFonts w:ascii="Arial Narrow" w:hAnsi="Arial Narrow"/>
          <w:b/>
          <w:bCs/>
          <w:sz w:val="24"/>
          <w:szCs w:val="24"/>
          <w:lang w:val="en-US"/>
        </w:rPr>
      </w:pPr>
      <w:r w:rsidRPr="007D4F12">
        <w:rPr>
          <w:rFonts w:ascii="Arial Narrow" w:hAnsi="Arial Narrow"/>
          <w:sz w:val="24"/>
          <w:szCs w:val="24"/>
          <w:lang w:val="en-US"/>
        </w:rPr>
        <w:lastRenderedPageBreak/>
        <w:t xml:space="preserve">Za </w:t>
      </w:r>
      <w:proofErr w:type="spellStart"/>
      <w:r w:rsidRPr="007D4F12">
        <w:rPr>
          <w:rFonts w:ascii="Arial Narrow" w:hAnsi="Arial Narrow"/>
          <w:sz w:val="24"/>
          <w:szCs w:val="24"/>
          <w:lang w:val="en-US"/>
        </w:rPr>
        <w:t>unaprijeđeno</w:t>
      </w:r>
      <w:proofErr w:type="spellEnd"/>
      <w:r w:rsidRPr="007D4F12">
        <w:rPr>
          <w:rFonts w:ascii="Arial Narrow" w:hAnsi="Arial Narrow"/>
          <w:sz w:val="24"/>
          <w:szCs w:val="24"/>
          <w:lang w:val="en-US"/>
        </w:rPr>
        <w:t xml:space="preserve"> </w:t>
      </w:r>
      <w:proofErr w:type="spellStart"/>
      <w:r w:rsidRPr="007D4F12">
        <w:rPr>
          <w:rFonts w:ascii="Arial Narrow" w:hAnsi="Arial Narrow"/>
          <w:sz w:val="24"/>
          <w:szCs w:val="24"/>
          <w:lang w:val="en-US"/>
        </w:rPr>
        <w:t>korišćenje</w:t>
      </w:r>
      <w:proofErr w:type="spellEnd"/>
      <w:r w:rsidRPr="007D4F12">
        <w:rPr>
          <w:rFonts w:ascii="Arial Narrow" w:hAnsi="Arial Narrow"/>
          <w:sz w:val="24"/>
          <w:szCs w:val="24"/>
          <w:lang w:val="en-US"/>
        </w:rPr>
        <w:t xml:space="preserve"> </w:t>
      </w:r>
      <w:proofErr w:type="spellStart"/>
      <w:r w:rsidRPr="007D4F12">
        <w:rPr>
          <w:rFonts w:ascii="Arial Narrow" w:hAnsi="Arial Narrow"/>
          <w:sz w:val="24"/>
          <w:szCs w:val="24"/>
          <w:lang w:val="en-US"/>
        </w:rPr>
        <w:t>digitalnih</w:t>
      </w:r>
      <w:proofErr w:type="spellEnd"/>
      <w:r w:rsidRPr="007D4F12">
        <w:rPr>
          <w:rFonts w:ascii="Arial Narrow" w:hAnsi="Arial Narrow"/>
          <w:sz w:val="24"/>
          <w:szCs w:val="24"/>
          <w:lang w:val="en-US"/>
        </w:rPr>
        <w:t xml:space="preserve"> </w:t>
      </w:r>
      <w:proofErr w:type="spellStart"/>
      <w:r w:rsidRPr="007D4F12">
        <w:rPr>
          <w:rFonts w:ascii="Arial Narrow" w:hAnsi="Arial Narrow"/>
          <w:sz w:val="24"/>
          <w:szCs w:val="24"/>
          <w:lang w:val="en-US"/>
        </w:rPr>
        <w:t>servisa</w:t>
      </w:r>
      <w:proofErr w:type="spellEnd"/>
      <w:r w:rsidRPr="007D4F12">
        <w:rPr>
          <w:rFonts w:ascii="Arial Narrow" w:hAnsi="Arial Narrow"/>
          <w:sz w:val="24"/>
          <w:szCs w:val="24"/>
          <w:lang w:val="en-US"/>
        </w:rPr>
        <w:t xml:space="preserve"> u </w:t>
      </w:r>
      <w:proofErr w:type="spellStart"/>
      <w:r w:rsidRPr="007D4F12">
        <w:rPr>
          <w:rFonts w:ascii="Arial Narrow" w:hAnsi="Arial Narrow"/>
          <w:sz w:val="24"/>
          <w:szCs w:val="24"/>
          <w:lang w:val="en-US"/>
        </w:rPr>
        <w:t>javnoj</w:t>
      </w:r>
      <w:proofErr w:type="spellEnd"/>
      <w:r w:rsidRPr="007D4F12">
        <w:rPr>
          <w:rFonts w:ascii="Arial Narrow" w:hAnsi="Arial Narrow"/>
          <w:sz w:val="24"/>
          <w:szCs w:val="24"/>
          <w:lang w:val="en-US"/>
        </w:rPr>
        <w:t xml:space="preserve"> </w:t>
      </w:r>
      <w:proofErr w:type="spellStart"/>
      <w:r w:rsidRPr="007D4F12">
        <w:rPr>
          <w:rFonts w:ascii="Arial Narrow" w:hAnsi="Arial Narrow"/>
          <w:sz w:val="24"/>
          <w:szCs w:val="24"/>
          <w:lang w:val="en-US"/>
        </w:rPr>
        <w:t>upravi</w:t>
      </w:r>
      <w:proofErr w:type="spellEnd"/>
      <w:r w:rsidRPr="007D4F12">
        <w:rPr>
          <w:rFonts w:ascii="Arial Narrow" w:hAnsi="Arial Narrow"/>
          <w:sz w:val="24"/>
          <w:szCs w:val="24"/>
          <w:lang w:val="en-US"/>
        </w:rPr>
        <w:t xml:space="preserve"> </w:t>
      </w:r>
      <w:proofErr w:type="spellStart"/>
      <w:r w:rsidRPr="007D4F12">
        <w:rPr>
          <w:rFonts w:ascii="Arial Narrow" w:hAnsi="Arial Narrow"/>
          <w:sz w:val="24"/>
          <w:szCs w:val="24"/>
          <w:lang w:val="en-US"/>
        </w:rPr>
        <w:t>će</w:t>
      </w:r>
      <w:proofErr w:type="spellEnd"/>
      <w:r w:rsidRPr="007D4F12">
        <w:rPr>
          <w:rFonts w:ascii="Arial Narrow" w:hAnsi="Arial Narrow"/>
          <w:sz w:val="24"/>
          <w:szCs w:val="24"/>
          <w:lang w:val="en-US"/>
        </w:rPr>
        <w:t xml:space="preserve"> </w:t>
      </w:r>
      <w:proofErr w:type="spellStart"/>
      <w:r w:rsidRPr="007D4F12">
        <w:rPr>
          <w:rFonts w:ascii="Arial Narrow" w:hAnsi="Arial Narrow"/>
          <w:sz w:val="24"/>
          <w:szCs w:val="24"/>
          <w:lang w:val="en-US"/>
        </w:rPr>
        <w:t>biti</w:t>
      </w:r>
      <w:proofErr w:type="spellEnd"/>
      <w:r w:rsidRPr="007D4F12">
        <w:rPr>
          <w:rFonts w:ascii="Arial Narrow" w:hAnsi="Arial Narrow"/>
          <w:sz w:val="24"/>
          <w:szCs w:val="24"/>
          <w:lang w:val="en-US"/>
        </w:rPr>
        <w:t xml:space="preserve"> </w:t>
      </w:r>
      <w:proofErr w:type="spellStart"/>
      <w:r w:rsidRPr="007D4F12">
        <w:rPr>
          <w:rFonts w:ascii="Arial Narrow" w:hAnsi="Arial Narrow"/>
          <w:sz w:val="24"/>
          <w:szCs w:val="24"/>
          <w:lang w:val="en-US"/>
        </w:rPr>
        <w:t>kreiran</w:t>
      </w:r>
      <w:proofErr w:type="spellEnd"/>
      <w:r>
        <w:rPr>
          <w:rFonts w:ascii="Arial Narrow" w:hAnsi="Arial Narrow"/>
          <w:b/>
          <w:bCs/>
          <w:sz w:val="24"/>
          <w:szCs w:val="24"/>
          <w:lang w:val="en-US"/>
        </w:rPr>
        <w:t xml:space="preserve"> </w:t>
      </w:r>
      <w:proofErr w:type="spellStart"/>
      <w:r w:rsidRPr="00AD0AE2">
        <w:rPr>
          <w:rFonts w:ascii="Arial Narrow" w:hAnsi="Arial Narrow"/>
          <w:b/>
          <w:bCs/>
          <w:sz w:val="24"/>
          <w:szCs w:val="24"/>
          <w:lang w:val="en-US"/>
        </w:rPr>
        <w:t>državani</w:t>
      </w:r>
      <w:proofErr w:type="spellEnd"/>
      <w:r w:rsidRPr="00AD0AE2">
        <w:rPr>
          <w:rFonts w:ascii="Arial Narrow" w:hAnsi="Arial Narrow"/>
          <w:b/>
          <w:bCs/>
          <w:sz w:val="24"/>
          <w:szCs w:val="24"/>
          <w:lang w:val="en-US"/>
        </w:rPr>
        <w:t xml:space="preserve"> private cloud </w:t>
      </w:r>
      <w:proofErr w:type="spellStart"/>
      <w:r w:rsidRPr="00AD0AE2">
        <w:rPr>
          <w:rFonts w:ascii="Arial Narrow" w:hAnsi="Arial Narrow"/>
          <w:b/>
          <w:bCs/>
          <w:sz w:val="24"/>
          <w:szCs w:val="24"/>
          <w:lang w:val="en-US"/>
        </w:rPr>
        <w:t>si</w:t>
      </w:r>
      <w:r>
        <w:rPr>
          <w:rFonts w:ascii="Arial Narrow" w:hAnsi="Arial Narrow"/>
          <w:b/>
          <w:bCs/>
          <w:sz w:val="24"/>
          <w:szCs w:val="24"/>
          <w:lang w:val="en-US"/>
        </w:rPr>
        <w:t>stem</w:t>
      </w:r>
      <w:proofErr w:type="spellEnd"/>
      <w:r>
        <w:rPr>
          <w:rFonts w:ascii="Arial Narrow" w:hAnsi="Arial Narrow"/>
          <w:b/>
          <w:bCs/>
          <w:sz w:val="24"/>
          <w:szCs w:val="24"/>
          <w:lang w:val="en-US"/>
        </w:rPr>
        <w:t xml:space="preserve">, koji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do 2024. </w:t>
      </w:r>
      <w:proofErr w:type="spellStart"/>
      <w:r>
        <w:rPr>
          <w:rFonts w:ascii="Arial Narrow" w:hAnsi="Arial Narrow"/>
          <w:b/>
          <w:bCs/>
          <w:sz w:val="24"/>
          <w:szCs w:val="24"/>
          <w:lang w:val="en-US"/>
        </w:rPr>
        <w:t>koristiti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barem</w:t>
      </w:r>
      <w:proofErr w:type="spellEnd"/>
      <w:r>
        <w:rPr>
          <w:rFonts w:ascii="Arial Narrow" w:hAnsi="Arial Narrow"/>
          <w:b/>
          <w:bCs/>
          <w:sz w:val="24"/>
          <w:szCs w:val="24"/>
          <w:lang w:val="en-US"/>
        </w:rPr>
        <w:t xml:space="preserve"> 20 </w:t>
      </w:r>
      <w:proofErr w:type="spellStart"/>
      <w:r>
        <w:rPr>
          <w:rFonts w:ascii="Arial Narrow" w:hAnsi="Arial Narrow"/>
          <w:b/>
          <w:bCs/>
          <w:sz w:val="24"/>
          <w:szCs w:val="24"/>
          <w:lang w:val="en-US"/>
        </w:rPr>
        <w:t>institucija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dok</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će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svih</w:t>
      </w:r>
      <w:proofErr w:type="spellEnd"/>
      <w:r>
        <w:rPr>
          <w:rFonts w:ascii="Arial Narrow" w:hAnsi="Arial Narrow"/>
          <w:b/>
          <w:bCs/>
          <w:sz w:val="24"/>
          <w:szCs w:val="24"/>
          <w:lang w:val="en-US"/>
        </w:rPr>
        <w:t xml:space="preserve"> 27 </w:t>
      </w:r>
      <w:proofErr w:type="spellStart"/>
      <w:r>
        <w:rPr>
          <w:rFonts w:ascii="Arial Narrow" w:hAnsi="Arial Narrow"/>
          <w:b/>
          <w:bCs/>
          <w:sz w:val="24"/>
          <w:szCs w:val="24"/>
          <w:lang w:val="en-US"/>
        </w:rPr>
        <w:t>lokacija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izvršena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zamjena</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aktivne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mrežne</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opreme</w:t>
      </w:r>
      <w:proofErr w:type="spellEnd"/>
      <w:r>
        <w:rPr>
          <w:rFonts w:ascii="Arial Narrow" w:hAnsi="Arial Narrow"/>
          <w:b/>
          <w:bCs/>
          <w:sz w:val="24"/>
          <w:szCs w:val="24"/>
          <w:lang w:val="en-US"/>
        </w:rPr>
        <w:t>.</w:t>
      </w:r>
      <w:r w:rsidRPr="00AD0AE2">
        <w:rPr>
          <w:rFonts w:ascii="Arial Narrow" w:hAnsi="Arial Narrow"/>
          <w:b/>
          <w:bCs/>
          <w:sz w:val="24"/>
          <w:szCs w:val="24"/>
          <w:lang w:val="en-US"/>
        </w:rPr>
        <w:tab/>
      </w:r>
    </w:p>
    <w:p w14:paraId="78F8A964" w14:textId="77777777" w:rsidR="003D6416" w:rsidRPr="00AD0AE2" w:rsidRDefault="003D6416" w:rsidP="003D6416">
      <w:pPr>
        <w:jc w:val="both"/>
        <w:rPr>
          <w:rFonts w:ascii="Arial Narrow" w:hAnsi="Arial Narrow"/>
          <w:b/>
          <w:bCs/>
          <w:sz w:val="24"/>
          <w:szCs w:val="24"/>
          <w:lang w:val="en-US"/>
        </w:rPr>
      </w:pPr>
      <w:proofErr w:type="spellStart"/>
      <w:r w:rsidRPr="00AD0AE2">
        <w:rPr>
          <w:rFonts w:ascii="Arial Narrow" w:hAnsi="Arial Narrow"/>
          <w:b/>
          <w:bCs/>
          <w:sz w:val="24"/>
          <w:szCs w:val="24"/>
          <w:lang w:val="en-US"/>
        </w:rPr>
        <w:t>Cilj</w:t>
      </w:r>
      <w:proofErr w:type="spellEnd"/>
      <w:r w:rsidRPr="00AD0AE2">
        <w:rPr>
          <w:rFonts w:ascii="Arial Narrow" w:hAnsi="Arial Narrow"/>
          <w:b/>
          <w:bCs/>
          <w:sz w:val="24"/>
          <w:szCs w:val="24"/>
          <w:lang w:val="en-US"/>
        </w:rPr>
        <w:t xml:space="preserve"> 5.</w:t>
      </w:r>
      <w:r>
        <w:rPr>
          <w:rFonts w:ascii="Arial Narrow" w:hAnsi="Arial Narrow"/>
          <w:b/>
          <w:bCs/>
          <w:sz w:val="24"/>
          <w:szCs w:val="24"/>
          <w:lang w:val="en-US"/>
        </w:rPr>
        <w:t>4</w:t>
      </w:r>
      <w:r w:rsidRPr="00AD0AE2">
        <w:rPr>
          <w:rFonts w:ascii="Arial Narrow" w:hAnsi="Arial Narrow"/>
          <w:b/>
          <w:bCs/>
          <w:sz w:val="24"/>
          <w:szCs w:val="24"/>
          <w:lang w:val="en-US"/>
        </w:rPr>
        <w:t>.</w:t>
      </w:r>
      <w:r>
        <w:rPr>
          <w:rFonts w:ascii="Arial Narrow" w:hAnsi="Arial Narrow"/>
          <w:b/>
          <w:bCs/>
          <w:sz w:val="24"/>
          <w:szCs w:val="24"/>
          <w:lang w:val="en-US"/>
        </w:rPr>
        <w:t xml:space="preserve"> </w:t>
      </w:r>
      <w:r w:rsidRPr="00AD0AE2">
        <w:rPr>
          <w:rFonts w:ascii="Arial Narrow" w:hAnsi="Arial Narrow"/>
          <w:b/>
          <w:bCs/>
          <w:sz w:val="24"/>
          <w:szCs w:val="24"/>
          <w:lang w:val="en-US"/>
        </w:rPr>
        <w:t>USPOSTAVLJANJE NOVOG DRŽAVNOG DATA CENTRA</w:t>
      </w:r>
    </w:p>
    <w:p w14:paraId="76875F21" w14:textId="77777777" w:rsidR="003D6416" w:rsidRPr="007D4F12" w:rsidRDefault="003D6416" w:rsidP="003D6416">
      <w:pPr>
        <w:jc w:val="both"/>
        <w:rPr>
          <w:rFonts w:ascii="Arial Narrow" w:hAnsi="Arial Narrow"/>
          <w:b/>
          <w:bCs/>
          <w:sz w:val="24"/>
          <w:szCs w:val="24"/>
          <w:lang w:val="en-US"/>
        </w:rPr>
      </w:pPr>
      <w:r>
        <w:rPr>
          <w:rFonts w:ascii="Arial Narrow" w:hAnsi="Arial Narrow"/>
          <w:b/>
          <w:bCs/>
          <w:sz w:val="24"/>
          <w:szCs w:val="24"/>
          <w:lang w:val="en-US"/>
        </w:rPr>
        <w:t xml:space="preserve">Do 2024. </w:t>
      </w:r>
      <w:proofErr w:type="spellStart"/>
      <w:r>
        <w:rPr>
          <w:rFonts w:ascii="Arial Narrow" w:hAnsi="Arial Narrow"/>
          <w:b/>
          <w:bCs/>
          <w:sz w:val="24"/>
          <w:szCs w:val="24"/>
          <w:lang w:val="en-US"/>
        </w:rPr>
        <w:t>godine</w:t>
      </w:r>
      <w:proofErr w:type="spellEnd"/>
      <w:r>
        <w:rPr>
          <w:rFonts w:ascii="Arial Narrow" w:hAnsi="Arial Narrow"/>
          <w:b/>
          <w:bCs/>
          <w:sz w:val="24"/>
          <w:szCs w:val="24"/>
          <w:lang w:val="en-US"/>
        </w:rPr>
        <w:t xml:space="preserve"> će </w:t>
      </w:r>
      <w:proofErr w:type="spellStart"/>
      <w:r>
        <w:rPr>
          <w:rFonts w:ascii="Arial Narrow" w:hAnsi="Arial Narrow"/>
          <w:b/>
          <w:bCs/>
          <w:sz w:val="24"/>
          <w:szCs w:val="24"/>
          <w:lang w:val="en-US"/>
        </w:rPr>
        <w:t>novi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državni</w:t>
      </w:r>
      <w:proofErr w:type="spellEnd"/>
      <w:r>
        <w:rPr>
          <w:rFonts w:ascii="Arial Narrow" w:hAnsi="Arial Narrow"/>
          <w:b/>
          <w:bCs/>
          <w:sz w:val="24"/>
          <w:szCs w:val="24"/>
          <w:lang w:val="en-US"/>
        </w:rPr>
        <w:t xml:space="preserve"> data </w:t>
      </w:r>
      <w:proofErr w:type="spellStart"/>
      <w:r>
        <w:rPr>
          <w:rFonts w:ascii="Arial Narrow" w:hAnsi="Arial Narrow"/>
          <w:b/>
          <w:bCs/>
          <w:sz w:val="24"/>
          <w:szCs w:val="24"/>
          <w:lang w:val="en-US"/>
        </w:rPr>
        <w:t>centar</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biti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uspostavljen</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i</w:t>
      </w:r>
      <w:proofErr w:type="spellEnd"/>
      <w:r>
        <w:rPr>
          <w:rFonts w:ascii="Arial Narrow" w:hAnsi="Arial Narrow"/>
          <w:b/>
          <w:bCs/>
          <w:sz w:val="24"/>
          <w:szCs w:val="24"/>
          <w:lang w:val="en-US"/>
        </w:rPr>
        <w:t xml:space="preserve"> </w:t>
      </w:r>
      <w:proofErr w:type="spellStart"/>
      <w:r>
        <w:rPr>
          <w:rFonts w:ascii="Arial Narrow" w:hAnsi="Arial Narrow"/>
          <w:b/>
          <w:bCs/>
          <w:sz w:val="24"/>
          <w:szCs w:val="24"/>
          <w:lang w:val="en-US"/>
        </w:rPr>
        <w:t>funkcionalan</w:t>
      </w:r>
      <w:proofErr w:type="spellEnd"/>
      <w:r>
        <w:rPr>
          <w:rFonts w:ascii="Arial Narrow" w:hAnsi="Arial Narrow"/>
          <w:b/>
          <w:bCs/>
          <w:sz w:val="24"/>
          <w:szCs w:val="24"/>
          <w:lang w:val="en-US"/>
        </w:rPr>
        <w:t>.</w:t>
      </w:r>
      <w:r w:rsidRPr="00AD0AE2">
        <w:rPr>
          <w:rFonts w:ascii="Arial Narrow" w:hAnsi="Arial Narrow"/>
          <w:b/>
          <w:bCs/>
          <w:sz w:val="24"/>
          <w:szCs w:val="24"/>
          <w:lang w:val="en-US"/>
        </w:rPr>
        <w:tab/>
      </w:r>
    </w:p>
    <w:p w14:paraId="4259744B" w14:textId="77777777" w:rsidR="003D6416" w:rsidRDefault="003D6416" w:rsidP="003D6416">
      <w:pPr>
        <w:jc w:val="both"/>
        <w:rPr>
          <w:rFonts w:ascii="Arial Narrow" w:hAnsi="Arial Narrow"/>
          <w:b/>
          <w:bCs/>
          <w:sz w:val="24"/>
          <w:szCs w:val="24"/>
          <w:lang w:val="en-GB" w:eastAsia="en-GB"/>
        </w:rPr>
      </w:pPr>
      <w:proofErr w:type="spellStart"/>
      <w:r w:rsidRPr="007D4F12">
        <w:rPr>
          <w:rFonts w:ascii="Arial Narrow" w:hAnsi="Arial Narrow"/>
          <w:b/>
          <w:bCs/>
          <w:sz w:val="24"/>
          <w:szCs w:val="24"/>
          <w:lang w:val="en-GB" w:eastAsia="en-GB"/>
        </w:rPr>
        <w:t>Cilj</w:t>
      </w:r>
      <w:proofErr w:type="spellEnd"/>
      <w:r w:rsidRPr="007D4F12">
        <w:rPr>
          <w:rFonts w:ascii="Arial Narrow" w:hAnsi="Arial Narrow"/>
          <w:b/>
          <w:bCs/>
          <w:sz w:val="24"/>
          <w:szCs w:val="24"/>
          <w:lang w:val="en-GB" w:eastAsia="en-GB"/>
        </w:rPr>
        <w:t xml:space="preserve"> 5.6. PODIZANJE NIVOA INFORMACIONE BEZBJEDNOSTI</w:t>
      </w:r>
    </w:p>
    <w:p w14:paraId="7CCF2C19" w14:textId="77777777" w:rsidR="003D6416" w:rsidRPr="007D4F12" w:rsidRDefault="003D6416" w:rsidP="003D6416">
      <w:pPr>
        <w:jc w:val="both"/>
        <w:rPr>
          <w:rFonts w:ascii="Arial Narrow" w:hAnsi="Arial Narrow"/>
          <w:b/>
          <w:bCs/>
          <w:sz w:val="24"/>
          <w:szCs w:val="24"/>
          <w:lang w:val="en-GB" w:eastAsia="en-GB"/>
        </w:rPr>
      </w:pPr>
      <w:proofErr w:type="spellStart"/>
      <w:r>
        <w:rPr>
          <w:rFonts w:ascii="Arial Narrow" w:hAnsi="Arial Narrow"/>
          <w:b/>
          <w:bCs/>
          <w:sz w:val="24"/>
          <w:szCs w:val="24"/>
          <w:lang w:val="en-GB" w:eastAsia="en-GB"/>
        </w:rPr>
        <w:t>Novim</w:t>
      </w:r>
      <w:proofErr w:type="spellEnd"/>
      <w:r>
        <w:rPr>
          <w:rFonts w:ascii="Arial Narrow" w:hAnsi="Arial Narrow"/>
          <w:b/>
          <w:bCs/>
          <w:sz w:val="24"/>
          <w:szCs w:val="24"/>
          <w:lang w:val="en-GB" w:eastAsia="en-GB"/>
        </w:rPr>
        <w:t xml:space="preserve"> </w:t>
      </w:r>
      <w:proofErr w:type="spellStart"/>
      <w:r>
        <w:rPr>
          <w:rFonts w:ascii="Arial Narrow" w:hAnsi="Arial Narrow"/>
          <w:b/>
          <w:bCs/>
          <w:sz w:val="24"/>
          <w:szCs w:val="24"/>
          <w:lang w:val="en-GB" w:eastAsia="en-GB"/>
        </w:rPr>
        <w:t>zakonskim</w:t>
      </w:r>
      <w:proofErr w:type="spellEnd"/>
      <w:r>
        <w:rPr>
          <w:rFonts w:ascii="Arial Narrow" w:hAnsi="Arial Narrow"/>
          <w:b/>
          <w:bCs/>
          <w:sz w:val="24"/>
          <w:szCs w:val="24"/>
          <w:lang w:val="en-GB" w:eastAsia="en-GB"/>
        </w:rPr>
        <w:t xml:space="preserve"> </w:t>
      </w:r>
      <w:proofErr w:type="spellStart"/>
      <w:r>
        <w:rPr>
          <w:rFonts w:ascii="Arial Narrow" w:hAnsi="Arial Narrow"/>
          <w:b/>
          <w:bCs/>
          <w:sz w:val="24"/>
          <w:szCs w:val="24"/>
          <w:lang w:val="en-GB" w:eastAsia="en-GB"/>
        </w:rPr>
        <w:t>rješenjima</w:t>
      </w:r>
      <w:proofErr w:type="spellEnd"/>
      <w:r>
        <w:rPr>
          <w:rFonts w:ascii="Arial Narrow" w:hAnsi="Arial Narrow"/>
          <w:b/>
          <w:bCs/>
          <w:sz w:val="24"/>
          <w:szCs w:val="24"/>
          <w:lang w:val="en-GB" w:eastAsia="en-GB"/>
        </w:rPr>
        <w:t xml:space="preserve"> </w:t>
      </w:r>
      <w:proofErr w:type="spellStart"/>
      <w:r>
        <w:rPr>
          <w:rFonts w:ascii="Arial Narrow" w:hAnsi="Arial Narrow"/>
          <w:b/>
          <w:bCs/>
          <w:sz w:val="24"/>
          <w:szCs w:val="24"/>
          <w:lang w:val="en-GB" w:eastAsia="en-GB"/>
        </w:rPr>
        <w:t>će</w:t>
      </w:r>
      <w:proofErr w:type="spellEnd"/>
      <w:r>
        <w:rPr>
          <w:rFonts w:ascii="Arial Narrow" w:hAnsi="Arial Narrow"/>
          <w:b/>
          <w:bCs/>
          <w:sz w:val="24"/>
          <w:szCs w:val="24"/>
          <w:lang w:val="en-GB" w:eastAsia="en-GB"/>
        </w:rPr>
        <w:t xml:space="preserve"> </w:t>
      </w:r>
      <w:proofErr w:type="spellStart"/>
      <w:r>
        <w:rPr>
          <w:rFonts w:ascii="Arial Narrow" w:hAnsi="Arial Narrow"/>
          <w:b/>
          <w:bCs/>
          <w:sz w:val="24"/>
          <w:szCs w:val="24"/>
          <w:lang w:val="en-GB" w:eastAsia="en-GB"/>
        </w:rPr>
        <w:t>biti</w:t>
      </w:r>
      <w:proofErr w:type="spellEnd"/>
      <w:r>
        <w:rPr>
          <w:rFonts w:ascii="Arial Narrow" w:hAnsi="Arial Narrow"/>
          <w:b/>
          <w:bCs/>
          <w:sz w:val="24"/>
          <w:szCs w:val="24"/>
          <w:lang w:val="en-GB" w:eastAsia="en-GB"/>
        </w:rPr>
        <w:t xml:space="preserve"> </w:t>
      </w:r>
      <w:proofErr w:type="spellStart"/>
      <w:r>
        <w:rPr>
          <w:rFonts w:ascii="Arial Narrow" w:hAnsi="Arial Narrow"/>
          <w:b/>
          <w:bCs/>
          <w:sz w:val="24"/>
          <w:szCs w:val="24"/>
          <w:lang w:val="en-GB" w:eastAsia="en-GB"/>
        </w:rPr>
        <w:t>dopunjen</w:t>
      </w:r>
      <w:proofErr w:type="spellEnd"/>
      <w:r>
        <w:rPr>
          <w:rFonts w:ascii="Arial Narrow" w:hAnsi="Arial Narrow"/>
          <w:b/>
          <w:bCs/>
          <w:sz w:val="24"/>
          <w:szCs w:val="24"/>
          <w:lang w:val="en-GB" w:eastAsia="en-GB"/>
        </w:rPr>
        <w:t xml:space="preserve"> </w:t>
      </w:r>
      <w:proofErr w:type="spellStart"/>
      <w:r>
        <w:rPr>
          <w:rFonts w:ascii="Arial Narrow" w:hAnsi="Arial Narrow"/>
          <w:b/>
          <w:bCs/>
          <w:sz w:val="24"/>
          <w:szCs w:val="24"/>
          <w:lang w:val="en-GB" w:eastAsia="en-GB"/>
        </w:rPr>
        <w:t>Zakon</w:t>
      </w:r>
      <w:proofErr w:type="spellEnd"/>
      <w:r>
        <w:rPr>
          <w:rFonts w:ascii="Arial Narrow" w:hAnsi="Arial Narrow"/>
          <w:b/>
          <w:bCs/>
          <w:sz w:val="24"/>
          <w:szCs w:val="24"/>
          <w:lang w:val="en-GB" w:eastAsia="en-GB"/>
        </w:rPr>
        <w:t xml:space="preserve"> o </w:t>
      </w:r>
      <w:proofErr w:type="spellStart"/>
      <w:r>
        <w:rPr>
          <w:rFonts w:ascii="Arial Narrow" w:hAnsi="Arial Narrow"/>
          <w:b/>
          <w:bCs/>
          <w:sz w:val="24"/>
          <w:szCs w:val="24"/>
          <w:lang w:val="en-GB" w:eastAsia="en-GB"/>
        </w:rPr>
        <w:t>informacionoj</w:t>
      </w:r>
      <w:proofErr w:type="spellEnd"/>
      <w:r>
        <w:rPr>
          <w:rFonts w:ascii="Arial Narrow" w:hAnsi="Arial Narrow"/>
          <w:b/>
          <w:bCs/>
          <w:sz w:val="24"/>
          <w:szCs w:val="24"/>
          <w:lang w:val="en-GB" w:eastAsia="en-GB"/>
        </w:rPr>
        <w:t xml:space="preserve"> </w:t>
      </w:r>
      <w:proofErr w:type="spellStart"/>
      <w:r>
        <w:rPr>
          <w:rFonts w:ascii="Arial Narrow" w:hAnsi="Arial Narrow"/>
          <w:b/>
          <w:bCs/>
          <w:sz w:val="24"/>
          <w:szCs w:val="24"/>
          <w:lang w:val="en-GB" w:eastAsia="en-GB"/>
        </w:rPr>
        <w:t>bezbjednosti</w:t>
      </w:r>
      <w:proofErr w:type="spellEnd"/>
      <w:r>
        <w:rPr>
          <w:rFonts w:ascii="Arial Narrow" w:hAnsi="Arial Narrow"/>
          <w:b/>
          <w:bCs/>
          <w:sz w:val="24"/>
          <w:szCs w:val="24"/>
          <w:lang w:val="en-GB" w:eastAsia="en-GB"/>
        </w:rPr>
        <w:t>.</w:t>
      </w:r>
    </w:p>
    <w:p w14:paraId="32DBA688" w14:textId="77777777" w:rsidR="003D6416" w:rsidRPr="007D4F12" w:rsidRDefault="003D6416" w:rsidP="003D6416">
      <w:pPr>
        <w:jc w:val="both"/>
        <w:rPr>
          <w:rFonts w:ascii="Arial Narrow" w:hAnsi="Arial Narrow"/>
          <w:b/>
          <w:bCs/>
          <w:sz w:val="24"/>
          <w:szCs w:val="24"/>
          <w:lang w:val="en-GB" w:eastAsia="en-GB"/>
        </w:rPr>
      </w:pPr>
      <w:proofErr w:type="spellStart"/>
      <w:r w:rsidRPr="007D4F12">
        <w:rPr>
          <w:rFonts w:ascii="Arial Narrow" w:hAnsi="Arial Narrow"/>
          <w:b/>
          <w:bCs/>
          <w:sz w:val="24"/>
          <w:szCs w:val="24"/>
          <w:lang w:val="en-GB" w:eastAsia="en-GB"/>
        </w:rPr>
        <w:t>Cilj</w:t>
      </w:r>
      <w:proofErr w:type="spellEnd"/>
      <w:r w:rsidRPr="007D4F12">
        <w:rPr>
          <w:rFonts w:ascii="Arial Narrow" w:hAnsi="Arial Narrow"/>
          <w:b/>
          <w:bCs/>
          <w:sz w:val="24"/>
          <w:szCs w:val="24"/>
          <w:lang w:val="en-GB" w:eastAsia="en-GB"/>
        </w:rPr>
        <w:t xml:space="preserve"> 5.7. JAČANJE DIGITALNIH VJEŠTINA I PREVAZILAŽENJE DIGITALNOG JAZA</w:t>
      </w:r>
    </w:p>
    <w:p w14:paraId="2F90752A" w14:textId="77777777" w:rsidR="003D6416" w:rsidRDefault="003D6416" w:rsidP="003D6416">
      <w:pPr>
        <w:jc w:val="both"/>
        <w:rPr>
          <w:rFonts w:ascii="Arial Narrow" w:hAnsi="Arial Narrow"/>
          <w:sz w:val="24"/>
          <w:szCs w:val="24"/>
          <w:lang w:val="en-GB" w:eastAsia="en-GB"/>
        </w:rPr>
      </w:pPr>
      <w:r>
        <w:rPr>
          <w:rFonts w:ascii="Arial Narrow" w:hAnsi="Arial Narrow"/>
          <w:sz w:val="24"/>
          <w:szCs w:val="24"/>
          <w:lang w:val="en-GB" w:eastAsia="en-GB"/>
        </w:rPr>
        <w:t xml:space="preserve">Kao </w:t>
      </w:r>
      <w:proofErr w:type="spellStart"/>
      <w:r>
        <w:rPr>
          <w:rFonts w:ascii="Arial Narrow" w:hAnsi="Arial Narrow"/>
          <w:sz w:val="24"/>
          <w:szCs w:val="24"/>
          <w:lang w:val="en-GB" w:eastAsia="en-GB"/>
        </w:rPr>
        <w:t>jedan</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od</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benefta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Digitalne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akademije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koja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će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biti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uspostavljena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ćemo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imati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barem</w:t>
      </w:r>
      <w:proofErr w:type="spellEnd"/>
      <w:r>
        <w:rPr>
          <w:rFonts w:ascii="Arial Narrow" w:hAnsi="Arial Narrow"/>
          <w:sz w:val="24"/>
          <w:szCs w:val="24"/>
          <w:lang w:val="en-GB" w:eastAsia="en-GB"/>
        </w:rPr>
        <w:t xml:space="preserve"> </w:t>
      </w:r>
      <w:r w:rsidRPr="00690EC1">
        <w:rPr>
          <w:rFonts w:ascii="Arial Narrow" w:hAnsi="Arial Narrow"/>
          <w:b/>
          <w:bCs/>
          <w:sz w:val="24"/>
          <w:szCs w:val="24"/>
          <w:lang w:val="en-GB" w:eastAsia="en-GB"/>
        </w:rPr>
        <w:t xml:space="preserve">500 </w:t>
      </w:r>
      <w:proofErr w:type="spellStart"/>
      <w:r w:rsidRPr="00690EC1">
        <w:rPr>
          <w:rFonts w:ascii="Arial Narrow" w:hAnsi="Arial Narrow"/>
          <w:b/>
          <w:bCs/>
          <w:sz w:val="24"/>
          <w:szCs w:val="24"/>
          <w:lang w:val="en-GB" w:eastAsia="en-GB"/>
        </w:rPr>
        <w:t>obučenih</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javnih</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službenika</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na</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nivou</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svih</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ministarstava</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koristeći</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kurikulum</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Digitalne</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Akademije</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devet</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realizovanih</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programa</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na</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Digitalnoj</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Akademiji</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i</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svake</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godine</w:t>
      </w:r>
      <w:proofErr w:type="spellEnd"/>
      <w:r w:rsidRPr="00690EC1">
        <w:rPr>
          <w:rFonts w:ascii="Arial Narrow" w:hAnsi="Arial Narrow"/>
          <w:b/>
          <w:bCs/>
          <w:sz w:val="24"/>
          <w:szCs w:val="24"/>
          <w:lang w:val="en-GB" w:eastAsia="en-GB"/>
        </w:rPr>
        <w:t xml:space="preserve"> do 2024. 700 </w:t>
      </w:r>
      <w:proofErr w:type="spellStart"/>
      <w:r w:rsidRPr="00690EC1">
        <w:rPr>
          <w:rFonts w:ascii="Arial Narrow" w:hAnsi="Arial Narrow"/>
          <w:b/>
          <w:bCs/>
          <w:sz w:val="24"/>
          <w:szCs w:val="24"/>
          <w:lang w:val="en-GB" w:eastAsia="en-GB"/>
        </w:rPr>
        <w:t>korisnika</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aktivnosti</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na</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prevazilaženju</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digitalnog</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jaza</w:t>
      </w:r>
      <w:proofErr w:type="spellEnd"/>
      <w:r w:rsidRPr="00690EC1">
        <w:rPr>
          <w:rFonts w:ascii="Arial Narrow" w:hAnsi="Arial Narrow"/>
          <w:b/>
          <w:bCs/>
          <w:sz w:val="24"/>
          <w:szCs w:val="24"/>
          <w:lang w:val="en-GB" w:eastAsia="en-GB"/>
        </w:rPr>
        <w:t>.</w:t>
      </w:r>
    </w:p>
    <w:p w14:paraId="53EBAA38" w14:textId="77777777" w:rsidR="003D6416" w:rsidRPr="00690EC1" w:rsidRDefault="003D6416" w:rsidP="003D6416">
      <w:pPr>
        <w:jc w:val="both"/>
        <w:rPr>
          <w:rFonts w:ascii="Arial Narrow" w:hAnsi="Arial Narrow"/>
          <w:b/>
          <w:bCs/>
          <w:sz w:val="24"/>
          <w:szCs w:val="24"/>
          <w:lang w:val="en-GB" w:eastAsia="en-GB"/>
        </w:rPr>
      </w:pPr>
      <w:proofErr w:type="spellStart"/>
      <w:r w:rsidRPr="00690EC1">
        <w:rPr>
          <w:rFonts w:ascii="Arial Narrow" w:hAnsi="Arial Narrow"/>
          <w:b/>
          <w:bCs/>
          <w:sz w:val="24"/>
          <w:szCs w:val="24"/>
          <w:lang w:val="en-GB" w:eastAsia="en-GB"/>
        </w:rPr>
        <w:t>Cilj</w:t>
      </w:r>
      <w:proofErr w:type="spellEnd"/>
      <w:r w:rsidRPr="00690EC1">
        <w:rPr>
          <w:rFonts w:ascii="Arial Narrow" w:hAnsi="Arial Narrow"/>
          <w:b/>
          <w:bCs/>
          <w:sz w:val="24"/>
          <w:szCs w:val="24"/>
          <w:lang w:val="en-GB" w:eastAsia="en-GB"/>
        </w:rPr>
        <w:t xml:space="preserve"> 5.7.</w:t>
      </w:r>
      <w:r w:rsidRPr="00690EC1">
        <w:rPr>
          <w:rFonts w:ascii="Arial Narrow" w:hAnsi="Arial Narrow"/>
          <w:b/>
          <w:bCs/>
          <w:sz w:val="24"/>
          <w:szCs w:val="24"/>
          <w:lang w:val="en-GB" w:eastAsia="en-GB"/>
        </w:rPr>
        <w:tab/>
        <w:t>DOSTIĆI VIŠI NIVO POKRIVENOSTI I RAZVOJA ELEKTRONSKE KOMUNIKACIONE INFRASTRUKTURE</w:t>
      </w:r>
      <w:r w:rsidRPr="00690EC1">
        <w:rPr>
          <w:rFonts w:ascii="Arial Narrow" w:hAnsi="Arial Narrow"/>
          <w:b/>
          <w:bCs/>
          <w:sz w:val="24"/>
          <w:szCs w:val="24"/>
          <w:lang w:val="en-GB" w:eastAsia="en-GB"/>
        </w:rPr>
        <w:tab/>
      </w:r>
      <w:r w:rsidRPr="00690EC1">
        <w:rPr>
          <w:rFonts w:ascii="Arial Narrow" w:hAnsi="Arial Narrow"/>
          <w:b/>
          <w:bCs/>
          <w:sz w:val="24"/>
          <w:szCs w:val="24"/>
          <w:lang w:val="en-GB" w:eastAsia="en-GB"/>
        </w:rPr>
        <w:tab/>
      </w:r>
      <w:r w:rsidRPr="00690EC1">
        <w:rPr>
          <w:rFonts w:ascii="Arial Narrow" w:hAnsi="Arial Narrow"/>
          <w:b/>
          <w:bCs/>
          <w:sz w:val="24"/>
          <w:szCs w:val="24"/>
          <w:lang w:val="en-GB" w:eastAsia="en-GB"/>
        </w:rPr>
        <w:tab/>
      </w:r>
      <w:r w:rsidRPr="00690EC1">
        <w:rPr>
          <w:rFonts w:ascii="Arial Narrow" w:hAnsi="Arial Narrow"/>
          <w:b/>
          <w:bCs/>
          <w:sz w:val="24"/>
          <w:szCs w:val="24"/>
          <w:lang w:val="en-GB" w:eastAsia="en-GB"/>
        </w:rPr>
        <w:tab/>
      </w:r>
      <w:r w:rsidRPr="00690EC1">
        <w:rPr>
          <w:rFonts w:ascii="Arial Narrow" w:hAnsi="Arial Narrow"/>
          <w:b/>
          <w:bCs/>
          <w:sz w:val="24"/>
          <w:szCs w:val="24"/>
          <w:lang w:val="en-GB" w:eastAsia="en-GB"/>
        </w:rPr>
        <w:tab/>
      </w:r>
      <w:r w:rsidRPr="00690EC1">
        <w:rPr>
          <w:rFonts w:ascii="Arial Narrow" w:hAnsi="Arial Narrow"/>
          <w:b/>
          <w:bCs/>
          <w:sz w:val="24"/>
          <w:szCs w:val="24"/>
          <w:lang w:val="en-GB" w:eastAsia="en-GB"/>
        </w:rPr>
        <w:tab/>
      </w:r>
      <w:r w:rsidRPr="00690EC1">
        <w:rPr>
          <w:rFonts w:ascii="Arial Narrow" w:hAnsi="Arial Narrow"/>
          <w:b/>
          <w:bCs/>
          <w:sz w:val="24"/>
          <w:szCs w:val="24"/>
          <w:lang w:val="en-GB" w:eastAsia="en-GB"/>
        </w:rPr>
        <w:tab/>
      </w:r>
    </w:p>
    <w:p w14:paraId="12EDF7A5" w14:textId="77777777" w:rsidR="003D6416" w:rsidRPr="00314A47" w:rsidRDefault="003D6416" w:rsidP="003D6416">
      <w:pPr>
        <w:jc w:val="both"/>
        <w:rPr>
          <w:rFonts w:ascii="Arial Narrow" w:hAnsi="Arial Narrow"/>
          <w:sz w:val="24"/>
          <w:szCs w:val="24"/>
          <w:lang w:val="en-GB" w:eastAsia="en-GB"/>
        </w:rPr>
      </w:pPr>
      <w:proofErr w:type="spellStart"/>
      <w:r>
        <w:rPr>
          <w:rFonts w:ascii="Arial Narrow" w:hAnsi="Arial Narrow"/>
          <w:sz w:val="24"/>
          <w:szCs w:val="24"/>
          <w:lang w:val="en-GB" w:eastAsia="en-GB"/>
        </w:rPr>
        <w:t>Unapređenje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digitalizacije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možemo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posmatrati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jedino</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kroz</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razvoj</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digitalnog</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društva</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pristup</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internetu</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te</w:t>
      </w:r>
      <w:proofErr w:type="spellEnd"/>
      <w:r>
        <w:rPr>
          <w:rFonts w:ascii="Arial Narrow" w:hAnsi="Arial Narrow"/>
          <w:sz w:val="24"/>
          <w:szCs w:val="24"/>
          <w:lang w:val="en-GB" w:eastAsia="en-GB"/>
        </w:rPr>
        <w:t xml:space="preserve"> </w:t>
      </w:r>
      <w:proofErr w:type="spellStart"/>
      <w:r>
        <w:rPr>
          <w:rFonts w:ascii="Arial Narrow" w:hAnsi="Arial Narrow"/>
          <w:sz w:val="24"/>
          <w:szCs w:val="24"/>
          <w:lang w:val="en-GB" w:eastAsia="en-GB"/>
        </w:rPr>
        <w:t>ćemo</w:t>
      </w:r>
      <w:proofErr w:type="spellEnd"/>
      <w:r>
        <w:rPr>
          <w:rFonts w:ascii="Arial Narrow" w:hAnsi="Arial Narrow"/>
          <w:sz w:val="24"/>
          <w:szCs w:val="24"/>
          <w:lang w:val="en-GB" w:eastAsia="en-GB"/>
        </w:rPr>
        <w:t xml:space="preserve"> </w:t>
      </w:r>
      <w:r w:rsidRPr="00690EC1">
        <w:rPr>
          <w:rFonts w:ascii="Arial Narrow" w:hAnsi="Arial Narrow"/>
          <w:b/>
          <w:bCs/>
          <w:sz w:val="24"/>
          <w:szCs w:val="24"/>
          <w:lang w:val="en-GB" w:eastAsia="en-GB"/>
        </w:rPr>
        <w:t xml:space="preserve">do 2024. </w:t>
      </w:r>
      <w:proofErr w:type="spellStart"/>
      <w:r w:rsidRPr="00690EC1">
        <w:rPr>
          <w:rFonts w:ascii="Arial Narrow" w:hAnsi="Arial Narrow"/>
          <w:b/>
          <w:bCs/>
          <w:sz w:val="24"/>
          <w:szCs w:val="24"/>
          <w:lang w:val="en-GB" w:eastAsia="en-GB"/>
        </w:rPr>
        <w:t>obezbjediti</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veći</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procenat</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pokrivenosti</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domaćinstava</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fiksnim</w:t>
      </w:r>
      <w:proofErr w:type="spellEnd"/>
      <w:r w:rsidRPr="00690EC1">
        <w:rPr>
          <w:rFonts w:ascii="Arial Narrow" w:hAnsi="Arial Narrow"/>
          <w:b/>
          <w:bCs/>
          <w:sz w:val="24"/>
          <w:szCs w:val="24"/>
          <w:lang w:val="en-GB" w:eastAsia="en-GB"/>
        </w:rPr>
        <w:t xml:space="preserve"> BB-om </w:t>
      </w:r>
      <w:proofErr w:type="spellStart"/>
      <w:r w:rsidRPr="00690EC1">
        <w:rPr>
          <w:rFonts w:ascii="Arial Narrow" w:hAnsi="Arial Narrow"/>
          <w:b/>
          <w:bCs/>
          <w:sz w:val="24"/>
          <w:szCs w:val="24"/>
          <w:lang w:val="en-GB" w:eastAsia="en-GB"/>
        </w:rPr>
        <w:t>brzinom</w:t>
      </w:r>
      <w:proofErr w:type="spellEnd"/>
      <w:r w:rsidRPr="00690EC1">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od</w:t>
      </w:r>
      <w:proofErr w:type="spellEnd"/>
      <w:r w:rsidRPr="00690EC1">
        <w:rPr>
          <w:rFonts w:ascii="Arial Narrow" w:hAnsi="Arial Narrow"/>
          <w:b/>
          <w:bCs/>
          <w:sz w:val="24"/>
          <w:szCs w:val="24"/>
          <w:lang w:val="en-GB" w:eastAsia="en-GB"/>
        </w:rPr>
        <w:t xml:space="preserve"> 100Mbps+ </w:t>
      </w:r>
      <w:proofErr w:type="spellStart"/>
      <w:r w:rsidRPr="00690EC1">
        <w:rPr>
          <w:rFonts w:ascii="Arial Narrow" w:hAnsi="Arial Narrow"/>
          <w:b/>
          <w:bCs/>
          <w:sz w:val="24"/>
          <w:szCs w:val="24"/>
          <w:lang w:val="en-GB" w:eastAsia="en-GB"/>
        </w:rPr>
        <w:t>sa</w:t>
      </w:r>
      <w:proofErr w:type="spellEnd"/>
      <w:r w:rsidRPr="00690EC1">
        <w:rPr>
          <w:rFonts w:ascii="Arial Narrow" w:hAnsi="Arial Narrow"/>
          <w:b/>
          <w:bCs/>
          <w:sz w:val="24"/>
          <w:szCs w:val="24"/>
          <w:lang w:val="en-GB" w:eastAsia="en-GB"/>
        </w:rPr>
        <w:t xml:space="preserve"> 75%</w:t>
      </w:r>
      <w:r>
        <w:rPr>
          <w:rFonts w:ascii="Arial Narrow" w:hAnsi="Arial Narrow"/>
          <w:b/>
          <w:bCs/>
          <w:sz w:val="24"/>
          <w:szCs w:val="24"/>
          <w:lang w:val="en-GB" w:eastAsia="en-GB"/>
        </w:rPr>
        <w:t xml:space="preserve"> </w:t>
      </w:r>
      <w:proofErr w:type="spellStart"/>
      <w:r w:rsidRPr="00690EC1">
        <w:rPr>
          <w:rFonts w:ascii="Arial Narrow" w:hAnsi="Arial Narrow"/>
          <w:b/>
          <w:bCs/>
          <w:sz w:val="24"/>
          <w:szCs w:val="24"/>
          <w:lang w:val="en-GB" w:eastAsia="en-GB"/>
        </w:rPr>
        <w:t>na</w:t>
      </w:r>
      <w:proofErr w:type="spellEnd"/>
      <w:r w:rsidRPr="00690EC1">
        <w:rPr>
          <w:rFonts w:ascii="Arial Narrow" w:hAnsi="Arial Narrow"/>
          <w:b/>
          <w:bCs/>
          <w:sz w:val="24"/>
          <w:szCs w:val="24"/>
          <w:lang w:val="en-GB" w:eastAsia="en-GB"/>
        </w:rPr>
        <w:t xml:space="preserve"> 81,6%.</w:t>
      </w:r>
      <w:r w:rsidRPr="00314A47">
        <w:rPr>
          <w:rFonts w:ascii="Arial Narrow" w:hAnsi="Arial Narrow"/>
          <w:sz w:val="24"/>
          <w:szCs w:val="24"/>
          <w:lang w:val="en-GB" w:eastAsia="en-GB"/>
        </w:rPr>
        <w:tab/>
      </w:r>
    </w:p>
    <w:p w14:paraId="4E422B7D" w14:textId="77777777" w:rsidR="003D6416" w:rsidRDefault="003D6416" w:rsidP="003D6416">
      <w:pPr>
        <w:jc w:val="both"/>
        <w:rPr>
          <w:rFonts w:ascii="Arial Narrow" w:hAnsi="Arial Narrow"/>
          <w:sz w:val="24"/>
          <w:szCs w:val="24"/>
          <w:lang w:val="en-GB" w:eastAsia="en-GB"/>
        </w:rPr>
      </w:pPr>
      <w:r w:rsidRPr="00314A47">
        <w:rPr>
          <w:rFonts w:ascii="Arial Narrow" w:hAnsi="Arial Narrow"/>
          <w:sz w:val="24"/>
          <w:szCs w:val="24"/>
          <w:lang w:val="en-GB" w:eastAsia="en-GB"/>
        </w:rPr>
        <w:tab/>
      </w:r>
      <w:r w:rsidRPr="00314A47">
        <w:rPr>
          <w:rFonts w:ascii="Arial Narrow" w:hAnsi="Arial Narrow"/>
          <w:sz w:val="24"/>
          <w:szCs w:val="24"/>
          <w:lang w:val="en-GB" w:eastAsia="en-GB"/>
        </w:rPr>
        <w:tab/>
      </w:r>
      <w:r w:rsidRPr="00314A47">
        <w:rPr>
          <w:rFonts w:ascii="Arial Narrow" w:hAnsi="Arial Narrow"/>
          <w:sz w:val="24"/>
          <w:szCs w:val="24"/>
          <w:lang w:val="en-GB" w:eastAsia="en-GB"/>
        </w:rPr>
        <w:tab/>
      </w:r>
      <w:r w:rsidRPr="00314A47">
        <w:rPr>
          <w:rFonts w:ascii="Arial Narrow" w:hAnsi="Arial Narrow"/>
          <w:sz w:val="24"/>
          <w:szCs w:val="24"/>
          <w:lang w:val="en-GB" w:eastAsia="en-GB"/>
        </w:rPr>
        <w:tab/>
      </w:r>
      <w:r w:rsidRPr="00314A47">
        <w:rPr>
          <w:rFonts w:ascii="Arial Narrow" w:hAnsi="Arial Narrow"/>
          <w:sz w:val="24"/>
          <w:szCs w:val="24"/>
          <w:lang w:val="en-GB" w:eastAsia="en-GB"/>
        </w:rPr>
        <w:tab/>
      </w:r>
      <w:r w:rsidRPr="00314A47">
        <w:rPr>
          <w:rFonts w:ascii="Arial Narrow" w:hAnsi="Arial Narrow"/>
          <w:sz w:val="24"/>
          <w:szCs w:val="24"/>
          <w:lang w:val="en-GB" w:eastAsia="en-GB"/>
        </w:rPr>
        <w:tab/>
      </w:r>
      <w:r w:rsidRPr="00314A47">
        <w:rPr>
          <w:rFonts w:ascii="Arial Narrow" w:hAnsi="Arial Narrow"/>
          <w:sz w:val="24"/>
          <w:szCs w:val="24"/>
          <w:lang w:val="en-GB" w:eastAsia="en-GB"/>
        </w:rPr>
        <w:tab/>
      </w:r>
      <w:r w:rsidRPr="00314A47">
        <w:rPr>
          <w:rFonts w:ascii="Arial Narrow" w:hAnsi="Arial Narrow"/>
          <w:sz w:val="24"/>
          <w:szCs w:val="24"/>
          <w:lang w:val="en-GB" w:eastAsia="en-GB"/>
        </w:rPr>
        <w:tab/>
      </w:r>
      <w:r w:rsidRPr="00314A47">
        <w:rPr>
          <w:rFonts w:ascii="Arial Narrow" w:hAnsi="Arial Narrow"/>
          <w:sz w:val="24"/>
          <w:szCs w:val="24"/>
          <w:lang w:val="en-GB" w:eastAsia="en-GB"/>
        </w:rPr>
        <w:tab/>
      </w:r>
    </w:p>
    <w:p w14:paraId="5B8B3D3D" w14:textId="77777777" w:rsidR="003D6416" w:rsidRPr="00605A99" w:rsidRDefault="003D6416" w:rsidP="003D6416">
      <w:pPr>
        <w:pStyle w:val="ListParagraph"/>
        <w:jc w:val="both"/>
        <w:rPr>
          <w:rFonts w:ascii="Arial Narrow" w:hAnsi="Arial Narrow"/>
          <w:b/>
          <w:bCs/>
          <w:sz w:val="24"/>
          <w:szCs w:val="24"/>
          <w:lang w:val="en-US"/>
        </w:rPr>
      </w:pPr>
      <w:r w:rsidRPr="00605A99">
        <w:rPr>
          <w:b/>
          <w:bCs/>
          <w:noProof/>
          <w:color w:val="1F3864" w:themeColor="accent1" w:themeShade="80"/>
          <w:lang w:val="en-US"/>
        </w:rPr>
        <w:drawing>
          <wp:anchor distT="0" distB="0" distL="114300" distR="114300" simplePos="0" relativeHeight="251710464" behindDoc="0" locked="0" layoutInCell="1" allowOverlap="1" wp14:anchorId="04987788" wp14:editId="682E3F05">
            <wp:simplePos x="0" y="0"/>
            <wp:positionH relativeFrom="margin">
              <wp:posOffset>310896</wp:posOffset>
            </wp:positionH>
            <wp:positionV relativeFrom="paragraph">
              <wp:posOffset>5334</wp:posOffset>
            </wp:positionV>
            <wp:extent cx="438150" cy="438150"/>
            <wp:effectExtent l="0" t="0" r="0" b="0"/>
            <wp:wrapSquare wrapText="bothSides"/>
            <wp:docPr id="9" name="Picture 9" descr="Circle, country, eu, europe, european, flag, uni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rcle, country, eu, europe, european, flag, union icon - Download on  Iconfind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5A99">
        <w:rPr>
          <w:rFonts w:ascii="Arial Narrow" w:hAnsi="Arial Narrow"/>
          <w:b/>
          <w:bCs/>
          <w:sz w:val="24"/>
          <w:szCs w:val="24"/>
          <w:lang w:val="en-US"/>
        </w:rPr>
        <w:t>CRNA GORA – BUDUĆA ČLANICA EVROPSKE UNIJE, S OSNAŽENOM POZICIJOM NA MEĐUNARODNOJ SCENI</w:t>
      </w:r>
    </w:p>
    <w:p w14:paraId="07B93D68" w14:textId="77777777" w:rsidR="003D6416" w:rsidRPr="00EB3944" w:rsidRDefault="003D6416" w:rsidP="003D6416">
      <w:pPr>
        <w:rPr>
          <w:rFonts w:ascii="Arial Narrow" w:hAnsi="Arial Narrow"/>
          <w:b/>
          <w:bCs/>
          <w:sz w:val="24"/>
          <w:szCs w:val="24"/>
        </w:rPr>
      </w:pPr>
      <w:r w:rsidRPr="00EB3944">
        <w:rPr>
          <w:rFonts w:ascii="Arial Narrow" w:hAnsi="Arial Narrow"/>
          <w:b/>
          <w:bCs/>
          <w:sz w:val="24"/>
          <w:szCs w:val="24"/>
        </w:rPr>
        <w:t xml:space="preserve">Cilj 6.1. UNAPREĐENJE INFORMISANJA JAVNOSTI O PRISTUPANJU CRNE GORE EU </w:t>
      </w:r>
    </w:p>
    <w:p w14:paraId="68757600" w14:textId="77777777" w:rsidR="003D6416" w:rsidRPr="00EB3944" w:rsidRDefault="003D6416" w:rsidP="003D6416">
      <w:pPr>
        <w:jc w:val="both"/>
        <w:rPr>
          <w:rFonts w:ascii="Arial Narrow" w:hAnsi="Arial Narrow"/>
          <w:sz w:val="24"/>
          <w:szCs w:val="24"/>
        </w:rPr>
      </w:pPr>
      <w:r w:rsidRPr="00EB3944">
        <w:rPr>
          <w:rFonts w:ascii="Arial Narrow" w:hAnsi="Arial Narrow"/>
          <w:sz w:val="24"/>
          <w:szCs w:val="24"/>
        </w:rPr>
        <w:t xml:space="preserve">Procenat veoma dobro i dobro informisanih o procesu pristupanja Crne Gore Evropskoj uniji </w:t>
      </w:r>
      <w:r>
        <w:rPr>
          <w:rFonts w:ascii="Arial Narrow" w:hAnsi="Arial Narrow"/>
          <w:sz w:val="24"/>
          <w:szCs w:val="24"/>
        </w:rPr>
        <w:t xml:space="preserve">je i do sada bio povoljan, a u narednom periodu očekujemo da održimo stabilnost od </w:t>
      </w:r>
      <w:r w:rsidRPr="00A65D25">
        <w:rPr>
          <w:rFonts w:ascii="Arial Narrow" w:hAnsi="Arial Narrow"/>
          <w:b/>
          <w:bCs/>
          <w:sz w:val="24"/>
          <w:szCs w:val="24"/>
        </w:rPr>
        <w:t>najmanje 55% veoma dobro i dobro informisanih građanki i građana o procesu pristupanja Crne Gore Evropskoj uniji</w:t>
      </w:r>
      <w:r>
        <w:rPr>
          <w:rFonts w:ascii="Arial Narrow" w:hAnsi="Arial Narrow"/>
          <w:sz w:val="24"/>
          <w:szCs w:val="24"/>
        </w:rPr>
        <w:t>. Podjednako, radiće se na tome da n</w:t>
      </w:r>
      <w:r w:rsidRPr="00EB3944">
        <w:rPr>
          <w:rFonts w:ascii="Arial Narrow" w:hAnsi="Arial Narrow"/>
          <w:sz w:val="24"/>
          <w:szCs w:val="24"/>
        </w:rPr>
        <w:t>ajmanje 65% građan</w:t>
      </w:r>
      <w:r>
        <w:rPr>
          <w:rFonts w:ascii="Arial Narrow" w:hAnsi="Arial Narrow"/>
          <w:sz w:val="24"/>
          <w:szCs w:val="24"/>
        </w:rPr>
        <w:t xml:space="preserve">ki i građana </w:t>
      </w:r>
      <w:r w:rsidRPr="00EB3944">
        <w:rPr>
          <w:rFonts w:ascii="Arial Narrow" w:hAnsi="Arial Narrow"/>
          <w:sz w:val="24"/>
          <w:szCs w:val="24"/>
        </w:rPr>
        <w:t>ima veoma i uglavnom pozitivan stav o EU</w:t>
      </w:r>
      <w:r>
        <w:rPr>
          <w:rFonts w:ascii="Arial Narrow" w:hAnsi="Arial Narrow"/>
          <w:sz w:val="24"/>
          <w:szCs w:val="24"/>
        </w:rPr>
        <w:t>.</w:t>
      </w:r>
      <w:r w:rsidRPr="00EB3944">
        <w:rPr>
          <w:rFonts w:ascii="Arial Narrow" w:hAnsi="Arial Narrow"/>
          <w:sz w:val="24"/>
          <w:szCs w:val="24"/>
        </w:rPr>
        <w:tab/>
      </w:r>
      <w:r w:rsidRPr="00EB3944">
        <w:rPr>
          <w:rFonts w:ascii="Arial Narrow" w:hAnsi="Arial Narrow"/>
          <w:sz w:val="24"/>
          <w:szCs w:val="24"/>
        </w:rPr>
        <w:tab/>
      </w:r>
    </w:p>
    <w:p w14:paraId="7D3CD92E" w14:textId="77777777" w:rsidR="003D6416" w:rsidRPr="00A65D25" w:rsidRDefault="003D6416" w:rsidP="003D6416">
      <w:pPr>
        <w:rPr>
          <w:rFonts w:ascii="Arial Narrow" w:hAnsi="Arial Narrow"/>
          <w:b/>
          <w:bCs/>
          <w:sz w:val="24"/>
          <w:szCs w:val="24"/>
        </w:rPr>
      </w:pPr>
      <w:r w:rsidRPr="00A65D25">
        <w:rPr>
          <w:rFonts w:ascii="Arial Narrow" w:hAnsi="Arial Narrow"/>
          <w:b/>
          <w:bCs/>
          <w:sz w:val="24"/>
          <w:szCs w:val="24"/>
        </w:rPr>
        <w:t>Cilj 6.2. POSTIGNUTA SPREMNOST ZA ČLANSTVO U EU</w:t>
      </w:r>
    </w:p>
    <w:p w14:paraId="2264AB3B" w14:textId="25CF4202" w:rsidR="003D6416" w:rsidRPr="003E7E0A" w:rsidRDefault="003D6416" w:rsidP="003D6416">
      <w:pPr>
        <w:jc w:val="both"/>
        <w:rPr>
          <w:rFonts w:ascii="Arial Narrow" w:hAnsi="Arial Narrow"/>
          <w:b/>
          <w:bCs/>
          <w:sz w:val="24"/>
          <w:szCs w:val="24"/>
        </w:rPr>
      </w:pPr>
      <w:r>
        <w:rPr>
          <w:rFonts w:ascii="Arial Narrow" w:hAnsi="Arial Narrow"/>
          <w:sz w:val="24"/>
          <w:szCs w:val="24"/>
        </w:rPr>
        <w:t xml:space="preserve">Nakon višegodišnjih pregovora s Evropskom unijom, a uz punu realizaciju obaveza iz procesa pregovora i </w:t>
      </w:r>
      <w:r w:rsidRPr="00A65D25">
        <w:rPr>
          <w:rFonts w:ascii="Arial Narrow" w:hAnsi="Arial Narrow"/>
          <w:b/>
          <w:bCs/>
          <w:sz w:val="24"/>
          <w:szCs w:val="24"/>
        </w:rPr>
        <w:t>procenat realizacije Programa pristupanja Crne Gore Evropskoj uniji, ćemo ostv</w:t>
      </w:r>
      <w:r>
        <w:rPr>
          <w:rFonts w:ascii="Arial Narrow" w:hAnsi="Arial Narrow"/>
          <w:b/>
          <w:bCs/>
          <w:sz w:val="24"/>
          <w:szCs w:val="24"/>
        </w:rPr>
        <w:t>a</w:t>
      </w:r>
      <w:r w:rsidRPr="00A65D25">
        <w:rPr>
          <w:rFonts w:ascii="Arial Narrow" w:hAnsi="Arial Narrow"/>
          <w:b/>
          <w:bCs/>
          <w:sz w:val="24"/>
          <w:szCs w:val="24"/>
        </w:rPr>
        <w:t>riti veći procenat ispunjenosti završnih mjerila</w:t>
      </w:r>
      <w:r w:rsidR="003E7E0A">
        <w:rPr>
          <w:rFonts w:ascii="Arial Narrow" w:hAnsi="Arial Narrow"/>
          <w:sz w:val="24"/>
          <w:szCs w:val="24"/>
        </w:rPr>
        <w:t xml:space="preserve"> i </w:t>
      </w:r>
      <w:r w:rsidR="003E7E0A" w:rsidRPr="003E7E0A">
        <w:rPr>
          <w:rFonts w:ascii="Arial Narrow" w:hAnsi="Arial Narrow"/>
          <w:b/>
          <w:bCs/>
          <w:sz w:val="24"/>
          <w:szCs w:val="24"/>
        </w:rPr>
        <w:t>Mapa puta za realizaciju pregovaračkih poglavlja.</w:t>
      </w:r>
    </w:p>
    <w:p w14:paraId="0B09B11B" w14:textId="77777777" w:rsidR="003D6416" w:rsidRPr="008847FC" w:rsidRDefault="003D6416" w:rsidP="003D6416">
      <w:pPr>
        <w:rPr>
          <w:rFonts w:ascii="Arial Narrow" w:hAnsi="Arial Narrow"/>
          <w:b/>
          <w:bCs/>
          <w:sz w:val="24"/>
          <w:szCs w:val="24"/>
        </w:rPr>
      </w:pPr>
      <w:r w:rsidRPr="008847FC">
        <w:rPr>
          <w:rFonts w:ascii="Arial Narrow" w:hAnsi="Arial Narrow"/>
          <w:b/>
          <w:bCs/>
          <w:sz w:val="24"/>
          <w:szCs w:val="24"/>
        </w:rPr>
        <w:t xml:space="preserve">Cilj 6.3. UNAPREĐENJE ZAKONODAVNOG I INSTITUCIONALNOG OKVIRA ZA OBLAST VANJSKIH ODNOSA I VANJSKE, BEZBJEDNOSNE I ODBRAMBENE POLITIKE </w:t>
      </w:r>
    </w:p>
    <w:p w14:paraId="0DDC14E8" w14:textId="77777777" w:rsidR="003D6416" w:rsidRPr="00EB3944" w:rsidRDefault="003D6416" w:rsidP="003D6416">
      <w:pPr>
        <w:jc w:val="both"/>
        <w:rPr>
          <w:rFonts w:ascii="Arial Narrow" w:hAnsi="Arial Narrow"/>
          <w:sz w:val="24"/>
          <w:szCs w:val="24"/>
        </w:rPr>
      </w:pPr>
      <w:r>
        <w:rPr>
          <w:rFonts w:ascii="Arial Narrow" w:hAnsi="Arial Narrow"/>
          <w:sz w:val="24"/>
          <w:szCs w:val="24"/>
        </w:rPr>
        <w:t xml:space="preserve">U ovim oblasima će se postići potpuna usaglašenost </w:t>
      </w:r>
      <w:r w:rsidRPr="00EB3944">
        <w:rPr>
          <w:rFonts w:ascii="Arial Narrow" w:hAnsi="Arial Narrow"/>
          <w:sz w:val="24"/>
          <w:szCs w:val="24"/>
        </w:rPr>
        <w:t>zakonodavnog i institucionalnog okvira za oblast razvojne saradnje i humanitarne pomoći sa pravnom tekovinom Evropske unij</w:t>
      </w:r>
      <w:r>
        <w:rPr>
          <w:rFonts w:ascii="Arial Narrow" w:hAnsi="Arial Narrow"/>
          <w:sz w:val="24"/>
          <w:szCs w:val="24"/>
        </w:rPr>
        <w:t xml:space="preserve">e, kao i </w:t>
      </w:r>
      <w:r w:rsidRPr="00EB3944">
        <w:rPr>
          <w:rFonts w:ascii="Arial Narrow" w:hAnsi="Arial Narrow"/>
          <w:sz w:val="24"/>
          <w:szCs w:val="24"/>
        </w:rPr>
        <w:t>međunarodnih restriktivnih mjera koje donosi Crna Gora sa zajedničkom vanjskom i bezbjednosnom politikom Evropske unije</w:t>
      </w:r>
      <w:r>
        <w:rPr>
          <w:rFonts w:ascii="Arial Narrow" w:hAnsi="Arial Narrow"/>
          <w:sz w:val="24"/>
          <w:szCs w:val="24"/>
        </w:rPr>
        <w:t>.</w:t>
      </w:r>
    </w:p>
    <w:p w14:paraId="4F1AAF51" w14:textId="77777777" w:rsidR="003D6416" w:rsidRDefault="003D6416" w:rsidP="003D6416">
      <w:pPr>
        <w:rPr>
          <w:rFonts w:ascii="Arial Narrow" w:hAnsi="Arial Narrow"/>
          <w:b/>
          <w:bCs/>
          <w:sz w:val="24"/>
          <w:szCs w:val="24"/>
        </w:rPr>
      </w:pPr>
      <w:r w:rsidRPr="008847FC">
        <w:rPr>
          <w:rFonts w:ascii="Arial Narrow" w:hAnsi="Arial Narrow"/>
          <w:b/>
          <w:bCs/>
          <w:sz w:val="24"/>
          <w:szCs w:val="24"/>
        </w:rPr>
        <w:lastRenderedPageBreak/>
        <w:t>Cilj 6.4.</w:t>
      </w:r>
      <w:r w:rsidRPr="008847FC">
        <w:rPr>
          <w:rFonts w:ascii="Arial Narrow" w:hAnsi="Arial Narrow"/>
          <w:b/>
          <w:bCs/>
          <w:sz w:val="24"/>
          <w:szCs w:val="24"/>
        </w:rPr>
        <w:tab/>
        <w:t>JAČANJE ANGAŽMANA I VIDLJIVOSTI CRNE GORE U MULTILATERALNOM SISTEMU</w:t>
      </w:r>
    </w:p>
    <w:p w14:paraId="4DC4A89E" w14:textId="77777777" w:rsidR="003D6416" w:rsidRPr="008847FC" w:rsidRDefault="003D6416" w:rsidP="003D6416">
      <w:pPr>
        <w:jc w:val="both"/>
        <w:rPr>
          <w:rFonts w:ascii="Arial Narrow" w:hAnsi="Arial Narrow"/>
          <w:b/>
          <w:bCs/>
          <w:sz w:val="24"/>
          <w:szCs w:val="24"/>
        </w:rPr>
      </w:pPr>
      <w:r>
        <w:rPr>
          <w:rFonts w:ascii="Arial Narrow" w:hAnsi="Arial Narrow"/>
          <w:sz w:val="24"/>
          <w:szCs w:val="24"/>
        </w:rPr>
        <w:t xml:space="preserve">Kao dio globalnog sistema, Crna Gora je država koja u kontinuitetu jača svoju poziciju ka spolja i svoj odnos s država okruženja i državama svijeta. </w:t>
      </w:r>
      <w:r w:rsidRPr="008847FC">
        <w:rPr>
          <w:rFonts w:ascii="Arial Narrow" w:hAnsi="Arial Narrow"/>
          <w:b/>
          <w:bCs/>
          <w:sz w:val="24"/>
          <w:szCs w:val="24"/>
        </w:rPr>
        <w:t>U periodu 2022-2024. Crna Gora će biti članica Savjeta Ujedinjenih nacija za ljudska prava, a njena kandidatura za članstvo u Savjetu bezbjednosti Ujedinjenih nacija u periodu od 2026 – 2027. će do 2024. biti podržana od barem 100 država. Crna Gora će do 2024. predsjedavati dvijema regionalnim inicijativama.</w:t>
      </w:r>
    </w:p>
    <w:p w14:paraId="0C858859" w14:textId="77777777" w:rsidR="003D6416" w:rsidRPr="008847FC" w:rsidRDefault="003D6416" w:rsidP="003D6416">
      <w:pPr>
        <w:jc w:val="both"/>
        <w:rPr>
          <w:rFonts w:ascii="Arial Narrow" w:hAnsi="Arial Narrow"/>
          <w:b/>
          <w:bCs/>
          <w:sz w:val="24"/>
          <w:szCs w:val="24"/>
        </w:rPr>
      </w:pPr>
      <w:r w:rsidRPr="008847FC">
        <w:rPr>
          <w:rFonts w:ascii="Arial Narrow" w:hAnsi="Arial Narrow"/>
          <w:b/>
          <w:bCs/>
          <w:sz w:val="24"/>
          <w:szCs w:val="24"/>
        </w:rPr>
        <w:t xml:space="preserve">Cilj 6.5. UNAPREĐENJE PROCESA I JAČANJE KAPACITETA OD ZNAČAJA ZA SPROVOĐENJE UTVRĐENIH PRIORITETA VANJSKE POLITIKE </w:t>
      </w:r>
    </w:p>
    <w:p w14:paraId="79CC74BA" w14:textId="77777777" w:rsidR="003D6416" w:rsidRPr="00EB3944" w:rsidRDefault="003D6416" w:rsidP="003D6416">
      <w:pPr>
        <w:jc w:val="both"/>
        <w:rPr>
          <w:rFonts w:ascii="Arial Narrow" w:hAnsi="Arial Narrow"/>
          <w:sz w:val="24"/>
          <w:szCs w:val="24"/>
        </w:rPr>
      </w:pPr>
      <w:r w:rsidRPr="00C128C5">
        <w:rPr>
          <w:rFonts w:ascii="Arial Narrow" w:hAnsi="Arial Narrow"/>
          <w:b/>
          <w:bCs/>
          <w:sz w:val="24"/>
          <w:szCs w:val="24"/>
        </w:rPr>
        <w:t>Pored donošenja sveobuhvatne Strategije vanjske politike, radiće se na povećanju broja diplomatsko-konzularnih  predstavništava Crne Gore u inostranstvu na 40</w:t>
      </w:r>
      <w:r>
        <w:rPr>
          <w:rFonts w:ascii="Arial Narrow" w:hAnsi="Arial Narrow"/>
          <w:sz w:val="24"/>
          <w:szCs w:val="24"/>
        </w:rPr>
        <w:t>.</w:t>
      </w:r>
    </w:p>
    <w:p w14:paraId="33A6FED4" w14:textId="77777777" w:rsidR="003D6416" w:rsidRPr="00C128C5" w:rsidRDefault="003D6416" w:rsidP="003D6416">
      <w:pPr>
        <w:jc w:val="both"/>
        <w:rPr>
          <w:rFonts w:ascii="Arial Narrow" w:hAnsi="Arial Narrow"/>
          <w:b/>
          <w:bCs/>
          <w:sz w:val="24"/>
          <w:szCs w:val="24"/>
        </w:rPr>
      </w:pPr>
      <w:r w:rsidRPr="00C128C5">
        <w:rPr>
          <w:rFonts w:ascii="Arial Narrow" w:hAnsi="Arial Narrow"/>
          <w:b/>
          <w:bCs/>
          <w:sz w:val="24"/>
          <w:szCs w:val="24"/>
        </w:rPr>
        <w:t>Cilj 6.6. UNAPREĐENJE SISTEMA ODBRANE CRNE GORE</w:t>
      </w:r>
    </w:p>
    <w:p w14:paraId="288ADD37" w14:textId="77777777" w:rsidR="003D6416" w:rsidRPr="00EB3944" w:rsidRDefault="003D6416" w:rsidP="003D6416">
      <w:pPr>
        <w:jc w:val="both"/>
        <w:rPr>
          <w:rFonts w:ascii="Arial Narrow" w:hAnsi="Arial Narrow"/>
          <w:sz w:val="24"/>
          <w:szCs w:val="24"/>
        </w:rPr>
      </w:pPr>
      <w:r w:rsidRPr="00EB3944">
        <w:rPr>
          <w:rFonts w:ascii="Arial Narrow" w:hAnsi="Arial Narrow"/>
          <w:sz w:val="24"/>
          <w:szCs w:val="24"/>
        </w:rPr>
        <w:t>Unapređivanje strateških i normativnih uslova za usklađivanje Plana odbrane Crne Gore sa NATO standardima</w:t>
      </w:r>
      <w:r>
        <w:rPr>
          <w:rFonts w:ascii="Arial Narrow" w:hAnsi="Arial Narrow"/>
          <w:sz w:val="24"/>
          <w:szCs w:val="24"/>
        </w:rPr>
        <w:t xml:space="preserve"> će biti nastavljeno, kao i implementacija projekta </w:t>
      </w:r>
      <w:r w:rsidRPr="00EB3944">
        <w:rPr>
          <w:rFonts w:ascii="Arial Narrow" w:hAnsi="Arial Narrow"/>
          <w:sz w:val="24"/>
          <w:szCs w:val="24"/>
        </w:rPr>
        <w:t>za izgradnju radarskog položaja na planini Bjelasica</w:t>
      </w:r>
      <w:r>
        <w:rPr>
          <w:rFonts w:ascii="Arial Narrow" w:hAnsi="Arial Narrow"/>
          <w:sz w:val="24"/>
          <w:szCs w:val="24"/>
        </w:rPr>
        <w:t xml:space="preserve">, koji će do kraja 2024. biti instaliran i povezan </w:t>
      </w:r>
      <w:r w:rsidRPr="00EB3944">
        <w:rPr>
          <w:rFonts w:ascii="Arial Narrow" w:hAnsi="Arial Narrow"/>
          <w:sz w:val="24"/>
          <w:szCs w:val="24"/>
        </w:rPr>
        <w:t>u NATO integrisani sistem zaštite</w:t>
      </w:r>
      <w:r>
        <w:rPr>
          <w:rFonts w:ascii="Arial Narrow" w:hAnsi="Arial Narrow"/>
          <w:sz w:val="24"/>
          <w:szCs w:val="24"/>
        </w:rPr>
        <w:t xml:space="preserve">. Smanjiće se </w:t>
      </w:r>
      <w:r w:rsidRPr="00EB3944">
        <w:rPr>
          <w:rFonts w:ascii="Arial Narrow" w:hAnsi="Arial Narrow"/>
          <w:sz w:val="24"/>
          <w:szCs w:val="24"/>
        </w:rPr>
        <w:t>procen</w:t>
      </w:r>
      <w:r>
        <w:rPr>
          <w:rFonts w:ascii="Arial Narrow" w:hAnsi="Arial Narrow"/>
          <w:sz w:val="24"/>
          <w:szCs w:val="24"/>
        </w:rPr>
        <w:t>at</w:t>
      </w:r>
      <w:r w:rsidRPr="00EB3944">
        <w:rPr>
          <w:rFonts w:ascii="Arial Narrow" w:hAnsi="Arial Narrow"/>
          <w:sz w:val="24"/>
          <w:szCs w:val="24"/>
        </w:rPr>
        <w:t xml:space="preserve"> viškova ubojnih sredstava i municije smanjene stabilnosti</w:t>
      </w:r>
      <w:r>
        <w:rPr>
          <w:rFonts w:ascii="Arial Narrow" w:hAnsi="Arial Narrow"/>
          <w:sz w:val="24"/>
          <w:szCs w:val="24"/>
        </w:rPr>
        <w:t xml:space="preserve"> za 7%. Već tokom 2022. će se raditi na pripremama za izmjene i dopune zakona u oblasti odbrane, a posebno </w:t>
      </w:r>
      <w:r w:rsidRPr="00EB3944">
        <w:rPr>
          <w:rFonts w:ascii="Arial Narrow" w:hAnsi="Arial Narrow"/>
          <w:sz w:val="24"/>
          <w:szCs w:val="24"/>
        </w:rPr>
        <w:t>Predlog zakona o izmjenama i dopunama Zakona o odbrani i Predlog zakona o izmjenama i dopunama Zakona o Vojsci Crne Gore</w:t>
      </w:r>
    </w:p>
    <w:p w14:paraId="7255446B" w14:textId="77777777" w:rsidR="003D6416" w:rsidRPr="006F646A" w:rsidRDefault="003D6416" w:rsidP="003D6416">
      <w:pPr>
        <w:jc w:val="both"/>
        <w:rPr>
          <w:rFonts w:ascii="Arial Narrow" w:hAnsi="Arial Narrow"/>
          <w:b/>
          <w:bCs/>
          <w:sz w:val="24"/>
          <w:szCs w:val="24"/>
        </w:rPr>
      </w:pPr>
      <w:r w:rsidRPr="006F646A">
        <w:rPr>
          <w:rFonts w:ascii="Arial Narrow" w:hAnsi="Arial Narrow"/>
          <w:b/>
          <w:bCs/>
          <w:sz w:val="24"/>
          <w:szCs w:val="24"/>
        </w:rPr>
        <w:t>Cilj 6.7. USPOSTAVLJANJE SISTEMA KRIZNOG UPRAVLJANJA</w:t>
      </w:r>
    </w:p>
    <w:p w14:paraId="4C2EBAFA" w14:textId="77777777" w:rsidR="003D6416" w:rsidRPr="00EB3944" w:rsidRDefault="003D6416" w:rsidP="003D6416">
      <w:pPr>
        <w:jc w:val="both"/>
        <w:rPr>
          <w:rFonts w:ascii="Arial Narrow" w:hAnsi="Arial Narrow"/>
          <w:sz w:val="24"/>
          <w:szCs w:val="24"/>
        </w:rPr>
      </w:pPr>
      <w:r>
        <w:rPr>
          <w:rFonts w:ascii="Arial Narrow" w:hAnsi="Arial Narrow"/>
          <w:sz w:val="24"/>
          <w:szCs w:val="24"/>
        </w:rPr>
        <w:t>Tokom narednog perioda će se raditi na s</w:t>
      </w:r>
      <w:r w:rsidRPr="00EB3944">
        <w:rPr>
          <w:rFonts w:ascii="Arial Narrow" w:hAnsi="Arial Narrow"/>
          <w:sz w:val="24"/>
          <w:szCs w:val="24"/>
        </w:rPr>
        <w:t>tvaranj</w:t>
      </w:r>
      <w:r>
        <w:rPr>
          <w:rFonts w:ascii="Arial Narrow" w:hAnsi="Arial Narrow"/>
          <w:sz w:val="24"/>
          <w:szCs w:val="24"/>
        </w:rPr>
        <w:t>u</w:t>
      </w:r>
      <w:r w:rsidRPr="00EB3944">
        <w:rPr>
          <w:rFonts w:ascii="Arial Narrow" w:hAnsi="Arial Narrow"/>
          <w:sz w:val="24"/>
          <w:szCs w:val="24"/>
        </w:rPr>
        <w:t xml:space="preserve"> normativnih i institucionalnih uslova za razvoj sistema kriznog upravljanja u Crnoj Gori i dostizanje interoperabilnosti u okviru NATO sistema kriznog upravljanja.</w:t>
      </w:r>
    </w:p>
    <w:p w14:paraId="37C7D745" w14:textId="77777777" w:rsidR="003D6416" w:rsidRPr="006F646A" w:rsidRDefault="003D6416" w:rsidP="003D6416">
      <w:pPr>
        <w:jc w:val="both"/>
        <w:rPr>
          <w:rFonts w:ascii="Arial Narrow" w:hAnsi="Arial Narrow"/>
          <w:b/>
          <w:bCs/>
          <w:sz w:val="24"/>
          <w:szCs w:val="24"/>
        </w:rPr>
      </w:pPr>
      <w:r w:rsidRPr="006F646A">
        <w:rPr>
          <w:rFonts w:ascii="Arial Narrow" w:hAnsi="Arial Narrow"/>
          <w:b/>
          <w:bCs/>
          <w:sz w:val="24"/>
          <w:szCs w:val="24"/>
        </w:rPr>
        <w:t>Cilj 6.8. AKTIVAN DOPRINOS KOLEKTIVNOM SISTEMU ODBRANE, UČEŠĆE U NATO, EU I UN MISIJAMA I OPERACIJAMA</w:t>
      </w:r>
    </w:p>
    <w:p w14:paraId="089A52BA" w14:textId="77777777" w:rsidR="003D6416" w:rsidRDefault="003D6416" w:rsidP="003D6416">
      <w:pPr>
        <w:jc w:val="both"/>
        <w:rPr>
          <w:rFonts w:ascii="Arial Narrow" w:hAnsi="Arial Narrow"/>
          <w:sz w:val="24"/>
          <w:szCs w:val="24"/>
        </w:rPr>
      </w:pPr>
      <w:r w:rsidRPr="00EB3944">
        <w:rPr>
          <w:rFonts w:ascii="Arial Narrow" w:hAnsi="Arial Narrow"/>
          <w:sz w:val="24"/>
          <w:szCs w:val="24"/>
        </w:rPr>
        <w:t>Učešće pripadnika Vojske Crne Gore u NATO, EU i UN misijama, operacijama i aktivnostima</w:t>
      </w:r>
      <w:r>
        <w:rPr>
          <w:rFonts w:ascii="Arial Narrow" w:hAnsi="Arial Narrow"/>
          <w:sz w:val="24"/>
          <w:szCs w:val="24"/>
        </w:rPr>
        <w:t>:</w:t>
      </w:r>
    </w:p>
    <w:p w14:paraId="23646930" w14:textId="77777777" w:rsidR="003D6416" w:rsidRPr="006F646A" w:rsidRDefault="003D6416" w:rsidP="003D6416">
      <w:pPr>
        <w:pStyle w:val="ListParagraph"/>
        <w:numPr>
          <w:ilvl w:val="0"/>
          <w:numId w:val="30"/>
        </w:numPr>
        <w:jc w:val="both"/>
        <w:rPr>
          <w:rFonts w:ascii="Arial Narrow" w:hAnsi="Arial Narrow"/>
          <w:sz w:val="24"/>
          <w:szCs w:val="24"/>
        </w:rPr>
      </w:pPr>
      <w:r w:rsidRPr="006F646A">
        <w:rPr>
          <w:rFonts w:ascii="Arial Narrow" w:hAnsi="Arial Narrow"/>
          <w:sz w:val="24"/>
          <w:szCs w:val="24"/>
        </w:rPr>
        <w:t>Učešće u KFOR, eFP, NMI, EUTM, EU ATALANTA i UN MINURSO Doprinos Vojske Crne Gore NATO komandnoj strukturi i NATO strukturi snaga:</w:t>
      </w:r>
    </w:p>
    <w:p w14:paraId="5E241214" w14:textId="77777777" w:rsidR="003D6416" w:rsidRDefault="003D6416" w:rsidP="003D6416">
      <w:pPr>
        <w:pStyle w:val="ListParagraph"/>
        <w:numPr>
          <w:ilvl w:val="0"/>
          <w:numId w:val="30"/>
        </w:numPr>
        <w:jc w:val="both"/>
        <w:rPr>
          <w:rFonts w:ascii="Arial Narrow" w:hAnsi="Arial Narrow"/>
          <w:sz w:val="24"/>
          <w:szCs w:val="24"/>
        </w:rPr>
      </w:pPr>
      <w:r w:rsidRPr="006F646A">
        <w:rPr>
          <w:rFonts w:ascii="Arial Narrow" w:hAnsi="Arial Narrow"/>
          <w:sz w:val="24"/>
          <w:szCs w:val="24"/>
        </w:rPr>
        <w:t>Učešće u NATO snagama za brzo reagovanje (VJTF)</w:t>
      </w:r>
    </w:p>
    <w:p w14:paraId="28D67996" w14:textId="77777777" w:rsidR="003D6416" w:rsidRPr="00EB3944" w:rsidRDefault="003D6416" w:rsidP="003D6416">
      <w:pPr>
        <w:pStyle w:val="ListParagraph"/>
        <w:numPr>
          <w:ilvl w:val="0"/>
          <w:numId w:val="30"/>
        </w:numPr>
        <w:jc w:val="both"/>
        <w:rPr>
          <w:rFonts w:ascii="Arial Narrow" w:hAnsi="Arial Narrow"/>
          <w:sz w:val="24"/>
          <w:szCs w:val="24"/>
        </w:rPr>
      </w:pPr>
      <w:r w:rsidRPr="006F646A">
        <w:rPr>
          <w:rFonts w:ascii="Arial Narrow" w:hAnsi="Arial Narrow"/>
          <w:sz w:val="24"/>
          <w:szCs w:val="24"/>
        </w:rPr>
        <w:t>Učešće u NATO komandnoj strukturi na strateškom nivou</w:t>
      </w:r>
      <w:r>
        <w:rPr>
          <w:rFonts w:ascii="Arial Narrow" w:hAnsi="Arial Narrow"/>
          <w:sz w:val="24"/>
          <w:szCs w:val="24"/>
        </w:rPr>
        <w:t xml:space="preserve">, </w:t>
      </w:r>
      <w:r w:rsidRPr="006F646A">
        <w:rPr>
          <w:rFonts w:ascii="Arial Narrow" w:hAnsi="Arial Narrow"/>
          <w:sz w:val="24"/>
          <w:szCs w:val="24"/>
        </w:rPr>
        <w:t>operativnom i taktičkom</w:t>
      </w:r>
      <w:r>
        <w:rPr>
          <w:rFonts w:ascii="Arial Narrow" w:hAnsi="Arial Narrow"/>
          <w:sz w:val="24"/>
          <w:szCs w:val="24"/>
        </w:rPr>
        <w:t>.</w:t>
      </w:r>
      <w:r w:rsidRPr="006F646A">
        <w:rPr>
          <w:rFonts w:ascii="Arial Narrow" w:hAnsi="Arial Narrow"/>
          <w:sz w:val="24"/>
          <w:szCs w:val="24"/>
        </w:rPr>
        <w:t xml:space="preserve"> </w:t>
      </w:r>
    </w:p>
    <w:p w14:paraId="47032DAF" w14:textId="77777777" w:rsidR="003D6416" w:rsidRPr="003D6416" w:rsidRDefault="003D6416" w:rsidP="003D6416">
      <w:pPr>
        <w:rPr>
          <w:lang w:val="en-GB" w:eastAsia="en-GB"/>
        </w:rPr>
        <w:sectPr w:rsidR="003D6416" w:rsidRPr="003D6416" w:rsidSect="00153252">
          <w:footerReference w:type="default" r:id="rId21"/>
          <w:pgSz w:w="12240" w:h="15840"/>
          <w:pgMar w:top="1440" w:right="1440" w:bottom="1440" w:left="1440" w:header="720" w:footer="720" w:gutter="0"/>
          <w:pgNumType w:start="0"/>
          <w:cols w:space="720"/>
          <w:titlePg/>
          <w:docGrid w:linePitch="360"/>
        </w:sectPr>
      </w:pPr>
    </w:p>
    <w:tbl>
      <w:tblPr>
        <w:tblW w:w="14886" w:type="dxa"/>
        <w:tblInd w:w="-855"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101"/>
        <w:gridCol w:w="2141"/>
        <w:gridCol w:w="59"/>
        <w:gridCol w:w="9"/>
        <w:gridCol w:w="2507"/>
        <w:gridCol w:w="129"/>
        <w:gridCol w:w="23"/>
        <w:gridCol w:w="517"/>
        <w:gridCol w:w="9"/>
        <w:gridCol w:w="1128"/>
        <w:gridCol w:w="140"/>
        <w:gridCol w:w="31"/>
        <w:gridCol w:w="1648"/>
        <w:gridCol w:w="42"/>
        <w:gridCol w:w="1857"/>
        <w:gridCol w:w="161"/>
        <w:gridCol w:w="52"/>
        <w:gridCol w:w="630"/>
        <w:gridCol w:w="583"/>
        <w:gridCol w:w="18"/>
        <w:gridCol w:w="2381"/>
      </w:tblGrid>
      <w:tr w:rsidR="00153252" w:rsidRPr="00153252" w14:paraId="76977770" w14:textId="77777777" w:rsidTr="00E15B62">
        <w:trPr>
          <w:cantSplit/>
          <w:tblHeader/>
        </w:trPr>
        <w:tc>
          <w:tcPr>
            <w:tcW w:w="3030" w:type="dxa"/>
            <w:gridSpan w:val="5"/>
            <w:shd w:val="clear" w:color="auto" w:fill="D9E2F3"/>
          </w:tcPr>
          <w:p w14:paraId="5FFC6345" w14:textId="77777777" w:rsidR="00153252" w:rsidRPr="00153252" w:rsidRDefault="00153252" w:rsidP="00153252">
            <w:pPr>
              <w:spacing w:before="40" w:after="40" w:line="240" w:lineRule="auto"/>
              <w:jc w:val="center"/>
              <w:rPr>
                <w:rFonts w:ascii="Arial Narrow" w:eastAsia="Arial Narrow" w:hAnsi="Arial Narrow" w:cs="Arial Narrow"/>
                <w:b/>
                <w:sz w:val="24"/>
                <w:szCs w:val="24"/>
              </w:rPr>
            </w:pPr>
            <w:r w:rsidRPr="00153252">
              <w:rPr>
                <w:rFonts w:ascii="Arial Narrow" w:eastAsia="Arial Narrow" w:hAnsi="Arial Narrow" w:cs="Arial Narrow"/>
                <w:b/>
                <w:sz w:val="24"/>
                <w:szCs w:val="24"/>
              </w:rPr>
              <w:lastRenderedPageBreak/>
              <w:t>PRIORITET 1</w:t>
            </w:r>
          </w:p>
        </w:tc>
        <w:tc>
          <w:tcPr>
            <w:tcW w:w="11856" w:type="dxa"/>
            <w:gridSpan w:val="17"/>
            <w:shd w:val="clear" w:color="auto" w:fill="D9E2F3"/>
          </w:tcPr>
          <w:p w14:paraId="70793FF4" w14:textId="77777777" w:rsidR="00153252" w:rsidRPr="00153252" w:rsidRDefault="00153252" w:rsidP="00153252">
            <w:pPr>
              <w:spacing w:before="40" w:after="40" w:line="240" w:lineRule="auto"/>
              <w:jc w:val="both"/>
              <w:rPr>
                <w:rFonts w:ascii="Arial Narrow" w:eastAsia="Arial Narrow" w:hAnsi="Arial Narrow" w:cs="Arial Narrow"/>
                <w:b/>
                <w:sz w:val="24"/>
                <w:szCs w:val="24"/>
              </w:rPr>
            </w:pPr>
            <w:r w:rsidRPr="00153252">
              <w:rPr>
                <w:rFonts w:ascii="Arial Narrow" w:eastAsia="Arial Narrow" w:hAnsi="Arial Narrow" w:cs="Arial Narrow"/>
                <w:b/>
                <w:sz w:val="24"/>
                <w:szCs w:val="24"/>
              </w:rPr>
              <w:t>VLADAVINA PRAVA I JEDNAKE ŠANSE</w:t>
            </w:r>
          </w:p>
        </w:tc>
      </w:tr>
      <w:tr w:rsidR="00153252" w:rsidRPr="00153252" w14:paraId="3850E5D9" w14:textId="77777777" w:rsidTr="00E15B62">
        <w:trPr>
          <w:cantSplit/>
          <w:trHeight w:val="531"/>
          <w:tblHeader/>
        </w:trPr>
        <w:tc>
          <w:tcPr>
            <w:tcW w:w="3030" w:type="dxa"/>
            <w:gridSpan w:val="5"/>
            <w:shd w:val="clear" w:color="auto" w:fill="DEEBF6"/>
          </w:tcPr>
          <w:p w14:paraId="2BCDF102"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 1</w:t>
            </w:r>
            <w:r w:rsidR="008C27D0">
              <w:rPr>
                <w:rFonts w:ascii="Arial Narrow" w:eastAsia="Arial Narrow" w:hAnsi="Arial Narrow" w:cs="Arial Narrow"/>
                <w:b/>
                <w:sz w:val="20"/>
                <w:szCs w:val="20"/>
              </w:rPr>
              <w:t>.1</w:t>
            </w:r>
            <w:r w:rsidR="00D003CC">
              <w:rPr>
                <w:rFonts w:ascii="Arial Narrow" w:eastAsia="Arial Narrow" w:hAnsi="Arial Narrow" w:cs="Arial Narrow"/>
                <w:b/>
                <w:sz w:val="20"/>
                <w:szCs w:val="20"/>
              </w:rPr>
              <w:t>.</w:t>
            </w:r>
          </w:p>
          <w:p w14:paraId="16A3B42B"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p>
        </w:tc>
        <w:tc>
          <w:tcPr>
            <w:tcW w:w="11856" w:type="dxa"/>
            <w:gridSpan w:val="17"/>
            <w:shd w:val="clear" w:color="auto" w:fill="DEEBF6"/>
          </w:tcPr>
          <w:p w14:paraId="21439251" w14:textId="77777777" w:rsidR="00153252" w:rsidRPr="00153252" w:rsidRDefault="00153252" w:rsidP="00B80AA5">
            <w:pPr>
              <w:spacing w:before="40" w:after="40" w:line="240" w:lineRule="auto"/>
              <w:jc w:val="both"/>
              <w:rPr>
                <w:rFonts w:ascii="Arial Narrow" w:eastAsia="Arial Narrow" w:hAnsi="Arial Narrow" w:cs="Arial Narrow"/>
                <w:b/>
                <w:sz w:val="20"/>
                <w:szCs w:val="20"/>
              </w:rPr>
            </w:pPr>
            <w:r w:rsidRPr="00153252">
              <w:rPr>
                <w:rFonts w:ascii="Arial Narrow" w:eastAsia="Arial Narrow" w:hAnsi="Arial Narrow" w:cs="Arial Narrow"/>
                <w:b/>
                <w:sz w:val="20"/>
                <w:szCs w:val="20"/>
              </w:rPr>
              <w:t>U</w:t>
            </w:r>
            <w:r w:rsidR="00FD6B98" w:rsidRPr="00153252">
              <w:rPr>
                <w:rFonts w:ascii="Arial Narrow" w:eastAsia="Arial Narrow" w:hAnsi="Arial Narrow" w:cs="Arial Narrow"/>
                <w:b/>
                <w:sz w:val="20"/>
                <w:szCs w:val="20"/>
              </w:rPr>
              <w:t>naprijediti efikasnost pravosuđa</w:t>
            </w:r>
          </w:p>
        </w:tc>
      </w:tr>
      <w:tr w:rsidR="00153252" w:rsidRPr="00153252" w14:paraId="0B8A7526" w14:textId="77777777" w:rsidTr="00E15B62">
        <w:trPr>
          <w:cantSplit/>
          <w:tblHeader/>
        </w:trPr>
        <w:tc>
          <w:tcPr>
            <w:tcW w:w="3030" w:type="dxa"/>
            <w:gridSpan w:val="5"/>
            <w:shd w:val="clear" w:color="auto" w:fill="DAF2F6"/>
          </w:tcPr>
          <w:p w14:paraId="128E870F"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6" w:type="dxa"/>
            <w:gridSpan w:val="4"/>
            <w:shd w:val="clear" w:color="auto" w:fill="DAF2F6"/>
          </w:tcPr>
          <w:p w14:paraId="00DFFA08"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Polazna vrijednost – 2021.g</w:t>
            </w:r>
          </w:p>
        </w:tc>
        <w:tc>
          <w:tcPr>
            <w:tcW w:w="2998" w:type="dxa"/>
            <w:gridSpan w:val="6"/>
            <w:shd w:val="clear" w:color="auto" w:fill="DAF2F6"/>
            <w:vAlign w:val="center"/>
          </w:tcPr>
          <w:p w14:paraId="2B87C57F" w14:textId="77777777" w:rsidR="00153252" w:rsidRPr="00153252" w:rsidRDefault="00153252" w:rsidP="00153252">
            <w:pPr>
              <w:spacing w:before="40" w:after="40" w:line="240" w:lineRule="auto"/>
              <w:rPr>
                <w:rFonts w:ascii="Arial Narrow" w:eastAsia="Arial Narrow" w:hAnsi="Arial Narrow" w:cs="Arial Narrow"/>
                <w:b/>
                <w:sz w:val="20"/>
                <w:szCs w:val="20"/>
              </w:rPr>
            </w:pPr>
            <w:r w:rsidRPr="00153252">
              <w:rPr>
                <w:rFonts w:ascii="Arial Narrow" w:eastAsia="Arial Narrow" w:hAnsi="Arial Narrow" w:cs="Arial Narrow"/>
                <w:b/>
                <w:sz w:val="20"/>
                <w:szCs w:val="20"/>
              </w:rPr>
              <w:t xml:space="preserve">  Prelazna vrijednost – 2022.g</w:t>
            </w:r>
          </w:p>
        </w:tc>
        <w:tc>
          <w:tcPr>
            <w:tcW w:w="2700" w:type="dxa"/>
            <w:gridSpan w:val="4"/>
            <w:shd w:val="clear" w:color="auto" w:fill="DAF2F6"/>
            <w:vAlign w:val="center"/>
          </w:tcPr>
          <w:p w14:paraId="12B062A5"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2023.g</w:t>
            </w:r>
          </w:p>
        </w:tc>
        <w:tc>
          <w:tcPr>
            <w:tcW w:w="2982" w:type="dxa"/>
            <w:gridSpan w:val="3"/>
            <w:shd w:val="clear" w:color="auto" w:fill="DAF2F6"/>
            <w:vAlign w:val="center"/>
          </w:tcPr>
          <w:p w14:paraId="13C51A31"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- 2024.g</w:t>
            </w:r>
          </w:p>
        </w:tc>
      </w:tr>
      <w:tr w:rsidR="00153252" w:rsidRPr="00153252" w14:paraId="015D1257" w14:textId="77777777" w:rsidTr="00E15B62">
        <w:trPr>
          <w:cantSplit/>
          <w:tblHeader/>
        </w:trPr>
        <w:tc>
          <w:tcPr>
            <w:tcW w:w="3030" w:type="dxa"/>
            <w:gridSpan w:val="5"/>
            <w:shd w:val="clear" w:color="auto" w:fill="DAF2F6"/>
          </w:tcPr>
          <w:p w14:paraId="59BCFC7F" w14:textId="77777777" w:rsidR="00153252" w:rsidRPr="00A80EEE" w:rsidRDefault="00153252" w:rsidP="00153252">
            <w:pPr>
              <w:spacing w:before="40" w:after="40" w:line="240" w:lineRule="auto"/>
              <w:jc w:val="both"/>
              <w:rPr>
                <w:rFonts w:ascii="Arial Narrow" w:eastAsia="Arial Narrow" w:hAnsi="Arial Narrow" w:cs="Arial Narrow"/>
                <w:sz w:val="20"/>
                <w:szCs w:val="20"/>
              </w:rPr>
            </w:pPr>
            <w:r w:rsidRPr="00A80EEE">
              <w:rPr>
                <w:rFonts w:ascii="Arial Narrow" w:eastAsia="Arial Narrow" w:hAnsi="Arial Narrow" w:cs="Arial Narrow"/>
                <w:sz w:val="20"/>
                <w:szCs w:val="20"/>
              </w:rPr>
              <w:t xml:space="preserve">Usaglašeno zakonodavstvo sa preporukama Evropske komisije  i međunarodnim standardima Savjeta Evrope i Ujedinjenih nacija </w:t>
            </w:r>
          </w:p>
          <w:p w14:paraId="422F737C" w14:textId="77777777" w:rsidR="00153252" w:rsidRPr="00A80EEE" w:rsidRDefault="00153252" w:rsidP="00153252">
            <w:pPr>
              <w:spacing w:before="40" w:after="40" w:line="240" w:lineRule="auto"/>
              <w:rPr>
                <w:rFonts w:ascii="Arial Narrow" w:eastAsia="Arial Narrow" w:hAnsi="Arial Narrow" w:cs="Arial Narrow"/>
                <w:color w:val="FF0000"/>
                <w:sz w:val="20"/>
                <w:szCs w:val="20"/>
              </w:rPr>
            </w:pPr>
          </w:p>
          <w:p w14:paraId="316E2806" w14:textId="77777777" w:rsidR="00153252" w:rsidRPr="00A80EEE" w:rsidRDefault="00153252" w:rsidP="00153252">
            <w:pPr>
              <w:spacing w:before="40" w:after="40" w:line="240" w:lineRule="auto"/>
              <w:rPr>
                <w:rFonts w:ascii="Arial Narrow" w:eastAsia="Arial Narrow" w:hAnsi="Arial Narrow" w:cs="Arial Narrow"/>
                <w:sz w:val="20"/>
                <w:szCs w:val="20"/>
              </w:rPr>
            </w:pPr>
          </w:p>
        </w:tc>
        <w:tc>
          <w:tcPr>
            <w:tcW w:w="3176" w:type="dxa"/>
            <w:gridSpan w:val="4"/>
            <w:shd w:val="clear" w:color="auto" w:fill="DAF2F6"/>
          </w:tcPr>
          <w:p w14:paraId="6A024F0F"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80%</w:t>
            </w:r>
          </w:p>
        </w:tc>
        <w:tc>
          <w:tcPr>
            <w:tcW w:w="2998" w:type="dxa"/>
            <w:gridSpan w:val="6"/>
            <w:shd w:val="clear" w:color="auto" w:fill="DAF2F6"/>
          </w:tcPr>
          <w:p w14:paraId="759FED54"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90%</w:t>
            </w:r>
          </w:p>
        </w:tc>
        <w:tc>
          <w:tcPr>
            <w:tcW w:w="2700" w:type="dxa"/>
            <w:gridSpan w:val="4"/>
            <w:shd w:val="clear" w:color="auto" w:fill="DAF2F6"/>
          </w:tcPr>
          <w:p w14:paraId="1360AB86"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95%</w:t>
            </w:r>
          </w:p>
        </w:tc>
        <w:tc>
          <w:tcPr>
            <w:tcW w:w="2982" w:type="dxa"/>
            <w:gridSpan w:val="3"/>
            <w:shd w:val="clear" w:color="auto" w:fill="DAF2F6"/>
          </w:tcPr>
          <w:p w14:paraId="7EA0FED4"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100%</w:t>
            </w:r>
          </w:p>
        </w:tc>
      </w:tr>
      <w:tr w:rsidR="00153252" w:rsidRPr="00153252" w14:paraId="192DC509" w14:textId="77777777" w:rsidTr="00E15B62">
        <w:trPr>
          <w:cantSplit/>
          <w:tblHeader/>
        </w:trPr>
        <w:tc>
          <w:tcPr>
            <w:tcW w:w="3030" w:type="dxa"/>
            <w:gridSpan w:val="5"/>
            <w:shd w:val="clear" w:color="auto" w:fill="DAF2F6"/>
          </w:tcPr>
          <w:p w14:paraId="6A9548E1" w14:textId="77777777" w:rsidR="00153252" w:rsidRPr="00A80EEE" w:rsidRDefault="00153252" w:rsidP="00153252">
            <w:pPr>
              <w:spacing w:before="40" w:after="40" w:line="240" w:lineRule="auto"/>
              <w:jc w:val="both"/>
              <w:rPr>
                <w:rFonts w:ascii="Arial Narrow" w:eastAsia="Arial Narrow" w:hAnsi="Arial Narrow" w:cs="Arial Narrow"/>
                <w:sz w:val="20"/>
                <w:szCs w:val="20"/>
              </w:rPr>
            </w:pPr>
            <w:r w:rsidRPr="00A80EEE">
              <w:rPr>
                <w:rFonts w:ascii="Arial Narrow" w:eastAsia="Arial Narrow" w:hAnsi="Arial Narrow" w:cs="Arial Narrow"/>
                <w:sz w:val="20"/>
                <w:szCs w:val="20"/>
              </w:rPr>
              <w:t>Poboljšana dostupnost pravde građaninu kroz suđenje u razumnom roku uz podršku funkcionalnog informacionog sistema pravosuđa</w:t>
            </w:r>
          </w:p>
        </w:tc>
        <w:tc>
          <w:tcPr>
            <w:tcW w:w="3176" w:type="dxa"/>
            <w:gridSpan w:val="4"/>
            <w:shd w:val="clear" w:color="auto" w:fill="DAF2F6"/>
          </w:tcPr>
          <w:p w14:paraId="7C19BF32"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11767 zaostalih predmeta na kraju 2020. godine</w:t>
            </w:r>
          </w:p>
        </w:tc>
        <w:tc>
          <w:tcPr>
            <w:tcW w:w="2998" w:type="dxa"/>
            <w:gridSpan w:val="6"/>
            <w:shd w:val="clear" w:color="auto" w:fill="DAF2F6"/>
          </w:tcPr>
          <w:p w14:paraId="02C8D635" w14:textId="77777777" w:rsidR="00BD760C" w:rsidRPr="00BD760C"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11179 zaostalih predmeta na kraju 2022. godine</w:t>
            </w:r>
          </w:p>
          <w:p w14:paraId="6DCE583D"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p>
          <w:p w14:paraId="201C03B7"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p>
        </w:tc>
        <w:tc>
          <w:tcPr>
            <w:tcW w:w="2700" w:type="dxa"/>
            <w:gridSpan w:val="4"/>
            <w:shd w:val="clear" w:color="auto" w:fill="DAF2F6"/>
          </w:tcPr>
          <w:p w14:paraId="6DC74F15" w14:textId="77777777" w:rsidR="00153252"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10943 zaostalih predmeta na kraju 2023. godine</w:t>
            </w:r>
          </w:p>
        </w:tc>
        <w:tc>
          <w:tcPr>
            <w:tcW w:w="2982" w:type="dxa"/>
            <w:gridSpan w:val="3"/>
            <w:shd w:val="clear" w:color="auto" w:fill="DAF2F6"/>
          </w:tcPr>
          <w:p w14:paraId="1231BD09" w14:textId="77777777" w:rsidR="00153252"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10590 zaostalih predmeta na kraju 2024. godine</w:t>
            </w:r>
          </w:p>
        </w:tc>
      </w:tr>
      <w:tr w:rsidR="00153252" w:rsidRPr="00153252" w14:paraId="3B0A3D6E" w14:textId="77777777" w:rsidTr="00E15B62">
        <w:trPr>
          <w:cantSplit/>
          <w:tblHeader/>
        </w:trPr>
        <w:tc>
          <w:tcPr>
            <w:tcW w:w="3021" w:type="dxa"/>
            <w:gridSpan w:val="4"/>
            <w:shd w:val="clear" w:color="auto" w:fill="DAF2F6"/>
          </w:tcPr>
          <w:p w14:paraId="0BEC97AE" w14:textId="77777777" w:rsidR="00153252" w:rsidRPr="00A80EEE" w:rsidRDefault="00153252" w:rsidP="00153252">
            <w:pPr>
              <w:spacing w:before="40" w:after="40" w:line="240" w:lineRule="auto"/>
              <w:jc w:val="both"/>
              <w:rPr>
                <w:rFonts w:ascii="Arial Narrow" w:eastAsia="Arial Narrow" w:hAnsi="Arial Narrow" w:cs="Arial Narrow"/>
                <w:sz w:val="20"/>
                <w:szCs w:val="20"/>
              </w:rPr>
            </w:pPr>
            <w:r w:rsidRPr="00A80EEE">
              <w:rPr>
                <w:rFonts w:ascii="Arial Narrow" w:eastAsia="Arial Narrow" w:hAnsi="Arial Narrow" w:cs="Arial Narrow"/>
                <w:sz w:val="20"/>
                <w:szCs w:val="20"/>
              </w:rPr>
              <w:t>Stepen povratništva po vrsti krivičnih djela i programima tretmana za duge kazne</w:t>
            </w:r>
          </w:p>
          <w:p w14:paraId="0E83A48A" w14:textId="77777777" w:rsidR="00153252" w:rsidRPr="00A80EEE" w:rsidRDefault="00153252" w:rsidP="00153252">
            <w:pPr>
              <w:spacing w:before="40" w:after="40" w:line="240" w:lineRule="auto"/>
              <w:jc w:val="both"/>
              <w:rPr>
                <w:rFonts w:ascii="Arial Narrow" w:eastAsia="Arial Narrow" w:hAnsi="Arial Narrow" w:cs="Arial Narrow"/>
                <w:sz w:val="20"/>
                <w:szCs w:val="20"/>
              </w:rPr>
            </w:pPr>
          </w:p>
        </w:tc>
        <w:tc>
          <w:tcPr>
            <w:tcW w:w="3185" w:type="dxa"/>
            <w:gridSpan w:val="5"/>
            <w:shd w:val="clear" w:color="auto" w:fill="DAF2F6"/>
          </w:tcPr>
          <w:p w14:paraId="6B4BE9B1"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49% (Izvor: Izvještaj Uprave za izvršenje krivičnih sankcija 2021)</w:t>
            </w:r>
          </w:p>
        </w:tc>
        <w:tc>
          <w:tcPr>
            <w:tcW w:w="2998" w:type="dxa"/>
            <w:gridSpan w:val="6"/>
            <w:shd w:val="clear" w:color="auto" w:fill="DAF2F6"/>
          </w:tcPr>
          <w:p w14:paraId="5A5127E8"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47%</w:t>
            </w:r>
          </w:p>
        </w:tc>
        <w:tc>
          <w:tcPr>
            <w:tcW w:w="2700" w:type="dxa"/>
            <w:gridSpan w:val="4"/>
            <w:shd w:val="clear" w:color="auto" w:fill="DAF2F6"/>
          </w:tcPr>
          <w:p w14:paraId="7674CBD1"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46%</w:t>
            </w:r>
          </w:p>
        </w:tc>
        <w:tc>
          <w:tcPr>
            <w:tcW w:w="2982" w:type="dxa"/>
            <w:gridSpan w:val="3"/>
            <w:shd w:val="clear" w:color="auto" w:fill="DAF2F6"/>
          </w:tcPr>
          <w:p w14:paraId="79BBF746"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45%</w:t>
            </w:r>
          </w:p>
        </w:tc>
      </w:tr>
      <w:tr w:rsidR="00153252" w:rsidRPr="00153252" w14:paraId="7F134092" w14:textId="77777777" w:rsidTr="00E15B62">
        <w:trPr>
          <w:cantSplit/>
          <w:tblHeader/>
        </w:trPr>
        <w:tc>
          <w:tcPr>
            <w:tcW w:w="3030" w:type="dxa"/>
            <w:gridSpan w:val="5"/>
            <w:shd w:val="clear" w:color="auto" w:fill="FFF2CC"/>
            <w:vAlign w:val="center"/>
          </w:tcPr>
          <w:p w14:paraId="12E36853"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659" w:type="dxa"/>
            <w:gridSpan w:val="3"/>
            <w:shd w:val="clear" w:color="auto" w:fill="FFF2CC"/>
            <w:vAlign w:val="center"/>
          </w:tcPr>
          <w:p w14:paraId="3925F6F1"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rezultata</w:t>
            </w:r>
          </w:p>
        </w:tc>
        <w:tc>
          <w:tcPr>
            <w:tcW w:w="1825" w:type="dxa"/>
            <w:gridSpan w:val="5"/>
            <w:shd w:val="clear" w:color="auto" w:fill="FFF2CC"/>
            <w:vAlign w:val="center"/>
          </w:tcPr>
          <w:p w14:paraId="007F5DA3"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Nadležne institucije i nadležna komisija</w:t>
            </w:r>
          </w:p>
        </w:tc>
        <w:tc>
          <w:tcPr>
            <w:tcW w:w="1690" w:type="dxa"/>
            <w:gridSpan w:val="2"/>
            <w:shd w:val="clear" w:color="auto" w:fill="FFF2CC"/>
            <w:vAlign w:val="center"/>
          </w:tcPr>
          <w:p w14:paraId="3137E0C6"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 početak i završetak aktivnosti</w:t>
            </w:r>
          </w:p>
        </w:tc>
        <w:tc>
          <w:tcPr>
            <w:tcW w:w="2070" w:type="dxa"/>
            <w:gridSpan w:val="3"/>
            <w:shd w:val="clear" w:color="auto" w:fill="FFF2CC"/>
            <w:vAlign w:val="center"/>
          </w:tcPr>
          <w:p w14:paraId="47B6EC5D"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Sredstva za realizaciju  i informacija o izradi RIA</w:t>
            </w:r>
          </w:p>
        </w:tc>
        <w:tc>
          <w:tcPr>
            <w:tcW w:w="1213" w:type="dxa"/>
            <w:gridSpan w:val="2"/>
            <w:shd w:val="clear" w:color="auto" w:fill="FFF2CC"/>
            <w:vAlign w:val="center"/>
          </w:tcPr>
          <w:p w14:paraId="4F96885C"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 xml:space="preserve"> Izvor finansiranja</w:t>
            </w:r>
          </w:p>
        </w:tc>
        <w:tc>
          <w:tcPr>
            <w:tcW w:w="2399" w:type="dxa"/>
            <w:gridSpan w:val="2"/>
            <w:shd w:val="clear" w:color="auto" w:fill="FFF2CC"/>
            <w:vAlign w:val="center"/>
          </w:tcPr>
          <w:p w14:paraId="5CFA080A"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Obrazloženje</w:t>
            </w:r>
          </w:p>
        </w:tc>
      </w:tr>
      <w:tr w:rsidR="00153252" w:rsidRPr="00153252" w14:paraId="52345326" w14:textId="77777777" w:rsidTr="00E15B62">
        <w:trPr>
          <w:cantSplit/>
          <w:tblHeader/>
        </w:trPr>
        <w:tc>
          <w:tcPr>
            <w:tcW w:w="821" w:type="dxa"/>
            <w:gridSpan w:val="2"/>
          </w:tcPr>
          <w:p w14:paraId="20A1122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1</w:t>
            </w:r>
            <w:r w:rsidR="00D003CC">
              <w:rPr>
                <w:rFonts w:ascii="Arial Narrow" w:eastAsia="Arial Narrow" w:hAnsi="Arial Narrow" w:cs="Arial Narrow"/>
                <w:sz w:val="20"/>
                <w:szCs w:val="20"/>
              </w:rPr>
              <w:t>.</w:t>
            </w:r>
          </w:p>
        </w:tc>
        <w:tc>
          <w:tcPr>
            <w:tcW w:w="2209" w:type="dxa"/>
            <w:gridSpan w:val="3"/>
          </w:tcPr>
          <w:p w14:paraId="5E435357"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Usvojiti Izvještaj o realizaciji  Akcionog plana za sprovođenje Strategije reforme pravosuđa 2021-2022, za 2021. godinu</w:t>
            </w:r>
          </w:p>
        </w:tc>
        <w:tc>
          <w:tcPr>
            <w:tcW w:w="2659" w:type="dxa"/>
            <w:gridSpan w:val="3"/>
          </w:tcPr>
          <w:p w14:paraId="57E10845"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Usvojen Izvještaj</w:t>
            </w:r>
          </w:p>
        </w:tc>
        <w:tc>
          <w:tcPr>
            <w:tcW w:w="1825" w:type="dxa"/>
            <w:gridSpan w:val="5"/>
          </w:tcPr>
          <w:p w14:paraId="6F072CD5"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NI: MPLJPM</w:t>
            </w:r>
          </w:p>
          <w:p w14:paraId="014FEB8E"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NK: KPS</w:t>
            </w:r>
          </w:p>
        </w:tc>
        <w:tc>
          <w:tcPr>
            <w:tcW w:w="1690" w:type="dxa"/>
            <w:gridSpan w:val="2"/>
          </w:tcPr>
          <w:p w14:paraId="720C69F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I-II Q 2022</w:t>
            </w:r>
          </w:p>
        </w:tc>
        <w:tc>
          <w:tcPr>
            <w:tcW w:w="2070" w:type="dxa"/>
            <w:gridSpan w:val="3"/>
          </w:tcPr>
          <w:p w14:paraId="61494E11"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Redovni troškovi planirani Budžetom</w:t>
            </w:r>
          </w:p>
        </w:tc>
        <w:tc>
          <w:tcPr>
            <w:tcW w:w="1213" w:type="dxa"/>
            <w:gridSpan w:val="2"/>
          </w:tcPr>
          <w:p w14:paraId="5444CFCC"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Budžet MPLJMP</w:t>
            </w:r>
          </w:p>
        </w:tc>
        <w:tc>
          <w:tcPr>
            <w:tcW w:w="2399" w:type="dxa"/>
            <w:gridSpan w:val="2"/>
          </w:tcPr>
          <w:p w14:paraId="6EE494FB"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Ovim Izvještajem prikazaće se rezultati sprovedenih aktivnosati za izvještajni period</w:t>
            </w:r>
          </w:p>
        </w:tc>
      </w:tr>
      <w:tr w:rsidR="00153252" w:rsidRPr="00153252" w14:paraId="764A8BCA" w14:textId="77777777" w:rsidTr="00E15B62">
        <w:trPr>
          <w:cantSplit/>
          <w:tblHeader/>
        </w:trPr>
        <w:tc>
          <w:tcPr>
            <w:tcW w:w="821" w:type="dxa"/>
            <w:gridSpan w:val="2"/>
          </w:tcPr>
          <w:p w14:paraId="3C66BD49"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2</w:t>
            </w:r>
            <w:r w:rsidR="00D003CC">
              <w:rPr>
                <w:rFonts w:ascii="Arial Narrow" w:eastAsia="Arial Narrow" w:hAnsi="Arial Narrow" w:cs="Arial Narrow"/>
                <w:sz w:val="20"/>
                <w:szCs w:val="20"/>
              </w:rPr>
              <w:t>.</w:t>
            </w:r>
          </w:p>
        </w:tc>
        <w:tc>
          <w:tcPr>
            <w:tcW w:w="2209" w:type="dxa"/>
            <w:gridSpan w:val="3"/>
          </w:tcPr>
          <w:p w14:paraId="4C786340"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Utvrditi Predlog zakona o izmjenama i dopunama Zakona o Sudskom savjetu i sudijama</w:t>
            </w:r>
          </w:p>
        </w:tc>
        <w:tc>
          <w:tcPr>
            <w:tcW w:w="2659" w:type="dxa"/>
            <w:gridSpan w:val="3"/>
          </w:tcPr>
          <w:p w14:paraId="41845DE6"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Utvrđen Predlog zakona o izmjenama i dopunama Zakona o Sudskom savjetu i sudijama</w:t>
            </w:r>
          </w:p>
          <w:p w14:paraId="0E131D9E"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0E6400CE"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1825" w:type="dxa"/>
            <w:gridSpan w:val="5"/>
          </w:tcPr>
          <w:p w14:paraId="2D7FA079"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NI: MPLJPM</w:t>
            </w:r>
          </w:p>
          <w:p w14:paraId="143C204B"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NK: KPS</w:t>
            </w:r>
          </w:p>
        </w:tc>
        <w:tc>
          <w:tcPr>
            <w:tcW w:w="1690" w:type="dxa"/>
            <w:gridSpan w:val="2"/>
          </w:tcPr>
          <w:p w14:paraId="61AFAB05"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I-III Q 2022.</w:t>
            </w:r>
          </w:p>
          <w:p w14:paraId="2B40CD7D"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070" w:type="dxa"/>
            <w:gridSpan w:val="3"/>
          </w:tcPr>
          <w:p w14:paraId="7017F2B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Redovni troškovi planirani Budžetom</w:t>
            </w:r>
          </w:p>
          <w:p w14:paraId="61C88E6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660B2F5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Za utvrđivanje procjene uticaja propisa će biti urađena RIA.</w:t>
            </w:r>
          </w:p>
        </w:tc>
        <w:tc>
          <w:tcPr>
            <w:tcW w:w="1213" w:type="dxa"/>
            <w:gridSpan w:val="2"/>
          </w:tcPr>
          <w:p w14:paraId="5623684E"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Budžet MPLJMP</w:t>
            </w:r>
          </w:p>
        </w:tc>
        <w:tc>
          <w:tcPr>
            <w:tcW w:w="2399" w:type="dxa"/>
            <w:gridSpan w:val="2"/>
          </w:tcPr>
          <w:p w14:paraId="27655A6B"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Izmjenama i dopunama Zakona o sudskom savjetu i sudijama unaprijediće se odredbe ovog zakona koje se odnose na sistem etičke i disciplinske odgovornosti sudija; izbor sudija i predsjednika sudova, upućivanje i premještanje sudija, kao i njihovo ocjenjivanje.</w:t>
            </w:r>
          </w:p>
        </w:tc>
      </w:tr>
      <w:tr w:rsidR="00153252" w:rsidRPr="00153252" w14:paraId="5F2A7A00" w14:textId="77777777" w:rsidTr="00E15B62">
        <w:trPr>
          <w:cantSplit/>
          <w:tblHeader/>
        </w:trPr>
        <w:tc>
          <w:tcPr>
            <w:tcW w:w="821" w:type="dxa"/>
            <w:gridSpan w:val="2"/>
          </w:tcPr>
          <w:p w14:paraId="24E1CB2E"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3</w:t>
            </w:r>
            <w:r w:rsidR="00D003CC">
              <w:rPr>
                <w:rFonts w:ascii="Arial Narrow" w:eastAsia="Arial Narrow" w:hAnsi="Arial Narrow" w:cs="Arial Narrow"/>
                <w:sz w:val="20"/>
                <w:szCs w:val="20"/>
              </w:rPr>
              <w:t>.</w:t>
            </w:r>
          </w:p>
        </w:tc>
        <w:tc>
          <w:tcPr>
            <w:tcW w:w="2209" w:type="dxa"/>
            <w:gridSpan w:val="3"/>
          </w:tcPr>
          <w:p w14:paraId="053C74DD"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Utvrditi Predlog zakona o izmjenama i dopunama Zakona o besplatnoj pravnoj pomoći</w:t>
            </w:r>
          </w:p>
        </w:tc>
        <w:tc>
          <w:tcPr>
            <w:tcW w:w="2659" w:type="dxa"/>
            <w:gridSpan w:val="3"/>
          </w:tcPr>
          <w:p w14:paraId="7B5BEAE5"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Utvrđen Predlog zakona o izmjenama i dopunama Zakona o besplatnoj pravnoj pomoći</w:t>
            </w:r>
          </w:p>
        </w:tc>
        <w:tc>
          <w:tcPr>
            <w:tcW w:w="1825" w:type="dxa"/>
            <w:gridSpan w:val="5"/>
          </w:tcPr>
          <w:p w14:paraId="104F3E44"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NI: MPLJPM</w:t>
            </w:r>
          </w:p>
          <w:p w14:paraId="4B147FE8"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NK: KPS</w:t>
            </w:r>
          </w:p>
        </w:tc>
        <w:tc>
          <w:tcPr>
            <w:tcW w:w="1690" w:type="dxa"/>
            <w:gridSpan w:val="2"/>
          </w:tcPr>
          <w:p w14:paraId="6C7BD2E0"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II-IV Q 2022. </w:t>
            </w:r>
          </w:p>
          <w:p w14:paraId="6555D548"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070" w:type="dxa"/>
            <w:gridSpan w:val="3"/>
          </w:tcPr>
          <w:p w14:paraId="28E41961"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Redovni</w:t>
            </w:r>
          </w:p>
          <w:p w14:paraId="51AE592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troškovi</w:t>
            </w:r>
          </w:p>
          <w:p w14:paraId="289E3E5A"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planirani</w:t>
            </w:r>
          </w:p>
          <w:p w14:paraId="59CAC3BB"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Budžetom</w:t>
            </w:r>
          </w:p>
          <w:p w14:paraId="52C3D03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3D18EFA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Za utvrđivanje procjene uticaja propisa će biti urađena RIA.</w:t>
            </w:r>
          </w:p>
        </w:tc>
        <w:tc>
          <w:tcPr>
            <w:tcW w:w="1213" w:type="dxa"/>
            <w:gridSpan w:val="2"/>
          </w:tcPr>
          <w:p w14:paraId="00ADDF2A"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Budžet MPLJMP</w:t>
            </w:r>
          </w:p>
        </w:tc>
        <w:tc>
          <w:tcPr>
            <w:tcW w:w="2399" w:type="dxa"/>
            <w:gridSpan w:val="2"/>
          </w:tcPr>
          <w:p w14:paraId="29570269"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Predlogom zakona o izmjenama i dopunama Zakona o besplatnoj pravnoj pomoći, u skladu sa preporukama Komiteta UN za borbu protiv mučenja i dugih oblika nečovječnog postupanja</w:t>
            </w:r>
          </w:p>
          <w:p w14:paraId="0A0439C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ili kažnjavanja kategorija korisnika prava na besplatnu pravnu pomoć proširuje  i na žrtve mučenja,  nečovječnog  ili  ponižavajuceg  postupanja  ili kažnjavanja. </w:t>
            </w:r>
          </w:p>
        </w:tc>
      </w:tr>
      <w:tr w:rsidR="00153252" w:rsidRPr="00153252" w14:paraId="246E4E52" w14:textId="77777777" w:rsidTr="00E15B62">
        <w:trPr>
          <w:cantSplit/>
          <w:tblHeader/>
        </w:trPr>
        <w:tc>
          <w:tcPr>
            <w:tcW w:w="821" w:type="dxa"/>
            <w:gridSpan w:val="2"/>
          </w:tcPr>
          <w:p w14:paraId="7B97323E"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4</w:t>
            </w:r>
            <w:r w:rsidR="00D003CC">
              <w:rPr>
                <w:rFonts w:ascii="Arial Narrow" w:eastAsia="Arial Narrow" w:hAnsi="Arial Narrow" w:cs="Arial Narrow"/>
                <w:sz w:val="20"/>
                <w:szCs w:val="20"/>
              </w:rPr>
              <w:t>.</w:t>
            </w:r>
          </w:p>
          <w:p w14:paraId="726F6DC1"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37D2816C"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21BBCCE6"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3CB06407"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209" w:type="dxa"/>
            <w:gridSpan w:val="3"/>
          </w:tcPr>
          <w:p w14:paraId="55FA3D87"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Usvojiti Završni izvještaj o realizaciji Akcionog plana  za sprovođenje Programa razvoja alternativnog rješavanja sporova 2019-2021</w:t>
            </w:r>
          </w:p>
        </w:tc>
        <w:tc>
          <w:tcPr>
            <w:tcW w:w="2659" w:type="dxa"/>
            <w:gridSpan w:val="3"/>
          </w:tcPr>
          <w:p w14:paraId="7C174DD7"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Usvojen izvještaj</w:t>
            </w:r>
          </w:p>
        </w:tc>
        <w:tc>
          <w:tcPr>
            <w:tcW w:w="1825" w:type="dxa"/>
            <w:gridSpan w:val="5"/>
          </w:tcPr>
          <w:p w14:paraId="25121D3B"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MPLJPM</w:t>
            </w:r>
          </w:p>
          <w:p w14:paraId="42F8181B"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42C19C1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NK:KPS</w:t>
            </w:r>
          </w:p>
          <w:p w14:paraId="188D5DB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1690" w:type="dxa"/>
            <w:gridSpan w:val="2"/>
          </w:tcPr>
          <w:p w14:paraId="0250328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I-II Q 2022</w:t>
            </w:r>
          </w:p>
        </w:tc>
        <w:tc>
          <w:tcPr>
            <w:tcW w:w="2070" w:type="dxa"/>
            <w:gridSpan w:val="3"/>
          </w:tcPr>
          <w:p w14:paraId="59AE6B95"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Redovni troškovi planirani buđžetom</w:t>
            </w:r>
          </w:p>
          <w:p w14:paraId="1362227A"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1213" w:type="dxa"/>
            <w:gridSpan w:val="2"/>
          </w:tcPr>
          <w:p w14:paraId="36D169A7"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Budžet MPLJPM</w:t>
            </w:r>
          </w:p>
          <w:p w14:paraId="1ACF028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399" w:type="dxa"/>
            <w:gridSpan w:val="2"/>
          </w:tcPr>
          <w:p w14:paraId="12A0231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Završni izvještaj će sadržati pregled relizovanih  mjera u 2021. godini i  evaluaciju sprovo]enja strategije.</w:t>
            </w:r>
          </w:p>
        </w:tc>
      </w:tr>
      <w:tr w:rsidR="00153252" w:rsidRPr="00153252" w14:paraId="78BDAD8B" w14:textId="77777777" w:rsidTr="00E15B62">
        <w:trPr>
          <w:cantSplit/>
          <w:tblHeader/>
        </w:trPr>
        <w:tc>
          <w:tcPr>
            <w:tcW w:w="821" w:type="dxa"/>
            <w:gridSpan w:val="2"/>
          </w:tcPr>
          <w:p w14:paraId="36BF5F08"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5</w:t>
            </w:r>
            <w:r w:rsidR="00D003CC">
              <w:rPr>
                <w:rFonts w:ascii="Arial Narrow" w:eastAsia="Arial Narrow" w:hAnsi="Arial Narrow" w:cs="Arial Narrow"/>
                <w:sz w:val="20"/>
                <w:szCs w:val="20"/>
              </w:rPr>
              <w:t>.</w:t>
            </w:r>
          </w:p>
        </w:tc>
        <w:tc>
          <w:tcPr>
            <w:tcW w:w="2209" w:type="dxa"/>
            <w:gridSpan w:val="3"/>
          </w:tcPr>
          <w:p w14:paraId="66AD751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Utvrditi Predlog izmjena i dopuna  Zakona o zaštiti od nasilja u porodici </w:t>
            </w:r>
          </w:p>
        </w:tc>
        <w:tc>
          <w:tcPr>
            <w:tcW w:w="2659" w:type="dxa"/>
            <w:gridSpan w:val="3"/>
          </w:tcPr>
          <w:p w14:paraId="2771121A"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Utvrđen Predlog Zakona o zaštiti od nasilja u porodici </w:t>
            </w:r>
          </w:p>
        </w:tc>
        <w:tc>
          <w:tcPr>
            <w:tcW w:w="1825" w:type="dxa"/>
            <w:gridSpan w:val="5"/>
          </w:tcPr>
          <w:p w14:paraId="37D02BC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MPLJPM</w:t>
            </w:r>
          </w:p>
          <w:p w14:paraId="482BBA25"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50910345"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NK:KPS</w:t>
            </w:r>
          </w:p>
          <w:p w14:paraId="6637422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1690" w:type="dxa"/>
            <w:gridSpan w:val="2"/>
          </w:tcPr>
          <w:p w14:paraId="70F10AE9"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I-IV Q 2022</w:t>
            </w:r>
          </w:p>
          <w:p w14:paraId="6A3C707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2BB2C385"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070" w:type="dxa"/>
            <w:gridSpan w:val="3"/>
          </w:tcPr>
          <w:p w14:paraId="040393B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Redovni troškovi planirani buđžetom</w:t>
            </w:r>
          </w:p>
          <w:p w14:paraId="1845C6FE"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47EFC20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53F2A85B" w14:textId="77777777" w:rsidR="00153252" w:rsidRPr="00153252" w:rsidRDefault="00153252" w:rsidP="00153252">
            <w:pPr>
              <w:spacing w:before="20" w:after="20" w:line="240"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Za utvrđivanje procjene uticaja propisa će biti urađena RIA.</w:t>
            </w:r>
          </w:p>
        </w:tc>
        <w:tc>
          <w:tcPr>
            <w:tcW w:w="1213" w:type="dxa"/>
            <w:gridSpan w:val="2"/>
          </w:tcPr>
          <w:p w14:paraId="1F319EE6"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Budžet MPLJPM</w:t>
            </w:r>
          </w:p>
          <w:p w14:paraId="4DA9B05A" w14:textId="77777777" w:rsidR="00153252" w:rsidRPr="00153252" w:rsidRDefault="00153252" w:rsidP="00153252">
            <w:pPr>
              <w:spacing w:before="20" w:after="20" w:line="240" w:lineRule="auto"/>
              <w:jc w:val="both"/>
              <w:rPr>
                <w:rFonts w:ascii="Arial Narrow" w:eastAsia="Arial Narrow" w:hAnsi="Arial Narrow" w:cs="Arial Narrow"/>
                <w:b/>
                <w:sz w:val="20"/>
                <w:szCs w:val="20"/>
              </w:rPr>
            </w:pPr>
          </w:p>
        </w:tc>
        <w:tc>
          <w:tcPr>
            <w:tcW w:w="2399" w:type="dxa"/>
            <w:gridSpan w:val="2"/>
          </w:tcPr>
          <w:p w14:paraId="01DF3B86"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Izmjene i dopune Zakona o zaštiti od nasilja  se vrše radi usklađivanja sa Instambulskom konvencijom.</w:t>
            </w:r>
          </w:p>
          <w:p w14:paraId="6BFB3A7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Izmjenama i dopunama </w:t>
            </w:r>
          </w:p>
          <w:p w14:paraId="1FFE4584"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r>
      <w:tr w:rsidR="00153252" w:rsidRPr="00153252" w14:paraId="32FAD024" w14:textId="77777777" w:rsidTr="00E15B62">
        <w:trPr>
          <w:cantSplit/>
          <w:tblHeader/>
        </w:trPr>
        <w:tc>
          <w:tcPr>
            <w:tcW w:w="821" w:type="dxa"/>
            <w:gridSpan w:val="2"/>
          </w:tcPr>
          <w:p w14:paraId="1FB7B079"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6</w:t>
            </w:r>
            <w:r w:rsidR="00D003CC">
              <w:rPr>
                <w:rFonts w:ascii="Arial Narrow" w:eastAsia="Arial Narrow" w:hAnsi="Arial Narrow" w:cs="Arial Narrow"/>
                <w:sz w:val="20"/>
                <w:szCs w:val="20"/>
              </w:rPr>
              <w:t>.</w:t>
            </w:r>
          </w:p>
        </w:tc>
        <w:tc>
          <w:tcPr>
            <w:tcW w:w="2209" w:type="dxa"/>
            <w:gridSpan w:val="3"/>
          </w:tcPr>
          <w:p w14:paraId="64F9D8EA"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Utvrditi Predlog zakona o izmjenama i dopunama Zakona o prekršajima.</w:t>
            </w:r>
          </w:p>
          <w:p w14:paraId="6003635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659" w:type="dxa"/>
            <w:gridSpan w:val="3"/>
          </w:tcPr>
          <w:p w14:paraId="7D080F98"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Utvrđen Predlog zakona o o izmjenama i dopunama Zakona o prekršajima.</w:t>
            </w:r>
          </w:p>
          <w:p w14:paraId="394B437D"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1825" w:type="dxa"/>
            <w:gridSpan w:val="5"/>
          </w:tcPr>
          <w:p w14:paraId="1768E34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MPLJPM</w:t>
            </w:r>
          </w:p>
          <w:p w14:paraId="2DE33471"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NK:KPS</w:t>
            </w:r>
          </w:p>
          <w:p w14:paraId="005FA840"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1690" w:type="dxa"/>
            <w:gridSpan w:val="2"/>
          </w:tcPr>
          <w:p w14:paraId="70C64084"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I-III Q 2022</w:t>
            </w:r>
          </w:p>
          <w:p w14:paraId="00A5FAAD"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070" w:type="dxa"/>
            <w:gridSpan w:val="3"/>
          </w:tcPr>
          <w:p w14:paraId="7A8E5DF1"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Redovni troškovi planirani buđžetom</w:t>
            </w:r>
          </w:p>
          <w:p w14:paraId="42B6CF01"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7A302051"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2354C428"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Za utvrđivanje procjene uticaja propisa će biti urađena RIA.</w:t>
            </w:r>
          </w:p>
        </w:tc>
        <w:tc>
          <w:tcPr>
            <w:tcW w:w="1213" w:type="dxa"/>
            <w:gridSpan w:val="2"/>
          </w:tcPr>
          <w:p w14:paraId="05F5E869"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Budžet MPLJPM</w:t>
            </w:r>
          </w:p>
          <w:p w14:paraId="45E1A84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399" w:type="dxa"/>
            <w:gridSpan w:val="2"/>
          </w:tcPr>
          <w:p w14:paraId="7D00DAF1"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Izmjenama Zakona o prekršajima se inoviraju zakonske odredbe koje se odnose na povećanje raspona kazni i procesne mehanizme kod prekršaja.</w:t>
            </w:r>
          </w:p>
          <w:p w14:paraId="24DC5021"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r>
      <w:tr w:rsidR="00153252" w:rsidRPr="00153252" w14:paraId="43977FDA" w14:textId="77777777" w:rsidTr="00E15B62">
        <w:trPr>
          <w:cantSplit/>
          <w:tblHeader/>
        </w:trPr>
        <w:tc>
          <w:tcPr>
            <w:tcW w:w="821" w:type="dxa"/>
            <w:gridSpan w:val="2"/>
          </w:tcPr>
          <w:p w14:paraId="5B0FB9DC"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7</w:t>
            </w:r>
            <w:r w:rsidR="00D003CC">
              <w:rPr>
                <w:rFonts w:ascii="Arial Narrow" w:eastAsia="Arial Narrow" w:hAnsi="Arial Narrow" w:cs="Arial Narrow"/>
                <w:sz w:val="20"/>
                <w:szCs w:val="20"/>
              </w:rPr>
              <w:t>.</w:t>
            </w:r>
          </w:p>
        </w:tc>
        <w:tc>
          <w:tcPr>
            <w:tcW w:w="2200" w:type="dxa"/>
            <w:gridSpan w:val="2"/>
          </w:tcPr>
          <w:p w14:paraId="055A236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Usvojiti Završni izvještaj o realizaciji Akcinog plana za sprovođenje Strategije izvršenja krivičnih sankcija  2017-2021</w:t>
            </w:r>
          </w:p>
        </w:tc>
        <w:tc>
          <w:tcPr>
            <w:tcW w:w="2645" w:type="dxa"/>
            <w:gridSpan w:val="3"/>
          </w:tcPr>
          <w:p w14:paraId="6E0C471B"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Usvojen Izvještaj</w:t>
            </w:r>
          </w:p>
        </w:tc>
        <w:tc>
          <w:tcPr>
            <w:tcW w:w="1817" w:type="dxa"/>
            <w:gridSpan w:val="5"/>
          </w:tcPr>
          <w:p w14:paraId="6810D536"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NI: MPLjMP, </w:t>
            </w:r>
          </w:p>
          <w:p w14:paraId="68D062F0"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1D7087BA"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NK: KPS,</w:t>
            </w:r>
          </w:p>
        </w:tc>
        <w:tc>
          <w:tcPr>
            <w:tcW w:w="1721" w:type="dxa"/>
            <w:gridSpan w:val="3"/>
          </w:tcPr>
          <w:p w14:paraId="0113ABB0"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I-II Q 2022</w:t>
            </w:r>
          </w:p>
        </w:tc>
        <w:tc>
          <w:tcPr>
            <w:tcW w:w="2018" w:type="dxa"/>
            <w:gridSpan w:val="2"/>
          </w:tcPr>
          <w:p w14:paraId="6AAE2C7E"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Redovni troškovi planirani buđžetom</w:t>
            </w:r>
          </w:p>
          <w:p w14:paraId="36EDC866"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5B2DC23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058013DE"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1265" w:type="dxa"/>
            <w:gridSpan w:val="3"/>
          </w:tcPr>
          <w:p w14:paraId="1D86F05C"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Budžet MPLJPM</w:t>
            </w:r>
          </w:p>
        </w:tc>
        <w:tc>
          <w:tcPr>
            <w:tcW w:w="2399" w:type="dxa"/>
            <w:gridSpan w:val="2"/>
          </w:tcPr>
          <w:p w14:paraId="5CBFC28D"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Završni izvještaj će sadržati pregled realizovanih mjera u 2021. godini, kao i evaluaciju sprovođenja Strategije</w:t>
            </w:r>
          </w:p>
        </w:tc>
      </w:tr>
      <w:tr w:rsidR="00153252" w:rsidRPr="00153252" w14:paraId="4DEE3612" w14:textId="77777777" w:rsidTr="00E15B62">
        <w:trPr>
          <w:cantSplit/>
          <w:tblHeader/>
        </w:trPr>
        <w:tc>
          <w:tcPr>
            <w:tcW w:w="821" w:type="dxa"/>
            <w:gridSpan w:val="2"/>
          </w:tcPr>
          <w:p w14:paraId="2610A5DD"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8</w:t>
            </w:r>
            <w:r w:rsidR="00D003CC">
              <w:rPr>
                <w:rFonts w:ascii="Arial Narrow" w:eastAsia="Arial Narrow" w:hAnsi="Arial Narrow" w:cs="Arial Narrow"/>
                <w:sz w:val="20"/>
                <w:szCs w:val="20"/>
              </w:rPr>
              <w:t>.</w:t>
            </w:r>
          </w:p>
        </w:tc>
        <w:tc>
          <w:tcPr>
            <w:tcW w:w="2200" w:type="dxa"/>
            <w:gridSpan w:val="2"/>
          </w:tcPr>
          <w:p w14:paraId="67B7D6B1"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Usvojiti Strategiju izvršenje krivičnih sankcija 2022-2026 I </w:t>
            </w:r>
            <w:r w:rsidRPr="00153252">
              <w:rPr>
                <w:rFonts w:ascii="Arial Narrow" w:eastAsia="Arial Narrow" w:hAnsi="Arial Narrow" w:cs="Arial Narrow"/>
                <w:color w:val="000000"/>
                <w:sz w:val="20"/>
                <w:szCs w:val="20"/>
              </w:rPr>
              <w:t>Akcioni plan za implemnetaciju Strategije izvršenje krivičnih sankcija za 2022-2023</w:t>
            </w:r>
          </w:p>
        </w:tc>
        <w:tc>
          <w:tcPr>
            <w:tcW w:w="2645" w:type="dxa"/>
            <w:gridSpan w:val="3"/>
          </w:tcPr>
          <w:p w14:paraId="12B4221D"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Usvojena Strategija I Akcioni plan</w:t>
            </w:r>
          </w:p>
        </w:tc>
        <w:tc>
          <w:tcPr>
            <w:tcW w:w="1817" w:type="dxa"/>
            <w:gridSpan w:val="5"/>
          </w:tcPr>
          <w:p w14:paraId="238D75E6"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04F0B759"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21B68D0D"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NI: MPLjMP, </w:t>
            </w:r>
          </w:p>
          <w:p w14:paraId="734DFCA4"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11E22661"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NK: KPS, </w:t>
            </w:r>
          </w:p>
        </w:tc>
        <w:tc>
          <w:tcPr>
            <w:tcW w:w="1721" w:type="dxa"/>
            <w:gridSpan w:val="3"/>
          </w:tcPr>
          <w:p w14:paraId="2BE70206"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 </w:t>
            </w:r>
          </w:p>
          <w:p w14:paraId="58456F27"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I-III Q 2022.</w:t>
            </w:r>
          </w:p>
          <w:p w14:paraId="7AC6163D"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018" w:type="dxa"/>
            <w:gridSpan w:val="2"/>
          </w:tcPr>
          <w:p w14:paraId="1C5011A8"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1500 eura za potrebe održavanja javne rasprave</w:t>
            </w:r>
          </w:p>
          <w:p w14:paraId="46C2184C"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1F2AF347"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Za utvrđivanje procjene uticaja  će biti urađen finansijski uticaj Strategije</w:t>
            </w:r>
          </w:p>
        </w:tc>
        <w:tc>
          <w:tcPr>
            <w:tcW w:w="1265" w:type="dxa"/>
            <w:gridSpan w:val="3"/>
          </w:tcPr>
          <w:p w14:paraId="4DC3B23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Budžet, IPA, </w:t>
            </w:r>
          </w:p>
          <w:p w14:paraId="67982C56"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Ambasada Holandije „osnaživanje probacije u Crnoj Gori“</w:t>
            </w:r>
          </w:p>
          <w:p w14:paraId="53E9C8F7"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4ACF90E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399" w:type="dxa"/>
            <w:gridSpan w:val="2"/>
          </w:tcPr>
          <w:p w14:paraId="17F6102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Strategijom će se definisati strateški ciljevi i mjere koje treba preduzeti da bi izvršenje krivičnih sankcija naročito u zatvorskim uslovima  uz poštovanje ljudskih prava lica lišenih slobode  i uz podršku po izvršenju zatvorske kazne u smislu stvaranja korisnih članova društvene zajednice. </w:t>
            </w:r>
          </w:p>
          <w:p w14:paraId="55D7ABF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r>
      <w:tr w:rsidR="00153252" w:rsidRPr="00153252" w14:paraId="3AE38B0F" w14:textId="77777777" w:rsidTr="00FD6B98">
        <w:trPr>
          <w:cantSplit/>
          <w:tblHeader/>
        </w:trPr>
        <w:tc>
          <w:tcPr>
            <w:tcW w:w="14886" w:type="dxa"/>
            <w:gridSpan w:val="22"/>
          </w:tcPr>
          <w:p w14:paraId="7D62304A"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r>
      <w:tr w:rsidR="00153252" w:rsidRPr="00153252" w14:paraId="1C7C0838" w14:textId="77777777" w:rsidTr="00E15B62">
        <w:trPr>
          <w:cantSplit/>
          <w:trHeight w:val="602"/>
          <w:tblHeader/>
        </w:trPr>
        <w:tc>
          <w:tcPr>
            <w:tcW w:w="2962" w:type="dxa"/>
            <w:gridSpan w:val="3"/>
            <w:tcBorders>
              <w:top w:val="single" w:sz="4" w:space="0" w:color="000000"/>
              <w:left w:val="single" w:sz="4" w:space="0" w:color="000000"/>
              <w:bottom w:val="single" w:sz="4" w:space="0" w:color="000000"/>
              <w:right w:val="single" w:sz="4" w:space="0" w:color="000000"/>
            </w:tcBorders>
            <w:shd w:val="clear" w:color="auto" w:fill="DEEBF6"/>
          </w:tcPr>
          <w:p w14:paraId="465A81CF" w14:textId="77777777" w:rsidR="00153252" w:rsidRPr="00153252" w:rsidRDefault="00153252" w:rsidP="00FD6B98">
            <w:pPr>
              <w:spacing w:before="40" w:after="40" w:line="240" w:lineRule="auto"/>
              <w:jc w:val="center"/>
              <w:rPr>
                <w:rFonts w:ascii="Arial Narrow" w:eastAsia="Arial Narrow" w:hAnsi="Arial Narrow" w:cs="Arial Narrow"/>
                <w:b/>
                <w:sz w:val="20"/>
                <w:szCs w:val="20"/>
              </w:rPr>
            </w:pPr>
            <w:bookmarkStart w:id="0" w:name="_Hlk89628711"/>
            <w:r w:rsidRPr="00153252">
              <w:rPr>
                <w:rFonts w:ascii="Arial Narrow" w:eastAsia="Arial Narrow" w:hAnsi="Arial Narrow" w:cs="Arial Narrow"/>
                <w:b/>
                <w:sz w:val="20"/>
                <w:szCs w:val="20"/>
              </w:rPr>
              <w:t xml:space="preserve">Cilj </w:t>
            </w:r>
            <w:r w:rsidR="008C27D0">
              <w:rPr>
                <w:rFonts w:ascii="Arial Narrow" w:eastAsia="Arial Narrow" w:hAnsi="Arial Narrow" w:cs="Arial Narrow"/>
                <w:b/>
                <w:sz w:val="20"/>
                <w:szCs w:val="20"/>
              </w:rPr>
              <w:t>1.</w:t>
            </w:r>
            <w:r w:rsidR="00FD6B98">
              <w:rPr>
                <w:rFonts w:ascii="Arial Narrow" w:eastAsia="Arial Narrow" w:hAnsi="Arial Narrow" w:cs="Arial Narrow"/>
                <w:b/>
                <w:sz w:val="20"/>
                <w:szCs w:val="20"/>
              </w:rPr>
              <w:t>2</w:t>
            </w:r>
            <w:r w:rsidR="00D003CC">
              <w:rPr>
                <w:rFonts w:ascii="Arial Narrow" w:eastAsia="Arial Narrow" w:hAnsi="Arial Narrow" w:cs="Arial Narrow"/>
                <w:b/>
                <w:sz w:val="20"/>
                <w:szCs w:val="20"/>
              </w:rPr>
              <w:t>.</w:t>
            </w:r>
          </w:p>
        </w:tc>
        <w:tc>
          <w:tcPr>
            <w:tcW w:w="11924" w:type="dxa"/>
            <w:gridSpan w:val="19"/>
            <w:tcBorders>
              <w:top w:val="single" w:sz="4" w:space="0" w:color="000000"/>
              <w:left w:val="single" w:sz="4" w:space="0" w:color="000000"/>
              <w:bottom w:val="single" w:sz="4" w:space="0" w:color="000000"/>
              <w:right w:val="single" w:sz="4" w:space="0" w:color="000000"/>
            </w:tcBorders>
            <w:shd w:val="clear" w:color="auto" w:fill="DEEBF6"/>
            <w:vAlign w:val="center"/>
          </w:tcPr>
          <w:p w14:paraId="1932C75B" w14:textId="77777777" w:rsidR="00153252" w:rsidRPr="00153252" w:rsidRDefault="00153252" w:rsidP="00153252">
            <w:pPr>
              <w:spacing w:before="40" w:after="0" w:line="240" w:lineRule="auto"/>
              <w:jc w:val="both"/>
              <w:rPr>
                <w:rFonts w:ascii="Arial Narrow" w:eastAsia="Arial Narrow" w:hAnsi="Arial Narrow" w:cs="Arial Narrow"/>
                <w:b/>
                <w:sz w:val="20"/>
                <w:szCs w:val="20"/>
              </w:rPr>
            </w:pPr>
            <w:r w:rsidRPr="00153252">
              <w:rPr>
                <w:rFonts w:ascii="Arial Narrow" w:eastAsia="Arial Narrow" w:hAnsi="Arial Narrow" w:cs="Arial Narrow"/>
                <w:b/>
                <w:sz w:val="20"/>
                <w:szCs w:val="20"/>
              </w:rPr>
              <w:t>U</w:t>
            </w:r>
            <w:r w:rsidR="00FD6B98" w:rsidRPr="00153252">
              <w:rPr>
                <w:rFonts w:ascii="Arial Narrow" w:eastAsia="Arial Narrow" w:hAnsi="Arial Narrow" w:cs="Arial Narrow"/>
                <w:b/>
                <w:sz w:val="20"/>
                <w:szCs w:val="20"/>
              </w:rPr>
              <w:t>naprijediti poštovanje ljudskih i manjinskih prava, rodnu ravnopravnost i prava lica sa invaliditetom</w:t>
            </w:r>
          </w:p>
          <w:p w14:paraId="4C16A9C7" w14:textId="77777777" w:rsidR="00153252" w:rsidRPr="00153252" w:rsidRDefault="00153252" w:rsidP="00153252">
            <w:pPr>
              <w:spacing w:after="40" w:line="240" w:lineRule="auto"/>
              <w:jc w:val="both"/>
              <w:rPr>
                <w:rFonts w:ascii="Arial Narrow" w:eastAsia="Arial Narrow" w:hAnsi="Arial Narrow" w:cs="Arial Narrow"/>
                <w:b/>
                <w:sz w:val="20"/>
                <w:szCs w:val="20"/>
              </w:rPr>
            </w:pPr>
          </w:p>
        </w:tc>
      </w:tr>
      <w:bookmarkEnd w:id="0"/>
      <w:tr w:rsidR="00153252" w:rsidRPr="00153252" w14:paraId="78277793" w14:textId="77777777" w:rsidTr="00E15B62">
        <w:trPr>
          <w:cantSplit/>
          <w:tblHeader/>
        </w:trPr>
        <w:tc>
          <w:tcPr>
            <w:tcW w:w="2962" w:type="dxa"/>
            <w:gridSpan w:val="3"/>
            <w:tcBorders>
              <w:top w:val="single" w:sz="4" w:space="0" w:color="000000"/>
              <w:bottom w:val="single" w:sz="4" w:space="0" w:color="000000"/>
            </w:tcBorders>
            <w:shd w:val="clear" w:color="auto" w:fill="DAF2F6"/>
          </w:tcPr>
          <w:p w14:paraId="5D540669"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r w:rsidRPr="00153252">
              <w:rPr>
                <w:rFonts w:ascii="Arial Narrow" w:eastAsia="Arial Narrow" w:hAnsi="Arial Narrow" w:cs="Arial Narrow"/>
                <w:b/>
                <w:sz w:val="20"/>
                <w:szCs w:val="20"/>
                <w:vertAlign w:val="superscript"/>
              </w:rPr>
              <w:footnoteReference w:id="5"/>
            </w:r>
          </w:p>
        </w:tc>
        <w:tc>
          <w:tcPr>
            <w:tcW w:w="3253" w:type="dxa"/>
            <w:gridSpan w:val="7"/>
            <w:tcBorders>
              <w:top w:val="single" w:sz="4" w:space="0" w:color="000000"/>
              <w:bottom w:val="single" w:sz="4" w:space="0" w:color="000000"/>
            </w:tcBorders>
            <w:shd w:val="clear" w:color="auto" w:fill="DAF2F6"/>
          </w:tcPr>
          <w:p w14:paraId="7B86E194"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Polazna vrijednost – 2020.g</w:t>
            </w:r>
          </w:p>
        </w:tc>
        <w:tc>
          <w:tcPr>
            <w:tcW w:w="2947" w:type="dxa"/>
            <w:gridSpan w:val="4"/>
            <w:tcBorders>
              <w:top w:val="single" w:sz="4" w:space="0" w:color="000000"/>
              <w:bottom w:val="single" w:sz="4" w:space="0" w:color="000000"/>
            </w:tcBorders>
            <w:shd w:val="clear" w:color="auto" w:fill="DAF2F6"/>
            <w:vAlign w:val="center"/>
          </w:tcPr>
          <w:p w14:paraId="0088D924" w14:textId="77777777" w:rsidR="00153252" w:rsidRPr="00153252" w:rsidRDefault="00153252" w:rsidP="00153252">
            <w:pPr>
              <w:spacing w:before="40" w:after="40" w:line="240" w:lineRule="auto"/>
              <w:jc w:val="center"/>
              <w:rPr>
                <w:rFonts w:ascii="Arial Narrow" w:eastAsia="Arial Narrow" w:hAnsi="Arial Narrow" w:cs="Arial Narrow"/>
                <w:b/>
                <w:color w:val="000000"/>
                <w:sz w:val="20"/>
                <w:szCs w:val="20"/>
              </w:rPr>
            </w:pPr>
            <w:r w:rsidRPr="00153252">
              <w:rPr>
                <w:rFonts w:ascii="Arial Narrow" w:eastAsia="Arial Narrow" w:hAnsi="Arial Narrow" w:cs="Arial Narrow"/>
                <w:b/>
                <w:color w:val="000000"/>
                <w:sz w:val="20"/>
                <w:szCs w:val="20"/>
              </w:rPr>
              <w:t>Prelazna vrijednost – 2022.g</w:t>
            </w:r>
          </w:p>
        </w:tc>
        <w:tc>
          <w:tcPr>
            <w:tcW w:w="2742" w:type="dxa"/>
            <w:gridSpan w:val="5"/>
            <w:tcBorders>
              <w:top w:val="single" w:sz="4" w:space="0" w:color="000000"/>
              <w:bottom w:val="single" w:sz="4" w:space="0" w:color="000000"/>
            </w:tcBorders>
            <w:shd w:val="clear" w:color="auto" w:fill="DAF2F6"/>
            <w:vAlign w:val="center"/>
          </w:tcPr>
          <w:p w14:paraId="1CFEDC9F" w14:textId="77777777" w:rsidR="00153252" w:rsidRPr="00153252" w:rsidRDefault="00153252" w:rsidP="00153252">
            <w:pPr>
              <w:spacing w:before="40" w:after="40" w:line="240" w:lineRule="auto"/>
              <w:jc w:val="center"/>
              <w:rPr>
                <w:rFonts w:ascii="Arial Narrow" w:eastAsia="Arial Narrow" w:hAnsi="Arial Narrow" w:cs="Arial Narrow"/>
                <w:b/>
                <w:color w:val="000000"/>
                <w:sz w:val="20"/>
                <w:szCs w:val="20"/>
              </w:rPr>
            </w:pPr>
            <w:r w:rsidRPr="00153252">
              <w:rPr>
                <w:rFonts w:ascii="Arial Narrow" w:eastAsia="Arial Narrow" w:hAnsi="Arial Narrow" w:cs="Arial Narrow"/>
                <w:b/>
                <w:color w:val="000000"/>
                <w:sz w:val="20"/>
                <w:szCs w:val="20"/>
              </w:rPr>
              <w:t>Prelazna vrijednost – 2023.g</w:t>
            </w:r>
          </w:p>
        </w:tc>
        <w:tc>
          <w:tcPr>
            <w:tcW w:w="2982" w:type="dxa"/>
            <w:gridSpan w:val="3"/>
            <w:tcBorders>
              <w:top w:val="single" w:sz="4" w:space="0" w:color="000000"/>
              <w:bottom w:val="single" w:sz="4" w:space="0" w:color="000000"/>
            </w:tcBorders>
            <w:shd w:val="clear" w:color="auto" w:fill="DAF2F6"/>
            <w:vAlign w:val="center"/>
          </w:tcPr>
          <w:p w14:paraId="78628F7C" w14:textId="77777777" w:rsidR="00153252" w:rsidRPr="00153252" w:rsidRDefault="00153252" w:rsidP="00153252">
            <w:pPr>
              <w:spacing w:before="40" w:after="40" w:line="240" w:lineRule="auto"/>
              <w:jc w:val="center"/>
              <w:rPr>
                <w:rFonts w:ascii="Arial Narrow" w:eastAsia="Arial Narrow" w:hAnsi="Arial Narrow" w:cs="Arial Narrow"/>
                <w:b/>
                <w:color w:val="000000"/>
                <w:sz w:val="20"/>
                <w:szCs w:val="20"/>
              </w:rPr>
            </w:pPr>
            <w:r w:rsidRPr="00153252">
              <w:rPr>
                <w:rFonts w:ascii="Arial Narrow" w:eastAsia="Arial Narrow" w:hAnsi="Arial Narrow" w:cs="Arial Narrow"/>
                <w:b/>
                <w:color w:val="000000"/>
                <w:sz w:val="20"/>
                <w:szCs w:val="20"/>
              </w:rPr>
              <w:t>Ciljna vrijednost – 2024.g</w:t>
            </w:r>
          </w:p>
        </w:tc>
      </w:tr>
      <w:tr w:rsidR="00153252" w:rsidRPr="00153252" w14:paraId="25E163A4" w14:textId="77777777" w:rsidTr="00E15B62">
        <w:trPr>
          <w:cantSplit/>
          <w:tblHeader/>
        </w:trPr>
        <w:tc>
          <w:tcPr>
            <w:tcW w:w="2962" w:type="dxa"/>
            <w:gridSpan w:val="3"/>
            <w:tcBorders>
              <w:bottom w:val="single" w:sz="4" w:space="0" w:color="000000"/>
            </w:tcBorders>
            <w:shd w:val="clear" w:color="auto" w:fill="DAF2F6"/>
          </w:tcPr>
          <w:p w14:paraId="1D233DD0" w14:textId="77777777" w:rsidR="00153252" w:rsidRPr="00153252" w:rsidRDefault="00153252" w:rsidP="00153252">
            <w:pPr>
              <w:spacing w:before="40" w:after="4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Stepen diskriminacije LGBTI osoba</w:t>
            </w:r>
          </w:p>
        </w:tc>
        <w:tc>
          <w:tcPr>
            <w:tcW w:w="3253" w:type="dxa"/>
            <w:gridSpan w:val="7"/>
            <w:tcBorders>
              <w:bottom w:val="single" w:sz="4" w:space="0" w:color="000000"/>
            </w:tcBorders>
            <w:shd w:val="clear" w:color="auto" w:fill="DAF2F6"/>
          </w:tcPr>
          <w:p w14:paraId="6C070E54"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17  6 %</w:t>
            </w:r>
          </w:p>
        </w:tc>
        <w:tc>
          <w:tcPr>
            <w:tcW w:w="2947" w:type="dxa"/>
            <w:gridSpan w:val="4"/>
            <w:tcBorders>
              <w:bottom w:val="single" w:sz="4" w:space="0" w:color="000000"/>
            </w:tcBorders>
            <w:shd w:val="clear" w:color="auto" w:fill="DAF2F6"/>
          </w:tcPr>
          <w:p w14:paraId="65BDAE70"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16,5 %</w:t>
            </w:r>
          </w:p>
        </w:tc>
        <w:tc>
          <w:tcPr>
            <w:tcW w:w="2742" w:type="dxa"/>
            <w:gridSpan w:val="5"/>
            <w:tcBorders>
              <w:bottom w:val="single" w:sz="4" w:space="0" w:color="000000"/>
            </w:tcBorders>
            <w:shd w:val="clear" w:color="auto" w:fill="DAF2F6"/>
          </w:tcPr>
          <w:p w14:paraId="38D9FDB1"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15 %</w:t>
            </w:r>
          </w:p>
        </w:tc>
        <w:tc>
          <w:tcPr>
            <w:tcW w:w="2982" w:type="dxa"/>
            <w:gridSpan w:val="3"/>
            <w:tcBorders>
              <w:bottom w:val="single" w:sz="4" w:space="0" w:color="000000"/>
            </w:tcBorders>
            <w:shd w:val="clear" w:color="auto" w:fill="DAF2F6"/>
          </w:tcPr>
          <w:p w14:paraId="1DE64492"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14 %</w:t>
            </w:r>
          </w:p>
        </w:tc>
      </w:tr>
      <w:tr w:rsidR="00153252" w:rsidRPr="00153252" w14:paraId="51AA150D" w14:textId="77777777" w:rsidTr="00E15B62">
        <w:trPr>
          <w:cantSplit/>
          <w:tblHeader/>
        </w:trPr>
        <w:tc>
          <w:tcPr>
            <w:tcW w:w="2962" w:type="dxa"/>
            <w:gridSpan w:val="3"/>
            <w:tcBorders>
              <w:bottom w:val="single" w:sz="4" w:space="0" w:color="000000"/>
            </w:tcBorders>
            <w:shd w:val="clear" w:color="auto" w:fill="DAF2F6"/>
          </w:tcPr>
          <w:p w14:paraId="52B852CF" w14:textId="77777777" w:rsidR="00153252" w:rsidRPr="00153252" w:rsidRDefault="00153252" w:rsidP="00153252">
            <w:pPr>
              <w:spacing w:before="40" w:after="4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Stepen diskriminacije pripadnika/ca nacionalnih manjina</w:t>
            </w:r>
          </w:p>
        </w:tc>
        <w:tc>
          <w:tcPr>
            <w:tcW w:w="3253" w:type="dxa"/>
            <w:gridSpan w:val="7"/>
            <w:tcBorders>
              <w:bottom w:val="single" w:sz="4" w:space="0" w:color="000000"/>
            </w:tcBorders>
            <w:shd w:val="clear" w:color="auto" w:fill="DAF2F6"/>
          </w:tcPr>
          <w:p w14:paraId="044DACF0"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13,4 %</w:t>
            </w:r>
          </w:p>
        </w:tc>
        <w:tc>
          <w:tcPr>
            <w:tcW w:w="2947" w:type="dxa"/>
            <w:gridSpan w:val="4"/>
            <w:tcBorders>
              <w:bottom w:val="single" w:sz="4" w:space="0" w:color="000000"/>
            </w:tcBorders>
            <w:shd w:val="clear" w:color="auto" w:fill="DAF2F6"/>
          </w:tcPr>
          <w:p w14:paraId="32F02F95"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13 %</w:t>
            </w:r>
          </w:p>
        </w:tc>
        <w:tc>
          <w:tcPr>
            <w:tcW w:w="2742" w:type="dxa"/>
            <w:gridSpan w:val="5"/>
            <w:tcBorders>
              <w:bottom w:val="single" w:sz="4" w:space="0" w:color="000000"/>
            </w:tcBorders>
            <w:shd w:val="clear" w:color="auto" w:fill="DAF2F6"/>
          </w:tcPr>
          <w:p w14:paraId="435E2A0A"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12 %</w:t>
            </w:r>
          </w:p>
        </w:tc>
        <w:tc>
          <w:tcPr>
            <w:tcW w:w="2982" w:type="dxa"/>
            <w:gridSpan w:val="3"/>
            <w:tcBorders>
              <w:bottom w:val="single" w:sz="4" w:space="0" w:color="000000"/>
            </w:tcBorders>
            <w:shd w:val="clear" w:color="auto" w:fill="DAF2F6"/>
          </w:tcPr>
          <w:p w14:paraId="0E7FA358"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11 %</w:t>
            </w:r>
          </w:p>
        </w:tc>
      </w:tr>
      <w:tr w:rsidR="00153252" w:rsidRPr="00153252" w14:paraId="52503242" w14:textId="77777777" w:rsidTr="00E15B62">
        <w:trPr>
          <w:cantSplit/>
          <w:tblHeader/>
        </w:trPr>
        <w:tc>
          <w:tcPr>
            <w:tcW w:w="2962" w:type="dxa"/>
            <w:gridSpan w:val="3"/>
            <w:tcBorders>
              <w:bottom w:val="single" w:sz="4" w:space="0" w:color="000000"/>
            </w:tcBorders>
            <w:shd w:val="clear" w:color="auto" w:fill="DAF2F6"/>
          </w:tcPr>
          <w:p w14:paraId="04F66267" w14:textId="77777777" w:rsidR="00153252" w:rsidRPr="00153252" w:rsidRDefault="00153252" w:rsidP="00153252">
            <w:pPr>
              <w:spacing w:before="40" w:after="4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Stepen diskriminacije pripadnika/ca romske i egipćanske zajednice</w:t>
            </w:r>
          </w:p>
        </w:tc>
        <w:tc>
          <w:tcPr>
            <w:tcW w:w="3253" w:type="dxa"/>
            <w:gridSpan w:val="7"/>
            <w:tcBorders>
              <w:bottom w:val="single" w:sz="4" w:space="0" w:color="000000"/>
            </w:tcBorders>
            <w:shd w:val="clear" w:color="auto" w:fill="DAF2F6"/>
          </w:tcPr>
          <w:p w14:paraId="7B29B240"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22,2 %</w:t>
            </w:r>
          </w:p>
        </w:tc>
        <w:tc>
          <w:tcPr>
            <w:tcW w:w="2947" w:type="dxa"/>
            <w:gridSpan w:val="4"/>
            <w:tcBorders>
              <w:bottom w:val="single" w:sz="4" w:space="0" w:color="000000"/>
            </w:tcBorders>
            <w:shd w:val="clear" w:color="auto" w:fill="DAF2F6"/>
          </w:tcPr>
          <w:p w14:paraId="09A8413B"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21,7 %</w:t>
            </w:r>
          </w:p>
        </w:tc>
        <w:tc>
          <w:tcPr>
            <w:tcW w:w="2742" w:type="dxa"/>
            <w:gridSpan w:val="5"/>
            <w:tcBorders>
              <w:bottom w:val="single" w:sz="4" w:space="0" w:color="000000"/>
            </w:tcBorders>
            <w:shd w:val="clear" w:color="auto" w:fill="DAF2F6"/>
          </w:tcPr>
          <w:p w14:paraId="16DB3134"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21 %</w:t>
            </w:r>
          </w:p>
        </w:tc>
        <w:tc>
          <w:tcPr>
            <w:tcW w:w="2982" w:type="dxa"/>
            <w:gridSpan w:val="3"/>
            <w:tcBorders>
              <w:bottom w:val="single" w:sz="4" w:space="0" w:color="000000"/>
            </w:tcBorders>
            <w:shd w:val="clear" w:color="auto" w:fill="DAF2F6"/>
          </w:tcPr>
          <w:p w14:paraId="71FB5747"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20 %</w:t>
            </w:r>
          </w:p>
        </w:tc>
      </w:tr>
      <w:tr w:rsidR="00153252" w:rsidRPr="00153252" w14:paraId="523871B0" w14:textId="77777777" w:rsidTr="00E15B62">
        <w:trPr>
          <w:cantSplit/>
          <w:tblHeader/>
        </w:trPr>
        <w:tc>
          <w:tcPr>
            <w:tcW w:w="2962" w:type="dxa"/>
            <w:gridSpan w:val="3"/>
            <w:tcBorders>
              <w:bottom w:val="single" w:sz="4" w:space="0" w:color="000000"/>
            </w:tcBorders>
            <w:shd w:val="clear" w:color="auto" w:fill="DAF2F6"/>
          </w:tcPr>
          <w:p w14:paraId="69A4E45E" w14:textId="77777777" w:rsidR="00153252" w:rsidRPr="00153252" w:rsidRDefault="00153252" w:rsidP="00153252">
            <w:pPr>
              <w:spacing w:before="40" w:after="4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Stepen etničke distance  prema pripadnicima/ama romske i egipćanske zajednice</w:t>
            </w:r>
          </w:p>
        </w:tc>
        <w:tc>
          <w:tcPr>
            <w:tcW w:w="3253" w:type="dxa"/>
            <w:gridSpan w:val="7"/>
            <w:tcBorders>
              <w:bottom w:val="single" w:sz="4" w:space="0" w:color="000000"/>
            </w:tcBorders>
            <w:shd w:val="clear" w:color="auto" w:fill="DAF2F6"/>
          </w:tcPr>
          <w:p w14:paraId="75D9D48B" w14:textId="7276386A"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0,55 (na lestvici od 0 do 1)</w:t>
            </w:r>
          </w:p>
        </w:tc>
        <w:tc>
          <w:tcPr>
            <w:tcW w:w="2947" w:type="dxa"/>
            <w:gridSpan w:val="4"/>
            <w:tcBorders>
              <w:bottom w:val="single" w:sz="4" w:space="0" w:color="000000"/>
            </w:tcBorders>
            <w:shd w:val="clear" w:color="auto" w:fill="DAF2F6"/>
          </w:tcPr>
          <w:p w14:paraId="40BBD600"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0,54 %</w:t>
            </w:r>
          </w:p>
        </w:tc>
        <w:tc>
          <w:tcPr>
            <w:tcW w:w="2742" w:type="dxa"/>
            <w:gridSpan w:val="5"/>
            <w:tcBorders>
              <w:bottom w:val="single" w:sz="4" w:space="0" w:color="000000"/>
            </w:tcBorders>
            <w:shd w:val="clear" w:color="auto" w:fill="DAF2F6"/>
          </w:tcPr>
          <w:p w14:paraId="010DA16F"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0,53 %</w:t>
            </w:r>
          </w:p>
        </w:tc>
        <w:tc>
          <w:tcPr>
            <w:tcW w:w="2982" w:type="dxa"/>
            <w:gridSpan w:val="3"/>
            <w:tcBorders>
              <w:bottom w:val="single" w:sz="4" w:space="0" w:color="000000"/>
            </w:tcBorders>
            <w:shd w:val="clear" w:color="auto" w:fill="DAF2F6"/>
          </w:tcPr>
          <w:p w14:paraId="02F6D43A"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0,52 %</w:t>
            </w:r>
          </w:p>
        </w:tc>
      </w:tr>
      <w:tr w:rsidR="00153252" w:rsidRPr="00153252" w14:paraId="0AAB940C" w14:textId="77777777" w:rsidTr="00E15B62">
        <w:trPr>
          <w:cantSplit/>
          <w:tblHeader/>
        </w:trPr>
        <w:tc>
          <w:tcPr>
            <w:tcW w:w="2962" w:type="dxa"/>
            <w:gridSpan w:val="3"/>
            <w:tcBorders>
              <w:bottom w:val="single" w:sz="4" w:space="0" w:color="000000"/>
            </w:tcBorders>
            <w:shd w:val="clear" w:color="auto" w:fill="DAF2F6"/>
          </w:tcPr>
          <w:p w14:paraId="5A6E5040" w14:textId="77777777" w:rsidR="00153252" w:rsidRPr="00153252" w:rsidRDefault="00153252" w:rsidP="00153252">
            <w:pPr>
              <w:spacing w:before="40" w:after="4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Stepen diskriminacije na osnovu vjeroispovjesti</w:t>
            </w:r>
          </w:p>
        </w:tc>
        <w:tc>
          <w:tcPr>
            <w:tcW w:w="3253" w:type="dxa"/>
            <w:gridSpan w:val="7"/>
            <w:tcBorders>
              <w:bottom w:val="single" w:sz="4" w:space="0" w:color="000000"/>
            </w:tcBorders>
            <w:shd w:val="clear" w:color="auto" w:fill="DAF2F6"/>
          </w:tcPr>
          <w:p w14:paraId="55099AA3"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13,2 %</w:t>
            </w:r>
          </w:p>
        </w:tc>
        <w:tc>
          <w:tcPr>
            <w:tcW w:w="2947" w:type="dxa"/>
            <w:gridSpan w:val="4"/>
            <w:tcBorders>
              <w:bottom w:val="single" w:sz="4" w:space="0" w:color="000000"/>
            </w:tcBorders>
            <w:shd w:val="clear" w:color="auto" w:fill="DAF2F6"/>
          </w:tcPr>
          <w:p w14:paraId="6C7E54ED"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12,7 %</w:t>
            </w:r>
          </w:p>
        </w:tc>
        <w:tc>
          <w:tcPr>
            <w:tcW w:w="2742" w:type="dxa"/>
            <w:gridSpan w:val="5"/>
            <w:tcBorders>
              <w:bottom w:val="single" w:sz="4" w:space="0" w:color="000000"/>
            </w:tcBorders>
            <w:shd w:val="clear" w:color="auto" w:fill="DAF2F6"/>
          </w:tcPr>
          <w:p w14:paraId="458CEFA6"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12 %</w:t>
            </w:r>
          </w:p>
        </w:tc>
        <w:tc>
          <w:tcPr>
            <w:tcW w:w="2982" w:type="dxa"/>
            <w:gridSpan w:val="3"/>
            <w:tcBorders>
              <w:bottom w:val="single" w:sz="4" w:space="0" w:color="000000"/>
            </w:tcBorders>
            <w:shd w:val="clear" w:color="auto" w:fill="DAF2F6"/>
          </w:tcPr>
          <w:p w14:paraId="4AD28E58"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11 %</w:t>
            </w:r>
          </w:p>
        </w:tc>
      </w:tr>
      <w:tr w:rsidR="00153252" w:rsidRPr="00153252" w14:paraId="273EFB36" w14:textId="77777777" w:rsidTr="00E15B62">
        <w:trPr>
          <w:cantSplit/>
          <w:tblHeader/>
        </w:trPr>
        <w:tc>
          <w:tcPr>
            <w:tcW w:w="2962" w:type="dxa"/>
            <w:gridSpan w:val="3"/>
            <w:tcBorders>
              <w:bottom w:val="single" w:sz="4" w:space="0" w:color="000000"/>
            </w:tcBorders>
            <w:shd w:val="clear" w:color="auto" w:fill="DAF2F6"/>
          </w:tcPr>
          <w:p w14:paraId="735B4E2C" w14:textId="77777777" w:rsidR="00153252" w:rsidRPr="00153252" w:rsidRDefault="00153252" w:rsidP="00153252">
            <w:pPr>
              <w:spacing w:before="40" w:after="4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vertAlign w:val="superscript"/>
              </w:rPr>
              <w:footnoteReference w:id="6"/>
            </w:r>
            <w:r w:rsidRPr="00153252">
              <w:rPr>
                <w:rFonts w:ascii="Arial Narrow" w:eastAsia="Arial Narrow" w:hAnsi="Arial Narrow" w:cs="Arial Narrow"/>
                <w:sz w:val="20"/>
                <w:szCs w:val="20"/>
              </w:rPr>
              <w:t>Indeks rodne ravnopravnosti</w:t>
            </w:r>
          </w:p>
        </w:tc>
        <w:tc>
          <w:tcPr>
            <w:tcW w:w="3253" w:type="dxa"/>
            <w:gridSpan w:val="7"/>
            <w:tcBorders>
              <w:bottom w:val="single" w:sz="4" w:space="0" w:color="000000"/>
            </w:tcBorders>
            <w:shd w:val="clear" w:color="auto" w:fill="DAF2F6"/>
          </w:tcPr>
          <w:p w14:paraId="10D2E892"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55</w:t>
            </w:r>
          </w:p>
        </w:tc>
        <w:tc>
          <w:tcPr>
            <w:tcW w:w="2947" w:type="dxa"/>
            <w:gridSpan w:val="4"/>
            <w:tcBorders>
              <w:bottom w:val="single" w:sz="4" w:space="0" w:color="000000"/>
            </w:tcBorders>
            <w:shd w:val="clear" w:color="auto" w:fill="DAF2F6"/>
          </w:tcPr>
          <w:p w14:paraId="0630E2D0"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55</w:t>
            </w:r>
          </w:p>
        </w:tc>
        <w:tc>
          <w:tcPr>
            <w:tcW w:w="2742" w:type="dxa"/>
            <w:gridSpan w:val="5"/>
            <w:tcBorders>
              <w:bottom w:val="single" w:sz="4" w:space="0" w:color="000000"/>
            </w:tcBorders>
            <w:shd w:val="clear" w:color="auto" w:fill="DAF2F6"/>
          </w:tcPr>
          <w:p w14:paraId="1C79FAC4"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56</w:t>
            </w:r>
          </w:p>
        </w:tc>
        <w:tc>
          <w:tcPr>
            <w:tcW w:w="2982" w:type="dxa"/>
            <w:gridSpan w:val="3"/>
            <w:tcBorders>
              <w:bottom w:val="single" w:sz="4" w:space="0" w:color="000000"/>
            </w:tcBorders>
            <w:shd w:val="clear" w:color="auto" w:fill="DAF2F6"/>
          </w:tcPr>
          <w:p w14:paraId="0E95E355"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56</w:t>
            </w:r>
          </w:p>
        </w:tc>
      </w:tr>
      <w:tr w:rsidR="00153252" w:rsidRPr="00153252" w14:paraId="0B2F4E60" w14:textId="77777777" w:rsidTr="00E15B62">
        <w:trPr>
          <w:cantSplit/>
          <w:tblHeader/>
        </w:trPr>
        <w:tc>
          <w:tcPr>
            <w:tcW w:w="2962" w:type="dxa"/>
            <w:gridSpan w:val="3"/>
            <w:tcBorders>
              <w:bottom w:val="single" w:sz="4" w:space="0" w:color="000000"/>
            </w:tcBorders>
            <w:shd w:val="clear" w:color="auto" w:fill="DAF2F6"/>
          </w:tcPr>
          <w:p w14:paraId="36381D76" w14:textId="77777777" w:rsidR="00153252" w:rsidRDefault="00153252" w:rsidP="00153252">
            <w:pPr>
              <w:spacing w:before="40" w:after="4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Stepen diskriminacije </w:t>
            </w:r>
          </w:p>
          <w:p w14:paraId="21CEFF5A" w14:textId="77777777" w:rsidR="00F268FE" w:rsidRDefault="00F268FE" w:rsidP="00153252">
            <w:pPr>
              <w:spacing w:before="40" w:after="40" w:line="240" w:lineRule="auto"/>
              <w:jc w:val="both"/>
              <w:rPr>
                <w:rFonts w:ascii="Arial Narrow" w:eastAsia="Arial Narrow" w:hAnsi="Arial Narrow" w:cs="Arial Narrow"/>
                <w:sz w:val="20"/>
                <w:szCs w:val="20"/>
              </w:rPr>
            </w:pPr>
          </w:p>
          <w:p w14:paraId="1D26DE1D" w14:textId="77777777" w:rsidR="00F268FE" w:rsidRDefault="00F268FE" w:rsidP="00153252">
            <w:pPr>
              <w:spacing w:before="40" w:after="40" w:line="240" w:lineRule="auto"/>
              <w:jc w:val="both"/>
              <w:rPr>
                <w:rFonts w:ascii="Arial Narrow" w:eastAsia="Arial Narrow" w:hAnsi="Arial Narrow" w:cs="Arial Narrow"/>
                <w:sz w:val="20"/>
                <w:szCs w:val="20"/>
              </w:rPr>
            </w:pPr>
          </w:p>
          <w:p w14:paraId="7723BDC6" w14:textId="77777777" w:rsidR="00F268FE" w:rsidRPr="00153252" w:rsidRDefault="00F268FE" w:rsidP="00153252">
            <w:pPr>
              <w:spacing w:before="40" w:after="40" w:line="240" w:lineRule="auto"/>
              <w:jc w:val="both"/>
              <w:rPr>
                <w:rFonts w:ascii="Arial Narrow" w:eastAsia="Arial Narrow" w:hAnsi="Arial Narrow" w:cs="Arial Narrow"/>
                <w:sz w:val="20"/>
                <w:szCs w:val="20"/>
                <w:vertAlign w:val="superscript"/>
              </w:rPr>
            </w:pPr>
          </w:p>
        </w:tc>
        <w:tc>
          <w:tcPr>
            <w:tcW w:w="3253" w:type="dxa"/>
            <w:gridSpan w:val="7"/>
            <w:tcBorders>
              <w:bottom w:val="single" w:sz="4" w:space="0" w:color="000000"/>
            </w:tcBorders>
            <w:shd w:val="clear" w:color="auto" w:fill="DAF2F6"/>
          </w:tcPr>
          <w:p w14:paraId="31343A75"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19,2 %</w:t>
            </w:r>
          </w:p>
        </w:tc>
        <w:tc>
          <w:tcPr>
            <w:tcW w:w="2947" w:type="dxa"/>
            <w:gridSpan w:val="4"/>
            <w:tcBorders>
              <w:bottom w:val="single" w:sz="4" w:space="0" w:color="000000"/>
            </w:tcBorders>
            <w:shd w:val="clear" w:color="auto" w:fill="DAF2F6"/>
          </w:tcPr>
          <w:p w14:paraId="3BB37924"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18,5 %</w:t>
            </w:r>
          </w:p>
        </w:tc>
        <w:tc>
          <w:tcPr>
            <w:tcW w:w="2742" w:type="dxa"/>
            <w:gridSpan w:val="5"/>
            <w:tcBorders>
              <w:bottom w:val="single" w:sz="4" w:space="0" w:color="000000"/>
            </w:tcBorders>
            <w:shd w:val="clear" w:color="auto" w:fill="DAF2F6"/>
          </w:tcPr>
          <w:p w14:paraId="6F3B1D5C"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18 %</w:t>
            </w:r>
          </w:p>
        </w:tc>
        <w:tc>
          <w:tcPr>
            <w:tcW w:w="2982" w:type="dxa"/>
            <w:gridSpan w:val="3"/>
            <w:tcBorders>
              <w:bottom w:val="single" w:sz="4" w:space="0" w:color="000000"/>
            </w:tcBorders>
            <w:shd w:val="clear" w:color="auto" w:fill="DAF2F6"/>
          </w:tcPr>
          <w:p w14:paraId="49E256F8"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17 %</w:t>
            </w:r>
          </w:p>
        </w:tc>
      </w:tr>
      <w:tr w:rsidR="00153252" w:rsidRPr="00153252" w14:paraId="7FB8E62B" w14:textId="77777777" w:rsidTr="00E15B62">
        <w:trPr>
          <w:cantSplit/>
          <w:tblHeader/>
        </w:trPr>
        <w:tc>
          <w:tcPr>
            <w:tcW w:w="2962" w:type="dxa"/>
            <w:gridSpan w:val="3"/>
            <w:tcBorders>
              <w:bottom w:val="single" w:sz="4" w:space="0" w:color="000000"/>
            </w:tcBorders>
            <w:shd w:val="clear" w:color="auto" w:fill="FFF2CC"/>
            <w:vAlign w:val="center"/>
          </w:tcPr>
          <w:p w14:paraId="30DE6A07"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575" w:type="dxa"/>
            <w:gridSpan w:val="3"/>
            <w:tcBorders>
              <w:bottom w:val="single" w:sz="4" w:space="0" w:color="000000"/>
            </w:tcBorders>
            <w:shd w:val="clear" w:color="auto" w:fill="FFF2CC"/>
            <w:vAlign w:val="center"/>
          </w:tcPr>
          <w:p w14:paraId="5F966E60"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rezultata</w:t>
            </w:r>
          </w:p>
        </w:tc>
        <w:tc>
          <w:tcPr>
            <w:tcW w:w="1806" w:type="dxa"/>
            <w:gridSpan w:val="5"/>
            <w:tcBorders>
              <w:bottom w:val="single" w:sz="4" w:space="0" w:color="000000"/>
            </w:tcBorders>
            <w:shd w:val="clear" w:color="auto" w:fill="FFF2CC"/>
            <w:vAlign w:val="center"/>
          </w:tcPr>
          <w:p w14:paraId="29153EEE"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Nadležne institucije i nadležna komisija</w:t>
            </w:r>
          </w:p>
        </w:tc>
        <w:tc>
          <w:tcPr>
            <w:tcW w:w="1819" w:type="dxa"/>
            <w:gridSpan w:val="3"/>
            <w:tcBorders>
              <w:bottom w:val="single" w:sz="4" w:space="0" w:color="000000"/>
            </w:tcBorders>
            <w:shd w:val="clear" w:color="auto" w:fill="FFF2CC"/>
            <w:vAlign w:val="center"/>
          </w:tcPr>
          <w:p w14:paraId="2F1BF313"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 početak i završetak aktivnosti</w:t>
            </w:r>
          </w:p>
        </w:tc>
        <w:tc>
          <w:tcPr>
            <w:tcW w:w="1899" w:type="dxa"/>
            <w:gridSpan w:val="2"/>
            <w:tcBorders>
              <w:bottom w:val="single" w:sz="4" w:space="0" w:color="000000"/>
            </w:tcBorders>
            <w:shd w:val="clear" w:color="auto" w:fill="FFF2CC"/>
            <w:vAlign w:val="center"/>
          </w:tcPr>
          <w:p w14:paraId="5E48E5BC"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Sredstva za realizaciju  i informacija o izradi RIA</w:t>
            </w:r>
          </w:p>
        </w:tc>
        <w:tc>
          <w:tcPr>
            <w:tcW w:w="1444" w:type="dxa"/>
            <w:gridSpan w:val="5"/>
            <w:tcBorders>
              <w:bottom w:val="single" w:sz="4" w:space="0" w:color="000000"/>
            </w:tcBorders>
            <w:shd w:val="clear" w:color="auto" w:fill="FFF2CC"/>
            <w:vAlign w:val="center"/>
          </w:tcPr>
          <w:p w14:paraId="2DA2423A"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 xml:space="preserve"> Izvor finansiranja</w:t>
            </w:r>
          </w:p>
        </w:tc>
        <w:tc>
          <w:tcPr>
            <w:tcW w:w="2381" w:type="dxa"/>
            <w:tcBorders>
              <w:bottom w:val="single" w:sz="4" w:space="0" w:color="000000"/>
            </w:tcBorders>
            <w:shd w:val="clear" w:color="auto" w:fill="FFF2CC"/>
            <w:vAlign w:val="center"/>
          </w:tcPr>
          <w:p w14:paraId="44D3783F"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Obrazloženje</w:t>
            </w:r>
          </w:p>
        </w:tc>
      </w:tr>
      <w:tr w:rsidR="00153252" w:rsidRPr="00153252" w14:paraId="708E9DDD" w14:textId="77777777" w:rsidTr="00E15B62">
        <w:trPr>
          <w:cantSplit/>
          <w:tblHeader/>
        </w:trPr>
        <w:tc>
          <w:tcPr>
            <w:tcW w:w="720" w:type="dxa"/>
            <w:tcBorders>
              <w:top w:val="single" w:sz="4" w:space="0" w:color="000000"/>
              <w:left w:val="single" w:sz="4" w:space="0" w:color="000000"/>
              <w:bottom w:val="single" w:sz="4" w:space="0" w:color="000000"/>
              <w:right w:val="single" w:sz="4" w:space="0" w:color="000000"/>
            </w:tcBorders>
          </w:tcPr>
          <w:p w14:paraId="7363054A" w14:textId="77777777" w:rsidR="00153252" w:rsidRPr="00153252" w:rsidRDefault="008C27D0" w:rsidP="00153252">
            <w:pPr>
              <w:spacing w:before="20" w:after="20" w:line="240" w:lineRule="auto"/>
              <w:rPr>
                <w:rFonts w:ascii="Arial Narrow" w:eastAsia="Arial Narrow" w:hAnsi="Arial Narrow" w:cs="Arial Narrow"/>
                <w:sz w:val="20"/>
                <w:szCs w:val="20"/>
              </w:rPr>
            </w:pPr>
            <w:r>
              <w:rPr>
                <w:rFonts w:ascii="Arial Narrow" w:eastAsia="Arial Narrow" w:hAnsi="Arial Narrow" w:cs="Arial Narrow"/>
                <w:sz w:val="20"/>
                <w:szCs w:val="20"/>
              </w:rPr>
              <w:t>1.</w:t>
            </w:r>
          </w:p>
        </w:tc>
        <w:tc>
          <w:tcPr>
            <w:tcW w:w="2242" w:type="dxa"/>
            <w:gridSpan w:val="2"/>
            <w:tcBorders>
              <w:top w:val="single" w:sz="4" w:space="0" w:color="000000"/>
              <w:left w:val="single" w:sz="4" w:space="0" w:color="000000"/>
              <w:bottom w:val="single" w:sz="4" w:space="0" w:color="000000"/>
              <w:right w:val="single" w:sz="4" w:space="0" w:color="000000"/>
            </w:tcBorders>
          </w:tcPr>
          <w:p w14:paraId="38CEE9E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Usvojiti Predlog zakona o zabrani diskriminacije </w:t>
            </w:r>
          </w:p>
          <w:p w14:paraId="74EF62A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1EA7D165"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575" w:type="dxa"/>
            <w:gridSpan w:val="3"/>
            <w:tcBorders>
              <w:top w:val="single" w:sz="4" w:space="0" w:color="000000"/>
              <w:left w:val="single" w:sz="4" w:space="0" w:color="000000"/>
              <w:bottom w:val="single" w:sz="4" w:space="0" w:color="000000"/>
              <w:right w:val="single" w:sz="4" w:space="0" w:color="000000"/>
            </w:tcBorders>
          </w:tcPr>
          <w:p w14:paraId="2718E2F0"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Usvojen Predlog zakona</w:t>
            </w:r>
          </w:p>
        </w:tc>
        <w:tc>
          <w:tcPr>
            <w:tcW w:w="1806" w:type="dxa"/>
            <w:gridSpan w:val="5"/>
            <w:tcBorders>
              <w:top w:val="single" w:sz="4" w:space="0" w:color="000000"/>
              <w:left w:val="single" w:sz="4" w:space="0" w:color="000000"/>
              <w:bottom w:val="single" w:sz="4" w:space="0" w:color="000000"/>
              <w:right w:val="single" w:sz="4" w:space="0" w:color="000000"/>
            </w:tcBorders>
          </w:tcPr>
          <w:p w14:paraId="00C6E377"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NI: MPLjMP, </w:t>
            </w:r>
          </w:p>
          <w:p w14:paraId="6910EA46"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48F8796A"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NK: KPS, </w:t>
            </w:r>
          </w:p>
        </w:tc>
        <w:tc>
          <w:tcPr>
            <w:tcW w:w="1819" w:type="dxa"/>
            <w:gridSpan w:val="3"/>
            <w:tcBorders>
              <w:top w:val="single" w:sz="4" w:space="0" w:color="000000"/>
              <w:left w:val="single" w:sz="4" w:space="0" w:color="000000"/>
              <w:bottom w:val="single" w:sz="4" w:space="0" w:color="000000"/>
              <w:right w:val="single" w:sz="4" w:space="0" w:color="000000"/>
            </w:tcBorders>
          </w:tcPr>
          <w:p w14:paraId="7F56B1B8"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 IV Q 2021.</w:t>
            </w:r>
          </w:p>
          <w:p w14:paraId="3BECD45C"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 II Q 2022.</w:t>
            </w:r>
          </w:p>
          <w:p w14:paraId="079B9249"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1899" w:type="dxa"/>
            <w:gridSpan w:val="2"/>
            <w:tcBorders>
              <w:top w:val="single" w:sz="4" w:space="0" w:color="000000"/>
              <w:left w:val="single" w:sz="4" w:space="0" w:color="000000"/>
              <w:bottom w:val="single" w:sz="4" w:space="0" w:color="000000"/>
              <w:right w:val="single" w:sz="4" w:space="0" w:color="000000"/>
            </w:tcBorders>
          </w:tcPr>
          <w:p w14:paraId="7647AB38"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Redovni</w:t>
            </w:r>
          </w:p>
          <w:p w14:paraId="36808618"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troškovi</w:t>
            </w:r>
          </w:p>
          <w:p w14:paraId="7BA51F35"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planirani</w:t>
            </w:r>
          </w:p>
          <w:p w14:paraId="08AB21F4"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Budžetom</w:t>
            </w:r>
          </w:p>
          <w:p w14:paraId="28423E1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Za utvrđivanje procjene uticaja propisa će biti urađena RIA.</w:t>
            </w:r>
          </w:p>
        </w:tc>
        <w:tc>
          <w:tcPr>
            <w:tcW w:w="1444" w:type="dxa"/>
            <w:gridSpan w:val="5"/>
            <w:tcBorders>
              <w:top w:val="single" w:sz="4" w:space="0" w:color="000000"/>
              <w:left w:val="single" w:sz="4" w:space="0" w:color="000000"/>
              <w:bottom w:val="single" w:sz="4" w:space="0" w:color="000000"/>
              <w:right w:val="single" w:sz="4" w:space="0" w:color="000000"/>
            </w:tcBorders>
          </w:tcPr>
          <w:p w14:paraId="1055F2B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Budžet MPLJMP,  </w:t>
            </w:r>
          </w:p>
          <w:p w14:paraId="4C4E47CD"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Međunarodne organizacije, ambasade</w:t>
            </w:r>
          </w:p>
          <w:p w14:paraId="7225691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p w14:paraId="203CE36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2381" w:type="dxa"/>
            <w:tcBorders>
              <w:top w:val="single" w:sz="4" w:space="0" w:color="000000"/>
              <w:left w:val="single" w:sz="4" w:space="0" w:color="000000"/>
              <w:bottom w:val="single" w:sz="4" w:space="0" w:color="000000"/>
              <w:right w:val="single" w:sz="4" w:space="0" w:color="000000"/>
            </w:tcBorders>
          </w:tcPr>
          <w:p w14:paraId="5AEDD198"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Shodno preporukama eksperata Evropske komisije, novim Zakonom o zabrani diskriminaciji biće preciznije formulisane definicije i struktura istog u skladu sa standardima EU i pravnim poretkom Crne Gore.</w:t>
            </w:r>
          </w:p>
        </w:tc>
      </w:tr>
      <w:tr w:rsidR="00153252" w:rsidRPr="00153252" w14:paraId="4D0C8A72" w14:textId="77777777" w:rsidTr="00E15B62">
        <w:trPr>
          <w:cantSplit/>
          <w:tblHeader/>
        </w:trPr>
        <w:tc>
          <w:tcPr>
            <w:tcW w:w="720" w:type="dxa"/>
            <w:tcBorders>
              <w:top w:val="single" w:sz="4" w:space="0" w:color="000000"/>
              <w:left w:val="single" w:sz="4" w:space="0" w:color="000000"/>
              <w:bottom w:val="single" w:sz="4" w:space="0" w:color="000000"/>
              <w:right w:val="single" w:sz="4" w:space="0" w:color="000000"/>
            </w:tcBorders>
          </w:tcPr>
          <w:p w14:paraId="2A4B2BD6" w14:textId="77777777" w:rsidR="00153252" w:rsidRPr="00153252" w:rsidRDefault="008C27D0" w:rsidP="00153252">
            <w:pPr>
              <w:spacing w:before="20" w:after="20" w:line="240" w:lineRule="auto"/>
              <w:rPr>
                <w:rFonts w:ascii="Arial Narrow" w:eastAsia="Arial Narrow" w:hAnsi="Arial Narrow" w:cs="Arial Narrow"/>
                <w:sz w:val="20"/>
                <w:szCs w:val="20"/>
              </w:rPr>
            </w:pPr>
            <w:r>
              <w:rPr>
                <w:rFonts w:ascii="Arial Narrow" w:eastAsia="Arial Narrow" w:hAnsi="Arial Narrow" w:cs="Arial Narrow"/>
                <w:sz w:val="20"/>
                <w:szCs w:val="20"/>
              </w:rPr>
              <w:t>2.</w:t>
            </w:r>
          </w:p>
        </w:tc>
        <w:tc>
          <w:tcPr>
            <w:tcW w:w="2242" w:type="dxa"/>
            <w:gridSpan w:val="2"/>
            <w:tcBorders>
              <w:top w:val="single" w:sz="4" w:space="0" w:color="000000"/>
              <w:left w:val="single" w:sz="4" w:space="0" w:color="000000"/>
              <w:bottom w:val="single" w:sz="4" w:space="0" w:color="000000"/>
              <w:right w:val="single" w:sz="4" w:space="0" w:color="000000"/>
            </w:tcBorders>
          </w:tcPr>
          <w:p w14:paraId="20DD70A9"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Usvojiti Akcioni plan za 2022 godinu za realizaciju Strategije o unapređenju kvaliteta života LGBTI osoba u Crnoj Gori za period 2019-2023</w:t>
            </w:r>
          </w:p>
        </w:tc>
        <w:tc>
          <w:tcPr>
            <w:tcW w:w="2575" w:type="dxa"/>
            <w:gridSpan w:val="3"/>
            <w:tcBorders>
              <w:top w:val="single" w:sz="4" w:space="0" w:color="000000"/>
              <w:left w:val="single" w:sz="4" w:space="0" w:color="000000"/>
              <w:bottom w:val="single" w:sz="4" w:space="0" w:color="000000"/>
              <w:right w:val="single" w:sz="4" w:space="0" w:color="000000"/>
            </w:tcBorders>
          </w:tcPr>
          <w:p w14:paraId="6A37B48C"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Usvijen Akcioni plan za 2022. godinu</w:t>
            </w:r>
          </w:p>
        </w:tc>
        <w:tc>
          <w:tcPr>
            <w:tcW w:w="1806" w:type="dxa"/>
            <w:gridSpan w:val="5"/>
            <w:tcBorders>
              <w:top w:val="single" w:sz="4" w:space="0" w:color="000000"/>
              <w:left w:val="single" w:sz="4" w:space="0" w:color="000000"/>
              <w:bottom w:val="single" w:sz="4" w:space="0" w:color="000000"/>
              <w:right w:val="single" w:sz="4" w:space="0" w:color="000000"/>
            </w:tcBorders>
          </w:tcPr>
          <w:p w14:paraId="76163EB1"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NI: MPLjMP</w:t>
            </w:r>
          </w:p>
          <w:p w14:paraId="4E6FF25A"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p w14:paraId="37B14FD2"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NK: KPS</w:t>
            </w:r>
          </w:p>
        </w:tc>
        <w:tc>
          <w:tcPr>
            <w:tcW w:w="1819" w:type="dxa"/>
            <w:gridSpan w:val="3"/>
            <w:tcBorders>
              <w:top w:val="single" w:sz="4" w:space="0" w:color="000000"/>
              <w:left w:val="single" w:sz="4" w:space="0" w:color="000000"/>
              <w:bottom w:val="single" w:sz="4" w:space="0" w:color="000000"/>
              <w:right w:val="single" w:sz="4" w:space="0" w:color="000000"/>
            </w:tcBorders>
          </w:tcPr>
          <w:p w14:paraId="284FFF10"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 Q 2022.</w:t>
            </w:r>
          </w:p>
          <w:p w14:paraId="1FF8BF23"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tc>
        <w:tc>
          <w:tcPr>
            <w:tcW w:w="1899" w:type="dxa"/>
            <w:gridSpan w:val="2"/>
            <w:tcBorders>
              <w:top w:val="single" w:sz="4" w:space="0" w:color="000000"/>
              <w:left w:val="single" w:sz="4" w:space="0" w:color="000000"/>
              <w:bottom w:val="single" w:sz="4" w:space="0" w:color="000000"/>
              <w:right w:val="single" w:sz="4" w:space="0" w:color="000000"/>
            </w:tcBorders>
          </w:tcPr>
          <w:p w14:paraId="24C96FA4"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Za utvrđivanje procjene uticaja  će biti urađen finansijski uticaj Akcionog plana</w:t>
            </w:r>
          </w:p>
        </w:tc>
        <w:tc>
          <w:tcPr>
            <w:tcW w:w="1444" w:type="dxa"/>
            <w:gridSpan w:val="5"/>
            <w:tcBorders>
              <w:top w:val="single" w:sz="4" w:space="0" w:color="000000"/>
              <w:left w:val="single" w:sz="4" w:space="0" w:color="000000"/>
              <w:bottom w:val="single" w:sz="4" w:space="0" w:color="000000"/>
              <w:right w:val="single" w:sz="4" w:space="0" w:color="000000"/>
            </w:tcBorders>
          </w:tcPr>
          <w:p w14:paraId="5ECCBCD2"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MPLJMP,</w:t>
            </w:r>
          </w:p>
          <w:p w14:paraId="6F74A0BF"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 xml:space="preserve"> IPA, </w:t>
            </w:r>
          </w:p>
          <w:p w14:paraId="6847C522"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Međunarodne organizacije, ambasade</w:t>
            </w:r>
          </w:p>
          <w:p w14:paraId="24628C09"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Pr>
          <w:p w14:paraId="73A2F136"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Akcionim planom će biti definisane sve aktivnosti u skladu sa predmetnom Strategijom.</w:t>
            </w:r>
          </w:p>
        </w:tc>
      </w:tr>
      <w:tr w:rsidR="00153252" w:rsidRPr="00153252" w14:paraId="5ECFEA40" w14:textId="77777777" w:rsidTr="00E15B62">
        <w:trPr>
          <w:cantSplit/>
          <w:tblHeader/>
        </w:trPr>
        <w:tc>
          <w:tcPr>
            <w:tcW w:w="720" w:type="dxa"/>
            <w:tcBorders>
              <w:top w:val="single" w:sz="4" w:space="0" w:color="000000"/>
              <w:left w:val="single" w:sz="4" w:space="0" w:color="000000"/>
              <w:bottom w:val="single" w:sz="4" w:space="0" w:color="000000"/>
              <w:right w:val="single" w:sz="4" w:space="0" w:color="000000"/>
            </w:tcBorders>
          </w:tcPr>
          <w:p w14:paraId="75280B8E" w14:textId="77777777" w:rsidR="00153252" w:rsidRPr="00153252" w:rsidRDefault="008C27D0" w:rsidP="00153252">
            <w:pPr>
              <w:spacing w:before="20" w:after="20" w:line="240" w:lineRule="auto"/>
              <w:rPr>
                <w:rFonts w:ascii="Arial Narrow" w:eastAsia="Arial Narrow" w:hAnsi="Arial Narrow" w:cs="Arial Narrow"/>
                <w:sz w:val="20"/>
                <w:szCs w:val="20"/>
              </w:rPr>
            </w:pPr>
            <w:r>
              <w:rPr>
                <w:rFonts w:ascii="Arial Narrow" w:eastAsia="Arial Narrow" w:hAnsi="Arial Narrow" w:cs="Arial Narrow"/>
                <w:sz w:val="20"/>
                <w:szCs w:val="20"/>
              </w:rPr>
              <w:lastRenderedPageBreak/>
              <w:t>3.</w:t>
            </w:r>
          </w:p>
        </w:tc>
        <w:tc>
          <w:tcPr>
            <w:tcW w:w="2242" w:type="dxa"/>
            <w:gridSpan w:val="2"/>
            <w:tcBorders>
              <w:top w:val="single" w:sz="4" w:space="0" w:color="000000"/>
              <w:left w:val="single" w:sz="4" w:space="0" w:color="000000"/>
              <w:bottom w:val="single" w:sz="4" w:space="0" w:color="000000"/>
              <w:right w:val="single" w:sz="4" w:space="0" w:color="000000"/>
            </w:tcBorders>
          </w:tcPr>
          <w:p w14:paraId="1C50461E"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Izrada Šestog periodičnog izvještaj o primjeni Evropske povelje o regionalnim i manjinskim jezicima i Četvrtog periodičnog izvještaja o primjeni Okvirne konvencije za zaštitu nacionalnih manjina (MPLJMP)</w:t>
            </w:r>
          </w:p>
        </w:tc>
        <w:tc>
          <w:tcPr>
            <w:tcW w:w="2575" w:type="dxa"/>
            <w:gridSpan w:val="3"/>
            <w:tcBorders>
              <w:top w:val="single" w:sz="4" w:space="0" w:color="000000"/>
              <w:left w:val="single" w:sz="4" w:space="0" w:color="000000"/>
              <w:bottom w:val="single" w:sz="4" w:space="0" w:color="000000"/>
              <w:right w:val="single" w:sz="4" w:space="0" w:color="000000"/>
            </w:tcBorders>
          </w:tcPr>
          <w:p w14:paraId="4E9EA65E"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Usvojeni izvještaji  i dostavljeni  Generalnom sekretaru SE.</w:t>
            </w:r>
          </w:p>
        </w:tc>
        <w:tc>
          <w:tcPr>
            <w:tcW w:w="1806" w:type="dxa"/>
            <w:gridSpan w:val="5"/>
            <w:tcBorders>
              <w:top w:val="single" w:sz="4" w:space="0" w:color="000000"/>
              <w:left w:val="single" w:sz="4" w:space="0" w:color="000000"/>
              <w:bottom w:val="single" w:sz="4" w:space="0" w:color="000000"/>
              <w:right w:val="single" w:sz="4" w:space="0" w:color="000000"/>
            </w:tcBorders>
          </w:tcPr>
          <w:p w14:paraId="37614A34"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N.I. MPLJMP</w:t>
            </w:r>
          </w:p>
          <w:p w14:paraId="2A686F81"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p w14:paraId="038A6DB3"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Državne Institucije</w:t>
            </w:r>
          </w:p>
          <w:p w14:paraId="709F2A97"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Lokalne  samouprave</w:t>
            </w:r>
          </w:p>
          <w:p w14:paraId="2531D666"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Nacionalni savjeti</w:t>
            </w:r>
          </w:p>
          <w:p w14:paraId="03FABE22"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NVO</w:t>
            </w:r>
          </w:p>
          <w:p w14:paraId="455CBEDF"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p w14:paraId="12134469"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N.K. KPS</w:t>
            </w:r>
          </w:p>
        </w:tc>
        <w:tc>
          <w:tcPr>
            <w:tcW w:w="1819" w:type="dxa"/>
            <w:gridSpan w:val="3"/>
            <w:tcBorders>
              <w:top w:val="single" w:sz="4" w:space="0" w:color="000000"/>
              <w:left w:val="single" w:sz="4" w:space="0" w:color="000000"/>
              <w:bottom w:val="single" w:sz="4" w:space="0" w:color="000000"/>
              <w:right w:val="single" w:sz="4" w:space="0" w:color="000000"/>
            </w:tcBorders>
          </w:tcPr>
          <w:p w14:paraId="083429FE"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III Q 2021 - III Q 2022</w:t>
            </w:r>
          </w:p>
        </w:tc>
        <w:tc>
          <w:tcPr>
            <w:tcW w:w="1899" w:type="dxa"/>
            <w:gridSpan w:val="2"/>
            <w:tcBorders>
              <w:top w:val="single" w:sz="4" w:space="0" w:color="000000"/>
              <w:left w:val="single" w:sz="4" w:space="0" w:color="000000"/>
              <w:bottom w:val="single" w:sz="4" w:space="0" w:color="000000"/>
              <w:right w:val="single" w:sz="4" w:space="0" w:color="000000"/>
            </w:tcBorders>
          </w:tcPr>
          <w:p w14:paraId="543BB171"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 xml:space="preserve">2.000 eura za angažovanje konsultanta, </w:t>
            </w:r>
          </w:p>
          <w:p w14:paraId="1113106C"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1000 eura za potrebe održavanja sastanaka Radne grupe za izradu izvještaja</w:t>
            </w:r>
          </w:p>
        </w:tc>
        <w:tc>
          <w:tcPr>
            <w:tcW w:w="1444" w:type="dxa"/>
            <w:gridSpan w:val="5"/>
            <w:tcBorders>
              <w:top w:val="single" w:sz="4" w:space="0" w:color="000000"/>
              <w:left w:val="single" w:sz="4" w:space="0" w:color="000000"/>
              <w:bottom w:val="single" w:sz="4" w:space="0" w:color="000000"/>
              <w:right w:val="single" w:sz="4" w:space="0" w:color="000000"/>
            </w:tcBorders>
          </w:tcPr>
          <w:p w14:paraId="2369C6F1"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MPLJMP</w:t>
            </w:r>
          </w:p>
        </w:tc>
        <w:tc>
          <w:tcPr>
            <w:tcW w:w="2381" w:type="dxa"/>
            <w:tcBorders>
              <w:top w:val="single" w:sz="4" w:space="0" w:color="000000"/>
              <w:left w:val="single" w:sz="4" w:space="0" w:color="000000"/>
              <w:bottom w:val="single" w:sz="4" w:space="0" w:color="000000"/>
              <w:right w:val="single" w:sz="4" w:space="0" w:color="000000"/>
            </w:tcBorders>
          </w:tcPr>
          <w:p w14:paraId="2C01DEDF"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Države ugovornice Evropske povelje o regionalnim i manjinskim jezicima, koje su ujedno i ugovornice Okvirne konvencija za zaštitu nacionalnih manjina koje su iste ratifikovale, a među kojima je i Crna Gora, dužne su da svoje izvještaje o primjeni istih dostavljaju periodično, Generalnom sekretaru SE. Na osnovu izvještaja, Komitet ministara donosi zaključke o sprovođenju Konvencije i Povelje u zemljama ugovornicama i usvaja odgovarajuće preporuke.</w:t>
            </w:r>
          </w:p>
        </w:tc>
      </w:tr>
      <w:tr w:rsidR="00153252" w:rsidRPr="00153252" w14:paraId="63EFC852" w14:textId="77777777" w:rsidTr="00E15B62">
        <w:trPr>
          <w:cantSplit/>
          <w:tblHeader/>
        </w:trPr>
        <w:tc>
          <w:tcPr>
            <w:tcW w:w="720" w:type="dxa"/>
            <w:tcBorders>
              <w:top w:val="single" w:sz="4" w:space="0" w:color="000000"/>
              <w:left w:val="single" w:sz="4" w:space="0" w:color="000000"/>
              <w:bottom w:val="single" w:sz="4" w:space="0" w:color="000000"/>
              <w:right w:val="single" w:sz="4" w:space="0" w:color="000000"/>
            </w:tcBorders>
          </w:tcPr>
          <w:p w14:paraId="695A7FE6" w14:textId="77777777" w:rsidR="00153252" w:rsidRPr="00153252" w:rsidRDefault="008C27D0" w:rsidP="00153252">
            <w:pPr>
              <w:spacing w:before="20" w:after="20" w:line="240" w:lineRule="auto"/>
              <w:rPr>
                <w:rFonts w:ascii="Arial Narrow" w:eastAsia="Arial Narrow" w:hAnsi="Arial Narrow" w:cs="Arial Narrow"/>
                <w:sz w:val="20"/>
                <w:szCs w:val="20"/>
              </w:rPr>
            </w:pPr>
            <w:r>
              <w:rPr>
                <w:rFonts w:ascii="Arial Narrow" w:eastAsia="Arial Narrow" w:hAnsi="Arial Narrow" w:cs="Arial Narrow"/>
                <w:sz w:val="20"/>
                <w:szCs w:val="20"/>
              </w:rPr>
              <w:t>4.</w:t>
            </w:r>
          </w:p>
        </w:tc>
        <w:tc>
          <w:tcPr>
            <w:tcW w:w="2242" w:type="dxa"/>
            <w:gridSpan w:val="2"/>
            <w:tcBorders>
              <w:top w:val="single" w:sz="4" w:space="0" w:color="000000"/>
              <w:left w:val="single" w:sz="4" w:space="0" w:color="000000"/>
              <w:bottom w:val="single" w:sz="4" w:space="0" w:color="000000"/>
              <w:right w:val="single" w:sz="4" w:space="0" w:color="000000"/>
            </w:tcBorders>
          </w:tcPr>
          <w:p w14:paraId="4FE994E9"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Izrada Izvještaja o realizaciji AP za sprovođenje Strategije socijalne inkluzije Roma i Egipćana 2021-2025 za 2021. godinu</w:t>
            </w:r>
          </w:p>
        </w:tc>
        <w:tc>
          <w:tcPr>
            <w:tcW w:w="2575" w:type="dxa"/>
            <w:gridSpan w:val="3"/>
            <w:tcBorders>
              <w:top w:val="single" w:sz="4" w:space="0" w:color="000000"/>
              <w:left w:val="single" w:sz="4" w:space="0" w:color="000000"/>
              <w:bottom w:val="single" w:sz="4" w:space="0" w:color="000000"/>
              <w:right w:val="single" w:sz="4" w:space="0" w:color="000000"/>
            </w:tcBorders>
          </w:tcPr>
          <w:p w14:paraId="4F02A03C"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Usvojen Izvještaj za 2021. godinu.</w:t>
            </w:r>
          </w:p>
        </w:tc>
        <w:tc>
          <w:tcPr>
            <w:tcW w:w="1806" w:type="dxa"/>
            <w:gridSpan w:val="5"/>
            <w:tcBorders>
              <w:top w:val="single" w:sz="4" w:space="0" w:color="000000"/>
              <w:left w:val="single" w:sz="4" w:space="0" w:color="000000"/>
              <w:bottom w:val="single" w:sz="4" w:space="0" w:color="000000"/>
              <w:right w:val="single" w:sz="4" w:space="0" w:color="000000"/>
            </w:tcBorders>
          </w:tcPr>
          <w:p w14:paraId="32CA05B9"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NI: MPLjMP</w:t>
            </w:r>
          </w:p>
          <w:p w14:paraId="0B4A6194"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p w14:paraId="3F8E164D"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NK: KPS</w:t>
            </w:r>
          </w:p>
        </w:tc>
        <w:tc>
          <w:tcPr>
            <w:tcW w:w="1819" w:type="dxa"/>
            <w:gridSpan w:val="3"/>
            <w:tcBorders>
              <w:top w:val="single" w:sz="4" w:space="0" w:color="000000"/>
              <w:left w:val="single" w:sz="4" w:space="0" w:color="000000"/>
              <w:bottom w:val="single" w:sz="4" w:space="0" w:color="000000"/>
              <w:right w:val="single" w:sz="4" w:space="0" w:color="000000"/>
            </w:tcBorders>
          </w:tcPr>
          <w:p w14:paraId="48FA4FE7"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 Q 2022</w:t>
            </w:r>
          </w:p>
        </w:tc>
        <w:tc>
          <w:tcPr>
            <w:tcW w:w="1899" w:type="dxa"/>
            <w:gridSpan w:val="2"/>
            <w:tcBorders>
              <w:top w:val="single" w:sz="4" w:space="0" w:color="000000"/>
              <w:left w:val="single" w:sz="4" w:space="0" w:color="000000"/>
              <w:bottom w:val="single" w:sz="4" w:space="0" w:color="000000"/>
              <w:right w:val="single" w:sz="4" w:space="0" w:color="000000"/>
            </w:tcBorders>
          </w:tcPr>
          <w:p w14:paraId="45D83925"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w:t>
            </w:r>
          </w:p>
        </w:tc>
        <w:tc>
          <w:tcPr>
            <w:tcW w:w="1444" w:type="dxa"/>
            <w:gridSpan w:val="5"/>
            <w:tcBorders>
              <w:top w:val="single" w:sz="4" w:space="0" w:color="000000"/>
              <w:left w:val="single" w:sz="4" w:space="0" w:color="000000"/>
              <w:bottom w:val="single" w:sz="4" w:space="0" w:color="000000"/>
              <w:right w:val="single" w:sz="4" w:space="0" w:color="000000"/>
            </w:tcBorders>
          </w:tcPr>
          <w:p w14:paraId="13150D52"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MPLJMP</w:t>
            </w:r>
          </w:p>
        </w:tc>
        <w:tc>
          <w:tcPr>
            <w:tcW w:w="2381" w:type="dxa"/>
            <w:tcBorders>
              <w:top w:val="single" w:sz="4" w:space="0" w:color="000000"/>
              <w:left w:val="single" w:sz="4" w:space="0" w:color="000000"/>
              <w:bottom w:val="single" w:sz="4" w:space="0" w:color="000000"/>
              <w:right w:val="single" w:sz="4" w:space="0" w:color="000000"/>
            </w:tcBorders>
          </w:tcPr>
          <w:p w14:paraId="29ACC434"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Izvještaj će pokazati stepen realizacije AP za sprovođenje Strategije socijalne inkluzije Roma i Egipćana 2021-2025 za 2021. godinu</w:t>
            </w:r>
          </w:p>
        </w:tc>
      </w:tr>
      <w:tr w:rsidR="00153252" w:rsidRPr="00153252" w14:paraId="14B263D1" w14:textId="77777777" w:rsidTr="00E15B62">
        <w:trPr>
          <w:cantSplit/>
          <w:tblHeader/>
        </w:trPr>
        <w:tc>
          <w:tcPr>
            <w:tcW w:w="720" w:type="dxa"/>
            <w:tcBorders>
              <w:top w:val="single" w:sz="4" w:space="0" w:color="000000"/>
              <w:left w:val="single" w:sz="4" w:space="0" w:color="000000"/>
              <w:bottom w:val="single" w:sz="4" w:space="0" w:color="000000"/>
              <w:right w:val="single" w:sz="4" w:space="0" w:color="000000"/>
            </w:tcBorders>
          </w:tcPr>
          <w:p w14:paraId="00E4CBEF" w14:textId="77777777" w:rsidR="00153252" w:rsidRPr="00153252" w:rsidRDefault="008C27D0" w:rsidP="00153252">
            <w:pPr>
              <w:spacing w:before="20" w:after="20" w:line="240" w:lineRule="auto"/>
              <w:rPr>
                <w:rFonts w:ascii="Arial Narrow" w:eastAsia="Arial Narrow" w:hAnsi="Arial Narrow" w:cs="Arial Narrow"/>
                <w:sz w:val="20"/>
                <w:szCs w:val="20"/>
              </w:rPr>
            </w:pPr>
            <w:r>
              <w:rPr>
                <w:rFonts w:ascii="Arial Narrow" w:eastAsia="Arial Narrow" w:hAnsi="Arial Narrow" w:cs="Arial Narrow"/>
                <w:sz w:val="20"/>
                <w:szCs w:val="20"/>
              </w:rPr>
              <w:t>5.</w:t>
            </w:r>
          </w:p>
        </w:tc>
        <w:tc>
          <w:tcPr>
            <w:tcW w:w="2242" w:type="dxa"/>
            <w:gridSpan w:val="2"/>
            <w:tcBorders>
              <w:top w:val="single" w:sz="4" w:space="0" w:color="000000"/>
              <w:left w:val="single" w:sz="4" w:space="0" w:color="000000"/>
              <w:bottom w:val="single" w:sz="4" w:space="0" w:color="000000"/>
              <w:right w:val="single" w:sz="4" w:space="0" w:color="000000"/>
            </w:tcBorders>
          </w:tcPr>
          <w:p w14:paraId="647030A4"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Usvojiti AP za sprovođenje Strategije socijalne inkluzije Roma i Egipćana u Crnoj Gori 2021-2025 za period 2022-2023</w:t>
            </w:r>
          </w:p>
        </w:tc>
        <w:tc>
          <w:tcPr>
            <w:tcW w:w="2575" w:type="dxa"/>
            <w:gridSpan w:val="3"/>
            <w:tcBorders>
              <w:top w:val="single" w:sz="4" w:space="0" w:color="000000"/>
              <w:left w:val="single" w:sz="4" w:space="0" w:color="000000"/>
              <w:bottom w:val="single" w:sz="4" w:space="0" w:color="000000"/>
              <w:right w:val="single" w:sz="4" w:space="0" w:color="000000"/>
            </w:tcBorders>
          </w:tcPr>
          <w:p w14:paraId="3F06F2D9"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Usvojen AP za 2022-2023</w:t>
            </w:r>
          </w:p>
        </w:tc>
        <w:tc>
          <w:tcPr>
            <w:tcW w:w="1806" w:type="dxa"/>
            <w:gridSpan w:val="5"/>
            <w:tcBorders>
              <w:top w:val="single" w:sz="4" w:space="0" w:color="000000"/>
              <w:left w:val="single" w:sz="4" w:space="0" w:color="000000"/>
              <w:bottom w:val="single" w:sz="4" w:space="0" w:color="000000"/>
              <w:right w:val="single" w:sz="4" w:space="0" w:color="000000"/>
            </w:tcBorders>
          </w:tcPr>
          <w:p w14:paraId="089F4A06"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 xml:space="preserve">NI: MPLjMP, </w:t>
            </w:r>
          </w:p>
          <w:p w14:paraId="61E77DD4"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p w14:paraId="08D309F5"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NK: KPS,</w:t>
            </w:r>
          </w:p>
        </w:tc>
        <w:tc>
          <w:tcPr>
            <w:tcW w:w="1819" w:type="dxa"/>
            <w:gridSpan w:val="3"/>
            <w:tcBorders>
              <w:top w:val="single" w:sz="4" w:space="0" w:color="000000"/>
              <w:left w:val="single" w:sz="4" w:space="0" w:color="000000"/>
              <w:bottom w:val="single" w:sz="4" w:space="0" w:color="000000"/>
              <w:right w:val="single" w:sz="4" w:space="0" w:color="000000"/>
            </w:tcBorders>
          </w:tcPr>
          <w:p w14:paraId="2331AA9D"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 Q 2022</w:t>
            </w:r>
          </w:p>
        </w:tc>
        <w:tc>
          <w:tcPr>
            <w:tcW w:w="1899" w:type="dxa"/>
            <w:gridSpan w:val="2"/>
            <w:tcBorders>
              <w:top w:val="single" w:sz="4" w:space="0" w:color="000000"/>
              <w:left w:val="single" w:sz="4" w:space="0" w:color="000000"/>
              <w:bottom w:val="single" w:sz="4" w:space="0" w:color="000000"/>
              <w:right w:val="single" w:sz="4" w:space="0" w:color="000000"/>
            </w:tcBorders>
          </w:tcPr>
          <w:p w14:paraId="436AFBC3"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Za utvrđivanje procjene  uticaja propisa, biće urađena RIA</w:t>
            </w:r>
          </w:p>
        </w:tc>
        <w:tc>
          <w:tcPr>
            <w:tcW w:w="1444" w:type="dxa"/>
            <w:gridSpan w:val="5"/>
            <w:tcBorders>
              <w:top w:val="single" w:sz="4" w:space="0" w:color="000000"/>
              <w:left w:val="single" w:sz="4" w:space="0" w:color="000000"/>
              <w:bottom w:val="single" w:sz="4" w:space="0" w:color="000000"/>
              <w:right w:val="single" w:sz="4" w:space="0" w:color="000000"/>
            </w:tcBorders>
          </w:tcPr>
          <w:p w14:paraId="7A49408D"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MPLJMP</w:t>
            </w:r>
          </w:p>
        </w:tc>
        <w:tc>
          <w:tcPr>
            <w:tcW w:w="2381" w:type="dxa"/>
            <w:tcBorders>
              <w:top w:val="single" w:sz="4" w:space="0" w:color="000000"/>
              <w:left w:val="single" w:sz="4" w:space="0" w:color="000000"/>
              <w:bottom w:val="single" w:sz="4" w:space="0" w:color="000000"/>
              <w:right w:val="single" w:sz="4" w:space="0" w:color="000000"/>
            </w:tcBorders>
          </w:tcPr>
          <w:p w14:paraId="673E63D2"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Ispunjavanje ciljeva „Strategije socijalne inkluzije Roma i Egipćana 2021 – 2025.“</w:t>
            </w:r>
          </w:p>
          <w:p w14:paraId="5F886034"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Ispunjavanje ciljeva potpisane  „Deklaracije partnera Zapadnog Balkana o</w:t>
            </w:r>
          </w:p>
          <w:p w14:paraId="0DDFA0D5"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integraciji Roma/kinja u</w:t>
            </w:r>
          </w:p>
          <w:p w14:paraId="5729BB1B"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sklopu procesa proširenja</w:t>
            </w:r>
          </w:p>
          <w:p w14:paraId="76FBEFB2"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Evropske unije“</w:t>
            </w:r>
          </w:p>
          <w:p w14:paraId="3A27674A"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Ispunjavanje ciljva za Pregovaračko Poglavlje 19 i 23. i pristupanje naše zemlje u EU.</w:t>
            </w:r>
          </w:p>
        </w:tc>
      </w:tr>
      <w:tr w:rsidR="00153252" w:rsidRPr="00153252" w14:paraId="3E7099D2" w14:textId="77777777" w:rsidTr="00E15B62">
        <w:trPr>
          <w:cantSplit/>
          <w:tblHeader/>
        </w:trPr>
        <w:tc>
          <w:tcPr>
            <w:tcW w:w="720" w:type="dxa"/>
            <w:tcBorders>
              <w:top w:val="single" w:sz="4" w:space="0" w:color="000000"/>
              <w:left w:val="single" w:sz="4" w:space="0" w:color="000000"/>
              <w:bottom w:val="single" w:sz="4" w:space="0" w:color="000000"/>
              <w:right w:val="single" w:sz="4" w:space="0" w:color="000000"/>
            </w:tcBorders>
          </w:tcPr>
          <w:p w14:paraId="1AAC0BEA" w14:textId="77777777" w:rsidR="00153252" w:rsidRPr="00153252" w:rsidRDefault="008C27D0" w:rsidP="00153252">
            <w:pPr>
              <w:spacing w:before="20" w:after="20" w:line="240" w:lineRule="auto"/>
              <w:rPr>
                <w:rFonts w:ascii="Arial Narrow" w:eastAsia="Arial Narrow" w:hAnsi="Arial Narrow" w:cs="Arial Narrow"/>
                <w:sz w:val="20"/>
                <w:szCs w:val="20"/>
              </w:rPr>
            </w:pPr>
            <w:r>
              <w:rPr>
                <w:rFonts w:ascii="Arial Narrow" w:eastAsia="Arial Narrow" w:hAnsi="Arial Narrow" w:cs="Arial Narrow"/>
                <w:sz w:val="20"/>
                <w:szCs w:val="20"/>
              </w:rPr>
              <w:lastRenderedPageBreak/>
              <w:t>6.</w:t>
            </w:r>
          </w:p>
        </w:tc>
        <w:tc>
          <w:tcPr>
            <w:tcW w:w="2242" w:type="dxa"/>
            <w:gridSpan w:val="2"/>
            <w:tcBorders>
              <w:top w:val="single" w:sz="4" w:space="0" w:color="000000"/>
              <w:left w:val="single" w:sz="4" w:space="0" w:color="000000"/>
              <w:bottom w:val="single" w:sz="4" w:space="0" w:color="000000"/>
              <w:right w:val="single" w:sz="4" w:space="0" w:color="000000"/>
            </w:tcBorders>
          </w:tcPr>
          <w:p w14:paraId="5551D252"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Usvajanje objedinjenog godišnjeg Izvještaja o radu Mješovitih komisija za sprovođenje Ugovora o uređenju odnosa od zajedničkog interesa  između  Vlade Crne Gore i Islamske zajednice u Crnoj Gori, i Jevrejske zajednice u Crnoj Gori.</w:t>
            </w:r>
          </w:p>
        </w:tc>
        <w:tc>
          <w:tcPr>
            <w:tcW w:w="2575" w:type="dxa"/>
            <w:gridSpan w:val="3"/>
            <w:tcBorders>
              <w:top w:val="single" w:sz="4" w:space="0" w:color="000000"/>
              <w:left w:val="single" w:sz="4" w:space="0" w:color="000000"/>
              <w:bottom w:val="single" w:sz="4" w:space="0" w:color="000000"/>
              <w:right w:val="single" w:sz="4" w:space="0" w:color="000000"/>
            </w:tcBorders>
          </w:tcPr>
          <w:p w14:paraId="3EFE641D"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Usvojen Izvještaj</w:t>
            </w:r>
          </w:p>
        </w:tc>
        <w:tc>
          <w:tcPr>
            <w:tcW w:w="1806" w:type="dxa"/>
            <w:gridSpan w:val="5"/>
            <w:tcBorders>
              <w:top w:val="single" w:sz="4" w:space="0" w:color="000000"/>
              <w:left w:val="single" w:sz="4" w:space="0" w:color="000000"/>
              <w:bottom w:val="single" w:sz="4" w:space="0" w:color="000000"/>
              <w:right w:val="single" w:sz="4" w:space="0" w:color="000000"/>
            </w:tcBorders>
          </w:tcPr>
          <w:p w14:paraId="40537B96"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NI: MPLjMP</w:t>
            </w:r>
          </w:p>
          <w:p w14:paraId="5DB8F52B"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p w14:paraId="1BA25DFF"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NK: KPS</w:t>
            </w:r>
          </w:p>
        </w:tc>
        <w:tc>
          <w:tcPr>
            <w:tcW w:w="1819" w:type="dxa"/>
            <w:gridSpan w:val="3"/>
            <w:tcBorders>
              <w:top w:val="single" w:sz="4" w:space="0" w:color="000000"/>
              <w:left w:val="single" w:sz="4" w:space="0" w:color="000000"/>
              <w:bottom w:val="single" w:sz="4" w:space="0" w:color="000000"/>
              <w:right w:val="single" w:sz="4" w:space="0" w:color="000000"/>
            </w:tcBorders>
          </w:tcPr>
          <w:p w14:paraId="3EFCBE47"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 Q 2022</w:t>
            </w:r>
          </w:p>
        </w:tc>
        <w:tc>
          <w:tcPr>
            <w:tcW w:w="1899" w:type="dxa"/>
            <w:gridSpan w:val="2"/>
            <w:tcBorders>
              <w:top w:val="single" w:sz="4" w:space="0" w:color="000000"/>
              <w:left w:val="single" w:sz="4" w:space="0" w:color="000000"/>
              <w:bottom w:val="single" w:sz="4" w:space="0" w:color="000000"/>
              <w:right w:val="single" w:sz="4" w:space="0" w:color="000000"/>
            </w:tcBorders>
          </w:tcPr>
          <w:p w14:paraId="011C7DF1"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w:t>
            </w:r>
          </w:p>
        </w:tc>
        <w:tc>
          <w:tcPr>
            <w:tcW w:w="1444" w:type="dxa"/>
            <w:gridSpan w:val="5"/>
            <w:tcBorders>
              <w:top w:val="single" w:sz="4" w:space="0" w:color="000000"/>
              <w:left w:val="single" w:sz="4" w:space="0" w:color="000000"/>
              <w:bottom w:val="single" w:sz="4" w:space="0" w:color="000000"/>
              <w:right w:val="single" w:sz="4" w:space="0" w:color="000000"/>
            </w:tcBorders>
          </w:tcPr>
          <w:p w14:paraId="3D18395A"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MPLJMP</w:t>
            </w:r>
          </w:p>
        </w:tc>
        <w:tc>
          <w:tcPr>
            <w:tcW w:w="2381" w:type="dxa"/>
            <w:tcBorders>
              <w:top w:val="single" w:sz="4" w:space="0" w:color="000000"/>
              <w:left w:val="single" w:sz="4" w:space="0" w:color="000000"/>
              <w:bottom w:val="single" w:sz="4" w:space="0" w:color="000000"/>
              <w:right w:val="single" w:sz="4" w:space="0" w:color="000000"/>
            </w:tcBorders>
          </w:tcPr>
          <w:p w14:paraId="655D1161"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Ova aktivnost ima za cilj kontinuiranu saradnju Vlade Crne Gore sa vjerskim zajednicama</w:t>
            </w:r>
          </w:p>
        </w:tc>
      </w:tr>
      <w:tr w:rsidR="00153252" w:rsidRPr="00153252" w14:paraId="0F31D35D" w14:textId="77777777" w:rsidTr="00E15B62">
        <w:trPr>
          <w:cantSplit/>
          <w:tblHeader/>
        </w:trPr>
        <w:tc>
          <w:tcPr>
            <w:tcW w:w="720" w:type="dxa"/>
            <w:tcBorders>
              <w:top w:val="single" w:sz="4" w:space="0" w:color="000000"/>
              <w:left w:val="single" w:sz="4" w:space="0" w:color="000000"/>
              <w:bottom w:val="single" w:sz="4" w:space="0" w:color="000000"/>
              <w:right w:val="single" w:sz="4" w:space="0" w:color="000000"/>
            </w:tcBorders>
          </w:tcPr>
          <w:p w14:paraId="00C9D021" w14:textId="77777777" w:rsidR="00153252" w:rsidRPr="00153252" w:rsidRDefault="008C27D0" w:rsidP="00153252">
            <w:pPr>
              <w:spacing w:before="20" w:after="20" w:line="240" w:lineRule="auto"/>
              <w:rPr>
                <w:rFonts w:ascii="Arial Narrow" w:eastAsia="Arial Narrow" w:hAnsi="Arial Narrow" w:cs="Arial Narrow"/>
                <w:sz w:val="20"/>
                <w:szCs w:val="20"/>
              </w:rPr>
            </w:pPr>
            <w:r>
              <w:rPr>
                <w:rFonts w:ascii="Arial Narrow" w:eastAsia="Arial Narrow" w:hAnsi="Arial Narrow" w:cs="Arial Narrow"/>
                <w:sz w:val="20"/>
                <w:szCs w:val="20"/>
              </w:rPr>
              <w:t>7.</w:t>
            </w:r>
          </w:p>
        </w:tc>
        <w:tc>
          <w:tcPr>
            <w:tcW w:w="2242" w:type="dxa"/>
            <w:gridSpan w:val="2"/>
            <w:tcBorders>
              <w:top w:val="single" w:sz="4" w:space="0" w:color="000000"/>
              <w:left w:val="single" w:sz="4" w:space="0" w:color="000000"/>
              <w:bottom w:val="single" w:sz="4" w:space="0" w:color="000000"/>
              <w:right w:val="single" w:sz="4" w:space="0" w:color="000000"/>
            </w:tcBorders>
          </w:tcPr>
          <w:p w14:paraId="5942365D"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Usvojiti Izvještaj o sprovođenju NSRR sa AP za 2021. godinu</w:t>
            </w:r>
          </w:p>
        </w:tc>
        <w:tc>
          <w:tcPr>
            <w:tcW w:w="2575" w:type="dxa"/>
            <w:gridSpan w:val="3"/>
            <w:tcBorders>
              <w:top w:val="single" w:sz="4" w:space="0" w:color="000000"/>
              <w:left w:val="single" w:sz="4" w:space="0" w:color="000000"/>
              <w:bottom w:val="single" w:sz="4" w:space="0" w:color="000000"/>
              <w:right w:val="single" w:sz="4" w:space="0" w:color="000000"/>
            </w:tcBorders>
          </w:tcPr>
          <w:p w14:paraId="5C2C665A"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Usvojen izvještaj.</w:t>
            </w:r>
          </w:p>
        </w:tc>
        <w:tc>
          <w:tcPr>
            <w:tcW w:w="1806" w:type="dxa"/>
            <w:gridSpan w:val="5"/>
            <w:tcBorders>
              <w:top w:val="single" w:sz="4" w:space="0" w:color="000000"/>
              <w:left w:val="single" w:sz="4" w:space="0" w:color="000000"/>
              <w:bottom w:val="single" w:sz="4" w:space="0" w:color="000000"/>
              <w:right w:val="single" w:sz="4" w:space="0" w:color="000000"/>
            </w:tcBorders>
          </w:tcPr>
          <w:p w14:paraId="2E5F6476"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N.I MPLJMP i ostale nadležne institucije, N.S KPS</w:t>
            </w:r>
          </w:p>
        </w:tc>
        <w:tc>
          <w:tcPr>
            <w:tcW w:w="1819" w:type="dxa"/>
            <w:gridSpan w:val="3"/>
            <w:tcBorders>
              <w:top w:val="single" w:sz="4" w:space="0" w:color="000000"/>
              <w:left w:val="single" w:sz="4" w:space="0" w:color="000000"/>
              <w:bottom w:val="single" w:sz="4" w:space="0" w:color="000000"/>
              <w:right w:val="single" w:sz="4" w:space="0" w:color="000000"/>
            </w:tcBorders>
          </w:tcPr>
          <w:p w14:paraId="1C9DCD93"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 Q 2022</w:t>
            </w:r>
          </w:p>
        </w:tc>
        <w:tc>
          <w:tcPr>
            <w:tcW w:w="1899" w:type="dxa"/>
            <w:gridSpan w:val="2"/>
            <w:tcBorders>
              <w:top w:val="single" w:sz="4" w:space="0" w:color="000000"/>
              <w:left w:val="single" w:sz="4" w:space="0" w:color="000000"/>
              <w:bottom w:val="single" w:sz="4" w:space="0" w:color="000000"/>
              <w:right w:val="single" w:sz="4" w:space="0" w:color="000000"/>
            </w:tcBorders>
          </w:tcPr>
          <w:p w14:paraId="6CE4378C"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w:t>
            </w:r>
          </w:p>
        </w:tc>
        <w:tc>
          <w:tcPr>
            <w:tcW w:w="1444" w:type="dxa"/>
            <w:gridSpan w:val="5"/>
            <w:tcBorders>
              <w:top w:val="single" w:sz="4" w:space="0" w:color="000000"/>
              <w:left w:val="single" w:sz="4" w:space="0" w:color="000000"/>
              <w:bottom w:val="single" w:sz="4" w:space="0" w:color="000000"/>
              <w:right w:val="single" w:sz="4" w:space="0" w:color="000000"/>
            </w:tcBorders>
          </w:tcPr>
          <w:p w14:paraId="0A33EA14"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MPLJMP</w:t>
            </w:r>
          </w:p>
          <w:p w14:paraId="04A7AA41"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Donatorska sredstva</w:t>
            </w:r>
          </w:p>
        </w:tc>
        <w:tc>
          <w:tcPr>
            <w:tcW w:w="2381" w:type="dxa"/>
            <w:tcBorders>
              <w:top w:val="single" w:sz="4" w:space="0" w:color="000000"/>
              <w:left w:val="single" w:sz="4" w:space="0" w:color="000000"/>
              <w:bottom w:val="single" w:sz="4" w:space="0" w:color="000000"/>
              <w:right w:val="single" w:sz="4" w:space="0" w:color="000000"/>
            </w:tcBorders>
          </w:tcPr>
          <w:p w14:paraId="2F3B40CD"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Izvještaj će pokazati stepen realizacije AP 2021-2022 NSRR 2021-2025.</w:t>
            </w:r>
          </w:p>
        </w:tc>
      </w:tr>
      <w:tr w:rsidR="00153252" w:rsidRPr="00153252" w14:paraId="76E31B5A" w14:textId="77777777" w:rsidTr="00E15B62">
        <w:trPr>
          <w:cantSplit/>
          <w:tblHeader/>
        </w:trPr>
        <w:tc>
          <w:tcPr>
            <w:tcW w:w="720" w:type="dxa"/>
            <w:tcBorders>
              <w:top w:val="single" w:sz="4" w:space="0" w:color="000000"/>
              <w:left w:val="single" w:sz="4" w:space="0" w:color="000000"/>
              <w:bottom w:val="single" w:sz="4" w:space="0" w:color="000000"/>
              <w:right w:val="single" w:sz="4" w:space="0" w:color="000000"/>
            </w:tcBorders>
          </w:tcPr>
          <w:p w14:paraId="058656ED" w14:textId="77777777" w:rsidR="00153252" w:rsidRPr="00153252" w:rsidRDefault="008C27D0" w:rsidP="00153252">
            <w:pPr>
              <w:spacing w:before="20" w:after="20" w:line="240" w:lineRule="auto"/>
              <w:rPr>
                <w:rFonts w:ascii="Arial Narrow" w:eastAsia="Arial Narrow" w:hAnsi="Arial Narrow" w:cs="Arial Narrow"/>
                <w:sz w:val="20"/>
                <w:szCs w:val="20"/>
              </w:rPr>
            </w:pPr>
            <w:r>
              <w:rPr>
                <w:rFonts w:ascii="Arial Narrow" w:eastAsia="Arial Narrow" w:hAnsi="Arial Narrow" w:cs="Arial Narrow"/>
                <w:sz w:val="20"/>
                <w:szCs w:val="20"/>
              </w:rPr>
              <w:t>8.</w:t>
            </w:r>
          </w:p>
        </w:tc>
        <w:tc>
          <w:tcPr>
            <w:tcW w:w="2242" w:type="dxa"/>
            <w:gridSpan w:val="2"/>
            <w:tcBorders>
              <w:top w:val="single" w:sz="4" w:space="0" w:color="000000"/>
              <w:left w:val="single" w:sz="4" w:space="0" w:color="000000"/>
              <w:bottom w:val="single" w:sz="4" w:space="0" w:color="000000"/>
              <w:right w:val="single" w:sz="4" w:space="0" w:color="000000"/>
            </w:tcBorders>
          </w:tcPr>
          <w:p w14:paraId="0DC18829"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Usvojiti Finalni izvještaj o implementaciji Strategije za zaštitu lica sa invaliditetom od diskriminacije i promociju jednakosti 2017-2021.</w:t>
            </w:r>
          </w:p>
        </w:tc>
        <w:tc>
          <w:tcPr>
            <w:tcW w:w="2575" w:type="dxa"/>
            <w:gridSpan w:val="3"/>
            <w:tcBorders>
              <w:top w:val="single" w:sz="4" w:space="0" w:color="000000"/>
              <w:left w:val="single" w:sz="4" w:space="0" w:color="000000"/>
              <w:bottom w:val="single" w:sz="4" w:space="0" w:color="000000"/>
              <w:right w:val="single" w:sz="4" w:space="0" w:color="000000"/>
            </w:tcBorders>
          </w:tcPr>
          <w:p w14:paraId="54913A00"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Usvojen Finalni izvještaj</w:t>
            </w:r>
          </w:p>
        </w:tc>
        <w:tc>
          <w:tcPr>
            <w:tcW w:w="1806" w:type="dxa"/>
            <w:gridSpan w:val="5"/>
            <w:tcBorders>
              <w:top w:val="single" w:sz="4" w:space="0" w:color="000000"/>
              <w:left w:val="single" w:sz="4" w:space="0" w:color="000000"/>
              <w:bottom w:val="single" w:sz="4" w:space="0" w:color="000000"/>
              <w:right w:val="single" w:sz="4" w:space="0" w:color="000000"/>
            </w:tcBorders>
          </w:tcPr>
          <w:p w14:paraId="626AF92D"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N.I MPLJMP</w:t>
            </w:r>
          </w:p>
          <w:p w14:paraId="3CE611C2"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N.S KPS</w:t>
            </w:r>
          </w:p>
        </w:tc>
        <w:tc>
          <w:tcPr>
            <w:tcW w:w="1819" w:type="dxa"/>
            <w:gridSpan w:val="3"/>
            <w:tcBorders>
              <w:top w:val="single" w:sz="4" w:space="0" w:color="000000"/>
              <w:left w:val="single" w:sz="4" w:space="0" w:color="000000"/>
              <w:bottom w:val="single" w:sz="4" w:space="0" w:color="000000"/>
              <w:right w:val="single" w:sz="4" w:space="0" w:color="000000"/>
            </w:tcBorders>
          </w:tcPr>
          <w:p w14:paraId="61441438"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 Q 2022</w:t>
            </w:r>
          </w:p>
        </w:tc>
        <w:tc>
          <w:tcPr>
            <w:tcW w:w="1899" w:type="dxa"/>
            <w:gridSpan w:val="2"/>
            <w:tcBorders>
              <w:top w:val="single" w:sz="4" w:space="0" w:color="000000"/>
              <w:left w:val="single" w:sz="4" w:space="0" w:color="000000"/>
              <w:bottom w:val="single" w:sz="4" w:space="0" w:color="000000"/>
              <w:right w:val="single" w:sz="4" w:space="0" w:color="000000"/>
            </w:tcBorders>
          </w:tcPr>
          <w:p w14:paraId="0BC892E5"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w:t>
            </w:r>
          </w:p>
        </w:tc>
        <w:tc>
          <w:tcPr>
            <w:tcW w:w="1444" w:type="dxa"/>
            <w:gridSpan w:val="5"/>
            <w:tcBorders>
              <w:top w:val="single" w:sz="4" w:space="0" w:color="000000"/>
              <w:left w:val="single" w:sz="4" w:space="0" w:color="000000"/>
              <w:bottom w:val="single" w:sz="4" w:space="0" w:color="000000"/>
              <w:right w:val="single" w:sz="4" w:space="0" w:color="000000"/>
            </w:tcBorders>
          </w:tcPr>
          <w:p w14:paraId="28B819E8"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MPLJMP</w:t>
            </w:r>
          </w:p>
          <w:p w14:paraId="39C6B465"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Donatorska sredstva</w:t>
            </w:r>
          </w:p>
        </w:tc>
        <w:tc>
          <w:tcPr>
            <w:tcW w:w="2381" w:type="dxa"/>
            <w:tcBorders>
              <w:top w:val="single" w:sz="4" w:space="0" w:color="000000"/>
              <w:left w:val="single" w:sz="4" w:space="0" w:color="000000"/>
              <w:bottom w:val="single" w:sz="4" w:space="0" w:color="000000"/>
              <w:right w:val="single" w:sz="4" w:space="0" w:color="000000"/>
            </w:tcBorders>
          </w:tcPr>
          <w:p w14:paraId="17035BBD"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Izvještaj će pokazati stepen realizacije aktivnosti predmetne Strategije.</w:t>
            </w:r>
          </w:p>
        </w:tc>
      </w:tr>
      <w:tr w:rsidR="00153252" w:rsidRPr="00153252" w14:paraId="66FC9178" w14:textId="77777777" w:rsidTr="00E15B62">
        <w:trPr>
          <w:cantSplit/>
          <w:tblHeader/>
        </w:trPr>
        <w:tc>
          <w:tcPr>
            <w:tcW w:w="720" w:type="dxa"/>
            <w:tcBorders>
              <w:top w:val="single" w:sz="4" w:space="0" w:color="000000"/>
              <w:left w:val="single" w:sz="4" w:space="0" w:color="000000"/>
              <w:bottom w:val="single" w:sz="4" w:space="0" w:color="000000"/>
              <w:right w:val="single" w:sz="4" w:space="0" w:color="000000"/>
            </w:tcBorders>
          </w:tcPr>
          <w:p w14:paraId="019D46A8" w14:textId="77777777" w:rsidR="00153252" w:rsidRPr="00153252" w:rsidRDefault="008C27D0" w:rsidP="00153252">
            <w:pPr>
              <w:spacing w:before="20" w:after="20" w:line="240" w:lineRule="auto"/>
              <w:rPr>
                <w:rFonts w:ascii="Arial Narrow" w:eastAsia="Arial Narrow" w:hAnsi="Arial Narrow" w:cs="Arial Narrow"/>
                <w:sz w:val="20"/>
                <w:szCs w:val="20"/>
              </w:rPr>
            </w:pPr>
            <w:r>
              <w:rPr>
                <w:rFonts w:ascii="Arial Narrow" w:eastAsia="Arial Narrow" w:hAnsi="Arial Narrow" w:cs="Arial Narrow"/>
                <w:sz w:val="20"/>
                <w:szCs w:val="20"/>
              </w:rPr>
              <w:t>9.</w:t>
            </w:r>
          </w:p>
        </w:tc>
        <w:tc>
          <w:tcPr>
            <w:tcW w:w="2242" w:type="dxa"/>
            <w:gridSpan w:val="2"/>
            <w:tcBorders>
              <w:top w:val="single" w:sz="4" w:space="0" w:color="000000"/>
              <w:left w:val="single" w:sz="4" w:space="0" w:color="000000"/>
              <w:bottom w:val="single" w:sz="4" w:space="0" w:color="000000"/>
              <w:right w:val="single" w:sz="4" w:space="0" w:color="000000"/>
            </w:tcBorders>
          </w:tcPr>
          <w:p w14:paraId="09AC515C"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Usvojiti Strategiju  za zaštitu lica sa invaliditetom od diskriminacije i promociju jednakosti 2022-2027 sa Akcionim planom za  implementaciju  Strategije za zaštitu lica sa invalidtetom od diskriminacije i promociju jednakosti 2022-2023.</w:t>
            </w:r>
          </w:p>
        </w:tc>
        <w:tc>
          <w:tcPr>
            <w:tcW w:w="2575" w:type="dxa"/>
            <w:gridSpan w:val="3"/>
            <w:tcBorders>
              <w:top w:val="single" w:sz="4" w:space="0" w:color="000000"/>
              <w:left w:val="single" w:sz="4" w:space="0" w:color="000000"/>
              <w:bottom w:val="single" w:sz="4" w:space="0" w:color="000000"/>
              <w:right w:val="single" w:sz="4" w:space="0" w:color="000000"/>
            </w:tcBorders>
          </w:tcPr>
          <w:p w14:paraId="32B9DDFC"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Usvojena Strategija sa  Akcionim  planom</w:t>
            </w:r>
          </w:p>
        </w:tc>
        <w:tc>
          <w:tcPr>
            <w:tcW w:w="1806" w:type="dxa"/>
            <w:gridSpan w:val="5"/>
            <w:tcBorders>
              <w:top w:val="single" w:sz="4" w:space="0" w:color="000000"/>
              <w:left w:val="single" w:sz="4" w:space="0" w:color="000000"/>
              <w:bottom w:val="single" w:sz="4" w:space="0" w:color="000000"/>
              <w:right w:val="single" w:sz="4" w:space="0" w:color="000000"/>
            </w:tcBorders>
          </w:tcPr>
          <w:p w14:paraId="1F85EE4B"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N.I MPLJMP</w:t>
            </w:r>
          </w:p>
          <w:p w14:paraId="701377FD"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N.S KPS</w:t>
            </w:r>
          </w:p>
        </w:tc>
        <w:tc>
          <w:tcPr>
            <w:tcW w:w="1819" w:type="dxa"/>
            <w:gridSpan w:val="3"/>
            <w:tcBorders>
              <w:top w:val="single" w:sz="4" w:space="0" w:color="000000"/>
              <w:left w:val="single" w:sz="4" w:space="0" w:color="000000"/>
              <w:bottom w:val="single" w:sz="4" w:space="0" w:color="000000"/>
              <w:right w:val="single" w:sz="4" w:space="0" w:color="000000"/>
            </w:tcBorders>
          </w:tcPr>
          <w:p w14:paraId="35EF2B12"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I-II Q 2022</w:t>
            </w:r>
          </w:p>
        </w:tc>
        <w:tc>
          <w:tcPr>
            <w:tcW w:w="1899" w:type="dxa"/>
            <w:gridSpan w:val="2"/>
            <w:tcBorders>
              <w:top w:val="single" w:sz="4" w:space="0" w:color="000000"/>
              <w:left w:val="single" w:sz="4" w:space="0" w:color="000000"/>
              <w:bottom w:val="single" w:sz="4" w:space="0" w:color="000000"/>
              <w:right w:val="single" w:sz="4" w:space="0" w:color="000000"/>
            </w:tcBorders>
          </w:tcPr>
          <w:p w14:paraId="3354210A"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 xml:space="preserve">1.000€ za  prevod Nacrta  Strategije na engleski  jezik; </w:t>
            </w:r>
          </w:p>
          <w:p w14:paraId="3D844BC2"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 xml:space="preserve">500,00€ za  organizovanje javne rasprave;  </w:t>
            </w:r>
          </w:p>
          <w:p w14:paraId="175B2420"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 xml:space="preserve">2.000,00€ za  prevod finalne  verzije Strategije na engleski jezik, jeziku nacionalnih manjina  i u zvučnom  formatu. </w:t>
            </w:r>
          </w:p>
          <w:p w14:paraId="1E85A084"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p w14:paraId="076BA6F9"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Za  utvrdjivanje procjene   finansijskog uticaja  će biti  uradjen   finansijski uticaj Strategije i Akcionog plana.</w:t>
            </w:r>
          </w:p>
        </w:tc>
        <w:tc>
          <w:tcPr>
            <w:tcW w:w="1444" w:type="dxa"/>
            <w:gridSpan w:val="5"/>
            <w:tcBorders>
              <w:top w:val="single" w:sz="4" w:space="0" w:color="000000"/>
              <w:left w:val="single" w:sz="4" w:space="0" w:color="000000"/>
              <w:bottom w:val="single" w:sz="4" w:space="0" w:color="000000"/>
              <w:right w:val="single" w:sz="4" w:space="0" w:color="000000"/>
            </w:tcBorders>
          </w:tcPr>
          <w:p w14:paraId="47F148B7"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 xml:space="preserve">Budžet MPLJMP i drugih institucija; </w:t>
            </w:r>
          </w:p>
          <w:p w14:paraId="0E7F7F68"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p w14:paraId="4C4773F9"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Donatorska sredstva.</w:t>
            </w:r>
          </w:p>
        </w:tc>
        <w:tc>
          <w:tcPr>
            <w:tcW w:w="2381" w:type="dxa"/>
            <w:tcBorders>
              <w:top w:val="single" w:sz="4" w:space="0" w:color="000000"/>
              <w:left w:val="single" w:sz="4" w:space="0" w:color="000000"/>
              <w:bottom w:val="single" w:sz="4" w:space="0" w:color="000000"/>
              <w:right w:val="single" w:sz="4" w:space="0" w:color="000000"/>
            </w:tcBorders>
          </w:tcPr>
          <w:p w14:paraId="6C390453"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Strategijom će se definisati su mjere i aktivnosti  za  postizanje  pune jednakosti  lica sa invaliditetom sa ostalim gradjanima.</w:t>
            </w:r>
          </w:p>
          <w:p w14:paraId="6267E16E"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Strategija će biti harmonizovana sa evropskom Strategijom za lica sa invaliditetom, i u najvećoj mjeri sadržažti   preporuke Komiteta UN o pravima lica sa invaliditetom.</w:t>
            </w:r>
          </w:p>
          <w:p w14:paraId="46402DC6"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p w14:paraId="2728E597"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Akcionim planom  će biti  definisane sve aktivnosti  u skladu sa strateškim ciljevima i preporukama Komiteta UN o pravima lica sa invalidtetom.</w:t>
            </w:r>
          </w:p>
        </w:tc>
      </w:tr>
      <w:tr w:rsidR="00153252" w:rsidRPr="00153252" w14:paraId="07DA92CE" w14:textId="77777777" w:rsidTr="00E15B62">
        <w:trPr>
          <w:cantSplit/>
          <w:tblHeader/>
        </w:trPr>
        <w:tc>
          <w:tcPr>
            <w:tcW w:w="720" w:type="dxa"/>
            <w:tcBorders>
              <w:top w:val="single" w:sz="4" w:space="0" w:color="000000"/>
              <w:left w:val="single" w:sz="4" w:space="0" w:color="000000"/>
              <w:bottom w:val="single" w:sz="4" w:space="0" w:color="000000"/>
              <w:right w:val="single" w:sz="4" w:space="0" w:color="000000"/>
            </w:tcBorders>
          </w:tcPr>
          <w:p w14:paraId="02658A9B" w14:textId="77777777" w:rsidR="00153252" w:rsidRPr="00153252" w:rsidRDefault="008C27D0" w:rsidP="00153252">
            <w:pPr>
              <w:spacing w:before="20" w:after="20" w:line="240" w:lineRule="auto"/>
              <w:rPr>
                <w:rFonts w:ascii="Arial Narrow" w:eastAsia="Arial Narrow" w:hAnsi="Arial Narrow" w:cs="Arial Narrow"/>
                <w:sz w:val="20"/>
                <w:szCs w:val="20"/>
              </w:rPr>
            </w:pPr>
            <w:r>
              <w:rPr>
                <w:rFonts w:ascii="Arial Narrow" w:eastAsia="Arial Narrow" w:hAnsi="Arial Narrow" w:cs="Arial Narrow"/>
                <w:sz w:val="20"/>
                <w:szCs w:val="20"/>
              </w:rPr>
              <w:lastRenderedPageBreak/>
              <w:t>10.</w:t>
            </w:r>
          </w:p>
        </w:tc>
        <w:tc>
          <w:tcPr>
            <w:tcW w:w="2242" w:type="dxa"/>
            <w:gridSpan w:val="2"/>
            <w:tcBorders>
              <w:top w:val="single" w:sz="4" w:space="0" w:color="000000"/>
              <w:left w:val="single" w:sz="4" w:space="0" w:color="000000"/>
              <w:bottom w:val="single" w:sz="4" w:space="0" w:color="000000"/>
              <w:right w:val="single" w:sz="4" w:space="0" w:color="000000"/>
            </w:tcBorders>
          </w:tcPr>
          <w:p w14:paraId="0C82FFE7"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Izrada Godišnjeg izvještaja o realizaciji aktivnosti iz Programa sprovođenja Akcionog plana za primjenu Rezolucije SBUN 1325 za period 2021-2022. godine za 2021. godinu</w:t>
            </w:r>
          </w:p>
        </w:tc>
        <w:tc>
          <w:tcPr>
            <w:tcW w:w="2575" w:type="dxa"/>
            <w:gridSpan w:val="3"/>
            <w:tcBorders>
              <w:top w:val="single" w:sz="4" w:space="0" w:color="000000"/>
              <w:left w:val="single" w:sz="4" w:space="0" w:color="000000"/>
              <w:bottom w:val="single" w:sz="4" w:space="0" w:color="000000"/>
              <w:right w:val="single" w:sz="4" w:space="0" w:color="000000"/>
            </w:tcBorders>
          </w:tcPr>
          <w:p w14:paraId="189FFF1D"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Usvojen Godišnji izvještaj za 2021. godinu</w:t>
            </w:r>
          </w:p>
        </w:tc>
        <w:tc>
          <w:tcPr>
            <w:tcW w:w="1806" w:type="dxa"/>
            <w:gridSpan w:val="5"/>
            <w:tcBorders>
              <w:top w:val="single" w:sz="4" w:space="0" w:color="000000"/>
              <w:left w:val="single" w:sz="4" w:space="0" w:color="000000"/>
              <w:bottom w:val="single" w:sz="4" w:space="0" w:color="000000"/>
              <w:right w:val="single" w:sz="4" w:space="0" w:color="000000"/>
            </w:tcBorders>
          </w:tcPr>
          <w:p w14:paraId="4D0ABCDD"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MO i Međuresorska radna grupa za izradu i praćenje  realizacije Programa iz AP za primjenu Rezolucije SBUN 1325 (2019-2022)</w:t>
            </w:r>
          </w:p>
        </w:tc>
        <w:tc>
          <w:tcPr>
            <w:tcW w:w="1819" w:type="dxa"/>
            <w:gridSpan w:val="3"/>
            <w:tcBorders>
              <w:top w:val="single" w:sz="4" w:space="0" w:color="000000"/>
              <w:left w:val="single" w:sz="4" w:space="0" w:color="000000"/>
              <w:bottom w:val="single" w:sz="4" w:space="0" w:color="000000"/>
              <w:right w:val="single" w:sz="4" w:space="0" w:color="000000"/>
            </w:tcBorders>
          </w:tcPr>
          <w:p w14:paraId="2FFC43DD"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 Q 2022. g</w:t>
            </w:r>
          </w:p>
        </w:tc>
        <w:tc>
          <w:tcPr>
            <w:tcW w:w="1899" w:type="dxa"/>
            <w:gridSpan w:val="2"/>
            <w:tcBorders>
              <w:top w:val="single" w:sz="4" w:space="0" w:color="000000"/>
              <w:left w:val="single" w:sz="4" w:space="0" w:color="000000"/>
              <w:bottom w:val="single" w:sz="4" w:space="0" w:color="000000"/>
              <w:right w:val="single" w:sz="4" w:space="0" w:color="000000"/>
            </w:tcBorders>
          </w:tcPr>
          <w:p w14:paraId="7BC441B5"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Za realizaciju aktivnosti nijesu potrebna finansijska sredstva</w:t>
            </w:r>
          </w:p>
        </w:tc>
        <w:tc>
          <w:tcPr>
            <w:tcW w:w="1444" w:type="dxa"/>
            <w:gridSpan w:val="5"/>
            <w:tcBorders>
              <w:top w:val="single" w:sz="4" w:space="0" w:color="000000"/>
              <w:left w:val="single" w:sz="4" w:space="0" w:color="000000"/>
              <w:bottom w:val="single" w:sz="4" w:space="0" w:color="000000"/>
              <w:right w:val="single" w:sz="4" w:space="0" w:color="000000"/>
            </w:tcBorders>
          </w:tcPr>
          <w:p w14:paraId="3319C773"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Pr>
          <w:p w14:paraId="7F0542A4"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Izvještaj je neophodan kako bi se mapirao stepen realizacije aktivnosti koje su predviđene programom implementacije strateškog dokumenta za primjenu Rezolucije Savjeta bezbjednosti Ujedinjenih nacija (SBUN) 1325 – Žene, mir i bezbjedost i njoj pratećih rezolucija, utvrdio progres,</w:t>
            </w:r>
            <w:r w:rsidRPr="00153252">
              <w:rPr>
                <w:rFonts w:ascii="Arial Narrow" w:eastAsia="Arial Narrow" w:hAnsi="Arial Narrow" w:cs="Arial Narrow"/>
                <w:sz w:val="24"/>
                <w:szCs w:val="24"/>
              </w:rPr>
              <w:t xml:space="preserve"> </w:t>
            </w:r>
            <w:r w:rsidRPr="00153252">
              <w:rPr>
                <w:rFonts w:ascii="Arial Narrow" w:eastAsia="Arial Narrow" w:hAnsi="Arial Narrow" w:cs="Arial Narrow"/>
                <w:color w:val="000000"/>
                <w:sz w:val="20"/>
                <w:szCs w:val="20"/>
              </w:rPr>
              <w:t>izazovi i definisale preporuke za unapređenje sljedećeg ciklusa planiranja</w:t>
            </w:r>
          </w:p>
        </w:tc>
      </w:tr>
    </w:tbl>
    <w:p w14:paraId="673E9AD0" w14:textId="77777777" w:rsidR="00153252" w:rsidRPr="00153252" w:rsidRDefault="00153252" w:rsidP="00153252">
      <w:pPr>
        <w:widowControl w:val="0"/>
        <w:pBdr>
          <w:top w:val="nil"/>
          <w:left w:val="nil"/>
          <w:bottom w:val="nil"/>
          <w:right w:val="nil"/>
          <w:between w:val="nil"/>
        </w:pBdr>
        <w:spacing w:after="0" w:line="276" w:lineRule="auto"/>
        <w:rPr>
          <w:rFonts w:ascii="Calibri" w:eastAsia="Calibri" w:hAnsi="Calibri" w:cs="Calibri"/>
          <w:color w:val="000000"/>
          <w:sz w:val="20"/>
          <w:szCs w:val="20"/>
        </w:rPr>
      </w:pPr>
    </w:p>
    <w:p w14:paraId="67C5FD52" w14:textId="77777777" w:rsidR="00153252" w:rsidRPr="00153252" w:rsidRDefault="00153252" w:rsidP="00153252">
      <w:pPr>
        <w:widowControl w:val="0"/>
        <w:pBdr>
          <w:top w:val="nil"/>
          <w:left w:val="nil"/>
          <w:bottom w:val="nil"/>
          <w:right w:val="nil"/>
          <w:between w:val="nil"/>
        </w:pBdr>
        <w:spacing w:after="0" w:line="276" w:lineRule="auto"/>
        <w:rPr>
          <w:rFonts w:ascii="Calibri" w:eastAsia="Calibri" w:hAnsi="Calibri" w:cs="Calibri"/>
          <w:sz w:val="20"/>
          <w:szCs w:val="20"/>
        </w:rPr>
      </w:pPr>
    </w:p>
    <w:p w14:paraId="319411E0" w14:textId="77777777" w:rsidR="00153252" w:rsidRPr="00153252" w:rsidRDefault="00153252" w:rsidP="00153252">
      <w:pPr>
        <w:widowControl w:val="0"/>
        <w:pBdr>
          <w:top w:val="nil"/>
          <w:left w:val="nil"/>
          <w:bottom w:val="nil"/>
          <w:right w:val="nil"/>
          <w:between w:val="nil"/>
        </w:pBdr>
        <w:spacing w:after="0" w:line="276" w:lineRule="auto"/>
        <w:rPr>
          <w:rFonts w:ascii="Calibri" w:eastAsia="Calibri" w:hAnsi="Calibri" w:cs="Calibri"/>
          <w:color w:val="FF0000"/>
          <w:sz w:val="20"/>
          <w:szCs w:val="20"/>
        </w:rPr>
      </w:pPr>
    </w:p>
    <w:p w14:paraId="187E851C" w14:textId="77777777" w:rsidR="00153252" w:rsidRPr="00153252" w:rsidRDefault="00153252" w:rsidP="00153252">
      <w:pPr>
        <w:jc w:val="center"/>
        <w:rPr>
          <w:rFonts w:ascii="Arial Narrow" w:eastAsia="Arial Narrow" w:hAnsi="Arial Narrow" w:cs="Arial Narrow"/>
          <w:b/>
          <w:sz w:val="24"/>
          <w:szCs w:val="24"/>
        </w:rPr>
      </w:pPr>
      <w:bookmarkStart w:id="1" w:name="_heading=h.1fob9te" w:colFirst="0" w:colLast="0"/>
      <w:bookmarkEnd w:id="1"/>
    </w:p>
    <w:tbl>
      <w:tblPr>
        <w:tblW w:w="150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105"/>
        <w:gridCol w:w="105"/>
        <w:gridCol w:w="2070"/>
        <w:gridCol w:w="105"/>
        <w:gridCol w:w="105"/>
        <w:gridCol w:w="2415"/>
        <w:gridCol w:w="105"/>
        <w:gridCol w:w="180"/>
        <w:gridCol w:w="225"/>
        <w:gridCol w:w="165"/>
        <w:gridCol w:w="135"/>
        <w:gridCol w:w="990"/>
        <w:gridCol w:w="225"/>
        <w:gridCol w:w="105"/>
        <w:gridCol w:w="1335"/>
        <w:gridCol w:w="285"/>
        <w:gridCol w:w="105"/>
        <w:gridCol w:w="1695"/>
        <w:gridCol w:w="330"/>
        <w:gridCol w:w="105"/>
        <w:gridCol w:w="615"/>
        <w:gridCol w:w="180"/>
        <w:gridCol w:w="165"/>
        <w:gridCol w:w="105"/>
        <w:gridCol w:w="180"/>
        <w:gridCol w:w="360"/>
        <w:gridCol w:w="1890"/>
      </w:tblGrid>
      <w:tr w:rsidR="00153252" w:rsidRPr="00153252" w14:paraId="3F162D82" w14:textId="77777777" w:rsidTr="00D003CC">
        <w:trPr>
          <w:cantSplit/>
          <w:tblHeader/>
        </w:trPr>
        <w:tc>
          <w:tcPr>
            <w:tcW w:w="3030" w:type="dxa"/>
            <w:gridSpan w:val="5"/>
            <w:shd w:val="clear" w:color="auto" w:fill="D9E2F3"/>
          </w:tcPr>
          <w:p w14:paraId="48C548A1"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bookmarkStart w:id="2" w:name="_Hlk89628746"/>
            <w:r w:rsidRPr="00153252">
              <w:rPr>
                <w:rFonts w:ascii="Arial Narrow" w:eastAsia="Arial Narrow" w:hAnsi="Arial Narrow" w:cs="Arial Narrow"/>
                <w:b/>
                <w:sz w:val="20"/>
                <w:szCs w:val="20"/>
              </w:rPr>
              <w:lastRenderedPageBreak/>
              <w:t>Cilj</w:t>
            </w:r>
            <w:r w:rsidR="00FD6B98">
              <w:rPr>
                <w:rFonts w:ascii="Arial Narrow" w:eastAsia="Arial Narrow" w:hAnsi="Arial Narrow" w:cs="Arial Narrow"/>
                <w:b/>
                <w:sz w:val="20"/>
                <w:szCs w:val="20"/>
              </w:rPr>
              <w:t xml:space="preserve"> </w:t>
            </w:r>
            <w:r w:rsidR="008C27D0">
              <w:rPr>
                <w:rFonts w:ascii="Arial Narrow" w:eastAsia="Arial Narrow" w:hAnsi="Arial Narrow" w:cs="Arial Narrow"/>
                <w:b/>
                <w:sz w:val="20"/>
                <w:szCs w:val="20"/>
              </w:rPr>
              <w:t>1.</w:t>
            </w:r>
            <w:r w:rsidR="00B80AA5">
              <w:rPr>
                <w:rFonts w:ascii="Arial Narrow" w:eastAsia="Arial Narrow" w:hAnsi="Arial Narrow" w:cs="Arial Narrow"/>
                <w:b/>
                <w:sz w:val="20"/>
                <w:szCs w:val="20"/>
              </w:rPr>
              <w:t>3.</w:t>
            </w:r>
          </w:p>
          <w:p w14:paraId="538030F0"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p>
        </w:tc>
        <w:tc>
          <w:tcPr>
            <w:tcW w:w="12000" w:type="dxa"/>
            <w:gridSpan w:val="23"/>
            <w:shd w:val="clear" w:color="auto" w:fill="D9E2F3"/>
          </w:tcPr>
          <w:p w14:paraId="77E248F7" w14:textId="77777777" w:rsidR="00153252" w:rsidRPr="00153252" w:rsidRDefault="00153252" w:rsidP="00153252">
            <w:pPr>
              <w:spacing w:before="40" w:after="40" w:line="240" w:lineRule="auto"/>
              <w:jc w:val="both"/>
              <w:rPr>
                <w:rFonts w:ascii="Arial Narrow" w:eastAsia="Arial Narrow" w:hAnsi="Arial Narrow" w:cs="Arial Narrow"/>
                <w:b/>
                <w:i/>
                <w:sz w:val="20"/>
                <w:szCs w:val="20"/>
              </w:rPr>
            </w:pPr>
            <w:r w:rsidRPr="00153252">
              <w:rPr>
                <w:rFonts w:ascii="Arial Narrow" w:eastAsia="Arial Narrow" w:hAnsi="Arial Narrow" w:cs="Arial Narrow"/>
                <w:b/>
                <w:i/>
                <w:sz w:val="20"/>
                <w:szCs w:val="20"/>
              </w:rPr>
              <w:t>Z</w:t>
            </w:r>
            <w:r w:rsidR="00EC3AD6" w:rsidRPr="00EC3AD6">
              <w:rPr>
                <w:rFonts w:ascii="Arial Narrow" w:eastAsia="Arial Narrow" w:hAnsi="Arial Narrow" w:cs="Arial Narrow"/>
                <w:b/>
                <w:sz w:val="20"/>
                <w:szCs w:val="20"/>
              </w:rPr>
              <w:t>akonita, transparentna i inkluzivna javna uprava</w:t>
            </w:r>
          </w:p>
        </w:tc>
      </w:tr>
      <w:tr w:rsidR="00153252" w:rsidRPr="00153252" w14:paraId="388E45E8" w14:textId="77777777" w:rsidTr="00D003CC">
        <w:trPr>
          <w:cantSplit/>
          <w:tblHeader/>
        </w:trPr>
        <w:tc>
          <w:tcPr>
            <w:tcW w:w="3030" w:type="dxa"/>
            <w:gridSpan w:val="5"/>
            <w:shd w:val="clear" w:color="auto" w:fill="DAF2F6"/>
          </w:tcPr>
          <w:p w14:paraId="50DC9EC8"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95" w:type="dxa"/>
            <w:gridSpan w:val="6"/>
            <w:shd w:val="clear" w:color="auto" w:fill="DAF2F6"/>
          </w:tcPr>
          <w:p w14:paraId="3AC42E3B"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Polazna vrijednost – 2021.g</w:t>
            </w:r>
          </w:p>
        </w:tc>
        <w:tc>
          <w:tcPr>
            <w:tcW w:w="3075" w:type="dxa"/>
            <w:gridSpan w:val="6"/>
            <w:shd w:val="clear" w:color="auto" w:fill="DAF2F6"/>
            <w:vAlign w:val="center"/>
          </w:tcPr>
          <w:p w14:paraId="132E6387"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2022.g</w:t>
            </w:r>
          </w:p>
        </w:tc>
        <w:tc>
          <w:tcPr>
            <w:tcW w:w="3030" w:type="dxa"/>
            <w:gridSpan w:val="6"/>
            <w:tcBorders>
              <w:bottom w:val="single" w:sz="4" w:space="0" w:color="FFFFFF"/>
            </w:tcBorders>
            <w:shd w:val="clear" w:color="auto" w:fill="DAF2F6"/>
            <w:vAlign w:val="center"/>
          </w:tcPr>
          <w:p w14:paraId="75AD0091"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2023.g</w:t>
            </w:r>
          </w:p>
        </w:tc>
        <w:tc>
          <w:tcPr>
            <w:tcW w:w="2700" w:type="dxa"/>
            <w:gridSpan w:val="5"/>
            <w:tcBorders>
              <w:bottom w:val="single" w:sz="4" w:space="0" w:color="FFFFFF"/>
            </w:tcBorders>
            <w:shd w:val="clear" w:color="auto" w:fill="DAF2F6"/>
            <w:vAlign w:val="center"/>
          </w:tcPr>
          <w:p w14:paraId="08FBA24E"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- 2024.g</w:t>
            </w:r>
          </w:p>
        </w:tc>
      </w:tr>
      <w:tr w:rsidR="00BD760C" w:rsidRPr="00153252" w14:paraId="0DC12265" w14:textId="77777777" w:rsidTr="00D003CC">
        <w:trPr>
          <w:cantSplit/>
          <w:tblHeader/>
        </w:trPr>
        <w:tc>
          <w:tcPr>
            <w:tcW w:w="3030" w:type="dxa"/>
            <w:gridSpan w:val="5"/>
            <w:shd w:val="clear" w:color="auto" w:fill="DAF2F6"/>
          </w:tcPr>
          <w:p w14:paraId="451C9844" w14:textId="77777777" w:rsidR="00BD760C" w:rsidRPr="00153252" w:rsidRDefault="00BD760C" w:rsidP="00BD760C">
            <w:pPr>
              <w:spacing w:before="40" w:after="40" w:line="240" w:lineRule="auto"/>
              <w:rPr>
                <w:rFonts w:ascii="Arial Narrow" w:eastAsia="Arial Narrow" w:hAnsi="Arial Narrow" w:cs="Arial Narrow"/>
                <w:sz w:val="20"/>
                <w:szCs w:val="20"/>
              </w:rPr>
            </w:pPr>
            <w:r w:rsidRPr="00BD760C">
              <w:rPr>
                <w:rFonts w:ascii="Arial Narrow" w:eastAsia="Arial Narrow" w:hAnsi="Arial Narrow" w:cs="Arial Narrow"/>
                <w:sz w:val="20"/>
                <w:szCs w:val="20"/>
              </w:rPr>
              <w:t xml:space="preserve">Procenat konsultacija o javnoj politici sprovedenih u skladu sa pravnim okvirom i SIGMA principima u odnosu na  broj akata koje donosi Vlada a koji podliježu javnim konsultacijama </w:t>
            </w:r>
          </w:p>
        </w:tc>
        <w:tc>
          <w:tcPr>
            <w:tcW w:w="3195" w:type="dxa"/>
            <w:gridSpan w:val="6"/>
            <w:shd w:val="clear" w:color="auto" w:fill="DAF2F6"/>
          </w:tcPr>
          <w:p w14:paraId="750A5160"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0%</w:t>
            </w:r>
          </w:p>
        </w:tc>
        <w:tc>
          <w:tcPr>
            <w:tcW w:w="3075" w:type="dxa"/>
            <w:gridSpan w:val="6"/>
            <w:shd w:val="clear" w:color="auto" w:fill="DAF2F6"/>
          </w:tcPr>
          <w:p w14:paraId="27E0C690"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100%</w:t>
            </w:r>
          </w:p>
        </w:tc>
        <w:tc>
          <w:tcPr>
            <w:tcW w:w="3030" w:type="dxa"/>
            <w:gridSpan w:val="6"/>
            <w:tcBorders>
              <w:top w:val="single" w:sz="4" w:space="0" w:color="FFFFFF"/>
            </w:tcBorders>
            <w:shd w:val="clear" w:color="auto" w:fill="DAF2F6"/>
          </w:tcPr>
          <w:p w14:paraId="752E515C"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100%</w:t>
            </w:r>
          </w:p>
        </w:tc>
        <w:tc>
          <w:tcPr>
            <w:tcW w:w="2700" w:type="dxa"/>
            <w:gridSpan w:val="5"/>
            <w:tcBorders>
              <w:top w:val="single" w:sz="4" w:space="0" w:color="FFFFFF"/>
            </w:tcBorders>
            <w:shd w:val="clear" w:color="auto" w:fill="DAF2F6"/>
          </w:tcPr>
          <w:p w14:paraId="0CF42877"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100%</w:t>
            </w:r>
          </w:p>
        </w:tc>
      </w:tr>
      <w:tr w:rsidR="00BD760C" w:rsidRPr="00153252" w14:paraId="18E1D12F" w14:textId="77777777" w:rsidTr="00D003CC">
        <w:trPr>
          <w:cantSplit/>
          <w:tblHeader/>
        </w:trPr>
        <w:tc>
          <w:tcPr>
            <w:tcW w:w="3030" w:type="dxa"/>
            <w:gridSpan w:val="5"/>
            <w:shd w:val="clear" w:color="auto" w:fill="DAF2F6"/>
          </w:tcPr>
          <w:p w14:paraId="455122E8" w14:textId="77777777" w:rsidR="00BD760C" w:rsidRPr="00153252" w:rsidRDefault="00BD760C" w:rsidP="00BD760C">
            <w:pPr>
              <w:spacing w:before="40" w:after="40" w:line="240" w:lineRule="auto"/>
              <w:rPr>
                <w:rFonts w:ascii="Arial Narrow" w:eastAsia="Arial Narrow" w:hAnsi="Arial Narrow" w:cs="Arial Narrow"/>
                <w:sz w:val="20"/>
                <w:szCs w:val="20"/>
              </w:rPr>
            </w:pPr>
            <w:r w:rsidRPr="00BD760C">
              <w:rPr>
                <w:rFonts w:ascii="Arial Narrow" w:eastAsia="Arial Narrow" w:hAnsi="Arial Narrow" w:cs="Arial Narrow"/>
                <w:sz w:val="20"/>
                <w:szCs w:val="20"/>
              </w:rPr>
              <w:t>Procenat  objavljenih informacija od strane ministarstava u skladu sa Zakonom o SPI</w:t>
            </w:r>
          </w:p>
        </w:tc>
        <w:tc>
          <w:tcPr>
            <w:tcW w:w="3195" w:type="dxa"/>
            <w:gridSpan w:val="6"/>
            <w:shd w:val="clear" w:color="auto" w:fill="DAF2F6"/>
          </w:tcPr>
          <w:p w14:paraId="54B4EA2F" w14:textId="77777777" w:rsidR="00BD760C" w:rsidRPr="00BD760C" w:rsidRDefault="00BD760C" w:rsidP="00F27DB4">
            <w:pPr>
              <w:spacing w:before="40" w:after="40" w:line="240" w:lineRule="auto"/>
              <w:jc w:val="center"/>
              <w:rPr>
                <w:rFonts w:ascii="Arial Narrow" w:hAnsi="Arial Narrow"/>
                <w:sz w:val="20"/>
                <w:szCs w:val="20"/>
                <w:lang w:val="en-US"/>
              </w:rPr>
            </w:pPr>
            <w:r w:rsidRPr="00BD760C">
              <w:rPr>
                <w:rFonts w:ascii="Arial Narrow" w:hAnsi="Arial Narrow"/>
                <w:sz w:val="20"/>
                <w:szCs w:val="20"/>
                <w:lang w:val="en-US"/>
              </w:rPr>
              <w:t xml:space="preserve">94,4 % </w:t>
            </w:r>
            <w:r w:rsidRPr="00BD760C">
              <w:rPr>
                <w:rStyle w:val="FootnoteReference"/>
                <w:rFonts w:ascii="Arial Narrow" w:hAnsi="Arial Narrow"/>
                <w:sz w:val="20"/>
                <w:szCs w:val="20"/>
                <w:lang w:val="en-US"/>
              </w:rPr>
              <w:footnoteReference w:id="7"/>
            </w:r>
          </w:p>
          <w:p w14:paraId="3B88E6FD"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p>
        </w:tc>
        <w:tc>
          <w:tcPr>
            <w:tcW w:w="3075" w:type="dxa"/>
            <w:gridSpan w:val="6"/>
            <w:shd w:val="clear" w:color="auto" w:fill="DAF2F6"/>
          </w:tcPr>
          <w:p w14:paraId="0E12508E"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95%</w:t>
            </w:r>
          </w:p>
        </w:tc>
        <w:tc>
          <w:tcPr>
            <w:tcW w:w="3030" w:type="dxa"/>
            <w:gridSpan w:val="6"/>
            <w:shd w:val="clear" w:color="auto" w:fill="DAF2F6"/>
          </w:tcPr>
          <w:p w14:paraId="6FA9067D"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96%</w:t>
            </w:r>
          </w:p>
        </w:tc>
        <w:tc>
          <w:tcPr>
            <w:tcW w:w="2700" w:type="dxa"/>
            <w:gridSpan w:val="5"/>
            <w:shd w:val="clear" w:color="auto" w:fill="DAF2F6"/>
          </w:tcPr>
          <w:p w14:paraId="426ADE60"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98%</w:t>
            </w:r>
          </w:p>
        </w:tc>
      </w:tr>
      <w:tr w:rsidR="00BD760C" w:rsidRPr="00153252" w14:paraId="279A2F6A" w14:textId="77777777" w:rsidTr="00D003CC">
        <w:trPr>
          <w:cantSplit/>
          <w:tblHeader/>
        </w:trPr>
        <w:tc>
          <w:tcPr>
            <w:tcW w:w="3030" w:type="dxa"/>
            <w:gridSpan w:val="5"/>
            <w:shd w:val="clear" w:color="auto" w:fill="DAF2F6"/>
          </w:tcPr>
          <w:p w14:paraId="2A22B66B" w14:textId="77777777" w:rsidR="00BD760C" w:rsidRPr="00BD760C" w:rsidRDefault="00BD760C" w:rsidP="00BD760C">
            <w:pPr>
              <w:spacing w:before="40" w:after="40" w:line="240" w:lineRule="auto"/>
              <w:rPr>
                <w:rFonts w:ascii="Arial Narrow" w:eastAsia="Arial Narrow" w:hAnsi="Arial Narrow" w:cs="Arial Narrow"/>
                <w:sz w:val="20"/>
                <w:szCs w:val="20"/>
              </w:rPr>
            </w:pPr>
            <w:r w:rsidRPr="00BD760C">
              <w:rPr>
                <w:rFonts w:ascii="Arial Narrow" w:eastAsia="Arial Narrow" w:hAnsi="Arial Narrow" w:cs="Arial Narrow"/>
                <w:sz w:val="20"/>
                <w:szCs w:val="20"/>
              </w:rPr>
              <w:t xml:space="preserve">Broj izjavljenih žalbi po zahtjevima za SPI u ministarstvima i GSV </w:t>
            </w:r>
          </w:p>
          <w:p w14:paraId="10BCDF25" w14:textId="77777777" w:rsidR="00BD760C" w:rsidRPr="00153252" w:rsidRDefault="00BD760C" w:rsidP="00BD760C">
            <w:pPr>
              <w:spacing w:before="40" w:after="40" w:line="240" w:lineRule="auto"/>
              <w:rPr>
                <w:rFonts w:ascii="Arial Narrow" w:eastAsia="Arial Narrow" w:hAnsi="Arial Narrow" w:cs="Arial Narrow"/>
                <w:sz w:val="20"/>
                <w:szCs w:val="20"/>
              </w:rPr>
            </w:pPr>
          </w:p>
        </w:tc>
        <w:tc>
          <w:tcPr>
            <w:tcW w:w="3195" w:type="dxa"/>
            <w:gridSpan w:val="6"/>
            <w:shd w:val="clear" w:color="auto" w:fill="DAF2F6"/>
          </w:tcPr>
          <w:p w14:paraId="38C951BA"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1058</w:t>
            </w:r>
            <w:r w:rsidRPr="00BD760C">
              <w:rPr>
                <w:rStyle w:val="FootnoteReference"/>
                <w:rFonts w:ascii="Arial Narrow" w:eastAsia="Arial Narrow" w:hAnsi="Arial Narrow" w:cs="Arial Narrow"/>
                <w:sz w:val="20"/>
                <w:szCs w:val="20"/>
              </w:rPr>
              <w:footnoteReference w:id="8"/>
            </w:r>
          </w:p>
        </w:tc>
        <w:tc>
          <w:tcPr>
            <w:tcW w:w="3075" w:type="dxa"/>
            <w:gridSpan w:val="6"/>
            <w:shd w:val="clear" w:color="auto" w:fill="DAF2F6"/>
          </w:tcPr>
          <w:p w14:paraId="1E512AC2"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10% manje u odnosu na polaznu vrijednost</w:t>
            </w:r>
          </w:p>
        </w:tc>
        <w:tc>
          <w:tcPr>
            <w:tcW w:w="3030" w:type="dxa"/>
            <w:gridSpan w:val="6"/>
            <w:shd w:val="clear" w:color="auto" w:fill="DAF2F6"/>
          </w:tcPr>
          <w:p w14:paraId="2AE21451"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15  % manje od p.v.</w:t>
            </w:r>
          </w:p>
        </w:tc>
        <w:tc>
          <w:tcPr>
            <w:tcW w:w="2700" w:type="dxa"/>
            <w:gridSpan w:val="5"/>
            <w:shd w:val="clear" w:color="auto" w:fill="DAF2F6"/>
          </w:tcPr>
          <w:p w14:paraId="3E3237F9"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20%manje od p.v.</w:t>
            </w:r>
          </w:p>
        </w:tc>
      </w:tr>
      <w:tr w:rsidR="00BD760C" w:rsidRPr="00153252" w14:paraId="125BE143" w14:textId="77777777" w:rsidTr="00D003CC">
        <w:trPr>
          <w:cantSplit/>
          <w:tblHeader/>
        </w:trPr>
        <w:tc>
          <w:tcPr>
            <w:tcW w:w="3030" w:type="dxa"/>
            <w:gridSpan w:val="5"/>
            <w:shd w:val="clear" w:color="auto" w:fill="DAF2F6"/>
          </w:tcPr>
          <w:p w14:paraId="6119B4D2" w14:textId="77777777" w:rsidR="00BD760C" w:rsidRPr="00153252" w:rsidRDefault="00BD760C" w:rsidP="00BD760C">
            <w:pPr>
              <w:spacing w:before="40" w:after="40" w:line="240" w:lineRule="auto"/>
              <w:rPr>
                <w:rFonts w:ascii="Arial Narrow" w:eastAsia="Arial Narrow" w:hAnsi="Arial Narrow" w:cs="Arial Narrow"/>
                <w:sz w:val="20"/>
                <w:szCs w:val="20"/>
              </w:rPr>
            </w:pPr>
            <w:r w:rsidRPr="00BD760C">
              <w:rPr>
                <w:rFonts w:ascii="Arial Narrow" w:eastAsia="Arial Narrow" w:hAnsi="Arial Narrow" w:cs="Arial Narrow"/>
                <w:sz w:val="20"/>
                <w:szCs w:val="20"/>
              </w:rPr>
              <w:t>Broj data-setova na portalu otvorenih podataka</w:t>
            </w:r>
            <w:r w:rsidR="00A53CB2">
              <w:fldChar w:fldCharType="begin"/>
            </w:r>
            <w:r w:rsidR="00A53CB2">
              <w:instrText xml:space="preserve"> HYPERLINK "http://www.data.gov.me/" \h </w:instrText>
            </w:r>
            <w:r w:rsidR="00A53CB2">
              <w:fldChar w:fldCharType="separate"/>
            </w:r>
            <w:r w:rsidRPr="00BD760C">
              <w:rPr>
                <w:rFonts w:ascii="Arial Narrow" w:eastAsia="Arial Narrow" w:hAnsi="Arial Narrow" w:cs="Arial Narrow"/>
                <w:sz w:val="20"/>
                <w:szCs w:val="20"/>
              </w:rPr>
              <w:t xml:space="preserve"> </w:t>
            </w:r>
            <w:r w:rsidR="00A53CB2">
              <w:rPr>
                <w:rFonts w:ascii="Arial Narrow" w:eastAsia="Arial Narrow" w:hAnsi="Arial Narrow" w:cs="Arial Narrow"/>
                <w:sz w:val="20"/>
                <w:szCs w:val="20"/>
              </w:rPr>
              <w:fldChar w:fldCharType="end"/>
            </w:r>
            <w:hyperlink r:id="rId22">
              <w:r w:rsidRPr="00BD760C">
                <w:rPr>
                  <w:rFonts w:ascii="Arial Narrow" w:eastAsia="Arial Narrow" w:hAnsi="Arial Narrow" w:cs="Arial Narrow"/>
                  <w:color w:val="1155CC"/>
                  <w:sz w:val="20"/>
                  <w:szCs w:val="20"/>
                  <w:u w:val="single"/>
                </w:rPr>
                <w:t>www.data.gov.me</w:t>
              </w:r>
            </w:hyperlink>
          </w:p>
        </w:tc>
        <w:tc>
          <w:tcPr>
            <w:tcW w:w="3195" w:type="dxa"/>
            <w:gridSpan w:val="6"/>
            <w:shd w:val="clear" w:color="auto" w:fill="DAF2F6"/>
          </w:tcPr>
          <w:p w14:paraId="323AC8C9"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146 (2021)</w:t>
            </w:r>
          </w:p>
        </w:tc>
        <w:tc>
          <w:tcPr>
            <w:tcW w:w="3075" w:type="dxa"/>
            <w:gridSpan w:val="6"/>
            <w:shd w:val="clear" w:color="auto" w:fill="DAF2F6"/>
          </w:tcPr>
          <w:p w14:paraId="1435A176"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200</w:t>
            </w:r>
          </w:p>
        </w:tc>
        <w:tc>
          <w:tcPr>
            <w:tcW w:w="3030" w:type="dxa"/>
            <w:gridSpan w:val="6"/>
            <w:shd w:val="clear" w:color="auto" w:fill="DAF2F6"/>
          </w:tcPr>
          <w:p w14:paraId="687FE88F"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300</w:t>
            </w:r>
          </w:p>
        </w:tc>
        <w:tc>
          <w:tcPr>
            <w:tcW w:w="2700" w:type="dxa"/>
            <w:gridSpan w:val="5"/>
            <w:shd w:val="clear" w:color="auto" w:fill="DAF2F6"/>
          </w:tcPr>
          <w:p w14:paraId="0E0994BD" w14:textId="77777777" w:rsidR="00BD760C" w:rsidRPr="00BD760C"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500</w:t>
            </w:r>
          </w:p>
          <w:p w14:paraId="209BC185"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p>
        </w:tc>
      </w:tr>
      <w:tr w:rsidR="00BD760C" w:rsidRPr="00153252" w14:paraId="0E8DE120" w14:textId="77777777" w:rsidTr="00D003CC">
        <w:trPr>
          <w:cantSplit/>
          <w:tblHeader/>
        </w:trPr>
        <w:tc>
          <w:tcPr>
            <w:tcW w:w="3030" w:type="dxa"/>
            <w:gridSpan w:val="5"/>
            <w:shd w:val="clear" w:color="auto" w:fill="DAF2F6"/>
          </w:tcPr>
          <w:p w14:paraId="69DD87ED" w14:textId="77777777" w:rsidR="00BD760C" w:rsidRPr="00153252" w:rsidRDefault="00BD760C" w:rsidP="00BD760C">
            <w:pPr>
              <w:spacing w:before="40" w:after="40" w:line="240" w:lineRule="auto"/>
              <w:rPr>
                <w:rFonts w:ascii="Arial Narrow" w:eastAsia="Arial Narrow" w:hAnsi="Arial Narrow" w:cs="Arial Narrow"/>
                <w:sz w:val="20"/>
                <w:szCs w:val="20"/>
              </w:rPr>
            </w:pPr>
            <w:r w:rsidRPr="00BD760C">
              <w:rPr>
                <w:rFonts w:ascii="Arial Narrow" w:eastAsia="Arial Narrow" w:hAnsi="Arial Narrow" w:cs="Arial Narrow"/>
                <w:sz w:val="20"/>
                <w:szCs w:val="20"/>
              </w:rPr>
              <w:t>Procenat institucija obveznika SPI koje objavljuju podatke na portalu otvorenih podataka</w:t>
            </w:r>
          </w:p>
        </w:tc>
        <w:tc>
          <w:tcPr>
            <w:tcW w:w="3195" w:type="dxa"/>
            <w:gridSpan w:val="6"/>
            <w:shd w:val="clear" w:color="auto" w:fill="DAF2F6"/>
          </w:tcPr>
          <w:p w14:paraId="72B47EF6"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1,5 % institucija obveznika SPI</w:t>
            </w:r>
          </w:p>
        </w:tc>
        <w:tc>
          <w:tcPr>
            <w:tcW w:w="3075" w:type="dxa"/>
            <w:gridSpan w:val="6"/>
            <w:shd w:val="clear" w:color="auto" w:fill="DAF2F6"/>
          </w:tcPr>
          <w:p w14:paraId="1177AAD7"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2%</w:t>
            </w:r>
          </w:p>
        </w:tc>
        <w:tc>
          <w:tcPr>
            <w:tcW w:w="3030" w:type="dxa"/>
            <w:gridSpan w:val="6"/>
            <w:shd w:val="clear" w:color="auto" w:fill="DAF2F6"/>
          </w:tcPr>
          <w:p w14:paraId="36E1BD2B"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5%</w:t>
            </w:r>
          </w:p>
        </w:tc>
        <w:tc>
          <w:tcPr>
            <w:tcW w:w="2700" w:type="dxa"/>
            <w:gridSpan w:val="5"/>
            <w:shd w:val="clear" w:color="auto" w:fill="DAF2F6"/>
          </w:tcPr>
          <w:p w14:paraId="0D22E3E8"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10% institucija obveznika SPI</w:t>
            </w:r>
          </w:p>
        </w:tc>
      </w:tr>
      <w:tr w:rsidR="00BD760C" w:rsidRPr="00153252" w14:paraId="0F02AD49" w14:textId="77777777" w:rsidTr="00D003CC">
        <w:trPr>
          <w:cantSplit/>
          <w:trHeight w:val="570"/>
          <w:tblHeader/>
        </w:trPr>
        <w:tc>
          <w:tcPr>
            <w:tcW w:w="3030" w:type="dxa"/>
            <w:gridSpan w:val="5"/>
            <w:shd w:val="clear" w:color="auto" w:fill="DAF2F6"/>
          </w:tcPr>
          <w:p w14:paraId="740231AF" w14:textId="77777777" w:rsidR="00BD760C" w:rsidRPr="00153252" w:rsidRDefault="00BD760C" w:rsidP="00BD760C">
            <w:pPr>
              <w:spacing w:before="40" w:after="40" w:line="240" w:lineRule="auto"/>
              <w:rPr>
                <w:rFonts w:ascii="Arial Narrow" w:eastAsia="Arial Narrow" w:hAnsi="Arial Narrow" w:cs="Arial Narrow"/>
                <w:sz w:val="20"/>
                <w:szCs w:val="20"/>
              </w:rPr>
            </w:pPr>
            <w:r w:rsidRPr="00BD760C">
              <w:rPr>
                <w:rFonts w:ascii="Arial Narrow" w:eastAsia="Arial Narrow" w:hAnsi="Arial Narrow" w:cs="Arial Narrow"/>
                <w:sz w:val="20"/>
                <w:szCs w:val="20"/>
              </w:rPr>
              <w:t>Broj izvršenih upravnih nadzora</w:t>
            </w:r>
          </w:p>
        </w:tc>
        <w:tc>
          <w:tcPr>
            <w:tcW w:w="3195" w:type="dxa"/>
            <w:gridSpan w:val="6"/>
            <w:shd w:val="clear" w:color="auto" w:fill="DAF2F6"/>
          </w:tcPr>
          <w:p w14:paraId="1338F519"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0</w:t>
            </w:r>
          </w:p>
        </w:tc>
        <w:tc>
          <w:tcPr>
            <w:tcW w:w="3075" w:type="dxa"/>
            <w:gridSpan w:val="6"/>
            <w:shd w:val="clear" w:color="auto" w:fill="DAF2F6"/>
          </w:tcPr>
          <w:p w14:paraId="0B1F7090"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izvršen po 1 nadzor u svim ministarstvima</w:t>
            </w:r>
          </w:p>
        </w:tc>
        <w:tc>
          <w:tcPr>
            <w:tcW w:w="3030" w:type="dxa"/>
            <w:gridSpan w:val="6"/>
            <w:shd w:val="clear" w:color="auto" w:fill="DAF2F6"/>
          </w:tcPr>
          <w:p w14:paraId="502E0BCB"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3</w:t>
            </w:r>
          </w:p>
        </w:tc>
        <w:tc>
          <w:tcPr>
            <w:tcW w:w="2700" w:type="dxa"/>
            <w:gridSpan w:val="5"/>
            <w:shd w:val="clear" w:color="auto" w:fill="DAF2F6"/>
          </w:tcPr>
          <w:p w14:paraId="11874F87"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5</w:t>
            </w:r>
          </w:p>
        </w:tc>
      </w:tr>
      <w:tr w:rsidR="00BD760C" w:rsidRPr="00153252" w14:paraId="2EBC56F7" w14:textId="77777777" w:rsidTr="00D003CC">
        <w:trPr>
          <w:cantSplit/>
          <w:tblHeader/>
        </w:trPr>
        <w:tc>
          <w:tcPr>
            <w:tcW w:w="3030" w:type="dxa"/>
            <w:gridSpan w:val="5"/>
            <w:shd w:val="clear" w:color="auto" w:fill="DAF2F6"/>
          </w:tcPr>
          <w:p w14:paraId="74BE88AE" w14:textId="77777777" w:rsidR="00BD760C" w:rsidRPr="00153252" w:rsidRDefault="00BD760C" w:rsidP="00BD760C">
            <w:pPr>
              <w:spacing w:before="40" w:after="40" w:line="240" w:lineRule="auto"/>
              <w:rPr>
                <w:rFonts w:ascii="Arial Narrow" w:eastAsia="Arial Narrow" w:hAnsi="Arial Narrow" w:cs="Arial Narrow"/>
                <w:sz w:val="20"/>
                <w:szCs w:val="20"/>
              </w:rPr>
            </w:pPr>
            <w:r w:rsidRPr="00BD760C">
              <w:rPr>
                <w:rFonts w:ascii="Arial Narrow" w:eastAsia="Arial Narrow" w:hAnsi="Arial Narrow" w:cs="Arial Narrow"/>
                <w:sz w:val="20"/>
                <w:szCs w:val="20"/>
              </w:rPr>
              <w:t>Broj organa nad kojima je izvršen upravni nadzor</w:t>
            </w:r>
          </w:p>
        </w:tc>
        <w:tc>
          <w:tcPr>
            <w:tcW w:w="3195" w:type="dxa"/>
            <w:gridSpan w:val="6"/>
            <w:shd w:val="clear" w:color="auto" w:fill="DAF2F6"/>
          </w:tcPr>
          <w:p w14:paraId="4C8E8022"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0</w:t>
            </w:r>
          </w:p>
        </w:tc>
        <w:tc>
          <w:tcPr>
            <w:tcW w:w="3075" w:type="dxa"/>
            <w:gridSpan w:val="6"/>
            <w:shd w:val="clear" w:color="auto" w:fill="DAF2F6"/>
          </w:tcPr>
          <w:p w14:paraId="11D67B2F"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10 %</w:t>
            </w:r>
          </w:p>
        </w:tc>
        <w:tc>
          <w:tcPr>
            <w:tcW w:w="3030" w:type="dxa"/>
            <w:gridSpan w:val="6"/>
            <w:shd w:val="clear" w:color="auto" w:fill="DAF2F6"/>
          </w:tcPr>
          <w:p w14:paraId="6C4083F3"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20%</w:t>
            </w:r>
          </w:p>
        </w:tc>
        <w:tc>
          <w:tcPr>
            <w:tcW w:w="2700" w:type="dxa"/>
            <w:gridSpan w:val="5"/>
            <w:shd w:val="clear" w:color="auto" w:fill="DAF2F6"/>
          </w:tcPr>
          <w:p w14:paraId="0213053B"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30%</w:t>
            </w:r>
          </w:p>
        </w:tc>
      </w:tr>
      <w:tr w:rsidR="00BD760C" w:rsidRPr="00153252" w14:paraId="6A7B0E16" w14:textId="77777777" w:rsidTr="00D003CC">
        <w:trPr>
          <w:cantSplit/>
          <w:tblHeader/>
        </w:trPr>
        <w:tc>
          <w:tcPr>
            <w:tcW w:w="3030" w:type="dxa"/>
            <w:gridSpan w:val="5"/>
            <w:shd w:val="clear" w:color="auto" w:fill="DAF2F6"/>
          </w:tcPr>
          <w:p w14:paraId="0A6113DC" w14:textId="77777777" w:rsidR="00BD760C" w:rsidRPr="00153252" w:rsidRDefault="00BD760C" w:rsidP="00BD760C">
            <w:pPr>
              <w:spacing w:before="40" w:after="40" w:line="240" w:lineRule="auto"/>
              <w:rPr>
                <w:rFonts w:ascii="Arial Narrow" w:eastAsia="Arial Narrow" w:hAnsi="Arial Narrow" w:cs="Arial Narrow"/>
                <w:sz w:val="20"/>
                <w:szCs w:val="20"/>
              </w:rPr>
            </w:pPr>
            <w:r w:rsidRPr="00BD760C">
              <w:rPr>
                <w:rFonts w:ascii="Arial Narrow" w:eastAsia="Arial Narrow" w:hAnsi="Arial Narrow" w:cs="Arial Narrow"/>
                <w:sz w:val="20"/>
                <w:szCs w:val="20"/>
              </w:rPr>
              <w:t>Broj instituta u odnosu na koje je vršen upravni nadzor</w:t>
            </w:r>
          </w:p>
        </w:tc>
        <w:tc>
          <w:tcPr>
            <w:tcW w:w="3195" w:type="dxa"/>
            <w:gridSpan w:val="6"/>
            <w:shd w:val="clear" w:color="auto" w:fill="DAF2F6"/>
          </w:tcPr>
          <w:p w14:paraId="49438609"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0</w:t>
            </w:r>
          </w:p>
        </w:tc>
        <w:tc>
          <w:tcPr>
            <w:tcW w:w="3075" w:type="dxa"/>
            <w:gridSpan w:val="6"/>
            <w:shd w:val="clear" w:color="auto" w:fill="DAF2F6"/>
          </w:tcPr>
          <w:p w14:paraId="3E79DA11"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izvršen po 1 nadzor nad primjenom 1 instituta</w:t>
            </w:r>
          </w:p>
        </w:tc>
        <w:tc>
          <w:tcPr>
            <w:tcW w:w="3030" w:type="dxa"/>
            <w:gridSpan w:val="6"/>
            <w:shd w:val="clear" w:color="auto" w:fill="DAF2F6"/>
          </w:tcPr>
          <w:p w14:paraId="63AF8D00"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20%</w:t>
            </w:r>
          </w:p>
        </w:tc>
        <w:tc>
          <w:tcPr>
            <w:tcW w:w="2700" w:type="dxa"/>
            <w:gridSpan w:val="5"/>
            <w:shd w:val="clear" w:color="auto" w:fill="DAF2F6"/>
          </w:tcPr>
          <w:p w14:paraId="60C11622" w14:textId="77777777" w:rsidR="00BD760C" w:rsidRPr="00153252" w:rsidRDefault="00BD760C" w:rsidP="00F27DB4">
            <w:pPr>
              <w:spacing w:before="40" w:after="40" w:line="240" w:lineRule="auto"/>
              <w:jc w:val="center"/>
              <w:rPr>
                <w:rFonts w:ascii="Arial Narrow" w:eastAsia="Arial Narrow" w:hAnsi="Arial Narrow" w:cs="Arial Narrow"/>
                <w:sz w:val="20"/>
                <w:szCs w:val="20"/>
              </w:rPr>
            </w:pPr>
            <w:r w:rsidRPr="00BD760C">
              <w:rPr>
                <w:rFonts w:ascii="Arial Narrow" w:eastAsia="Arial Narrow" w:hAnsi="Arial Narrow" w:cs="Arial Narrow"/>
                <w:sz w:val="20"/>
                <w:szCs w:val="20"/>
              </w:rPr>
              <w:t>30%</w:t>
            </w:r>
          </w:p>
        </w:tc>
      </w:tr>
      <w:bookmarkEnd w:id="2"/>
      <w:tr w:rsidR="00153252" w:rsidRPr="00153252" w14:paraId="6E316670" w14:textId="77777777" w:rsidTr="00D003CC">
        <w:trPr>
          <w:cantSplit/>
          <w:tblHeader/>
        </w:trPr>
        <w:tc>
          <w:tcPr>
            <w:tcW w:w="3030" w:type="dxa"/>
            <w:gridSpan w:val="5"/>
            <w:shd w:val="clear" w:color="auto" w:fill="FFF2CC"/>
            <w:vAlign w:val="center"/>
          </w:tcPr>
          <w:p w14:paraId="0DD845E0"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625" w:type="dxa"/>
            <w:gridSpan w:val="3"/>
            <w:shd w:val="clear" w:color="auto" w:fill="FFF2CC"/>
            <w:vAlign w:val="center"/>
          </w:tcPr>
          <w:p w14:paraId="3CFD5AB9"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rezultata</w:t>
            </w:r>
          </w:p>
        </w:tc>
        <w:tc>
          <w:tcPr>
            <w:tcW w:w="1920" w:type="dxa"/>
            <w:gridSpan w:val="6"/>
            <w:shd w:val="clear" w:color="auto" w:fill="FFF2CC"/>
            <w:vAlign w:val="center"/>
          </w:tcPr>
          <w:p w14:paraId="5E8E3576"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Nadležne institucije i nadležna komisija</w:t>
            </w:r>
          </w:p>
        </w:tc>
        <w:tc>
          <w:tcPr>
            <w:tcW w:w="1725" w:type="dxa"/>
            <w:gridSpan w:val="3"/>
            <w:shd w:val="clear" w:color="auto" w:fill="FFF2CC"/>
            <w:vAlign w:val="center"/>
          </w:tcPr>
          <w:p w14:paraId="10A5C9EF"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 početak i završetak aktivnosti</w:t>
            </w:r>
          </w:p>
        </w:tc>
        <w:tc>
          <w:tcPr>
            <w:tcW w:w="2130" w:type="dxa"/>
            <w:gridSpan w:val="3"/>
            <w:shd w:val="clear" w:color="auto" w:fill="FFF2CC"/>
            <w:vAlign w:val="center"/>
          </w:tcPr>
          <w:p w14:paraId="4340960A"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Sredstva za realizaciju  i informacija o izradi RIA</w:t>
            </w:r>
          </w:p>
        </w:tc>
        <w:tc>
          <w:tcPr>
            <w:tcW w:w="1710" w:type="dxa"/>
            <w:gridSpan w:val="7"/>
            <w:shd w:val="clear" w:color="auto" w:fill="FFF2CC"/>
            <w:vAlign w:val="center"/>
          </w:tcPr>
          <w:p w14:paraId="1FC8CAA9"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 xml:space="preserve"> Izvor finansiranja</w:t>
            </w:r>
          </w:p>
        </w:tc>
        <w:tc>
          <w:tcPr>
            <w:tcW w:w="1890" w:type="dxa"/>
            <w:shd w:val="clear" w:color="auto" w:fill="FFF2CC"/>
            <w:vAlign w:val="center"/>
          </w:tcPr>
          <w:p w14:paraId="751384BE"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p>
          <w:p w14:paraId="08D85494"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Obrazloženje</w:t>
            </w:r>
          </w:p>
        </w:tc>
      </w:tr>
      <w:tr w:rsidR="00153252" w:rsidRPr="00153252" w14:paraId="30B297E6" w14:textId="77777777" w:rsidTr="00D003CC">
        <w:trPr>
          <w:cantSplit/>
          <w:trHeight w:val="64"/>
          <w:tblHeader/>
        </w:trPr>
        <w:tc>
          <w:tcPr>
            <w:tcW w:w="750" w:type="dxa"/>
            <w:gridSpan w:val="2"/>
          </w:tcPr>
          <w:p w14:paraId="7833CB1F"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1.</w:t>
            </w:r>
          </w:p>
          <w:p w14:paraId="76046EF3" w14:textId="77777777" w:rsidR="00153252" w:rsidRPr="00153252" w:rsidRDefault="00153252" w:rsidP="00153252">
            <w:pPr>
              <w:spacing w:after="0" w:line="240" w:lineRule="auto"/>
              <w:rPr>
                <w:rFonts w:ascii="Arial Narrow" w:eastAsia="Arial Narrow" w:hAnsi="Arial Narrow" w:cs="Arial Narrow"/>
                <w:sz w:val="20"/>
                <w:szCs w:val="20"/>
              </w:rPr>
            </w:pPr>
          </w:p>
          <w:p w14:paraId="232168E0" w14:textId="77777777" w:rsidR="00153252" w:rsidRPr="00153252" w:rsidRDefault="00153252" w:rsidP="00153252">
            <w:pPr>
              <w:spacing w:after="0" w:line="240" w:lineRule="auto"/>
              <w:rPr>
                <w:rFonts w:ascii="Arial Narrow" w:eastAsia="Arial Narrow" w:hAnsi="Arial Narrow" w:cs="Arial Narrow"/>
                <w:sz w:val="20"/>
                <w:szCs w:val="20"/>
              </w:rPr>
            </w:pPr>
          </w:p>
          <w:p w14:paraId="53C111F2" w14:textId="77777777" w:rsidR="00153252" w:rsidRPr="00153252" w:rsidRDefault="00153252" w:rsidP="00153252">
            <w:pPr>
              <w:spacing w:after="0" w:line="240" w:lineRule="auto"/>
              <w:rPr>
                <w:rFonts w:ascii="Arial Narrow" w:eastAsia="Arial Narrow" w:hAnsi="Arial Narrow" w:cs="Arial Narrow"/>
                <w:sz w:val="20"/>
                <w:szCs w:val="20"/>
              </w:rPr>
            </w:pPr>
          </w:p>
          <w:p w14:paraId="30DA5013" w14:textId="77777777" w:rsidR="00153252" w:rsidRPr="00153252" w:rsidRDefault="00153252" w:rsidP="00153252">
            <w:pPr>
              <w:spacing w:after="0" w:line="240" w:lineRule="auto"/>
              <w:rPr>
                <w:rFonts w:ascii="Arial Narrow" w:eastAsia="Arial Narrow" w:hAnsi="Arial Narrow" w:cs="Arial Narrow"/>
                <w:sz w:val="20"/>
                <w:szCs w:val="20"/>
              </w:rPr>
            </w:pPr>
          </w:p>
        </w:tc>
        <w:tc>
          <w:tcPr>
            <w:tcW w:w="2280" w:type="dxa"/>
            <w:gridSpan w:val="3"/>
          </w:tcPr>
          <w:p w14:paraId="423EB69A"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r w:rsidRPr="00153252">
              <w:rPr>
                <w:rFonts w:ascii="Arial Narrow" w:eastAsia="Arial Narrow" w:hAnsi="Arial Narrow" w:cs="Arial Narrow"/>
                <w:sz w:val="20"/>
                <w:szCs w:val="20"/>
              </w:rPr>
              <w:t>Pripremiti Program unapređenja inkluzivnosti i otvorenosti javne uprave</w:t>
            </w:r>
          </w:p>
          <w:p w14:paraId="7AF019A5"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6814B7C4"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tc>
        <w:tc>
          <w:tcPr>
            <w:tcW w:w="2625" w:type="dxa"/>
            <w:gridSpan w:val="3"/>
          </w:tcPr>
          <w:p w14:paraId="7DDAB889"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r w:rsidRPr="00153252">
              <w:rPr>
                <w:rFonts w:ascii="Arial Narrow" w:eastAsia="Arial Narrow" w:hAnsi="Arial Narrow" w:cs="Arial Narrow"/>
                <w:sz w:val="20"/>
                <w:szCs w:val="20"/>
              </w:rPr>
              <w:t>Usvojen Program za unapređenje inkluzivnosti i otvorenosti javne uprave</w:t>
            </w:r>
          </w:p>
        </w:tc>
        <w:tc>
          <w:tcPr>
            <w:tcW w:w="1920" w:type="dxa"/>
            <w:gridSpan w:val="6"/>
          </w:tcPr>
          <w:p w14:paraId="4AE653E8" w14:textId="77777777" w:rsidR="00153252" w:rsidRPr="00153252" w:rsidRDefault="00153252" w:rsidP="00153252">
            <w:pPr>
              <w:spacing w:before="20" w:after="20" w:line="240" w:lineRule="auto"/>
              <w:rPr>
                <w:rFonts w:ascii="Arial Narrow" w:eastAsia="Arial Narrow" w:hAnsi="Arial Narrow" w:cs="Arial Narrow"/>
                <w:i/>
                <w:sz w:val="20"/>
                <w:szCs w:val="20"/>
              </w:rPr>
            </w:pPr>
          </w:p>
          <w:p w14:paraId="012DDA1B"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5714E3B9"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r w:rsidRPr="00153252">
              <w:rPr>
                <w:rFonts w:ascii="Arial Narrow" w:eastAsia="Arial Narrow" w:hAnsi="Arial Narrow" w:cs="Arial Narrow"/>
                <w:sz w:val="20"/>
                <w:szCs w:val="20"/>
              </w:rPr>
              <w:t>MJUDDIM</w:t>
            </w:r>
          </w:p>
          <w:p w14:paraId="57710699"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26171172"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tc>
        <w:tc>
          <w:tcPr>
            <w:tcW w:w="1725" w:type="dxa"/>
            <w:gridSpan w:val="3"/>
          </w:tcPr>
          <w:p w14:paraId="5E051189" w14:textId="77777777" w:rsidR="00153252" w:rsidRPr="00153252" w:rsidRDefault="00153252" w:rsidP="00153252">
            <w:pPr>
              <w:spacing w:before="20" w:after="20" w:line="240" w:lineRule="auto"/>
              <w:rPr>
                <w:rFonts w:ascii="Arial Narrow" w:eastAsia="Arial Narrow" w:hAnsi="Arial Narrow" w:cs="Arial Narrow"/>
                <w:i/>
                <w:sz w:val="20"/>
                <w:szCs w:val="20"/>
              </w:rPr>
            </w:pPr>
          </w:p>
          <w:p w14:paraId="037EADC8"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IV Q</w:t>
            </w:r>
          </w:p>
          <w:p w14:paraId="2DDD928C"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284BC3E0"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7DA638FF"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6CE5798F"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3A754495"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3FD4D5AE"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63164DF9"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69BA3A86" w14:textId="77777777" w:rsidR="00153252" w:rsidRPr="00153252" w:rsidRDefault="00153252" w:rsidP="00153252">
            <w:pPr>
              <w:spacing w:before="20" w:after="20" w:line="240" w:lineRule="auto"/>
              <w:rPr>
                <w:rFonts w:ascii="Arial Narrow" w:eastAsia="Arial Narrow" w:hAnsi="Arial Narrow" w:cs="Arial Narrow"/>
                <w:color w:val="FF0000"/>
                <w:sz w:val="20"/>
                <w:szCs w:val="20"/>
              </w:rPr>
            </w:pPr>
          </w:p>
        </w:tc>
        <w:tc>
          <w:tcPr>
            <w:tcW w:w="2130" w:type="dxa"/>
            <w:gridSpan w:val="3"/>
          </w:tcPr>
          <w:p w14:paraId="28640431" w14:textId="77777777" w:rsidR="00153252" w:rsidRPr="00153252" w:rsidRDefault="00153252" w:rsidP="00153252">
            <w:pPr>
              <w:spacing w:before="20" w:after="20" w:line="240" w:lineRule="auto"/>
              <w:rPr>
                <w:rFonts w:ascii="Arial Narrow" w:eastAsia="Arial Narrow" w:hAnsi="Arial Narrow" w:cs="Arial Narrow"/>
                <w:i/>
                <w:sz w:val="20"/>
                <w:szCs w:val="20"/>
              </w:rPr>
            </w:pPr>
          </w:p>
          <w:p w14:paraId="200199A7"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Nijesu potrebna budžetska sredstva</w:t>
            </w:r>
          </w:p>
          <w:p w14:paraId="78706AF0" w14:textId="77777777" w:rsidR="00153252" w:rsidRPr="00153252" w:rsidRDefault="00153252" w:rsidP="00153252">
            <w:pPr>
              <w:spacing w:before="20" w:after="20" w:line="240" w:lineRule="auto"/>
              <w:rPr>
                <w:rFonts w:ascii="Arial Narrow" w:eastAsia="Arial Narrow" w:hAnsi="Arial Narrow" w:cs="Arial Narrow"/>
                <w:sz w:val="20"/>
                <w:szCs w:val="20"/>
              </w:rPr>
            </w:pPr>
          </w:p>
          <w:p w14:paraId="0BC38023"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6617776F"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2D4DCA6C"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1C5B56B2"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7719ACBF"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2F052388" w14:textId="77777777" w:rsidR="00153252" w:rsidRPr="00153252" w:rsidRDefault="00153252" w:rsidP="00153252">
            <w:pPr>
              <w:spacing w:before="20" w:after="20" w:line="240" w:lineRule="auto"/>
              <w:rPr>
                <w:rFonts w:ascii="Arial Narrow" w:eastAsia="Arial Narrow" w:hAnsi="Arial Narrow" w:cs="Arial Narrow"/>
                <w:color w:val="FF0000"/>
                <w:sz w:val="20"/>
                <w:szCs w:val="20"/>
              </w:rPr>
            </w:pPr>
          </w:p>
        </w:tc>
        <w:tc>
          <w:tcPr>
            <w:tcW w:w="1710" w:type="dxa"/>
            <w:gridSpan w:val="7"/>
          </w:tcPr>
          <w:p w14:paraId="7330F3E4" w14:textId="77777777" w:rsidR="00153252" w:rsidRPr="00153252" w:rsidRDefault="00153252" w:rsidP="00153252">
            <w:pPr>
              <w:spacing w:before="20" w:after="20" w:line="240" w:lineRule="auto"/>
              <w:rPr>
                <w:rFonts w:ascii="Arial Narrow" w:eastAsia="Arial Narrow" w:hAnsi="Arial Narrow" w:cs="Arial Narrow"/>
                <w:i/>
                <w:sz w:val="20"/>
                <w:szCs w:val="20"/>
              </w:rPr>
            </w:pPr>
          </w:p>
          <w:p w14:paraId="380969B7"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r w:rsidRPr="00153252">
              <w:rPr>
                <w:rFonts w:ascii="Arial Narrow" w:eastAsia="Arial Narrow" w:hAnsi="Arial Narrow" w:cs="Arial Narrow"/>
                <w:sz w:val="20"/>
                <w:szCs w:val="20"/>
              </w:rPr>
              <w:t>Nijesu potrebna budžetska sredstva</w:t>
            </w:r>
          </w:p>
          <w:p w14:paraId="5C295CEF"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39DF134B"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3DF3EF40"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522E3D45"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52F163CC"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tc>
        <w:tc>
          <w:tcPr>
            <w:tcW w:w="1890" w:type="dxa"/>
          </w:tcPr>
          <w:p w14:paraId="118E59E3"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r w:rsidRPr="00153252">
              <w:rPr>
                <w:rFonts w:ascii="Arial Narrow" w:eastAsia="Arial Narrow" w:hAnsi="Arial Narrow" w:cs="Arial Narrow"/>
                <w:sz w:val="20"/>
                <w:szCs w:val="20"/>
              </w:rPr>
              <w:t xml:space="preserve">U skladu sa ekspozeom premijara u dijelu prioriteta potpune transparentnosti rada državne administracije,, kao i strateškim i normativnim okvirima kojima je uređena oblast otvorenosti javne uprave  okvirima biće pripremljen nacrt Programa unapređenja inkluzivnosti i otvorenosti javne uprave. To će podrazumijevati definisanje principa i standarda, alata, metodologija, dobrih praksi koji će se primijeniti u svim organima državne uprave. To će posebno uključiti mehanizme za standardizaciju principa jednakosti, ravnopravnosti, inkluzivnosti, pristupačnosti, zabrane diskriminacije u djelovanju i u postupcima pred organima državne uprave. </w:t>
            </w:r>
          </w:p>
          <w:p w14:paraId="1D1B059A"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tc>
      </w:tr>
      <w:tr w:rsidR="00153252" w:rsidRPr="00153252" w14:paraId="691C0920" w14:textId="77777777" w:rsidTr="00D003CC">
        <w:trPr>
          <w:cantSplit/>
          <w:tblHeader/>
        </w:trPr>
        <w:tc>
          <w:tcPr>
            <w:tcW w:w="750" w:type="dxa"/>
            <w:gridSpan w:val="2"/>
          </w:tcPr>
          <w:p w14:paraId="4E7A19D0"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 xml:space="preserve">2. </w:t>
            </w:r>
          </w:p>
        </w:tc>
        <w:tc>
          <w:tcPr>
            <w:tcW w:w="2280" w:type="dxa"/>
            <w:gridSpan w:val="3"/>
          </w:tcPr>
          <w:p w14:paraId="3D3D1070"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Dizajniranje i usvajanje Nacionalnog akcionog plana za sprovođenje inicijative Partnerstvo za otvorenu upravu u Crnoj Gori do 2023. godine</w:t>
            </w:r>
          </w:p>
        </w:tc>
        <w:tc>
          <w:tcPr>
            <w:tcW w:w="2625" w:type="dxa"/>
            <w:gridSpan w:val="3"/>
          </w:tcPr>
          <w:p w14:paraId="6AAC644A"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Usvojen Nacionalni akcioni plan za sprovođenje inicijative Partnerstvo za otvorenu upravu u Crnoj Gori</w:t>
            </w:r>
          </w:p>
        </w:tc>
        <w:tc>
          <w:tcPr>
            <w:tcW w:w="1920" w:type="dxa"/>
            <w:gridSpan w:val="6"/>
            <w:vAlign w:val="center"/>
          </w:tcPr>
          <w:p w14:paraId="72904F49"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MJUDDM</w:t>
            </w:r>
          </w:p>
          <w:p w14:paraId="253E8CA5"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Operativni tim za sprovođenje inicijative Partnerstvo za otvorenu upravu u Crnoj Gori</w:t>
            </w:r>
          </w:p>
        </w:tc>
        <w:tc>
          <w:tcPr>
            <w:tcW w:w="1725" w:type="dxa"/>
            <w:gridSpan w:val="3"/>
            <w:vAlign w:val="center"/>
          </w:tcPr>
          <w:p w14:paraId="6BA669C9"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IV Q 2021</w:t>
            </w:r>
          </w:p>
          <w:p w14:paraId="6A3527AC"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II Q 2022</w:t>
            </w:r>
          </w:p>
        </w:tc>
        <w:tc>
          <w:tcPr>
            <w:tcW w:w="2130" w:type="dxa"/>
            <w:gridSpan w:val="3"/>
            <w:vAlign w:val="center"/>
          </w:tcPr>
          <w:p w14:paraId="143FE1CE"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5.000 eura</w:t>
            </w:r>
          </w:p>
        </w:tc>
        <w:tc>
          <w:tcPr>
            <w:tcW w:w="1710" w:type="dxa"/>
            <w:gridSpan w:val="7"/>
            <w:vAlign w:val="center"/>
          </w:tcPr>
          <w:p w14:paraId="71C65A06"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Donatorska sredstva</w:t>
            </w:r>
          </w:p>
        </w:tc>
        <w:tc>
          <w:tcPr>
            <w:tcW w:w="1890" w:type="dxa"/>
            <w:vAlign w:val="center"/>
          </w:tcPr>
          <w:p w14:paraId="61788F3D" w14:textId="77777777" w:rsidR="00153252" w:rsidRPr="00153252" w:rsidRDefault="00153252" w:rsidP="00153252">
            <w:pPr>
              <w:spacing w:before="240" w:after="24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Izarada novog NAP je predsulov za zadržavanje statusa aktivne članice globalne inicijative POU, kojoj se Crna Gora pridružila 2012. godine. Kreiranje novog NAP-a je prilika da se afirmišu nove ideje i predlozi  oblasti i aktivnosti kojima će biti ostvaren doprinos prioritetima i težnjama građana u odnosu sa donosiocima odluka, korišćenju moći novih tehnologija kako bi javna uprava bila efikasnija i odgovornija, te koje će doprinijeti održivoj i inkluzivnijoj zajednici, kao i boljoj saradnji između Vlade i organizacija civilnog društva i poslovnog sektora.</w:t>
            </w:r>
          </w:p>
        </w:tc>
      </w:tr>
      <w:tr w:rsidR="00153252" w:rsidRPr="00153252" w14:paraId="588778F9" w14:textId="77777777" w:rsidTr="00D003CC">
        <w:trPr>
          <w:cantSplit/>
          <w:tblHeader/>
        </w:trPr>
        <w:tc>
          <w:tcPr>
            <w:tcW w:w="750" w:type="dxa"/>
            <w:gridSpan w:val="2"/>
          </w:tcPr>
          <w:p w14:paraId="7396F507"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3.</w:t>
            </w:r>
          </w:p>
        </w:tc>
        <w:tc>
          <w:tcPr>
            <w:tcW w:w="2280" w:type="dxa"/>
            <w:gridSpan w:val="3"/>
          </w:tcPr>
          <w:p w14:paraId="0142F6AC"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Unapređenje portala www.data.gov.me </w:t>
            </w:r>
          </w:p>
          <w:p w14:paraId="00FDD1F8"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2625" w:type="dxa"/>
            <w:gridSpan w:val="3"/>
          </w:tcPr>
          <w:p w14:paraId="246CD463"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Informacija o Povećanju  broja ukupnih data setova, sa </w:t>
            </w:r>
          </w:p>
          <w:p w14:paraId="7E1CAF44"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analizom potrebe za poboljšanjem funkcionalnosti portala</w:t>
            </w:r>
          </w:p>
        </w:tc>
        <w:tc>
          <w:tcPr>
            <w:tcW w:w="1920" w:type="dxa"/>
            <w:gridSpan w:val="6"/>
            <w:vAlign w:val="center"/>
          </w:tcPr>
          <w:p w14:paraId="2D7CB855"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MJUDDM</w:t>
            </w:r>
          </w:p>
          <w:p w14:paraId="24B8510C" w14:textId="77777777" w:rsidR="00153252" w:rsidRPr="00153252" w:rsidRDefault="00153252" w:rsidP="00F27DB4">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MONSTAT</w:t>
            </w:r>
          </w:p>
          <w:p w14:paraId="4E0A0DBA" w14:textId="77777777" w:rsidR="00153252" w:rsidRPr="00153252" w:rsidRDefault="00153252" w:rsidP="00F27DB4">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ZOCG</w:t>
            </w:r>
          </w:p>
          <w:p w14:paraId="72BD86A3" w14:textId="77777777" w:rsidR="00153252" w:rsidRPr="00153252" w:rsidRDefault="00153252" w:rsidP="00F27DB4">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JLS</w:t>
            </w:r>
          </w:p>
          <w:p w14:paraId="6BE314E5" w14:textId="77777777" w:rsidR="00153252" w:rsidRPr="00153252" w:rsidRDefault="00153252" w:rsidP="00F27DB4">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Organi obveznici Zakona o SPI</w:t>
            </w:r>
          </w:p>
          <w:p w14:paraId="01A594CC" w14:textId="77777777" w:rsidR="00153252" w:rsidRPr="00153252" w:rsidRDefault="00153252" w:rsidP="00F27DB4">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Savjet za otvorene podatke</w:t>
            </w:r>
          </w:p>
        </w:tc>
        <w:tc>
          <w:tcPr>
            <w:tcW w:w="1725" w:type="dxa"/>
            <w:gridSpan w:val="3"/>
            <w:vAlign w:val="center"/>
          </w:tcPr>
          <w:p w14:paraId="484A1679" w14:textId="77777777" w:rsidR="00153252" w:rsidRPr="00153252" w:rsidRDefault="00153252" w:rsidP="00F27DB4">
            <w:pPr>
              <w:spacing w:before="20" w:after="2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IV Q</w:t>
            </w:r>
          </w:p>
        </w:tc>
        <w:tc>
          <w:tcPr>
            <w:tcW w:w="2130" w:type="dxa"/>
            <w:gridSpan w:val="3"/>
            <w:vAlign w:val="center"/>
          </w:tcPr>
          <w:p w14:paraId="5D4CFAEB"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1710" w:type="dxa"/>
            <w:gridSpan w:val="7"/>
            <w:vAlign w:val="center"/>
          </w:tcPr>
          <w:p w14:paraId="6D43024E"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EU fondovi/UNDP</w:t>
            </w:r>
          </w:p>
        </w:tc>
        <w:tc>
          <w:tcPr>
            <w:tcW w:w="1890" w:type="dxa"/>
            <w:vAlign w:val="center"/>
          </w:tcPr>
          <w:p w14:paraId="3EBC4A9F" w14:textId="77777777" w:rsidR="00153252" w:rsidRPr="00153252" w:rsidRDefault="00153252" w:rsidP="00153252">
            <w:pPr>
              <w:spacing w:before="240" w:after="240" w:line="276" w:lineRule="auto"/>
              <w:jc w:val="both"/>
              <w:rPr>
                <w:rFonts w:ascii="Arial Narrow" w:eastAsia="Arial Narrow" w:hAnsi="Arial Narrow" w:cs="Arial Narrow"/>
                <w:sz w:val="20"/>
                <w:szCs w:val="20"/>
              </w:rPr>
            </w:pPr>
            <w:r w:rsidRPr="00153252">
              <w:rPr>
                <w:rFonts w:ascii="Arial Narrow" w:eastAsia="Arial Narrow" w:hAnsi="Arial Narrow" w:cs="Arial Narrow"/>
                <w:color w:val="000000"/>
                <w:sz w:val="20"/>
                <w:szCs w:val="20"/>
              </w:rPr>
              <w:t>U skladu sa ekspozeom Premijera, posebno u dijelu otvorenosti i potpune transparentnosti javne administracije, planirane su aktivnosti na unapređenju portal otvorenih podataka. Unapređenje portala obuhvata najprije reviziju postojećih setova podataka, dodavanje novih, high added value setova podataka, unapređenje pretrage portala, naprednog sistema monitoringa i notifikacija nad skupovima, sistema za ocjenjivanje skupova, ali i proširenje objavom setova podataka sa nivoa lokalnih samouprava.</w:t>
            </w:r>
          </w:p>
        </w:tc>
      </w:tr>
      <w:tr w:rsidR="00153252" w:rsidRPr="00153252" w14:paraId="1F934EA4" w14:textId="77777777" w:rsidTr="00D003CC">
        <w:trPr>
          <w:cantSplit/>
          <w:tblHeader/>
        </w:trPr>
        <w:tc>
          <w:tcPr>
            <w:tcW w:w="750" w:type="dxa"/>
            <w:gridSpan w:val="2"/>
          </w:tcPr>
          <w:p w14:paraId="6038BFAC"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4.</w:t>
            </w:r>
          </w:p>
        </w:tc>
        <w:tc>
          <w:tcPr>
            <w:tcW w:w="2280" w:type="dxa"/>
            <w:gridSpan w:val="3"/>
          </w:tcPr>
          <w:p w14:paraId="7C1E13CE"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Utvrditi Zakon o izmjenama i dopunama Zakona o nevladinim organizacijama</w:t>
            </w:r>
          </w:p>
        </w:tc>
        <w:tc>
          <w:tcPr>
            <w:tcW w:w="2625" w:type="dxa"/>
            <w:gridSpan w:val="3"/>
          </w:tcPr>
          <w:p w14:paraId="28EABC60"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Utvrđen predlog zakona o izmjenama i dopunama Zakona o nevladinim organizacijama</w:t>
            </w:r>
          </w:p>
        </w:tc>
        <w:tc>
          <w:tcPr>
            <w:tcW w:w="1920" w:type="dxa"/>
            <w:gridSpan w:val="6"/>
            <w:vAlign w:val="center"/>
          </w:tcPr>
          <w:p w14:paraId="50497023"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NI: MJUDDIM</w:t>
            </w:r>
          </w:p>
          <w:p w14:paraId="2C5FD093" w14:textId="77777777" w:rsidR="00153252" w:rsidRPr="00153252" w:rsidRDefault="00153252" w:rsidP="00153252">
            <w:pPr>
              <w:spacing w:before="20" w:after="20" w:line="240" w:lineRule="auto"/>
              <w:rPr>
                <w:rFonts w:ascii="Arial Narrow" w:eastAsia="Arial Narrow" w:hAnsi="Arial Narrow" w:cs="Arial Narrow"/>
                <w:sz w:val="20"/>
                <w:szCs w:val="20"/>
              </w:rPr>
            </w:pPr>
          </w:p>
          <w:p w14:paraId="72D1536B"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NK: KPS, KEPIF</w:t>
            </w:r>
          </w:p>
        </w:tc>
        <w:tc>
          <w:tcPr>
            <w:tcW w:w="1725" w:type="dxa"/>
            <w:gridSpan w:val="3"/>
            <w:vAlign w:val="center"/>
          </w:tcPr>
          <w:p w14:paraId="637A1CAA"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III Q 2022.</w:t>
            </w:r>
          </w:p>
        </w:tc>
        <w:tc>
          <w:tcPr>
            <w:tcW w:w="2130" w:type="dxa"/>
            <w:gridSpan w:val="3"/>
            <w:vAlign w:val="center"/>
          </w:tcPr>
          <w:p w14:paraId="5EAA9C11"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7.000</w:t>
            </w:r>
          </w:p>
        </w:tc>
        <w:tc>
          <w:tcPr>
            <w:tcW w:w="1710" w:type="dxa"/>
            <w:gridSpan w:val="7"/>
            <w:vAlign w:val="center"/>
          </w:tcPr>
          <w:p w14:paraId="5232311C"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Budzet/TA</w:t>
            </w:r>
          </w:p>
        </w:tc>
        <w:tc>
          <w:tcPr>
            <w:tcW w:w="1890" w:type="dxa"/>
            <w:vAlign w:val="center"/>
          </w:tcPr>
          <w:p w14:paraId="6A92DF74" w14:textId="77777777" w:rsidR="00153252" w:rsidRPr="00153252" w:rsidRDefault="00153252" w:rsidP="00153252">
            <w:pPr>
              <w:spacing w:before="240" w:after="24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Ovim zakonom izvšiće se unaprijeđenje normativnog okvira za djelovanje nevladinih organizacija od postupka osnivanja, upisa i brisanja, do finansiranja i drugih pitanja od značaja za rad i djelovanje NVO</w:t>
            </w:r>
          </w:p>
        </w:tc>
      </w:tr>
      <w:tr w:rsidR="00153252" w:rsidRPr="00153252" w14:paraId="6D1C4B60" w14:textId="77777777" w:rsidTr="00D003CC">
        <w:trPr>
          <w:cantSplit/>
          <w:tblHeader/>
        </w:trPr>
        <w:tc>
          <w:tcPr>
            <w:tcW w:w="750" w:type="dxa"/>
            <w:gridSpan w:val="2"/>
          </w:tcPr>
          <w:p w14:paraId="713CB9D3"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5.</w:t>
            </w:r>
          </w:p>
        </w:tc>
        <w:tc>
          <w:tcPr>
            <w:tcW w:w="2280" w:type="dxa"/>
            <w:gridSpan w:val="3"/>
          </w:tcPr>
          <w:p w14:paraId="41B1C219"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Usvajanje Strategija unapređenja saradnje organa državne uprave i nevladinih organizacija</w:t>
            </w:r>
          </w:p>
        </w:tc>
        <w:tc>
          <w:tcPr>
            <w:tcW w:w="2625" w:type="dxa"/>
            <w:gridSpan w:val="3"/>
          </w:tcPr>
          <w:p w14:paraId="5B700907"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Usvojena Strategija unapređenja saradnje organa državne uprave i nevladinih organizacija</w:t>
            </w:r>
          </w:p>
          <w:p w14:paraId="74174A79"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1920" w:type="dxa"/>
            <w:gridSpan w:val="6"/>
            <w:vAlign w:val="center"/>
          </w:tcPr>
          <w:p w14:paraId="3C910A9B"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MJUDDM</w:t>
            </w:r>
          </w:p>
        </w:tc>
        <w:tc>
          <w:tcPr>
            <w:tcW w:w="1725" w:type="dxa"/>
            <w:gridSpan w:val="3"/>
            <w:vAlign w:val="center"/>
          </w:tcPr>
          <w:p w14:paraId="23509F85"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II Q 2022.</w:t>
            </w:r>
          </w:p>
        </w:tc>
        <w:tc>
          <w:tcPr>
            <w:tcW w:w="2130" w:type="dxa"/>
            <w:gridSpan w:val="3"/>
            <w:vAlign w:val="center"/>
          </w:tcPr>
          <w:p w14:paraId="67048888"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1710" w:type="dxa"/>
            <w:gridSpan w:val="7"/>
            <w:vAlign w:val="center"/>
          </w:tcPr>
          <w:p w14:paraId="33F6B3BB"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Budzet/TA</w:t>
            </w:r>
          </w:p>
        </w:tc>
        <w:tc>
          <w:tcPr>
            <w:tcW w:w="1890" w:type="dxa"/>
            <w:vAlign w:val="center"/>
          </w:tcPr>
          <w:p w14:paraId="1A59DD1C" w14:textId="77777777" w:rsidR="00153252" w:rsidRPr="00153252" w:rsidRDefault="00153252" w:rsidP="00153252">
            <w:pPr>
              <w:spacing w:after="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U toku 2021. godine formirana je Radna grupa za izradu Strategije saradnje organa državne uprave i nevladinih organizacija i pripremljen je i Nacrt Strategije saradnje ODU i NVO 2022-2026 i AP 2023-2024. U decembru je planirano objavljivanje javnog poziva za učešće svih zainteresovanih lica, organizacija i zajednica, da se uključe u javnu raspravu i daju svoj doprinos u razmatranju Nacrta Strategije.</w:t>
            </w:r>
          </w:p>
          <w:p w14:paraId="04843C4A" w14:textId="77777777" w:rsidR="00153252" w:rsidRPr="00153252" w:rsidRDefault="00153252" w:rsidP="00153252">
            <w:pPr>
              <w:spacing w:after="0" w:line="240" w:lineRule="auto"/>
              <w:rPr>
                <w:rFonts w:ascii="Arial Narrow" w:eastAsia="Arial Narrow" w:hAnsi="Arial Narrow" w:cs="Arial Narrow"/>
                <w:sz w:val="20"/>
                <w:szCs w:val="20"/>
              </w:rPr>
            </w:pPr>
          </w:p>
          <w:p w14:paraId="60099070" w14:textId="77777777" w:rsidR="00153252" w:rsidRPr="00153252" w:rsidRDefault="00153252" w:rsidP="00153252">
            <w:pPr>
              <w:spacing w:after="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U toku izrade navedenog strateškog dokumenta suočeni smo sa raznim izazovima.  Između ostalog došlo je do odustajanja jednog predstavnika nevladinih organaizacija kao člana Rradne grupe za izradu Strategije. Shodno navedenom po drugi put je raspisan javni poziv nevladinim </w:t>
            </w:r>
            <w:r w:rsidRPr="00153252">
              <w:rPr>
                <w:rFonts w:ascii="Arial Narrow" w:eastAsia="Arial Narrow" w:hAnsi="Arial Narrow" w:cs="Arial Narrow"/>
                <w:sz w:val="20"/>
                <w:szCs w:val="20"/>
              </w:rPr>
              <w:lastRenderedPageBreak/>
              <w:t xml:space="preserve">organizacijama za predlaganje tri predstavinika za člana Radne grupe za izradu Strategije što je dodatno produžilo proces razvijanja strateškog okvira. </w:t>
            </w:r>
          </w:p>
          <w:p w14:paraId="69F7034F" w14:textId="77777777" w:rsidR="00153252" w:rsidRPr="00153252" w:rsidRDefault="00153252" w:rsidP="00153252">
            <w:pPr>
              <w:spacing w:after="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Takođe, jedan od izazova je način finasiranja NVO koji je potrebno utrvrditi. U skladu sa predloženim načinom finansiranja NVO sektora, Strategijom saradnje ODU i NVO će se prepoznati dodatne mjere  i aktivnosti.</w:t>
            </w:r>
          </w:p>
          <w:p w14:paraId="4446D9BF" w14:textId="77777777" w:rsidR="00153252" w:rsidRPr="00153252" w:rsidRDefault="00153252" w:rsidP="00153252">
            <w:pPr>
              <w:spacing w:before="240" w:after="240" w:line="276" w:lineRule="auto"/>
              <w:jc w:val="both"/>
              <w:rPr>
                <w:rFonts w:ascii="Arial Narrow" w:eastAsia="Arial Narrow" w:hAnsi="Arial Narrow" w:cs="Arial Narrow"/>
                <w:sz w:val="20"/>
                <w:szCs w:val="20"/>
              </w:rPr>
            </w:pPr>
          </w:p>
        </w:tc>
      </w:tr>
      <w:tr w:rsidR="00153252" w:rsidRPr="00153252" w14:paraId="6121AD49" w14:textId="77777777" w:rsidTr="00D003CC">
        <w:trPr>
          <w:cantSplit/>
          <w:tblHeader/>
        </w:trPr>
        <w:tc>
          <w:tcPr>
            <w:tcW w:w="750" w:type="dxa"/>
            <w:gridSpan w:val="2"/>
          </w:tcPr>
          <w:p w14:paraId="71849DA7"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6.</w:t>
            </w:r>
          </w:p>
        </w:tc>
        <w:tc>
          <w:tcPr>
            <w:tcW w:w="2280" w:type="dxa"/>
            <w:gridSpan w:val="3"/>
          </w:tcPr>
          <w:p w14:paraId="07A11292"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Utvrditi Predlog Zakona o Vladi </w:t>
            </w:r>
          </w:p>
        </w:tc>
        <w:tc>
          <w:tcPr>
            <w:tcW w:w="2625" w:type="dxa"/>
            <w:gridSpan w:val="3"/>
          </w:tcPr>
          <w:p w14:paraId="49522B1A"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Utvrđen predlog zakona o Vladi</w:t>
            </w:r>
          </w:p>
        </w:tc>
        <w:tc>
          <w:tcPr>
            <w:tcW w:w="1920" w:type="dxa"/>
            <w:gridSpan w:val="6"/>
            <w:vAlign w:val="center"/>
          </w:tcPr>
          <w:p w14:paraId="704C69E5"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MJUDDIM</w:t>
            </w:r>
          </w:p>
        </w:tc>
        <w:tc>
          <w:tcPr>
            <w:tcW w:w="1725" w:type="dxa"/>
            <w:gridSpan w:val="3"/>
            <w:vAlign w:val="center"/>
          </w:tcPr>
          <w:p w14:paraId="3E877425"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 II Q 2022.</w:t>
            </w:r>
          </w:p>
        </w:tc>
        <w:tc>
          <w:tcPr>
            <w:tcW w:w="2130" w:type="dxa"/>
            <w:gridSpan w:val="3"/>
            <w:vAlign w:val="center"/>
          </w:tcPr>
          <w:p w14:paraId="6D7F9651"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1710" w:type="dxa"/>
            <w:gridSpan w:val="7"/>
            <w:vAlign w:val="center"/>
          </w:tcPr>
          <w:p w14:paraId="52B68A53"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Budžet</w:t>
            </w:r>
          </w:p>
        </w:tc>
        <w:tc>
          <w:tcPr>
            <w:tcW w:w="1890" w:type="dxa"/>
            <w:vAlign w:val="center"/>
          </w:tcPr>
          <w:p w14:paraId="3FE57761" w14:textId="77777777" w:rsidR="00153252" w:rsidRPr="00153252" w:rsidRDefault="00153252" w:rsidP="00F43978">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MJUDDM je sprovelo konsultovanje zainteresovane javnosti povodom pripreme Nacrta zakona o Vladi Crne Gore, razmotrilo sugestije sa posebnom pažnjom i izvještaj sa konsultovanja objavilo na sajtu MJUDDM i Portalu e-Uprave e-Uprave(</w:t>
            </w:r>
            <w:r w:rsidR="00A53CB2">
              <w:fldChar w:fldCharType="begin"/>
            </w:r>
            <w:r w:rsidR="00A53CB2">
              <w:instrText xml:space="preserve"> HYPERLINK "https://wapi.gov.me/download/2f2c4363-0e8a-44c4-b7a8-594d0fce5eab?version=1.0" \h </w:instrText>
            </w:r>
            <w:r w:rsidR="00A53CB2">
              <w:fldChar w:fldCharType="separate"/>
            </w:r>
            <w:r w:rsidRPr="00153252">
              <w:rPr>
                <w:rFonts w:ascii="Arial Narrow" w:eastAsia="Arial Narrow" w:hAnsi="Arial Narrow" w:cs="Arial Narrow"/>
                <w:sz w:val="20"/>
                <w:szCs w:val="20"/>
              </w:rPr>
              <w:t>https://wapi.gov.me/download/2f2c4363-0e8a-44c4-b7a8-594d0fce5eab?version=1.0</w:t>
            </w:r>
            <w:r w:rsidR="00A53CB2">
              <w:rPr>
                <w:rFonts w:ascii="Arial Narrow" w:eastAsia="Arial Narrow" w:hAnsi="Arial Narrow" w:cs="Arial Narrow"/>
                <w:sz w:val="20"/>
                <w:szCs w:val="20"/>
              </w:rPr>
              <w:fldChar w:fldCharType="end"/>
            </w:r>
            <w:r w:rsidRPr="00153252">
              <w:rPr>
                <w:rFonts w:ascii="Arial Narrow" w:eastAsia="Arial Narrow" w:hAnsi="Arial Narrow" w:cs="Arial Narrow"/>
                <w:sz w:val="20"/>
                <w:szCs w:val="20"/>
              </w:rPr>
              <w:t xml:space="preserve"> ). U saradnji sa SIGMA-om pripremljen je pregled svih pitanja koja mogu biti predmet pravne regulative prilikom pripreme ovog zakona, kao i Polazne osnove za pripremu Zakona o Vladi. Donošenjem ovog zakona po prvi put će se sistematski urediti položaj, nadležnosti, odnosi Vlade Crne Gore, kao nosioca izvršne vlasti u sistemu podjele funkcija vlasti.</w:t>
            </w:r>
          </w:p>
        </w:tc>
      </w:tr>
      <w:tr w:rsidR="00153252" w:rsidRPr="00153252" w14:paraId="4E8B8919" w14:textId="77777777" w:rsidTr="00D003CC">
        <w:trPr>
          <w:cantSplit/>
          <w:tblHeader/>
        </w:trPr>
        <w:tc>
          <w:tcPr>
            <w:tcW w:w="750" w:type="dxa"/>
            <w:gridSpan w:val="2"/>
          </w:tcPr>
          <w:p w14:paraId="6401BCAF"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7.</w:t>
            </w:r>
          </w:p>
        </w:tc>
        <w:tc>
          <w:tcPr>
            <w:tcW w:w="2280" w:type="dxa"/>
            <w:gridSpan w:val="3"/>
          </w:tcPr>
          <w:p w14:paraId="31B06662"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Usvajanje Izvještaja o postupanju u upravnim stvarima </w:t>
            </w:r>
          </w:p>
        </w:tc>
        <w:tc>
          <w:tcPr>
            <w:tcW w:w="2625" w:type="dxa"/>
            <w:gridSpan w:val="3"/>
          </w:tcPr>
          <w:p w14:paraId="57548B27"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Usvojen izvještaj o stanju u upravnim stvarima</w:t>
            </w:r>
          </w:p>
        </w:tc>
        <w:tc>
          <w:tcPr>
            <w:tcW w:w="1920" w:type="dxa"/>
            <w:gridSpan w:val="6"/>
            <w:vAlign w:val="center"/>
          </w:tcPr>
          <w:p w14:paraId="616B30EE"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MJUDDIM</w:t>
            </w:r>
          </w:p>
        </w:tc>
        <w:tc>
          <w:tcPr>
            <w:tcW w:w="1725" w:type="dxa"/>
            <w:gridSpan w:val="3"/>
            <w:vAlign w:val="center"/>
          </w:tcPr>
          <w:p w14:paraId="68410B87"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Q 2022.</w:t>
            </w:r>
          </w:p>
        </w:tc>
        <w:tc>
          <w:tcPr>
            <w:tcW w:w="2130" w:type="dxa"/>
            <w:gridSpan w:val="3"/>
            <w:vAlign w:val="center"/>
          </w:tcPr>
          <w:p w14:paraId="2264178E"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1710" w:type="dxa"/>
            <w:gridSpan w:val="7"/>
            <w:vAlign w:val="center"/>
          </w:tcPr>
          <w:p w14:paraId="74E8706F"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Nijesu potrebna finansjska sredstva</w:t>
            </w:r>
          </w:p>
        </w:tc>
        <w:tc>
          <w:tcPr>
            <w:tcW w:w="1890" w:type="dxa"/>
            <w:vAlign w:val="center"/>
          </w:tcPr>
          <w:p w14:paraId="142E47F7" w14:textId="77777777" w:rsidR="00153252" w:rsidRPr="00153252" w:rsidRDefault="00153252" w:rsidP="00153252">
            <w:pPr>
              <w:spacing w:before="240" w:after="24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Priprema Izvještaja o postupanju u upravnim stvarima je obaveza propisana Zakonom o upravnom postupku.</w:t>
            </w:r>
          </w:p>
        </w:tc>
      </w:tr>
      <w:tr w:rsidR="00153252" w:rsidRPr="00153252" w14:paraId="01E87778" w14:textId="77777777" w:rsidTr="00D003CC">
        <w:trPr>
          <w:cantSplit/>
          <w:trHeight w:val="433"/>
          <w:tblHeader/>
        </w:trPr>
        <w:tc>
          <w:tcPr>
            <w:tcW w:w="2925" w:type="dxa"/>
            <w:gridSpan w:val="4"/>
            <w:shd w:val="clear" w:color="auto" w:fill="D9E2F3"/>
          </w:tcPr>
          <w:p w14:paraId="5A177107"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bookmarkStart w:id="3" w:name="_Hlk89628768"/>
            <w:r w:rsidRPr="00153252">
              <w:rPr>
                <w:rFonts w:ascii="Arial Narrow" w:eastAsia="Arial Narrow" w:hAnsi="Arial Narrow" w:cs="Arial Narrow"/>
                <w:b/>
                <w:sz w:val="20"/>
                <w:szCs w:val="20"/>
              </w:rPr>
              <w:t xml:space="preserve">Cilj </w:t>
            </w:r>
            <w:r w:rsidR="008C27D0">
              <w:rPr>
                <w:rFonts w:ascii="Arial Narrow" w:eastAsia="Arial Narrow" w:hAnsi="Arial Narrow" w:cs="Arial Narrow"/>
                <w:b/>
                <w:sz w:val="20"/>
                <w:szCs w:val="20"/>
              </w:rPr>
              <w:t>1.</w:t>
            </w:r>
            <w:r w:rsidR="00EC3AD6">
              <w:rPr>
                <w:rFonts w:ascii="Arial Narrow" w:eastAsia="Arial Narrow" w:hAnsi="Arial Narrow" w:cs="Arial Narrow"/>
                <w:b/>
                <w:sz w:val="20"/>
                <w:szCs w:val="20"/>
              </w:rPr>
              <w:t>4</w:t>
            </w:r>
            <w:r w:rsidR="00D003CC">
              <w:rPr>
                <w:rFonts w:ascii="Arial Narrow" w:eastAsia="Arial Narrow" w:hAnsi="Arial Narrow" w:cs="Arial Narrow"/>
                <w:b/>
                <w:sz w:val="20"/>
                <w:szCs w:val="20"/>
              </w:rPr>
              <w:t>.</w:t>
            </w:r>
          </w:p>
          <w:p w14:paraId="5057F76D"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p>
        </w:tc>
        <w:tc>
          <w:tcPr>
            <w:tcW w:w="12105" w:type="dxa"/>
            <w:gridSpan w:val="24"/>
            <w:shd w:val="clear" w:color="auto" w:fill="D9E2F3"/>
          </w:tcPr>
          <w:p w14:paraId="59BC014A" w14:textId="77777777" w:rsidR="00153252" w:rsidRPr="00153252" w:rsidRDefault="00153252" w:rsidP="00153252">
            <w:pPr>
              <w:spacing w:before="40" w:after="40" w:line="240" w:lineRule="auto"/>
              <w:jc w:val="both"/>
              <w:rPr>
                <w:rFonts w:ascii="Arial Narrow" w:eastAsia="Arial Narrow" w:hAnsi="Arial Narrow" w:cs="Arial Narrow"/>
                <w:b/>
                <w:sz w:val="20"/>
                <w:szCs w:val="20"/>
              </w:rPr>
            </w:pPr>
            <w:r w:rsidRPr="00153252">
              <w:rPr>
                <w:rFonts w:ascii="Arial Narrow" w:eastAsia="Arial Narrow" w:hAnsi="Arial Narrow" w:cs="Arial Narrow"/>
                <w:b/>
                <w:sz w:val="20"/>
                <w:szCs w:val="20"/>
              </w:rPr>
              <w:t>P</w:t>
            </w:r>
            <w:r w:rsidR="00EC3AD6" w:rsidRPr="00153252">
              <w:rPr>
                <w:rFonts w:ascii="Arial Narrow" w:eastAsia="Arial Narrow" w:hAnsi="Arial Narrow" w:cs="Arial Narrow"/>
                <w:b/>
                <w:sz w:val="20"/>
                <w:szCs w:val="20"/>
              </w:rPr>
              <w:t>rofesionalna javna uprava</w:t>
            </w:r>
          </w:p>
          <w:p w14:paraId="1C8A54EB" w14:textId="77777777" w:rsidR="00153252" w:rsidRPr="00153252" w:rsidRDefault="00153252" w:rsidP="00153252">
            <w:pPr>
              <w:spacing w:before="40" w:after="40" w:line="240" w:lineRule="auto"/>
              <w:jc w:val="both"/>
              <w:rPr>
                <w:rFonts w:ascii="Arial Narrow" w:eastAsia="Arial Narrow" w:hAnsi="Arial Narrow" w:cs="Arial Narrow"/>
                <w:b/>
                <w:sz w:val="20"/>
                <w:szCs w:val="20"/>
              </w:rPr>
            </w:pPr>
          </w:p>
        </w:tc>
      </w:tr>
      <w:tr w:rsidR="00153252" w:rsidRPr="00153252" w14:paraId="772C8B51" w14:textId="77777777" w:rsidTr="00D003CC">
        <w:trPr>
          <w:cantSplit/>
          <w:tblHeader/>
        </w:trPr>
        <w:tc>
          <w:tcPr>
            <w:tcW w:w="2925" w:type="dxa"/>
            <w:gridSpan w:val="4"/>
            <w:shd w:val="clear" w:color="auto" w:fill="DAF2F6"/>
          </w:tcPr>
          <w:p w14:paraId="4E3BDDA1"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35" w:type="dxa"/>
            <w:gridSpan w:val="6"/>
            <w:shd w:val="clear" w:color="auto" w:fill="DAF2F6"/>
          </w:tcPr>
          <w:p w14:paraId="69B25BAE"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Polazna vrijednost – 2021.g</w:t>
            </w:r>
          </w:p>
        </w:tc>
        <w:tc>
          <w:tcPr>
            <w:tcW w:w="2955" w:type="dxa"/>
            <w:gridSpan w:val="6"/>
            <w:shd w:val="clear" w:color="auto" w:fill="DAF2F6"/>
            <w:vAlign w:val="center"/>
          </w:tcPr>
          <w:p w14:paraId="7A740C28"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2022.g</w:t>
            </w:r>
          </w:p>
        </w:tc>
        <w:tc>
          <w:tcPr>
            <w:tcW w:w="3480" w:type="dxa"/>
            <w:gridSpan w:val="8"/>
            <w:tcBorders>
              <w:bottom w:val="single" w:sz="4" w:space="0" w:color="FFFFFF"/>
            </w:tcBorders>
            <w:shd w:val="clear" w:color="auto" w:fill="DAF2F6"/>
            <w:vAlign w:val="center"/>
          </w:tcPr>
          <w:p w14:paraId="51035497"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2023.g</w:t>
            </w:r>
          </w:p>
        </w:tc>
        <w:tc>
          <w:tcPr>
            <w:tcW w:w="2535" w:type="dxa"/>
            <w:gridSpan w:val="4"/>
            <w:tcBorders>
              <w:bottom w:val="single" w:sz="4" w:space="0" w:color="FFFFFF"/>
            </w:tcBorders>
            <w:shd w:val="clear" w:color="auto" w:fill="DAF2F6"/>
            <w:vAlign w:val="center"/>
          </w:tcPr>
          <w:p w14:paraId="07D0FAA7" w14:textId="77777777" w:rsidR="00153252" w:rsidRPr="00153252" w:rsidRDefault="00153252" w:rsidP="00153252">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b/>
                <w:sz w:val="20"/>
                <w:szCs w:val="20"/>
              </w:rPr>
              <w:t>Ciljna vrijednost - 2024.g</w:t>
            </w:r>
          </w:p>
        </w:tc>
      </w:tr>
      <w:tr w:rsidR="00153252" w:rsidRPr="00153252" w14:paraId="0D2A0619" w14:textId="77777777" w:rsidTr="00A80EEE">
        <w:trPr>
          <w:cantSplit/>
          <w:trHeight w:val="962"/>
          <w:tblHeader/>
        </w:trPr>
        <w:tc>
          <w:tcPr>
            <w:tcW w:w="2925" w:type="dxa"/>
            <w:gridSpan w:val="4"/>
            <w:shd w:val="clear" w:color="auto" w:fill="DAF2F6"/>
          </w:tcPr>
          <w:p w14:paraId="02E99A8A" w14:textId="77777777" w:rsidR="00153252" w:rsidRPr="00153252" w:rsidRDefault="00153252" w:rsidP="00F27DB4">
            <w:pPr>
              <w:spacing w:before="40" w:after="40" w:line="240" w:lineRule="auto"/>
              <w:ind w:right="-20"/>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 % organa koji su pripremili nacrt Kadrovskog plana paralelno sa nacrtom budžeta, kroz CKE</w:t>
            </w:r>
          </w:p>
        </w:tc>
        <w:tc>
          <w:tcPr>
            <w:tcW w:w="3135" w:type="dxa"/>
            <w:gridSpan w:val="6"/>
            <w:shd w:val="clear" w:color="auto" w:fill="DAF2F6"/>
          </w:tcPr>
          <w:p w14:paraId="56DA5A34" w14:textId="77777777" w:rsidR="00153252" w:rsidRPr="00153252" w:rsidRDefault="00153252" w:rsidP="00F27DB4">
            <w:pPr>
              <w:spacing w:before="40" w:after="40" w:line="240" w:lineRule="auto"/>
              <w:ind w:left="360" w:right="-20" w:hanging="180"/>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   28,5% državnih organa (2021)</w:t>
            </w:r>
          </w:p>
          <w:p w14:paraId="11C34DF8" w14:textId="77777777" w:rsidR="00153252" w:rsidRPr="00153252" w:rsidRDefault="00153252" w:rsidP="00F27DB4">
            <w:pPr>
              <w:spacing w:before="40" w:after="40" w:line="240" w:lineRule="auto"/>
              <w:ind w:left="360" w:right="-20" w:hanging="180"/>
              <w:jc w:val="center"/>
              <w:rPr>
                <w:rFonts w:ascii="Arial Narrow" w:eastAsia="Arial Narrow" w:hAnsi="Arial Narrow" w:cs="Arial Narrow"/>
                <w:i/>
                <w:sz w:val="20"/>
                <w:szCs w:val="20"/>
              </w:rPr>
            </w:pPr>
          </w:p>
          <w:p w14:paraId="0C92DBBE" w14:textId="77777777" w:rsidR="00153252" w:rsidRPr="00153252" w:rsidRDefault="00153252" w:rsidP="00F27DB4">
            <w:pPr>
              <w:spacing w:before="40" w:after="40" w:line="240" w:lineRule="auto"/>
              <w:jc w:val="center"/>
              <w:rPr>
                <w:rFonts w:ascii="Arial Narrow" w:eastAsia="Arial Narrow" w:hAnsi="Arial Narrow" w:cs="Arial Narrow"/>
                <w:i/>
                <w:sz w:val="20"/>
                <w:szCs w:val="20"/>
              </w:rPr>
            </w:pPr>
          </w:p>
        </w:tc>
        <w:tc>
          <w:tcPr>
            <w:tcW w:w="2955" w:type="dxa"/>
            <w:gridSpan w:val="6"/>
            <w:shd w:val="clear" w:color="auto" w:fill="DAF2F6"/>
          </w:tcPr>
          <w:p w14:paraId="7904C7C9" w14:textId="77777777" w:rsidR="00153252" w:rsidRPr="00153252" w:rsidRDefault="00153252" w:rsidP="00F27DB4">
            <w:pPr>
              <w:spacing w:after="0" w:line="240" w:lineRule="auto"/>
              <w:jc w:val="center"/>
              <w:rPr>
                <w:rFonts w:ascii="Arial Narrow" w:eastAsia="Arial Narrow" w:hAnsi="Arial Narrow" w:cs="Arial Narrow"/>
                <w:sz w:val="20"/>
                <w:szCs w:val="20"/>
                <w:highlight w:val="yellow"/>
              </w:rPr>
            </w:pPr>
            <w:r w:rsidRPr="00153252">
              <w:rPr>
                <w:rFonts w:ascii="Arial Narrow" w:eastAsia="Arial Narrow" w:hAnsi="Arial Narrow" w:cs="Arial Narrow"/>
                <w:i/>
                <w:sz w:val="20"/>
                <w:szCs w:val="20"/>
              </w:rPr>
              <w:t>40% državnih organa</w:t>
            </w:r>
          </w:p>
        </w:tc>
        <w:tc>
          <w:tcPr>
            <w:tcW w:w="3480" w:type="dxa"/>
            <w:gridSpan w:val="8"/>
            <w:shd w:val="clear" w:color="auto" w:fill="DAF2F6"/>
          </w:tcPr>
          <w:p w14:paraId="477159F6" w14:textId="77777777" w:rsidR="00153252" w:rsidRPr="00153252" w:rsidRDefault="00153252" w:rsidP="00F27DB4">
            <w:pPr>
              <w:spacing w:before="40" w:after="40" w:line="240" w:lineRule="auto"/>
              <w:jc w:val="center"/>
              <w:rPr>
                <w:rFonts w:ascii="Arial Narrow" w:eastAsia="Arial Narrow" w:hAnsi="Arial Narrow" w:cs="Arial Narrow"/>
                <w:color w:val="FF0000"/>
                <w:sz w:val="20"/>
                <w:szCs w:val="20"/>
                <w:highlight w:val="yellow"/>
              </w:rPr>
            </w:pPr>
            <w:r w:rsidRPr="00153252">
              <w:rPr>
                <w:rFonts w:ascii="Arial Narrow" w:eastAsia="Arial Narrow" w:hAnsi="Arial Narrow" w:cs="Arial Narrow"/>
                <w:i/>
                <w:sz w:val="20"/>
                <w:szCs w:val="20"/>
              </w:rPr>
              <w:t>50% državnih organa</w:t>
            </w:r>
          </w:p>
        </w:tc>
        <w:tc>
          <w:tcPr>
            <w:tcW w:w="2535" w:type="dxa"/>
            <w:gridSpan w:val="4"/>
            <w:shd w:val="clear" w:color="auto" w:fill="DAF2F6"/>
          </w:tcPr>
          <w:p w14:paraId="62951A97"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70% državnih organa</w:t>
            </w:r>
          </w:p>
        </w:tc>
      </w:tr>
      <w:tr w:rsidR="00153252" w:rsidRPr="00153252" w14:paraId="67F54A07" w14:textId="77777777" w:rsidTr="00D003CC">
        <w:trPr>
          <w:cantSplit/>
          <w:tblHeader/>
        </w:trPr>
        <w:tc>
          <w:tcPr>
            <w:tcW w:w="2925" w:type="dxa"/>
            <w:gridSpan w:val="4"/>
            <w:shd w:val="clear" w:color="auto" w:fill="DAF2F6"/>
          </w:tcPr>
          <w:p w14:paraId="2038AE7F" w14:textId="77777777" w:rsidR="00153252" w:rsidRPr="00153252" w:rsidRDefault="00153252" w:rsidP="00153252">
            <w:pPr>
              <w:spacing w:before="40" w:after="4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Prosječan broj kandidata na javni oglas/konkurs</w:t>
            </w:r>
            <w:r w:rsidRPr="00153252">
              <w:rPr>
                <w:rFonts w:ascii="Arial Narrow" w:eastAsia="Arial Narrow" w:hAnsi="Arial Narrow" w:cs="Arial Narrow"/>
                <w:sz w:val="20"/>
                <w:szCs w:val="20"/>
                <w:vertAlign w:val="superscript"/>
              </w:rPr>
              <w:footnoteReference w:id="9"/>
            </w:r>
          </w:p>
          <w:p w14:paraId="398B0791" w14:textId="77777777" w:rsidR="00153252" w:rsidRPr="00153252" w:rsidRDefault="00153252" w:rsidP="00153252">
            <w:pPr>
              <w:spacing w:before="40" w:after="40" w:line="240" w:lineRule="auto"/>
              <w:ind w:left="180" w:right="-20"/>
              <w:jc w:val="both"/>
              <w:rPr>
                <w:rFonts w:ascii="Arial Narrow" w:eastAsia="Arial Narrow" w:hAnsi="Arial Narrow" w:cs="Arial Narrow"/>
                <w:sz w:val="20"/>
                <w:szCs w:val="20"/>
              </w:rPr>
            </w:pPr>
          </w:p>
        </w:tc>
        <w:tc>
          <w:tcPr>
            <w:tcW w:w="3135" w:type="dxa"/>
            <w:gridSpan w:val="6"/>
            <w:shd w:val="clear" w:color="auto" w:fill="DAF2F6"/>
          </w:tcPr>
          <w:p w14:paraId="25AE1FD1" w14:textId="77777777" w:rsidR="00153252" w:rsidRPr="00153252" w:rsidRDefault="00153252" w:rsidP="00F27DB4">
            <w:pPr>
              <w:spacing w:before="40" w:after="40" w:line="240" w:lineRule="auto"/>
              <w:ind w:left="360" w:right="-20" w:hanging="180"/>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   Javni oglas 4.8 (2020)</w:t>
            </w:r>
          </w:p>
          <w:p w14:paraId="24075C1C" w14:textId="77777777" w:rsidR="00153252" w:rsidRPr="00153252" w:rsidRDefault="00153252" w:rsidP="00F27DB4">
            <w:pPr>
              <w:spacing w:before="40" w:after="40" w:line="240" w:lineRule="auto"/>
              <w:ind w:left="360" w:right="-20" w:hanging="180"/>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   Javni konkurs 2.14 (2020)</w:t>
            </w:r>
          </w:p>
          <w:p w14:paraId="49656714" w14:textId="77777777" w:rsidR="00153252" w:rsidRPr="00153252" w:rsidRDefault="00153252" w:rsidP="00F27DB4">
            <w:pPr>
              <w:spacing w:before="40" w:after="40" w:line="240" w:lineRule="auto"/>
              <w:ind w:left="360" w:right="-20" w:hanging="180"/>
              <w:jc w:val="center"/>
              <w:rPr>
                <w:rFonts w:ascii="Arial Narrow" w:eastAsia="Arial Narrow" w:hAnsi="Arial Narrow" w:cs="Arial Narrow"/>
                <w:i/>
                <w:sz w:val="20"/>
                <w:szCs w:val="20"/>
              </w:rPr>
            </w:pPr>
          </w:p>
        </w:tc>
        <w:tc>
          <w:tcPr>
            <w:tcW w:w="2955" w:type="dxa"/>
            <w:gridSpan w:val="6"/>
            <w:shd w:val="clear" w:color="auto" w:fill="DAF2F6"/>
          </w:tcPr>
          <w:p w14:paraId="523039FD" w14:textId="77777777" w:rsidR="00153252" w:rsidRPr="00153252" w:rsidRDefault="00153252" w:rsidP="00F27DB4">
            <w:pPr>
              <w:spacing w:before="40" w:after="40" w:line="240" w:lineRule="auto"/>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5</w:t>
            </w:r>
          </w:p>
          <w:p w14:paraId="1F2D82F1" w14:textId="77777777" w:rsidR="00153252" w:rsidRPr="00153252" w:rsidRDefault="00153252" w:rsidP="00F27DB4">
            <w:pPr>
              <w:spacing w:after="0" w:line="240" w:lineRule="auto"/>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3.5</w:t>
            </w:r>
          </w:p>
        </w:tc>
        <w:tc>
          <w:tcPr>
            <w:tcW w:w="3480" w:type="dxa"/>
            <w:gridSpan w:val="8"/>
            <w:shd w:val="clear" w:color="auto" w:fill="DAF2F6"/>
          </w:tcPr>
          <w:p w14:paraId="30051DD6" w14:textId="77777777" w:rsidR="00153252" w:rsidRPr="00153252" w:rsidRDefault="00153252" w:rsidP="00F27DB4">
            <w:pPr>
              <w:spacing w:before="40" w:after="40" w:line="240" w:lineRule="auto"/>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6.5</w:t>
            </w:r>
          </w:p>
          <w:p w14:paraId="4F565CC1" w14:textId="77777777" w:rsidR="00153252" w:rsidRPr="00153252" w:rsidRDefault="00153252" w:rsidP="00F27DB4">
            <w:pPr>
              <w:spacing w:before="40" w:after="40" w:line="240" w:lineRule="auto"/>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4.5</w:t>
            </w:r>
          </w:p>
        </w:tc>
        <w:tc>
          <w:tcPr>
            <w:tcW w:w="2535" w:type="dxa"/>
            <w:gridSpan w:val="4"/>
            <w:shd w:val="clear" w:color="auto" w:fill="DAF2F6"/>
          </w:tcPr>
          <w:p w14:paraId="3F3132ED" w14:textId="77777777" w:rsidR="00153252" w:rsidRPr="00153252" w:rsidRDefault="00153252" w:rsidP="00F27DB4">
            <w:pPr>
              <w:spacing w:before="40" w:after="40" w:line="240" w:lineRule="auto"/>
              <w:ind w:right="-20"/>
              <w:jc w:val="center"/>
              <w:rPr>
                <w:rFonts w:ascii="Arial Narrow" w:eastAsia="Arial Narrow" w:hAnsi="Arial Narrow" w:cs="Arial Narrow"/>
                <w:sz w:val="20"/>
                <w:szCs w:val="20"/>
              </w:rPr>
            </w:pPr>
            <w:r w:rsidRPr="00153252">
              <w:rPr>
                <w:rFonts w:ascii="Arial Narrow" w:eastAsia="Arial Narrow" w:hAnsi="Arial Narrow" w:cs="Arial Narrow"/>
                <w:sz w:val="20"/>
                <w:szCs w:val="20"/>
              </w:rPr>
              <w:t>7</w:t>
            </w:r>
          </w:p>
          <w:p w14:paraId="5D7B8DA1"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5.2</w:t>
            </w:r>
          </w:p>
        </w:tc>
      </w:tr>
      <w:tr w:rsidR="00153252" w:rsidRPr="00153252" w14:paraId="42F3244A" w14:textId="77777777" w:rsidTr="00D003CC">
        <w:trPr>
          <w:cantSplit/>
          <w:tblHeader/>
        </w:trPr>
        <w:tc>
          <w:tcPr>
            <w:tcW w:w="2925" w:type="dxa"/>
            <w:gridSpan w:val="4"/>
            <w:shd w:val="clear" w:color="auto" w:fill="DAF2F6"/>
          </w:tcPr>
          <w:p w14:paraId="4825E800" w14:textId="77777777" w:rsidR="00153252" w:rsidRPr="00153252" w:rsidRDefault="00153252" w:rsidP="00153252">
            <w:pPr>
              <w:spacing w:before="40" w:after="4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Procenat državnih organa koji strateški planiraju obuke </w:t>
            </w:r>
          </w:p>
        </w:tc>
        <w:tc>
          <w:tcPr>
            <w:tcW w:w="3135" w:type="dxa"/>
            <w:gridSpan w:val="6"/>
            <w:shd w:val="clear" w:color="auto" w:fill="DAF2F6"/>
          </w:tcPr>
          <w:p w14:paraId="714232B2" w14:textId="77777777" w:rsidR="00153252" w:rsidRPr="00153252" w:rsidRDefault="00950E61" w:rsidP="00F27DB4">
            <w:pPr>
              <w:spacing w:before="40" w:after="40" w:line="240" w:lineRule="auto"/>
              <w:ind w:left="360" w:right="-20" w:hanging="180"/>
              <w:jc w:val="center"/>
              <w:rPr>
                <w:rFonts w:ascii="Arial Narrow" w:eastAsia="Arial Narrow" w:hAnsi="Arial Narrow" w:cs="Arial Narrow"/>
                <w:i/>
                <w:sz w:val="20"/>
                <w:szCs w:val="20"/>
              </w:rPr>
            </w:pPr>
            <w:r>
              <w:rPr>
                <w:rFonts w:ascii="Arial Narrow" w:eastAsia="Arial Narrow" w:hAnsi="Arial Narrow" w:cs="Arial Narrow"/>
                <w:sz w:val="20"/>
                <w:szCs w:val="20"/>
              </w:rPr>
              <w:t>0%</w:t>
            </w:r>
          </w:p>
        </w:tc>
        <w:tc>
          <w:tcPr>
            <w:tcW w:w="2955" w:type="dxa"/>
            <w:gridSpan w:val="6"/>
            <w:shd w:val="clear" w:color="auto" w:fill="DAF2F6"/>
          </w:tcPr>
          <w:p w14:paraId="139FC9AF"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50%</w:t>
            </w:r>
          </w:p>
        </w:tc>
        <w:tc>
          <w:tcPr>
            <w:tcW w:w="3480" w:type="dxa"/>
            <w:gridSpan w:val="8"/>
            <w:shd w:val="clear" w:color="auto" w:fill="DAF2F6"/>
          </w:tcPr>
          <w:p w14:paraId="7408EB27"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75%</w:t>
            </w:r>
          </w:p>
        </w:tc>
        <w:tc>
          <w:tcPr>
            <w:tcW w:w="2535" w:type="dxa"/>
            <w:gridSpan w:val="4"/>
            <w:shd w:val="clear" w:color="auto" w:fill="DAF2F6"/>
          </w:tcPr>
          <w:p w14:paraId="15323A4C" w14:textId="77777777" w:rsidR="00153252" w:rsidRPr="00153252" w:rsidRDefault="00153252" w:rsidP="00F27DB4">
            <w:pPr>
              <w:spacing w:before="40" w:after="40" w:line="240" w:lineRule="auto"/>
              <w:ind w:right="-20"/>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100% organa strateški planira obuka</w:t>
            </w:r>
          </w:p>
        </w:tc>
      </w:tr>
      <w:bookmarkEnd w:id="3"/>
      <w:tr w:rsidR="00153252" w:rsidRPr="00153252" w14:paraId="42BD55FE" w14:textId="77777777" w:rsidTr="00D003CC">
        <w:trPr>
          <w:cantSplit/>
          <w:tblHeader/>
        </w:trPr>
        <w:tc>
          <w:tcPr>
            <w:tcW w:w="2925" w:type="dxa"/>
            <w:gridSpan w:val="4"/>
            <w:shd w:val="clear" w:color="auto" w:fill="FFF2CC"/>
            <w:vAlign w:val="center"/>
          </w:tcPr>
          <w:p w14:paraId="04C40AF2"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625" w:type="dxa"/>
            <w:gridSpan w:val="3"/>
            <w:shd w:val="clear" w:color="auto" w:fill="FFF2CC"/>
            <w:vAlign w:val="center"/>
          </w:tcPr>
          <w:p w14:paraId="6FE49424"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rezultata</w:t>
            </w:r>
          </w:p>
        </w:tc>
        <w:tc>
          <w:tcPr>
            <w:tcW w:w="1800" w:type="dxa"/>
            <w:gridSpan w:val="6"/>
            <w:shd w:val="clear" w:color="auto" w:fill="FFF2CC"/>
            <w:vAlign w:val="center"/>
          </w:tcPr>
          <w:p w14:paraId="2F142C0E"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Nadležne institucije i nadležna komisija</w:t>
            </w:r>
          </w:p>
        </w:tc>
        <w:tc>
          <w:tcPr>
            <w:tcW w:w="1665" w:type="dxa"/>
            <w:gridSpan w:val="3"/>
            <w:shd w:val="clear" w:color="auto" w:fill="FFF2CC"/>
            <w:vAlign w:val="center"/>
          </w:tcPr>
          <w:p w14:paraId="33EADC0B"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 početak i završetak aktivnosti</w:t>
            </w:r>
          </w:p>
        </w:tc>
        <w:tc>
          <w:tcPr>
            <w:tcW w:w="2085" w:type="dxa"/>
            <w:gridSpan w:val="3"/>
            <w:shd w:val="clear" w:color="auto" w:fill="FFF2CC"/>
            <w:vAlign w:val="center"/>
          </w:tcPr>
          <w:p w14:paraId="54086C5C"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Sredstva za realizaciju  i informacija o izradi RIA</w:t>
            </w:r>
          </w:p>
        </w:tc>
        <w:tc>
          <w:tcPr>
            <w:tcW w:w="1500" w:type="dxa"/>
            <w:gridSpan w:val="6"/>
            <w:shd w:val="clear" w:color="auto" w:fill="FFF2CC"/>
            <w:vAlign w:val="center"/>
          </w:tcPr>
          <w:p w14:paraId="6231E182"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 xml:space="preserve"> Izvor finansiranja</w:t>
            </w:r>
          </w:p>
        </w:tc>
        <w:tc>
          <w:tcPr>
            <w:tcW w:w="2430" w:type="dxa"/>
            <w:gridSpan w:val="3"/>
            <w:shd w:val="clear" w:color="auto" w:fill="FFF2CC"/>
            <w:vAlign w:val="center"/>
          </w:tcPr>
          <w:p w14:paraId="2EA51B22"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p>
          <w:p w14:paraId="0F0EB834"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Obrazloženje</w:t>
            </w:r>
          </w:p>
        </w:tc>
      </w:tr>
      <w:tr w:rsidR="00153252" w:rsidRPr="00153252" w14:paraId="7E181C38" w14:textId="77777777" w:rsidTr="00D003CC">
        <w:trPr>
          <w:cantSplit/>
          <w:tblHeader/>
        </w:trPr>
        <w:tc>
          <w:tcPr>
            <w:tcW w:w="645" w:type="dxa"/>
          </w:tcPr>
          <w:p w14:paraId="7498C677"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1.</w:t>
            </w:r>
          </w:p>
        </w:tc>
        <w:tc>
          <w:tcPr>
            <w:tcW w:w="2280" w:type="dxa"/>
            <w:gridSpan w:val="3"/>
          </w:tcPr>
          <w:p w14:paraId="2402B13A"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Priprema Kadrovskog plana za 2022. godine</w:t>
            </w:r>
          </w:p>
        </w:tc>
        <w:tc>
          <w:tcPr>
            <w:tcW w:w="2625" w:type="dxa"/>
            <w:gridSpan w:val="3"/>
          </w:tcPr>
          <w:p w14:paraId="1655CA6D"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Utvrđen Kadrovski plan</w:t>
            </w:r>
          </w:p>
        </w:tc>
        <w:tc>
          <w:tcPr>
            <w:tcW w:w="1800" w:type="dxa"/>
            <w:gridSpan w:val="6"/>
            <w:vAlign w:val="center"/>
          </w:tcPr>
          <w:p w14:paraId="74436E98"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MJUDDM</w:t>
            </w:r>
          </w:p>
          <w:p w14:paraId="59F6A37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UZK</w:t>
            </w:r>
          </w:p>
          <w:p w14:paraId="65EB16BA"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1665" w:type="dxa"/>
            <w:gridSpan w:val="3"/>
            <w:vAlign w:val="center"/>
          </w:tcPr>
          <w:p w14:paraId="06D3C460"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2022</w:t>
            </w:r>
          </w:p>
        </w:tc>
        <w:tc>
          <w:tcPr>
            <w:tcW w:w="2085" w:type="dxa"/>
            <w:gridSpan w:val="3"/>
          </w:tcPr>
          <w:p w14:paraId="05215272"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1500" w:type="dxa"/>
            <w:gridSpan w:val="6"/>
          </w:tcPr>
          <w:p w14:paraId="6A64A266" w14:textId="77777777" w:rsidR="00153252" w:rsidRPr="00153252" w:rsidRDefault="00153252" w:rsidP="00153252">
            <w:pPr>
              <w:spacing w:after="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Budžet</w:t>
            </w:r>
          </w:p>
          <w:p w14:paraId="31B70BBB" w14:textId="77777777" w:rsidR="00153252" w:rsidRPr="00153252" w:rsidRDefault="00153252" w:rsidP="00153252">
            <w:pPr>
              <w:spacing w:before="20" w:after="20" w:line="240" w:lineRule="auto"/>
              <w:rPr>
                <w:rFonts w:ascii="Arial Narrow" w:eastAsia="Arial Narrow" w:hAnsi="Arial Narrow" w:cs="Arial Narrow"/>
                <w:sz w:val="20"/>
                <w:szCs w:val="20"/>
              </w:rPr>
            </w:pPr>
          </w:p>
          <w:p w14:paraId="5649D541"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2430" w:type="dxa"/>
            <w:gridSpan w:val="3"/>
          </w:tcPr>
          <w:p w14:paraId="69871406"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Donijet kadrovski plan unaprijeđen u skladu sa novim metodološkim standardima i izradjen kroz program Centralne kadrovske evidencije.</w:t>
            </w:r>
          </w:p>
        </w:tc>
      </w:tr>
      <w:tr w:rsidR="00153252" w:rsidRPr="00153252" w14:paraId="42CB6F8A" w14:textId="77777777" w:rsidTr="00D003CC">
        <w:trPr>
          <w:cantSplit/>
          <w:tblHeader/>
        </w:trPr>
        <w:tc>
          <w:tcPr>
            <w:tcW w:w="645" w:type="dxa"/>
          </w:tcPr>
          <w:p w14:paraId="7DFF7BB6"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2.</w:t>
            </w:r>
          </w:p>
        </w:tc>
        <w:tc>
          <w:tcPr>
            <w:tcW w:w="2280" w:type="dxa"/>
            <w:gridSpan w:val="3"/>
          </w:tcPr>
          <w:p w14:paraId="4D3A008F"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Realizacija pilot projekta IskorisTiPrilike</w:t>
            </w:r>
          </w:p>
        </w:tc>
        <w:tc>
          <w:tcPr>
            <w:tcW w:w="2625" w:type="dxa"/>
            <w:gridSpan w:val="3"/>
          </w:tcPr>
          <w:p w14:paraId="45344923"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Informacija o funkcionalnoj online platformi Iskoristiprilike.me </w:t>
            </w:r>
          </w:p>
          <w:p w14:paraId="01E69FBB"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p>
        </w:tc>
        <w:tc>
          <w:tcPr>
            <w:tcW w:w="1800" w:type="dxa"/>
            <w:gridSpan w:val="6"/>
            <w:vAlign w:val="center"/>
          </w:tcPr>
          <w:p w14:paraId="078A7E83"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MJUDDM</w:t>
            </w:r>
          </w:p>
          <w:p w14:paraId="67241632"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MFSS</w:t>
            </w:r>
          </w:p>
          <w:p w14:paraId="6E746C3F"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MER</w:t>
            </w:r>
          </w:p>
        </w:tc>
        <w:tc>
          <w:tcPr>
            <w:tcW w:w="1665" w:type="dxa"/>
            <w:gridSpan w:val="3"/>
            <w:vAlign w:val="center"/>
          </w:tcPr>
          <w:p w14:paraId="0369939E"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I Q 2022</w:t>
            </w:r>
          </w:p>
          <w:p w14:paraId="0450C914"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III Q 2022</w:t>
            </w:r>
          </w:p>
        </w:tc>
        <w:tc>
          <w:tcPr>
            <w:tcW w:w="2085" w:type="dxa"/>
            <w:gridSpan w:val="3"/>
          </w:tcPr>
          <w:p w14:paraId="2A3EABFB" w14:textId="77777777" w:rsidR="00153252" w:rsidRPr="00153252" w:rsidRDefault="00153252" w:rsidP="00153252">
            <w:pPr>
              <w:spacing w:after="0" w:line="240" w:lineRule="auto"/>
              <w:rPr>
                <w:rFonts w:ascii="Arial Narrow" w:eastAsia="Arial Narrow" w:hAnsi="Arial Narrow" w:cs="Arial Narrow"/>
                <w:sz w:val="20"/>
                <w:szCs w:val="20"/>
                <w:highlight w:val="yellow"/>
              </w:rPr>
            </w:pPr>
          </w:p>
        </w:tc>
        <w:tc>
          <w:tcPr>
            <w:tcW w:w="1500" w:type="dxa"/>
            <w:gridSpan w:val="6"/>
          </w:tcPr>
          <w:p w14:paraId="41587A00" w14:textId="77777777" w:rsidR="00153252" w:rsidRPr="00153252" w:rsidRDefault="00153252" w:rsidP="00153252">
            <w:pPr>
              <w:spacing w:after="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Budžet kroz sredstva za PAR</w:t>
            </w:r>
          </w:p>
        </w:tc>
        <w:tc>
          <w:tcPr>
            <w:tcW w:w="2430" w:type="dxa"/>
            <w:gridSpan w:val="3"/>
          </w:tcPr>
          <w:p w14:paraId="7A4D2637"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U skladu sa prepoznatim aktivnostima u okviru Strategije reforme javne uprave i Strategije digitalne transformacije, Ministarstvo javne uprave, digitalnog društva i medija razvija internu poslovnu mrežu odnosno web platformu pod nazivom IskorisTiPrilike koja omogućava državnim službenicima da 10% svog radnog vremena, odnosno četiri sata sedmično, rade na projektima, aktivnostima ili poslovima koji nijesu dio njhovog primarnog opisa posla, a isti se mogu obavljati i u drugim jedinicama ili organima uprave.</w:t>
            </w:r>
          </w:p>
          <w:p w14:paraId="7CC01279"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Cilj uvođenja ovog novog modela angažovanja je doprinos usavršavanju znanja službenika i njihovom karijernom razvoju, što je kompatibilno propisanoj obavezi i pravu državnih službenika, ali i veća iskorišćenost dostupnih resursa u cilju kvalitetnije i efikasnije realizacije aktivnosti/projekata/inicijativa/drugih zadataka na nivou javne uprave.</w:t>
            </w:r>
          </w:p>
          <w:p w14:paraId="6F91ADF4" w14:textId="77777777" w:rsidR="00153252" w:rsidRPr="00153252" w:rsidRDefault="00153252" w:rsidP="00153252">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IskorisTiPrilike je platforma je na kojoj organi državne uprave mogu objaviti projekte/inicijative/aktivnosti koje realizuju i koje otvaraju prostor za angažman </w:t>
            </w:r>
            <w:r w:rsidRPr="00153252">
              <w:rPr>
                <w:rFonts w:ascii="Arial Narrow" w:eastAsia="Arial Narrow" w:hAnsi="Arial Narrow" w:cs="Arial Narrow"/>
                <w:sz w:val="20"/>
                <w:szCs w:val="20"/>
              </w:rPr>
              <w:lastRenderedPageBreak/>
              <w:t>službenika i iz različitih jedinica organa i/ili drugih organa državne uprave, koji imaju vještine i/ili interese u izvršavanju definisanih zadataka.</w:t>
            </w:r>
          </w:p>
        </w:tc>
      </w:tr>
      <w:tr w:rsidR="00153252" w:rsidRPr="00153252" w14:paraId="6207E049" w14:textId="77777777" w:rsidTr="00D003CC">
        <w:trPr>
          <w:cantSplit/>
          <w:trHeight w:val="433"/>
          <w:tblHeader/>
        </w:trPr>
        <w:tc>
          <w:tcPr>
            <w:tcW w:w="3135" w:type="dxa"/>
            <w:gridSpan w:val="6"/>
            <w:shd w:val="clear" w:color="auto" w:fill="D9E2F3"/>
          </w:tcPr>
          <w:p w14:paraId="1182CB64" w14:textId="77777777" w:rsidR="00153252" w:rsidRPr="008C27D0" w:rsidRDefault="00153252" w:rsidP="00153252">
            <w:pPr>
              <w:spacing w:before="40" w:after="40" w:line="240" w:lineRule="auto"/>
              <w:jc w:val="center"/>
              <w:rPr>
                <w:rFonts w:ascii="Arial Narrow" w:eastAsia="Arial Narrow" w:hAnsi="Arial Narrow" w:cs="Arial Narrow"/>
                <w:b/>
                <w:sz w:val="20"/>
                <w:szCs w:val="20"/>
              </w:rPr>
            </w:pPr>
            <w:bookmarkStart w:id="4" w:name="_Hlk89628790"/>
            <w:r w:rsidRPr="008C27D0">
              <w:rPr>
                <w:rFonts w:ascii="Arial Narrow" w:eastAsia="Arial Narrow" w:hAnsi="Arial Narrow" w:cs="Arial Narrow"/>
                <w:b/>
                <w:sz w:val="20"/>
                <w:szCs w:val="20"/>
              </w:rPr>
              <w:t xml:space="preserve">Cilj </w:t>
            </w:r>
            <w:r w:rsidR="00D003CC">
              <w:rPr>
                <w:rFonts w:ascii="Arial Narrow" w:eastAsia="Arial Narrow" w:hAnsi="Arial Narrow" w:cs="Arial Narrow"/>
                <w:b/>
                <w:sz w:val="20"/>
                <w:szCs w:val="20"/>
              </w:rPr>
              <w:t>1.</w:t>
            </w:r>
            <w:r w:rsidR="008C27D0">
              <w:rPr>
                <w:rFonts w:ascii="Arial Narrow" w:eastAsia="Arial Narrow" w:hAnsi="Arial Narrow" w:cs="Arial Narrow"/>
                <w:b/>
                <w:sz w:val="20"/>
                <w:szCs w:val="20"/>
              </w:rPr>
              <w:t>5</w:t>
            </w:r>
            <w:r w:rsidR="00D003CC">
              <w:rPr>
                <w:rFonts w:ascii="Arial Narrow" w:eastAsia="Arial Narrow" w:hAnsi="Arial Narrow" w:cs="Arial Narrow"/>
                <w:b/>
                <w:sz w:val="20"/>
                <w:szCs w:val="20"/>
              </w:rPr>
              <w:t>.</w:t>
            </w:r>
          </w:p>
          <w:p w14:paraId="61C16F07" w14:textId="77777777" w:rsidR="00153252" w:rsidRPr="008C27D0" w:rsidRDefault="00153252" w:rsidP="00153252">
            <w:pPr>
              <w:spacing w:before="40" w:after="40" w:line="240" w:lineRule="auto"/>
              <w:jc w:val="center"/>
              <w:rPr>
                <w:rFonts w:ascii="Arial Narrow" w:eastAsia="Arial Narrow" w:hAnsi="Arial Narrow" w:cs="Arial Narrow"/>
                <w:b/>
                <w:sz w:val="20"/>
                <w:szCs w:val="20"/>
              </w:rPr>
            </w:pPr>
          </w:p>
        </w:tc>
        <w:tc>
          <w:tcPr>
            <w:tcW w:w="11895" w:type="dxa"/>
            <w:gridSpan w:val="22"/>
            <w:shd w:val="clear" w:color="auto" w:fill="D9E2F3"/>
          </w:tcPr>
          <w:p w14:paraId="54CD461E" w14:textId="77777777" w:rsidR="00153252" w:rsidRPr="008C27D0" w:rsidRDefault="00153252" w:rsidP="00153252">
            <w:pPr>
              <w:spacing w:before="40" w:after="40" w:line="240" w:lineRule="auto"/>
              <w:jc w:val="both"/>
              <w:rPr>
                <w:rFonts w:ascii="Arial Narrow" w:eastAsia="Arial Narrow" w:hAnsi="Arial Narrow" w:cs="Arial Narrow"/>
                <w:b/>
                <w:color w:val="000000"/>
                <w:sz w:val="20"/>
                <w:szCs w:val="20"/>
              </w:rPr>
            </w:pPr>
            <w:r w:rsidRPr="008C27D0">
              <w:rPr>
                <w:rFonts w:ascii="Arial Narrow" w:eastAsia="Arial Narrow" w:hAnsi="Arial Narrow" w:cs="Arial Narrow"/>
                <w:b/>
                <w:color w:val="000000"/>
                <w:sz w:val="20"/>
                <w:szCs w:val="20"/>
              </w:rPr>
              <w:t>Dostići veći nivo slobode izražavanja i slobode medija i kreiranje ambijenta za nesmetano funkcionisanje medija u Crnoj Gori</w:t>
            </w:r>
          </w:p>
        </w:tc>
      </w:tr>
      <w:tr w:rsidR="00153252" w:rsidRPr="00153252" w14:paraId="5EE3F55F" w14:textId="77777777" w:rsidTr="00D003CC">
        <w:trPr>
          <w:cantSplit/>
          <w:tblHeader/>
        </w:trPr>
        <w:tc>
          <w:tcPr>
            <w:tcW w:w="3135" w:type="dxa"/>
            <w:gridSpan w:val="6"/>
            <w:shd w:val="clear" w:color="auto" w:fill="DAF2F6"/>
          </w:tcPr>
          <w:p w14:paraId="6334463B"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225" w:type="dxa"/>
            <w:gridSpan w:val="6"/>
            <w:shd w:val="clear" w:color="auto" w:fill="DAF2F6"/>
          </w:tcPr>
          <w:p w14:paraId="67772CFB"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Polazna vrijednost – 2021.g</w:t>
            </w:r>
          </w:p>
        </w:tc>
        <w:tc>
          <w:tcPr>
            <w:tcW w:w="3045" w:type="dxa"/>
            <w:gridSpan w:val="6"/>
            <w:shd w:val="clear" w:color="auto" w:fill="DAF2F6"/>
            <w:vAlign w:val="center"/>
          </w:tcPr>
          <w:p w14:paraId="62059A6F"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2022.g</w:t>
            </w:r>
          </w:p>
        </w:tc>
        <w:tc>
          <w:tcPr>
            <w:tcW w:w="2745" w:type="dxa"/>
            <w:gridSpan w:val="4"/>
            <w:tcBorders>
              <w:bottom w:val="single" w:sz="4" w:space="0" w:color="FFFFFF"/>
            </w:tcBorders>
            <w:shd w:val="clear" w:color="auto" w:fill="DAF2F6"/>
            <w:vAlign w:val="center"/>
          </w:tcPr>
          <w:p w14:paraId="0C027AD4"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2023.g</w:t>
            </w:r>
          </w:p>
        </w:tc>
        <w:tc>
          <w:tcPr>
            <w:tcW w:w="2880" w:type="dxa"/>
            <w:gridSpan w:val="6"/>
            <w:tcBorders>
              <w:bottom w:val="single" w:sz="4" w:space="0" w:color="FFFFFF"/>
            </w:tcBorders>
            <w:shd w:val="clear" w:color="auto" w:fill="DAF2F6"/>
            <w:vAlign w:val="center"/>
          </w:tcPr>
          <w:p w14:paraId="562EDD13"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- 2024.g</w:t>
            </w:r>
          </w:p>
        </w:tc>
      </w:tr>
      <w:tr w:rsidR="00153252" w:rsidRPr="00153252" w14:paraId="680A1A1A" w14:textId="77777777" w:rsidTr="00D003CC">
        <w:trPr>
          <w:cantSplit/>
          <w:tblHeader/>
        </w:trPr>
        <w:tc>
          <w:tcPr>
            <w:tcW w:w="3135" w:type="dxa"/>
            <w:gridSpan w:val="6"/>
            <w:shd w:val="clear" w:color="auto" w:fill="DAF2F6"/>
          </w:tcPr>
          <w:p w14:paraId="6A4924B0" w14:textId="77777777" w:rsidR="00153252" w:rsidRPr="00153252" w:rsidRDefault="00153252" w:rsidP="00153252">
            <w:pPr>
              <w:spacing w:before="40" w:after="4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Unaprijeđen ambijent za nesmetano ostvarivanje slobode izražavanja i slobode medija</w:t>
            </w:r>
            <w:r w:rsidRPr="00153252">
              <w:rPr>
                <w:rFonts w:ascii="Arial Narrow" w:eastAsia="Arial Narrow" w:hAnsi="Arial Narrow" w:cs="Arial Narrow"/>
                <w:sz w:val="20"/>
                <w:szCs w:val="20"/>
                <w:vertAlign w:val="superscript"/>
              </w:rPr>
              <w:footnoteReference w:id="10"/>
            </w:r>
          </w:p>
        </w:tc>
        <w:tc>
          <w:tcPr>
            <w:tcW w:w="3225" w:type="dxa"/>
            <w:gridSpan w:val="6"/>
            <w:shd w:val="clear" w:color="auto" w:fill="DAF2F6"/>
          </w:tcPr>
          <w:p w14:paraId="1311525A" w14:textId="77777777" w:rsidR="00153252" w:rsidRPr="00153252" w:rsidRDefault="00153252" w:rsidP="00F27DB4">
            <w:pPr>
              <w:spacing w:before="40" w:after="40" w:line="240" w:lineRule="auto"/>
              <w:jc w:val="center"/>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34,33 (indeks slobode medija)</w:t>
            </w:r>
          </w:p>
          <w:p w14:paraId="1A90F514"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p>
          <w:p w14:paraId="4616C473" w14:textId="77777777" w:rsidR="00153252" w:rsidRPr="00153252" w:rsidRDefault="00153252" w:rsidP="00F27DB4">
            <w:pPr>
              <w:spacing w:before="40" w:after="40" w:line="240" w:lineRule="auto"/>
              <w:jc w:val="center"/>
              <w:rPr>
                <w:rFonts w:ascii="Arial Narrow" w:eastAsia="Arial Narrow" w:hAnsi="Arial Narrow" w:cs="Arial Narrow"/>
                <w:sz w:val="20"/>
                <w:szCs w:val="20"/>
                <w:highlight w:val="red"/>
              </w:rPr>
            </w:pPr>
          </w:p>
        </w:tc>
        <w:tc>
          <w:tcPr>
            <w:tcW w:w="3045" w:type="dxa"/>
            <w:gridSpan w:val="6"/>
            <w:shd w:val="clear" w:color="auto" w:fill="DAF2F6"/>
          </w:tcPr>
          <w:p w14:paraId="727B54DA" w14:textId="77777777" w:rsidR="00153252" w:rsidRPr="00153252" w:rsidRDefault="00153252" w:rsidP="00F27DB4">
            <w:pPr>
              <w:spacing w:before="40" w:after="40" w:line="240" w:lineRule="auto"/>
              <w:jc w:val="center"/>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40</w:t>
            </w:r>
          </w:p>
        </w:tc>
        <w:tc>
          <w:tcPr>
            <w:tcW w:w="2745" w:type="dxa"/>
            <w:gridSpan w:val="4"/>
            <w:shd w:val="clear" w:color="auto" w:fill="DAF2F6"/>
          </w:tcPr>
          <w:p w14:paraId="007330AD" w14:textId="77777777" w:rsidR="00153252" w:rsidRPr="00153252" w:rsidRDefault="00153252" w:rsidP="00F27DB4">
            <w:pPr>
              <w:spacing w:before="40" w:after="40" w:line="240" w:lineRule="auto"/>
              <w:jc w:val="center"/>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45</w:t>
            </w:r>
          </w:p>
        </w:tc>
        <w:tc>
          <w:tcPr>
            <w:tcW w:w="2880" w:type="dxa"/>
            <w:gridSpan w:val="6"/>
            <w:shd w:val="clear" w:color="auto" w:fill="DAF2F6"/>
          </w:tcPr>
          <w:p w14:paraId="5E1F0B87" w14:textId="77777777" w:rsidR="00153252" w:rsidRPr="00153252" w:rsidRDefault="00153252" w:rsidP="00F27DB4">
            <w:pPr>
              <w:spacing w:before="40" w:after="40" w:line="240" w:lineRule="auto"/>
              <w:jc w:val="center"/>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50</w:t>
            </w:r>
          </w:p>
        </w:tc>
      </w:tr>
      <w:bookmarkEnd w:id="4"/>
      <w:tr w:rsidR="00153252" w:rsidRPr="00153252" w14:paraId="3CD6DC8E" w14:textId="77777777" w:rsidTr="00D003CC">
        <w:trPr>
          <w:cantSplit/>
          <w:tblHeader/>
        </w:trPr>
        <w:tc>
          <w:tcPr>
            <w:tcW w:w="3135" w:type="dxa"/>
            <w:gridSpan w:val="6"/>
            <w:shd w:val="clear" w:color="auto" w:fill="FFF2CC"/>
            <w:vAlign w:val="center"/>
          </w:tcPr>
          <w:p w14:paraId="66983780"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700" w:type="dxa"/>
            <w:gridSpan w:val="3"/>
            <w:shd w:val="clear" w:color="auto" w:fill="FFF2CC"/>
            <w:vAlign w:val="center"/>
          </w:tcPr>
          <w:p w14:paraId="78962474"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rezultata</w:t>
            </w:r>
          </w:p>
        </w:tc>
        <w:tc>
          <w:tcPr>
            <w:tcW w:w="1845" w:type="dxa"/>
            <w:gridSpan w:val="6"/>
            <w:shd w:val="clear" w:color="auto" w:fill="FFF2CC"/>
            <w:vAlign w:val="center"/>
          </w:tcPr>
          <w:p w14:paraId="3301791E"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Nadležne institucije i nadležna komisija</w:t>
            </w:r>
          </w:p>
        </w:tc>
        <w:tc>
          <w:tcPr>
            <w:tcW w:w="1725" w:type="dxa"/>
            <w:gridSpan w:val="3"/>
            <w:shd w:val="clear" w:color="auto" w:fill="FFF2CC"/>
            <w:vAlign w:val="center"/>
          </w:tcPr>
          <w:p w14:paraId="5A903ADB"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 početak i završetak aktivnosti</w:t>
            </w:r>
          </w:p>
        </w:tc>
        <w:tc>
          <w:tcPr>
            <w:tcW w:w="2130" w:type="dxa"/>
            <w:gridSpan w:val="3"/>
            <w:shd w:val="clear" w:color="auto" w:fill="FFF2CC"/>
            <w:vAlign w:val="center"/>
          </w:tcPr>
          <w:p w14:paraId="6A2EBDEB"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Sredstva za realizaciju  i informacija o izradi RIA</w:t>
            </w:r>
          </w:p>
        </w:tc>
        <w:tc>
          <w:tcPr>
            <w:tcW w:w="1245" w:type="dxa"/>
            <w:gridSpan w:val="5"/>
            <w:shd w:val="clear" w:color="auto" w:fill="FFF2CC"/>
            <w:vAlign w:val="center"/>
          </w:tcPr>
          <w:p w14:paraId="1E38E2D3"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 xml:space="preserve"> Izvor finansiranja</w:t>
            </w:r>
          </w:p>
        </w:tc>
        <w:tc>
          <w:tcPr>
            <w:tcW w:w="2250" w:type="dxa"/>
            <w:gridSpan w:val="2"/>
            <w:shd w:val="clear" w:color="auto" w:fill="FFF2CC"/>
            <w:vAlign w:val="center"/>
          </w:tcPr>
          <w:p w14:paraId="07627533"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p>
          <w:p w14:paraId="6736D002"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Obrazloženje</w:t>
            </w:r>
          </w:p>
        </w:tc>
      </w:tr>
      <w:tr w:rsidR="00153252" w:rsidRPr="00153252" w14:paraId="25F4816A" w14:textId="77777777" w:rsidTr="00D003CC">
        <w:trPr>
          <w:cantSplit/>
          <w:tblHeader/>
        </w:trPr>
        <w:tc>
          <w:tcPr>
            <w:tcW w:w="3135" w:type="dxa"/>
            <w:gridSpan w:val="6"/>
            <w:shd w:val="clear" w:color="auto" w:fill="FFF2CC"/>
            <w:vAlign w:val="center"/>
          </w:tcPr>
          <w:p w14:paraId="19D808C8"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p>
        </w:tc>
        <w:tc>
          <w:tcPr>
            <w:tcW w:w="2700" w:type="dxa"/>
            <w:gridSpan w:val="3"/>
            <w:shd w:val="clear" w:color="auto" w:fill="FFF2CC"/>
            <w:vAlign w:val="center"/>
          </w:tcPr>
          <w:p w14:paraId="0FD5A84A"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p>
        </w:tc>
        <w:tc>
          <w:tcPr>
            <w:tcW w:w="1845" w:type="dxa"/>
            <w:gridSpan w:val="6"/>
            <w:shd w:val="clear" w:color="auto" w:fill="FFF2CC"/>
            <w:vAlign w:val="center"/>
          </w:tcPr>
          <w:p w14:paraId="12A5EB3D"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NORMATIVNI DIO</w:t>
            </w:r>
          </w:p>
        </w:tc>
        <w:tc>
          <w:tcPr>
            <w:tcW w:w="1725" w:type="dxa"/>
            <w:gridSpan w:val="3"/>
            <w:shd w:val="clear" w:color="auto" w:fill="FFF2CC"/>
            <w:vAlign w:val="center"/>
          </w:tcPr>
          <w:p w14:paraId="023E3A29"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p>
        </w:tc>
        <w:tc>
          <w:tcPr>
            <w:tcW w:w="2130" w:type="dxa"/>
            <w:gridSpan w:val="3"/>
            <w:shd w:val="clear" w:color="auto" w:fill="FFF2CC"/>
            <w:vAlign w:val="center"/>
          </w:tcPr>
          <w:p w14:paraId="2849F6CF"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p>
        </w:tc>
        <w:tc>
          <w:tcPr>
            <w:tcW w:w="1245" w:type="dxa"/>
            <w:gridSpan w:val="5"/>
            <w:shd w:val="clear" w:color="auto" w:fill="FFF2CC"/>
            <w:vAlign w:val="center"/>
          </w:tcPr>
          <w:p w14:paraId="388E3AB8"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p>
        </w:tc>
        <w:tc>
          <w:tcPr>
            <w:tcW w:w="2250" w:type="dxa"/>
            <w:gridSpan w:val="2"/>
            <w:shd w:val="clear" w:color="auto" w:fill="FFF2CC"/>
            <w:vAlign w:val="center"/>
          </w:tcPr>
          <w:p w14:paraId="436F7551"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p>
        </w:tc>
      </w:tr>
      <w:tr w:rsidR="00153252" w:rsidRPr="00153252" w14:paraId="47037C9A" w14:textId="77777777" w:rsidTr="00D003CC">
        <w:trPr>
          <w:cantSplit/>
          <w:tblHeader/>
        </w:trPr>
        <w:tc>
          <w:tcPr>
            <w:tcW w:w="855" w:type="dxa"/>
            <w:gridSpan w:val="3"/>
          </w:tcPr>
          <w:p w14:paraId="301582F2"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1.</w:t>
            </w:r>
          </w:p>
        </w:tc>
        <w:tc>
          <w:tcPr>
            <w:tcW w:w="2280" w:type="dxa"/>
            <w:gridSpan w:val="3"/>
          </w:tcPr>
          <w:p w14:paraId="444D43AC"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sz w:val="20"/>
                <w:szCs w:val="20"/>
              </w:rPr>
              <w:t>Utvrditi</w:t>
            </w:r>
            <w:r w:rsidRPr="00153252">
              <w:rPr>
                <w:rFonts w:ascii="Arial Narrow" w:eastAsia="Arial Narrow" w:hAnsi="Arial Narrow" w:cs="Arial Narrow"/>
                <w:color w:val="000000"/>
                <w:sz w:val="20"/>
                <w:szCs w:val="20"/>
              </w:rPr>
              <w:t xml:space="preserve"> Zakona o izmjen</w:t>
            </w:r>
            <w:r w:rsidRPr="00153252">
              <w:rPr>
                <w:rFonts w:ascii="Arial Narrow" w:eastAsia="Arial Narrow" w:hAnsi="Arial Narrow" w:cs="Arial Narrow"/>
                <w:sz w:val="20"/>
                <w:szCs w:val="20"/>
              </w:rPr>
              <w:t>ama</w:t>
            </w:r>
            <w:r w:rsidRPr="00153252">
              <w:rPr>
                <w:rFonts w:ascii="Arial Narrow" w:eastAsia="Arial Narrow" w:hAnsi="Arial Narrow" w:cs="Arial Narrow"/>
                <w:color w:val="000000"/>
                <w:sz w:val="20"/>
                <w:szCs w:val="20"/>
              </w:rPr>
              <w:t xml:space="preserve"> i dopun</w:t>
            </w:r>
            <w:r w:rsidRPr="00153252">
              <w:rPr>
                <w:rFonts w:ascii="Arial Narrow" w:eastAsia="Arial Narrow" w:hAnsi="Arial Narrow" w:cs="Arial Narrow"/>
                <w:sz w:val="20"/>
                <w:szCs w:val="20"/>
              </w:rPr>
              <w:t>ama</w:t>
            </w:r>
            <w:r w:rsidRPr="00153252">
              <w:rPr>
                <w:rFonts w:ascii="Arial Narrow" w:eastAsia="Arial Narrow" w:hAnsi="Arial Narrow" w:cs="Arial Narrow"/>
                <w:color w:val="000000"/>
                <w:sz w:val="20"/>
                <w:szCs w:val="20"/>
              </w:rPr>
              <w:t xml:space="preserve"> Zakona o medijima</w:t>
            </w:r>
          </w:p>
        </w:tc>
        <w:tc>
          <w:tcPr>
            <w:tcW w:w="2700" w:type="dxa"/>
            <w:gridSpan w:val="3"/>
          </w:tcPr>
          <w:p w14:paraId="6329FB71"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sz w:val="20"/>
                <w:szCs w:val="20"/>
              </w:rPr>
              <w:t>Utvrđen</w:t>
            </w:r>
            <w:r w:rsidRPr="00153252">
              <w:rPr>
                <w:rFonts w:ascii="Arial Narrow" w:eastAsia="Arial Narrow" w:hAnsi="Arial Narrow" w:cs="Arial Narrow"/>
                <w:color w:val="000000"/>
                <w:sz w:val="20"/>
                <w:szCs w:val="20"/>
              </w:rPr>
              <w:t xml:space="preserve"> </w:t>
            </w:r>
            <w:r w:rsidRPr="00153252">
              <w:rPr>
                <w:rFonts w:ascii="Arial Narrow" w:eastAsia="Arial Narrow" w:hAnsi="Arial Narrow" w:cs="Arial Narrow"/>
                <w:sz w:val="20"/>
                <w:szCs w:val="20"/>
              </w:rPr>
              <w:t>Zakona o izmjenama i dopunama Zakona o medijima</w:t>
            </w:r>
          </w:p>
        </w:tc>
        <w:tc>
          <w:tcPr>
            <w:tcW w:w="1845" w:type="dxa"/>
            <w:gridSpan w:val="6"/>
          </w:tcPr>
          <w:p w14:paraId="5CA015B6"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MJUDDM i partneri</w:t>
            </w:r>
          </w:p>
        </w:tc>
        <w:tc>
          <w:tcPr>
            <w:tcW w:w="1725" w:type="dxa"/>
            <w:gridSpan w:val="3"/>
          </w:tcPr>
          <w:p w14:paraId="046DC408"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III Q 2022. godine</w:t>
            </w:r>
          </w:p>
          <w:p w14:paraId="02062361" w14:textId="77777777" w:rsidR="00153252" w:rsidRPr="00153252" w:rsidRDefault="00153252" w:rsidP="00153252">
            <w:pPr>
              <w:spacing w:before="20" w:after="20" w:line="240" w:lineRule="auto"/>
              <w:rPr>
                <w:rFonts w:ascii="Arial Narrow" w:eastAsia="Arial Narrow" w:hAnsi="Arial Narrow" w:cs="Arial Narrow"/>
                <w:color w:val="FF0000"/>
                <w:sz w:val="20"/>
                <w:szCs w:val="20"/>
              </w:rPr>
            </w:pPr>
          </w:p>
        </w:tc>
        <w:tc>
          <w:tcPr>
            <w:tcW w:w="2130" w:type="dxa"/>
            <w:gridSpan w:val="3"/>
          </w:tcPr>
          <w:p w14:paraId="4087E3C1"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383940B4"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p>
          <w:p w14:paraId="0773FEDA" w14:textId="77777777" w:rsidR="00153252" w:rsidRPr="00153252" w:rsidRDefault="00153252" w:rsidP="00153252">
            <w:pPr>
              <w:spacing w:before="20" w:after="20" w:line="240" w:lineRule="auto"/>
              <w:rPr>
                <w:rFonts w:ascii="Arial Narrow" w:eastAsia="Arial Narrow" w:hAnsi="Arial Narrow" w:cs="Arial Narrow"/>
                <w:color w:val="FF0000"/>
                <w:sz w:val="20"/>
                <w:szCs w:val="20"/>
              </w:rPr>
            </w:pPr>
            <w:r w:rsidRPr="00153252">
              <w:rPr>
                <w:rFonts w:ascii="Arial Narrow" w:eastAsia="Arial Narrow" w:hAnsi="Arial Narrow" w:cs="Arial Narrow"/>
                <w:color w:val="000000"/>
                <w:sz w:val="20"/>
                <w:szCs w:val="20"/>
              </w:rPr>
              <w:t>Za utvrđivanje procjene uticaja propisa će biti urađena RIA</w:t>
            </w:r>
          </w:p>
        </w:tc>
        <w:tc>
          <w:tcPr>
            <w:tcW w:w="1245" w:type="dxa"/>
            <w:gridSpan w:val="5"/>
          </w:tcPr>
          <w:p w14:paraId="0804B349"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Budžet MJUDDM</w:t>
            </w:r>
          </w:p>
        </w:tc>
        <w:tc>
          <w:tcPr>
            <w:tcW w:w="2250" w:type="dxa"/>
            <w:gridSpan w:val="2"/>
          </w:tcPr>
          <w:p w14:paraId="375EB2F0"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Izmjenema medijskih zakona će se unaprijediti odredbe koje se odnose na transparentnost vlasništva, evidencije, državnu pomoć, nezavisnost savjeta AEM i RTCG</w:t>
            </w:r>
          </w:p>
        </w:tc>
      </w:tr>
      <w:tr w:rsidR="00153252" w:rsidRPr="00153252" w14:paraId="3622927F" w14:textId="77777777" w:rsidTr="00D003CC">
        <w:trPr>
          <w:cantSplit/>
          <w:tblHeader/>
        </w:trPr>
        <w:tc>
          <w:tcPr>
            <w:tcW w:w="855" w:type="dxa"/>
            <w:gridSpan w:val="3"/>
          </w:tcPr>
          <w:p w14:paraId="6BCFEA7F"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2.</w:t>
            </w:r>
          </w:p>
        </w:tc>
        <w:tc>
          <w:tcPr>
            <w:tcW w:w="2280" w:type="dxa"/>
            <w:gridSpan w:val="3"/>
          </w:tcPr>
          <w:p w14:paraId="22640013"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sz w:val="20"/>
                <w:szCs w:val="20"/>
              </w:rPr>
              <w:t xml:space="preserve">Utvrditi Zakon o audio vizuelnim medijskim uslugama  </w:t>
            </w:r>
          </w:p>
        </w:tc>
        <w:tc>
          <w:tcPr>
            <w:tcW w:w="2700" w:type="dxa"/>
            <w:gridSpan w:val="3"/>
          </w:tcPr>
          <w:p w14:paraId="7163AF24"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sz w:val="20"/>
                <w:szCs w:val="20"/>
              </w:rPr>
              <w:t>Utvrđen Zakona o izmjenama i dopunama Zakona o audio vizuelnim medijskim uslugama</w:t>
            </w:r>
          </w:p>
        </w:tc>
        <w:tc>
          <w:tcPr>
            <w:tcW w:w="1845" w:type="dxa"/>
            <w:gridSpan w:val="6"/>
          </w:tcPr>
          <w:p w14:paraId="1842FAE8"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sz w:val="20"/>
                <w:szCs w:val="20"/>
              </w:rPr>
              <w:t>MJUDDIM i partneri</w:t>
            </w:r>
          </w:p>
        </w:tc>
        <w:tc>
          <w:tcPr>
            <w:tcW w:w="1725" w:type="dxa"/>
            <w:gridSpan w:val="3"/>
          </w:tcPr>
          <w:p w14:paraId="5CA04F73"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sz w:val="20"/>
                <w:szCs w:val="20"/>
              </w:rPr>
              <w:t>II Q 2022.</w:t>
            </w:r>
          </w:p>
        </w:tc>
        <w:tc>
          <w:tcPr>
            <w:tcW w:w="2130" w:type="dxa"/>
            <w:gridSpan w:val="3"/>
          </w:tcPr>
          <w:p w14:paraId="0D14DF53"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r w:rsidRPr="00153252">
              <w:rPr>
                <w:rFonts w:ascii="Arial Narrow" w:eastAsia="Arial Narrow" w:hAnsi="Arial Narrow" w:cs="Arial Narrow"/>
                <w:sz w:val="20"/>
                <w:szCs w:val="20"/>
              </w:rPr>
              <w:t>Za utvrđivanje procjene uticaja propisa će biti urađena RIA</w:t>
            </w:r>
          </w:p>
        </w:tc>
        <w:tc>
          <w:tcPr>
            <w:tcW w:w="1245" w:type="dxa"/>
            <w:gridSpan w:val="5"/>
          </w:tcPr>
          <w:p w14:paraId="74C81FE2"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sz w:val="20"/>
                <w:szCs w:val="20"/>
              </w:rPr>
              <w:t>Budžet MJUDDIM</w:t>
            </w:r>
          </w:p>
        </w:tc>
        <w:tc>
          <w:tcPr>
            <w:tcW w:w="2250" w:type="dxa"/>
            <w:gridSpan w:val="2"/>
          </w:tcPr>
          <w:p w14:paraId="3C7C0BCD" w14:textId="77777777" w:rsidR="00153252" w:rsidRPr="00153252" w:rsidRDefault="00153252" w:rsidP="00F43978">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 Ovim zakonom izvršiće se potpuno usaglašavanje sa Direktivom (EU) 2018/1808 Evropskog parlamenta i Evropskog Savjeta od 14. novembra 2018. godine o izmjenama i dopunama Direktive 2010/13/EU o koordinaciji određenih zakonskih odredbi, regulaciji ili upravnim radnjama u državama članicama koje se tiču pružanja audio-vizuelnih medijskih usluga.</w:t>
            </w:r>
          </w:p>
          <w:p w14:paraId="7DDD841F" w14:textId="77777777" w:rsidR="00153252" w:rsidRPr="00153252" w:rsidRDefault="00153252" w:rsidP="00153252">
            <w:pPr>
              <w:spacing w:before="20" w:after="20" w:line="240" w:lineRule="auto"/>
              <w:rPr>
                <w:rFonts w:ascii="Arial Narrow" w:eastAsia="Arial Narrow" w:hAnsi="Arial Narrow" w:cs="Arial Narrow"/>
                <w:sz w:val="20"/>
                <w:szCs w:val="20"/>
              </w:rPr>
            </w:pPr>
          </w:p>
        </w:tc>
      </w:tr>
      <w:tr w:rsidR="00153252" w:rsidRPr="00153252" w14:paraId="28339B43" w14:textId="77777777" w:rsidTr="00D003CC">
        <w:trPr>
          <w:cantSplit/>
          <w:tblHeader/>
        </w:trPr>
        <w:tc>
          <w:tcPr>
            <w:tcW w:w="855" w:type="dxa"/>
            <w:gridSpan w:val="3"/>
          </w:tcPr>
          <w:p w14:paraId="675AE814"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3.</w:t>
            </w:r>
          </w:p>
        </w:tc>
        <w:tc>
          <w:tcPr>
            <w:tcW w:w="2280" w:type="dxa"/>
            <w:gridSpan w:val="3"/>
          </w:tcPr>
          <w:p w14:paraId="25862E38"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 Utvrditi Zakon o izmjenama i dopunama Zakona o Nacionalnom javnom emiteru Radio i Televizija Crne Gore</w:t>
            </w:r>
          </w:p>
          <w:p w14:paraId="27A7E3DA"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2700" w:type="dxa"/>
            <w:gridSpan w:val="3"/>
          </w:tcPr>
          <w:p w14:paraId="6EDCDCF0"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Utvrđen  Zakona o izmjenama i dopunama Zakona o Nacionalnom javnom emiteru Radio i Televizija Crne Gore</w:t>
            </w:r>
          </w:p>
        </w:tc>
        <w:tc>
          <w:tcPr>
            <w:tcW w:w="1845" w:type="dxa"/>
            <w:gridSpan w:val="6"/>
          </w:tcPr>
          <w:p w14:paraId="2A14CC9D"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sz w:val="20"/>
                <w:szCs w:val="20"/>
              </w:rPr>
              <w:t>MJUDDIM i partneri</w:t>
            </w:r>
          </w:p>
        </w:tc>
        <w:tc>
          <w:tcPr>
            <w:tcW w:w="1725" w:type="dxa"/>
            <w:gridSpan w:val="3"/>
          </w:tcPr>
          <w:p w14:paraId="7AFA6C63"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sz w:val="20"/>
                <w:szCs w:val="20"/>
              </w:rPr>
              <w:t>II Q 2022.</w:t>
            </w:r>
          </w:p>
        </w:tc>
        <w:tc>
          <w:tcPr>
            <w:tcW w:w="2130" w:type="dxa"/>
            <w:gridSpan w:val="3"/>
          </w:tcPr>
          <w:p w14:paraId="741D0B7F" w14:textId="77777777" w:rsidR="00153252" w:rsidRPr="00153252" w:rsidRDefault="00153252" w:rsidP="00153252">
            <w:pPr>
              <w:spacing w:before="20" w:after="20" w:line="240" w:lineRule="auto"/>
              <w:rPr>
                <w:rFonts w:ascii="Arial Narrow" w:eastAsia="Arial Narrow" w:hAnsi="Arial Narrow" w:cs="Arial Narrow"/>
                <w:i/>
                <w:color w:val="FF0000"/>
                <w:sz w:val="20"/>
                <w:szCs w:val="20"/>
              </w:rPr>
            </w:pPr>
            <w:r w:rsidRPr="00153252">
              <w:rPr>
                <w:rFonts w:ascii="Arial Narrow" w:eastAsia="Arial Narrow" w:hAnsi="Arial Narrow" w:cs="Arial Narrow"/>
                <w:sz w:val="20"/>
                <w:szCs w:val="20"/>
              </w:rPr>
              <w:t>Za utvrđivanje procjene uticaja propisa će biti urađena RIA</w:t>
            </w:r>
          </w:p>
        </w:tc>
        <w:tc>
          <w:tcPr>
            <w:tcW w:w="1245" w:type="dxa"/>
            <w:gridSpan w:val="5"/>
          </w:tcPr>
          <w:p w14:paraId="194EF8F5" w14:textId="77777777" w:rsidR="00153252" w:rsidRPr="00153252" w:rsidRDefault="00153252" w:rsidP="00153252">
            <w:pPr>
              <w:spacing w:before="20" w:after="20" w:line="240" w:lineRule="auto"/>
              <w:rPr>
                <w:rFonts w:ascii="Arial Narrow" w:eastAsia="Arial Narrow" w:hAnsi="Arial Narrow" w:cs="Arial Narrow"/>
                <w:color w:val="000000"/>
                <w:sz w:val="20"/>
                <w:szCs w:val="20"/>
              </w:rPr>
            </w:pPr>
            <w:r w:rsidRPr="00153252">
              <w:rPr>
                <w:rFonts w:ascii="Arial Narrow" w:eastAsia="Arial Narrow" w:hAnsi="Arial Narrow" w:cs="Arial Narrow"/>
                <w:sz w:val="20"/>
                <w:szCs w:val="20"/>
              </w:rPr>
              <w:t>Budžet MJUDDIM</w:t>
            </w:r>
          </w:p>
        </w:tc>
        <w:tc>
          <w:tcPr>
            <w:tcW w:w="2250" w:type="dxa"/>
            <w:gridSpan w:val="2"/>
          </w:tcPr>
          <w:p w14:paraId="05B17F30" w14:textId="77777777" w:rsidR="00153252" w:rsidRPr="00153252" w:rsidRDefault="00153252" w:rsidP="00F43978">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Izmjenema medijskih zakona će se unaprijediti odredbe koje se odnose na transparentnost vlasništva, evidencije, državnu pomoć, nezavisnost savjeta AEM i RTCG</w:t>
            </w:r>
          </w:p>
          <w:p w14:paraId="0569000D" w14:textId="77777777" w:rsidR="00153252" w:rsidRPr="00153252" w:rsidRDefault="00153252" w:rsidP="00153252">
            <w:pPr>
              <w:spacing w:before="20" w:after="20" w:line="240" w:lineRule="auto"/>
              <w:rPr>
                <w:rFonts w:ascii="Arial Narrow" w:eastAsia="Arial Narrow" w:hAnsi="Arial Narrow" w:cs="Arial Narrow"/>
                <w:sz w:val="20"/>
                <w:szCs w:val="20"/>
              </w:rPr>
            </w:pPr>
          </w:p>
        </w:tc>
      </w:tr>
      <w:tr w:rsidR="00153252" w:rsidRPr="00153252" w14:paraId="32BBFDB0" w14:textId="77777777" w:rsidTr="00D003CC">
        <w:trPr>
          <w:cantSplit/>
          <w:tblHeader/>
        </w:trPr>
        <w:tc>
          <w:tcPr>
            <w:tcW w:w="855" w:type="dxa"/>
            <w:gridSpan w:val="3"/>
          </w:tcPr>
          <w:p w14:paraId="5ED81714"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2280" w:type="dxa"/>
            <w:gridSpan w:val="3"/>
          </w:tcPr>
          <w:p w14:paraId="22FA4DE2"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2700" w:type="dxa"/>
            <w:gridSpan w:val="3"/>
          </w:tcPr>
          <w:p w14:paraId="778A94FD"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1845" w:type="dxa"/>
            <w:gridSpan w:val="6"/>
          </w:tcPr>
          <w:p w14:paraId="1A82AF77" w14:textId="77777777" w:rsidR="00153252" w:rsidRPr="00153252" w:rsidRDefault="00153252" w:rsidP="00153252">
            <w:pPr>
              <w:spacing w:before="20" w:after="20" w:line="240" w:lineRule="auto"/>
              <w:rPr>
                <w:rFonts w:ascii="Arial Narrow" w:eastAsia="Arial Narrow" w:hAnsi="Arial Narrow" w:cs="Arial Narrow"/>
                <w:b/>
                <w:sz w:val="20"/>
                <w:szCs w:val="20"/>
              </w:rPr>
            </w:pPr>
          </w:p>
        </w:tc>
        <w:tc>
          <w:tcPr>
            <w:tcW w:w="1725" w:type="dxa"/>
            <w:gridSpan w:val="3"/>
          </w:tcPr>
          <w:p w14:paraId="22921DF5" w14:textId="77777777" w:rsidR="00153252" w:rsidRPr="00153252" w:rsidRDefault="00153252" w:rsidP="00153252">
            <w:pPr>
              <w:spacing w:before="20" w:after="20" w:line="240" w:lineRule="auto"/>
              <w:rPr>
                <w:rFonts w:ascii="Arial Narrow" w:eastAsia="Arial Narrow" w:hAnsi="Arial Narrow" w:cs="Arial Narrow"/>
                <w:b/>
                <w:sz w:val="20"/>
                <w:szCs w:val="20"/>
              </w:rPr>
            </w:pPr>
            <w:r w:rsidRPr="00153252">
              <w:rPr>
                <w:rFonts w:ascii="Arial Narrow" w:eastAsia="Arial Narrow" w:hAnsi="Arial Narrow" w:cs="Arial Narrow"/>
                <w:b/>
                <w:sz w:val="20"/>
                <w:szCs w:val="20"/>
              </w:rPr>
              <w:t>TEMATSKI DIO</w:t>
            </w:r>
          </w:p>
        </w:tc>
        <w:tc>
          <w:tcPr>
            <w:tcW w:w="2130" w:type="dxa"/>
            <w:gridSpan w:val="3"/>
          </w:tcPr>
          <w:p w14:paraId="5A93FC8B"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1245" w:type="dxa"/>
            <w:gridSpan w:val="5"/>
          </w:tcPr>
          <w:p w14:paraId="7A4C57B4"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2250" w:type="dxa"/>
            <w:gridSpan w:val="2"/>
          </w:tcPr>
          <w:p w14:paraId="5DCD9438" w14:textId="77777777" w:rsidR="00153252" w:rsidRPr="00153252" w:rsidRDefault="00153252" w:rsidP="00153252">
            <w:pPr>
              <w:spacing w:before="20" w:after="20" w:line="240" w:lineRule="auto"/>
              <w:rPr>
                <w:rFonts w:ascii="Arial Narrow" w:eastAsia="Arial Narrow" w:hAnsi="Arial Narrow" w:cs="Arial Narrow"/>
                <w:sz w:val="20"/>
                <w:szCs w:val="20"/>
              </w:rPr>
            </w:pPr>
          </w:p>
        </w:tc>
      </w:tr>
      <w:tr w:rsidR="00153252" w:rsidRPr="00153252" w14:paraId="21C19DBF" w14:textId="77777777" w:rsidTr="00D003CC">
        <w:trPr>
          <w:cantSplit/>
          <w:tblHeader/>
        </w:trPr>
        <w:tc>
          <w:tcPr>
            <w:tcW w:w="855" w:type="dxa"/>
            <w:gridSpan w:val="3"/>
          </w:tcPr>
          <w:p w14:paraId="71001E81" w14:textId="77777777" w:rsidR="00153252" w:rsidRPr="00153252" w:rsidRDefault="00D003CC" w:rsidP="00153252">
            <w:pPr>
              <w:spacing w:before="20" w:after="20" w:line="240" w:lineRule="auto"/>
              <w:rPr>
                <w:rFonts w:ascii="Arial Narrow" w:eastAsia="Arial Narrow" w:hAnsi="Arial Narrow" w:cs="Arial Narrow"/>
                <w:sz w:val="20"/>
                <w:szCs w:val="20"/>
              </w:rPr>
            </w:pPr>
            <w:r>
              <w:rPr>
                <w:rFonts w:ascii="Arial Narrow" w:eastAsia="Arial Narrow" w:hAnsi="Arial Narrow" w:cs="Arial Narrow"/>
                <w:sz w:val="20"/>
                <w:szCs w:val="20"/>
              </w:rPr>
              <w:t>4</w:t>
            </w:r>
            <w:r w:rsidR="00153252" w:rsidRPr="00153252">
              <w:rPr>
                <w:rFonts w:ascii="Arial Narrow" w:eastAsia="Arial Narrow" w:hAnsi="Arial Narrow" w:cs="Arial Narrow"/>
                <w:sz w:val="20"/>
                <w:szCs w:val="20"/>
              </w:rPr>
              <w:t>.</w:t>
            </w:r>
          </w:p>
        </w:tc>
        <w:tc>
          <w:tcPr>
            <w:tcW w:w="2280" w:type="dxa"/>
            <w:gridSpan w:val="3"/>
          </w:tcPr>
          <w:p w14:paraId="2C9F2557"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Pripremiti  Medijsku strategiju Crne Gore 2022-2026 i Akcioni plan za 2022. godinu</w:t>
            </w:r>
          </w:p>
        </w:tc>
        <w:tc>
          <w:tcPr>
            <w:tcW w:w="2700" w:type="dxa"/>
            <w:gridSpan w:val="3"/>
          </w:tcPr>
          <w:p w14:paraId="7068326D"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color w:val="000000"/>
                <w:sz w:val="20"/>
                <w:szCs w:val="20"/>
              </w:rPr>
              <w:t>Usvojena Medijska strategija Crne Gore 2022-2026 i Akcioni plan za 2022. godinu</w:t>
            </w:r>
          </w:p>
        </w:tc>
        <w:tc>
          <w:tcPr>
            <w:tcW w:w="1845" w:type="dxa"/>
            <w:gridSpan w:val="6"/>
          </w:tcPr>
          <w:p w14:paraId="686365CC"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MJUDDM i partneri</w:t>
            </w:r>
          </w:p>
        </w:tc>
        <w:tc>
          <w:tcPr>
            <w:tcW w:w="1725" w:type="dxa"/>
            <w:gridSpan w:val="3"/>
          </w:tcPr>
          <w:p w14:paraId="48453A05"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IV Q 2021-I Q 2022</w:t>
            </w:r>
          </w:p>
          <w:p w14:paraId="22CFB5C6" w14:textId="77777777" w:rsidR="00153252" w:rsidRPr="00153252" w:rsidRDefault="00153252" w:rsidP="00153252">
            <w:pPr>
              <w:spacing w:before="20" w:after="20" w:line="240" w:lineRule="auto"/>
              <w:rPr>
                <w:rFonts w:ascii="Arial Narrow" w:eastAsia="Arial Narrow" w:hAnsi="Arial Narrow" w:cs="Arial Narrow"/>
                <w:sz w:val="20"/>
                <w:szCs w:val="20"/>
              </w:rPr>
            </w:pPr>
          </w:p>
        </w:tc>
        <w:tc>
          <w:tcPr>
            <w:tcW w:w="2130" w:type="dxa"/>
            <w:gridSpan w:val="3"/>
          </w:tcPr>
          <w:p w14:paraId="157D2C3F"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sz w:val="20"/>
                <w:szCs w:val="20"/>
              </w:rPr>
              <w:t>/</w:t>
            </w:r>
          </w:p>
        </w:tc>
        <w:tc>
          <w:tcPr>
            <w:tcW w:w="1245" w:type="dxa"/>
            <w:gridSpan w:val="5"/>
          </w:tcPr>
          <w:p w14:paraId="7E173304" w14:textId="77777777" w:rsidR="00153252" w:rsidRPr="00153252" w:rsidRDefault="00153252" w:rsidP="00153252">
            <w:pPr>
              <w:spacing w:before="20" w:after="20" w:line="240" w:lineRule="auto"/>
              <w:rPr>
                <w:rFonts w:ascii="Arial Narrow" w:eastAsia="Arial Narrow" w:hAnsi="Arial Narrow" w:cs="Arial Narrow"/>
                <w:sz w:val="20"/>
                <w:szCs w:val="20"/>
              </w:rPr>
            </w:pPr>
            <w:r w:rsidRPr="00153252">
              <w:rPr>
                <w:rFonts w:ascii="Arial Narrow" w:eastAsia="Arial Narrow" w:hAnsi="Arial Narrow" w:cs="Arial Narrow"/>
                <w:color w:val="000000"/>
                <w:sz w:val="20"/>
                <w:szCs w:val="20"/>
              </w:rPr>
              <w:t>Budžet MJUDDM i partnera</w:t>
            </w:r>
          </w:p>
        </w:tc>
        <w:tc>
          <w:tcPr>
            <w:tcW w:w="2250" w:type="dxa"/>
            <w:gridSpan w:val="2"/>
          </w:tcPr>
          <w:p w14:paraId="5B0D2141" w14:textId="77777777" w:rsidR="00153252" w:rsidRPr="00153252" w:rsidRDefault="00153252" w:rsidP="00F43978">
            <w:pPr>
              <w:spacing w:before="20" w:after="2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Strategijom ća se generalno unaprijediti oblast slobode izražavanja i slobode medija, transparentnost, održivost medija, položaj novinara, promovisati medijska pismenost</w:t>
            </w:r>
          </w:p>
        </w:tc>
      </w:tr>
    </w:tbl>
    <w:p w14:paraId="1BCD67C7" w14:textId="77777777" w:rsidR="00153252" w:rsidRPr="00153252" w:rsidRDefault="00153252" w:rsidP="00153252">
      <w:pPr>
        <w:jc w:val="center"/>
        <w:rPr>
          <w:rFonts w:ascii="Arial Narrow" w:eastAsia="Arial Narrow" w:hAnsi="Arial Narrow" w:cs="Arial Narrow"/>
          <w:b/>
          <w:sz w:val="20"/>
          <w:szCs w:val="20"/>
        </w:rPr>
      </w:pPr>
    </w:p>
    <w:p w14:paraId="32130A65" w14:textId="77777777" w:rsidR="00153252" w:rsidRPr="00153252" w:rsidRDefault="00153252" w:rsidP="00153252">
      <w:pPr>
        <w:jc w:val="center"/>
        <w:rPr>
          <w:rFonts w:ascii="Arial Narrow" w:eastAsia="Arial Narrow" w:hAnsi="Arial Narrow" w:cs="Arial Narrow"/>
          <w:b/>
          <w:sz w:val="24"/>
          <w:szCs w:val="24"/>
        </w:rPr>
      </w:pPr>
    </w:p>
    <w:p w14:paraId="1F829B03" w14:textId="77777777" w:rsidR="00153252" w:rsidRPr="00153252" w:rsidRDefault="00153252" w:rsidP="00153252">
      <w:pPr>
        <w:jc w:val="center"/>
        <w:rPr>
          <w:rFonts w:ascii="Arial Narrow" w:eastAsia="Arial Narrow" w:hAnsi="Arial Narrow" w:cs="Arial Narrow"/>
          <w:b/>
          <w:sz w:val="24"/>
          <w:szCs w:val="24"/>
        </w:rPr>
      </w:pPr>
    </w:p>
    <w:p w14:paraId="70817F27" w14:textId="77777777" w:rsidR="00153252" w:rsidRPr="00153252" w:rsidRDefault="00153252" w:rsidP="00153252">
      <w:pPr>
        <w:jc w:val="center"/>
        <w:rPr>
          <w:rFonts w:ascii="Arial Narrow" w:eastAsia="Arial Narrow" w:hAnsi="Arial Narrow" w:cs="Arial Narrow"/>
          <w:b/>
          <w:sz w:val="20"/>
          <w:szCs w:val="20"/>
        </w:rPr>
      </w:pPr>
    </w:p>
    <w:tbl>
      <w:tblPr>
        <w:tblW w:w="14886"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
        <w:gridCol w:w="10"/>
        <w:gridCol w:w="2138"/>
        <w:gridCol w:w="2061"/>
        <w:gridCol w:w="6"/>
        <w:gridCol w:w="1794"/>
        <w:gridCol w:w="2321"/>
        <w:gridCol w:w="1410"/>
        <w:gridCol w:w="71"/>
        <w:gridCol w:w="1522"/>
        <w:gridCol w:w="3123"/>
      </w:tblGrid>
      <w:tr w:rsidR="00153252" w:rsidRPr="00153252" w14:paraId="053EA922" w14:textId="77777777" w:rsidTr="00F268FE">
        <w:trPr>
          <w:cantSplit/>
          <w:trHeight w:val="424"/>
          <w:tblHeader/>
        </w:trPr>
        <w:tc>
          <w:tcPr>
            <w:tcW w:w="2580" w:type="dxa"/>
            <w:gridSpan w:val="3"/>
            <w:shd w:val="clear" w:color="auto" w:fill="D9E2F3"/>
            <w:vAlign w:val="center"/>
          </w:tcPr>
          <w:p w14:paraId="32F7FCCC" w14:textId="77777777" w:rsidR="00153252" w:rsidRPr="00153252" w:rsidRDefault="00153252" w:rsidP="00153252">
            <w:pPr>
              <w:spacing w:after="0" w:line="276" w:lineRule="auto"/>
              <w:jc w:val="center"/>
              <w:rPr>
                <w:rFonts w:ascii="Arial Narrow" w:eastAsia="Arial Narrow" w:hAnsi="Arial Narrow" w:cs="Arial Narrow"/>
                <w:b/>
                <w:sz w:val="20"/>
                <w:szCs w:val="20"/>
              </w:rPr>
            </w:pPr>
            <w:bookmarkStart w:id="5" w:name="_Hlk89628809"/>
            <w:r w:rsidRPr="00153252">
              <w:rPr>
                <w:rFonts w:ascii="Arial Narrow" w:eastAsia="Arial Narrow" w:hAnsi="Arial Narrow" w:cs="Arial Narrow"/>
                <w:b/>
                <w:sz w:val="20"/>
                <w:szCs w:val="20"/>
              </w:rPr>
              <w:lastRenderedPageBreak/>
              <w:t>Cilj</w:t>
            </w:r>
            <w:r w:rsidR="00B80AA5">
              <w:rPr>
                <w:rFonts w:ascii="Arial Narrow" w:eastAsia="Arial Narrow" w:hAnsi="Arial Narrow" w:cs="Arial Narrow"/>
                <w:b/>
                <w:sz w:val="20"/>
                <w:szCs w:val="20"/>
              </w:rPr>
              <w:t xml:space="preserve"> 1.6.</w:t>
            </w:r>
          </w:p>
        </w:tc>
        <w:tc>
          <w:tcPr>
            <w:tcW w:w="12306" w:type="dxa"/>
            <w:gridSpan w:val="8"/>
            <w:shd w:val="clear" w:color="auto" w:fill="D9E2F3"/>
            <w:vAlign w:val="center"/>
          </w:tcPr>
          <w:p w14:paraId="6EA9DAE0" w14:textId="77777777" w:rsidR="00153252" w:rsidRPr="00153252" w:rsidRDefault="00153252" w:rsidP="00153252">
            <w:pPr>
              <w:spacing w:after="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Poboljšati socijalni i ekonomski položaj ranjivijih kategorija društva</w:t>
            </w:r>
          </w:p>
        </w:tc>
      </w:tr>
      <w:tr w:rsidR="00153252" w:rsidRPr="00153252" w14:paraId="12EFF0FE" w14:textId="77777777" w:rsidTr="00F268FE">
        <w:trPr>
          <w:cantSplit/>
          <w:tblHeader/>
        </w:trPr>
        <w:tc>
          <w:tcPr>
            <w:tcW w:w="2580" w:type="dxa"/>
            <w:gridSpan w:val="3"/>
            <w:shd w:val="clear" w:color="auto" w:fill="DAF2F6"/>
            <w:vAlign w:val="center"/>
          </w:tcPr>
          <w:p w14:paraId="4FEB243D"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2068" w:type="dxa"/>
            <w:gridSpan w:val="2"/>
            <w:shd w:val="clear" w:color="auto" w:fill="DAF2F6"/>
            <w:vAlign w:val="center"/>
          </w:tcPr>
          <w:p w14:paraId="0ADA1C6B"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 xml:space="preserve">Polazna vrijednost – 2021. </w:t>
            </w:r>
          </w:p>
        </w:tc>
        <w:tc>
          <w:tcPr>
            <w:tcW w:w="1795" w:type="dxa"/>
            <w:shd w:val="clear" w:color="auto" w:fill="DAF2F6"/>
            <w:vAlign w:val="center"/>
          </w:tcPr>
          <w:p w14:paraId="6C80E9B1"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2022.</w:t>
            </w:r>
          </w:p>
        </w:tc>
        <w:tc>
          <w:tcPr>
            <w:tcW w:w="2321" w:type="dxa"/>
            <w:tcBorders>
              <w:bottom w:val="single" w:sz="4" w:space="0" w:color="FFFFFF"/>
            </w:tcBorders>
            <w:shd w:val="clear" w:color="auto" w:fill="DAF2F6"/>
            <w:vAlign w:val="center"/>
          </w:tcPr>
          <w:p w14:paraId="28922DAE"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 xml:space="preserve">Prelazna vrijednost – 2023. </w:t>
            </w:r>
          </w:p>
        </w:tc>
        <w:tc>
          <w:tcPr>
            <w:tcW w:w="6122" w:type="dxa"/>
            <w:gridSpan w:val="4"/>
            <w:tcBorders>
              <w:bottom w:val="single" w:sz="4" w:space="0" w:color="FFFFFF"/>
            </w:tcBorders>
            <w:shd w:val="clear" w:color="auto" w:fill="DAF2F6"/>
            <w:vAlign w:val="center"/>
          </w:tcPr>
          <w:p w14:paraId="0AEF21CA" w14:textId="77777777" w:rsidR="00153252" w:rsidRPr="00153252" w:rsidRDefault="00153252" w:rsidP="00153252">
            <w:pPr>
              <w:spacing w:before="40" w:after="4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- 2024.</w:t>
            </w:r>
          </w:p>
        </w:tc>
      </w:tr>
      <w:tr w:rsidR="00153252" w:rsidRPr="00153252" w14:paraId="0F835474" w14:textId="77777777" w:rsidTr="00F268FE">
        <w:trPr>
          <w:cantSplit/>
          <w:trHeight w:val="1252"/>
          <w:tblHeader/>
        </w:trPr>
        <w:tc>
          <w:tcPr>
            <w:tcW w:w="2580" w:type="dxa"/>
            <w:gridSpan w:val="3"/>
            <w:shd w:val="clear" w:color="auto" w:fill="DAF2F6"/>
            <w:vAlign w:val="center"/>
          </w:tcPr>
          <w:p w14:paraId="19FCF301" w14:textId="77777777" w:rsidR="00153252" w:rsidRPr="00A80EEE" w:rsidRDefault="00153252" w:rsidP="00153252">
            <w:pPr>
              <w:spacing w:after="0" w:line="276" w:lineRule="auto"/>
              <w:rPr>
                <w:rFonts w:ascii="Arial Narrow" w:eastAsia="Arial Narrow" w:hAnsi="Arial Narrow" w:cs="Arial Narrow"/>
                <w:sz w:val="20"/>
                <w:szCs w:val="20"/>
              </w:rPr>
            </w:pPr>
            <w:r w:rsidRPr="00A80EEE">
              <w:rPr>
                <w:rFonts w:ascii="Arial Narrow" w:eastAsia="Arial Narrow" w:hAnsi="Arial Narrow" w:cs="Arial Narrow"/>
                <w:sz w:val="20"/>
                <w:szCs w:val="20"/>
              </w:rPr>
              <w:t>Stepen uključenosti</w:t>
            </w:r>
            <w:r w:rsidRPr="00A80EEE">
              <w:rPr>
                <w:rFonts w:ascii="Arial Narrow" w:eastAsia="Arial Narrow" w:hAnsi="Arial Narrow" w:cs="Arial Narrow"/>
                <w:sz w:val="20"/>
                <w:szCs w:val="20"/>
                <w:u w:val="single"/>
              </w:rPr>
              <w:t xml:space="preserve"> </w:t>
            </w:r>
            <w:r w:rsidRPr="00A80EEE">
              <w:rPr>
                <w:rFonts w:ascii="Arial Narrow" w:eastAsia="Arial Narrow" w:hAnsi="Arial Narrow" w:cs="Arial Narrow"/>
                <w:sz w:val="20"/>
                <w:szCs w:val="20"/>
              </w:rPr>
              <w:t>radno</w:t>
            </w:r>
          </w:p>
          <w:p w14:paraId="18031FB8" w14:textId="77777777" w:rsidR="00153252" w:rsidRPr="00A80EEE" w:rsidRDefault="00153252" w:rsidP="00153252">
            <w:pPr>
              <w:spacing w:after="0" w:line="276" w:lineRule="auto"/>
              <w:rPr>
                <w:rFonts w:ascii="Arial Narrow" w:eastAsia="Arial Narrow" w:hAnsi="Arial Narrow" w:cs="Arial Narrow"/>
                <w:sz w:val="20"/>
                <w:szCs w:val="20"/>
              </w:rPr>
            </w:pPr>
            <w:r w:rsidRPr="00A80EEE">
              <w:rPr>
                <w:rFonts w:ascii="Arial Narrow" w:eastAsia="Arial Narrow" w:hAnsi="Arial Narrow" w:cs="Arial Narrow"/>
                <w:sz w:val="20"/>
                <w:szCs w:val="20"/>
              </w:rPr>
              <w:t>sposobnih korisnika materijalnog obezbjeđenja  na tržište rada</w:t>
            </w:r>
          </w:p>
        </w:tc>
        <w:tc>
          <w:tcPr>
            <w:tcW w:w="2068" w:type="dxa"/>
            <w:gridSpan w:val="2"/>
            <w:shd w:val="clear" w:color="auto" w:fill="DAF2F6"/>
            <w:vAlign w:val="center"/>
          </w:tcPr>
          <w:p w14:paraId="4AE48BB8" w14:textId="77777777" w:rsidR="00153252" w:rsidRPr="00153252" w:rsidRDefault="00153252" w:rsidP="00153252">
            <w:pPr>
              <w:spacing w:after="0" w:line="276" w:lineRule="auto"/>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9.247</w:t>
            </w:r>
          </w:p>
        </w:tc>
        <w:tc>
          <w:tcPr>
            <w:tcW w:w="1795" w:type="dxa"/>
            <w:shd w:val="clear" w:color="auto" w:fill="DAF2F6"/>
            <w:vAlign w:val="center"/>
          </w:tcPr>
          <w:p w14:paraId="3CD0DC53"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9.525</w:t>
            </w:r>
          </w:p>
        </w:tc>
        <w:tc>
          <w:tcPr>
            <w:tcW w:w="2321" w:type="dxa"/>
            <w:shd w:val="clear" w:color="auto" w:fill="DAF2F6"/>
            <w:vAlign w:val="center"/>
          </w:tcPr>
          <w:p w14:paraId="33A124C2"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10.000</w:t>
            </w:r>
          </w:p>
        </w:tc>
        <w:tc>
          <w:tcPr>
            <w:tcW w:w="6122" w:type="dxa"/>
            <w:gridSpan w:val="4"/>
            <w:shd w:val="clear" w:color="auto" w:fill="DAF2F6"/>
            <w:vAlign w:val="center"/>
          </w:tcPr>
          <w:p w14:paraId="480C00B1"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10.700</w:t>
            </w:r>
          </w:p>
        </w:tc>
      </w:tr>
      <w:tr w:rsidR="00153252" w:rsidRPr="00153252" w14:paraId="0FD393AB" w14:textId="77777777" w:rsidTr="00F268FE">
        <w:trPr>
          <w:cantSplit/>
          <w:trHeight w:val="620"/>
          <w:tblHeader/>
        </w:trPr>
        <w:tc>
          <w:tcPr>
            <w:tcW w:w="2580" w:type="dxa"/>
            <w:gridSpan w:val="3"/>
            <w:shd w:val="clear" w:color="auto" w:fill="DAF2F6"/>
            <w:vAlign w:val="center"/>
          </w:tcPr>
          <w:p w14:paraId="3C4BAAED" w14:textId="77777777" w:rsidR="00153252" w:rsidRPr="00A80EEE" w:rsidRDefault="00153252" w:rsidP="00153252">
            <w:pPr>
              <w:spacing w:after="0" w:line="240" w:lineRule="auto"/>
              <w:rPr>
                <w:rFonts w:ascii="Arial Narrow" w:eastAsia="Arial Narrow" w:hAnsi="Arial Narrow" w:cs="Arial Narrow"/>
                <w:sz w:val="20"/>
                <w:szCs w:val="20"/>
              </w:rPr>
            </w:pPr>
            <w:r w:rsidRPr="00A80EEE">
              <w:rPr>
                <w:rFonts w:ascii="Arial Narrow" w:eastAsia="Arial Narrow" w:hAnsi="Arial Narrow" w:cs="Arial Narrow"/>
                <w:sz w:val="20"/>
                <w:szCs w:val="20"/>
              </w:rPr>
              <w:t xml:space="preserve">Broj hraniteljskih porodica </w:t>
            </w:r>
          </w:p>
        </w:tc>
        <w:tc>
          <w:tcPr>
            <w:tcW w:w="2068" w:type="dxa"/>
            <w:gridSpan w:val="2"/>
            <w:shd w:val="clear" w:color="auto" w:fill="DAF2F6"/>
            <w:vAlign w:val="center"/>
          </w:tcPr>
          <w:p w14:paraId="3DE91632"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260</w:t>
            </w:r>
          </w:p>
        </w:tc>
        <w:tc>
          <w:tcPr>
            <w:tcW w:w="1795" w:type="dxa"/>
            <w:shd w:val="clear" w:color="auto" w:fill="DAF2F6"/>
            <w:vAlign w:val="center"/>
          </w:tcPr>
          <w:p w14:paraId="32055CAC"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273</w:t>
            </w:r>
          </w:p>
        </w:tc>
        <w:tc>
          <w:tcPr>
            <w:tcW w:w="2321" w:type="dxa"/>
            <w:shd w:val="clear" w:color="auto" w:fill="DAF2F6"/>
            <w:vAlign w:val="center"/>
          </w:tcPr>
          <w:p w14:paraId="12C10A87"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286</w:t>
            </w:r>
          </w:p>
        </w:tc>
        <w:tc>
          <w:tcPr>
            <w:tcW w:w="6122" w:type="dxa"/>
            <w:gridSpan w:val="4"/>
            <w:shd w:val="clear" w:color="auto" w:fill="DAF2F6"/>
            <w:vAlign w:val="center"/>
          </w:tcPr>
          <w:p w14:paraId="12BDA0EE"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300</w:t>
            </w:r>
          </w:p>
        </w:tc>
      </w:tr>
      <w:tr w:rsidR="00153252" w:rsidRPr="00153252" w14:paraId="058BD543" w14:textId="77777777" w:rsidTr="00F268FE">
        <w:trPr>
          <w:cantSplit/>
          <w:tblHeader/>
        </w:trPr>
        <w:tc>
          <w:tcPr>
            <w:tcW w:w="2580" w:type="dxa"/>
            <w:gridSpan w:val="3"/>
            <w:shd w:val="clear" w:color="auto" w:fill="DAF2F6"/>
          </w:tcPr>
          <w:p w14:paraId="42D4CC5B" w14:textId="77777777" w:rsidR="00153252" w:rsidRPr="00A80EEE" w:rsidRDefault="00153252" w:rsidP="00153252">
            <w:pPr>
              <w:spacing w:before="40" w:after="40" w:line="240" w:lineRule="auto"/>
              <w:rPr>
                <w:rFonts w:ascii="Arial Narrow" w:eastAsia="Arial Narrow" w:hAnsi="Arial Narrow" w:cs="Arial Narrow"/>
                <w:sz w:val="20"/>
                <w:szCs w:val="20"/>
              </w:rPr>
            </w:pPr>
            <w:r w:rsidRPr="00A80EEE">
              <w:rPr>
                <w:rFonts w:ascii="Arial Narrow" w:eastAsia="Arial Narrow" w:hAnsi="Arial Narrow" w:cs="Arial Narrow"/>
                <w:sz w:val="20"/>
                <w:szCs w:val="20"/>
              </w:rPr>
              <w:t>Broj pružalaca standardne usluge „porodični smještaj“</w:t>
            </w:r>
          </w:p>
        </w:tc>
        <w:tc>
          <w:tcPr>
            <w:tcW w:w="2068" w:type="dxa"/>
            <w:gridSpan w:val="2"/>
            <w:shd w:val="clear" w:color="auto" w:fill="DAF2F6"/>
            <w:vAlign w:val="center"/>
          </w:tcPr>
          <w:p w14:paraId="78B0929A"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14</w:t>
            </w:r>
          </w:p>
        </w:tc>
        <w:tc>
          <w:tcPr>
            <w:tcW w:w="1795" w:type="dxa"/>
            <w:shd w:val="clear" w:color="auto" w:fill="DAF2F6"/>
            <w:vAlign w:val="center"/>
          </w:tcPr>
          <w:p w14:paraId="28F50C17"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14</w:t>
            </w:r>
          </w:p>
        </w:tc>
        <w:tc>
          <w:tcPr>
            <w:tcW w:w="2321" w:type="dxa"/>
            <w:shd w:val="clear" w:color="auto" w:fill="DAF2F6"/>
            <w:vAlign w:val="center"/>
          </w:tcPr>
          <w:p w14:paraId="5BDDA8CB"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15</w:t>
            </w:r>
          </w:p>
        </w:tc>
        <w:tc>
          <w:tcPr>
            <w:tcW w:w="6122" w:type="dxa"/>
            <w:gridSpan w:val="4"/>
            <w:shd w:val="clear" w:color="auto" w:fill="DAF2F6"/>
            <w:vAlign w:val="center"/>
          </w:tcPr>
          <w:p w14:paraId="61A156CD"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16</w:t>
            </w:r>
          </w:p>
        </w:tc>
      </w:tr>
      <w:bookmarkEnd w:id="5"/>
      <w:tr w:rsidR="00153252" w:rsidRPr="00153252" w14:paraId="49CBD599" w14:textId="77777777" w:rsidTr="00F268FE">
        <w:trPr>
          <w:cantSplit/>
          <w:tblHeader/>
        </w:trPr>
        <w:tc>
          <w:tcPr>
            <w:tcW w:w="2580" w:type="dxa"/>
            <w:gridSpan w:val="3"/>
            <w:shd w:val="clear" w:color="auto" w:fill="FFF2CC"/>
            <w:vAlign w:val="center"/>
          </w:tcPr>
          <w:p w14:paraId="60811632" w14:textId="77777777" w:rsidR="00153252" w:rsidRPr="00153252" w:rsidRDefault="00153252" w:rsidP="00153252">
            <w:pPr>
              <w:spacing w:before="40" w:after="40" w:line="240" w:lineRule="auto"/>
              <w:jc w:val="center"/>
              <w:rPr>
                <w:rFonts w:ascii="Arial Narrow" w:eastAsia="Arial Narrow" w:hAnsi="Arial Narrow" w:cs="Arial Narrow"/>
                <w:i/>
                <w:sz w:val="20"/>
                <w:szCs w:val="20"/>
              </w:rPr>
            </w:pPr>
            <w:r w:rsidRPr="00153252">
              <w:rPr>
                <w:rFonts w:ascii="Arial Narrow" w:eastAsia="Arial Narrow" w:hAnsi="Arial Narrow" w:cs="Arial Narrow"/>
                <w:b/>
                <w:sz w:val="20"/>
                <w:szCs w:val="20"/>
              </w:rPr>
              <w:t>Aktivnosti</w:t>
            </w:r>
          </w:p>
        </w:tc>
        <w:tc>
          <w:tcPr>
            <w:tcW w:w="2068" w:type="dxa"/>
            <w:gridSpan w:val="2"/>
            <w:shd w:val="clear" w:color="auto" w:fill="FFF2CC"/>
            <w:vAlign w:val="center"/>
          </w:tcPr>
          <w:p w14:paraId="533D7878"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b/>
                <w:sz w:val="20"/>
                <w:szCs w:val="20"/>
              </w:rPr>
              <w:t>Indikator rezultata</w:t>
            </w:r>
          </w:p>
        </w:tc>
        <w:tc>
          <w:tcPr>
            <w:tcW w:w="1795" w:type="dxa"/>
            <w:shd w:val="clear" w:color="auto" w:fill="FFF2CC"/>
            <w:vAlign w:val="center"/>
          </w:tcPr>
          <w:p w14:paraId="78437A8B"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b/>
                <w:sz w:val="20"/>
                <w:szCs w:val="20"/>
              </w:rPr>
              <w:t>Nadležne institucije i nadležna komisija</w:t>
            </w:r>
          </w:p>
        </w:tc>
        <w:tc>
          <w:tcPr>
            <w:tcW w:w="2321" w:type="dxa"/>
            <w:shd w:val="clear" w:color="auto" w:fill="FFF2CC"/>
            <w:vAlign w:val="center"/>
          </w:tcPr>
          <w:p w14:paraId="4FC1165D"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b/>
                <w:sz w:val="20"/>
                <w:szCs w:val="20"/>
              </w:rPr>
              <w:t>Planirani početak i završetak aktivnosti</w:t>
            </w:r>
          </w:p>
        </w:tc>
        <w:tc>
          <w:tcPr>
            <w:tcW w:w="1482" w:type="dxa"/>
            <w:gridSpan w:val="2"/>
            <w:shd w:val="clear" w:color="auto" w:fill="FFF2CC"/>
            <w:vAlign w:val="center"/>
          </w:tcPr>
          <w:p w14:paraId="3D83CEF8"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b/>
                <w:sz w:val="20"/>
                <w:szCs w:val="20"/>
              </w:rPr>
              <w:t>Sredstva za realizaciju i informacija o izradi RIA</w:t>
            </w:r>
          </w:p>
        </w:tc>
        <w:tc>
          <w:tcPr>
            <w:tcW w:w="1517" w:type="dxa"/>
            <w:shd w:val="clear" w:color="auto" w:fill="FFF2CC"/>
            <w:vAlign w:val="center"/>
          </w:tcPr>
          <w:p w14:paraId="04A7CA20"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b/>
                <w:sz w:val="20"/>
                <w:szCs w:val="20"/>
              </w:rPr>
              <w:t>Izvor finansiranja</w:t>
            </w:r>
          </w:p>
        </w:tc>
        <w:tc>
          <w:tcPr>
            <w:tcW w:w="3123" w:type="dxa"/>
            <w:shd w:val="clear" w:color="auto" w:fill="FFF2CC"/>
            <w:vAlign w:val="center"/>
          </w:tcPr>
          <w:p w14:paraId="3401F2C9"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b/>
                <w:sz w:val="20"/>
                <w:szCs w:val="20"/>
              </w:rPr>
              <w:t>Obrazloženje</w:t>
            </w:r>
          </w:p>
        </w:tc>
      </w:tr>
      <w:tr w:rsidR="00153252" w:rsidRPr="00153252" w14:paraId="1CDAE0F7" w14:textId="77777777" w:rsidTr="00FD6B98">
        <w:trPr>
          <w:cantSplit/>
          <w:tblHeader/>
        </w:trPr>
        <w:tc>
          <w:tcPr>
            <w:tcW w:w="14886" w:type="dxa"/>
            <w:gridSpan w:val="11"/>
            <w:shd w:val="clear" w:color="auto" w:fill="FFF2CC"/>
            <w:vAlign w:val="center"/>
          </w:tcPr>
          <w:p w14:paraId="2BCE1A7C"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TEMATSKI DIO</w:t>
            </w:r>
          </w:p>
        </w:tc>
      </w:tr>
      <w:tr w:rsidR="00153252" w:rsidRPr="00153252" w14:paraId="68DC59F2" w14:textId="77777777" w:rsidTr="00F268FE">
        <w:trPr>
          <w:cantSplit/>
          <w:tblHeader/>
        </w:trPr>
        <w:tc>
          <w:tcPr>
            <w:tcW w:w="441" w:type="dxa"/>
            <w:gridSpan w:val="2"/>
            <w:shd w:val="clear" w:color="auto" w:fill="auto"/>
            <w:vAlign w:val="center"/>
          </w:tcPr>
          <w:p w14:paraId="13F51603" w14:textId="77777777" w:rsidR="00153252" w:rsidRPr="00153252" w:rsidRDefault="00153252" w:rsidP="00153252">
            <w:pPr>
              <w:spacing w:after="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1.</w:t>
            </w:r>
          </w:p>
        </w:tc>
        <w:tc>
          <w:tcPr>
            <w:tcW w:w="2139" w:type="dxa"/>
            <w:shd w:val="clear" w:color="auto" w:fill="auto"/>
            <w:vAlign w:val="center"/>
          </w:tcPr>
          <w:p w14:paraId="3C5A1FFF"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Donijeti Strategiju razvoja sistema socijalne i dječje zaštite za period od 2022. do 2026. godine, sa Akcionim planom za njeno sprovođenje, za 2022. godinu</w:t>
            </w:r>
          </w:p>
        </w:tc>
        <w:tc>
          <w:tcPr>
            <w:tcW w:w="2068" w:type="dxa"/>
            <w:gridSpan w:val="2"/>
            <w:shd w:val="clear" w:color="auto" w:fill="auto"/>
            <w:vAlign w:val="center"/>
          </w:tcPr>
          <w:p w14:paraId="688A483C"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Donesena Strategija razvoja sistema socijalne i dječje zaštite za period od 2022. do 2026. godine, sa Akcionim planom za njeno sprovođenje, za 2022. godinu</w:t>
            </w:r>
          </w:p>
        </w:tc>
        <w:tc>
          <w:tcPr>
            <w:tcW w:w="1795" w:type="dxa"/>
            <w:shd w:val="clear" w:color="auto" w:fill="auto"/>
            <w:vAlign w:val="center"/>
          </w:tcPr>
          <w:p w14:paraId="1C021465"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 MFSS</w:t>
            </w:r>
          </w:p>
          <w:p w14:paraId="16D51E11"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NK: KEPIF</w:t>
            </w:r>
          </w:p>
        </w:tc>
        <w:tc>
          <w:tcPr>
            <w:tcW w:w="2321" w:type="dxa"/>
            <w:shd w:val="clear" w:color="auto" w:fill="auto"/>
            <w:vAlign w:val="center"/>
          </w:tcPr>
          <w:p w14:paraId="08EF2E92"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III Q 2022.</w:t>
            </w:r>
          </w:p>
        </w:tc>
        <w:tc>
          <w:tcPr>
            <w:tcW w:w="1482" w:type="dxa"/>
            <w:gridSpan w:val="2"/>
            <w:shd w:val="clear" w:color="auto" w:fill="auto"/>
            <w:vAlign w:val="center"/>
          </w:tcPr>
          <w:p w14:paraId="5ADA59F3"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Radiće se analiza procjene uticaja - RIA</w:t>
            </w:r>
          </w:p>
        </w:tc>
        <w:tc>
          <w:tcPr>
            <w:tcW w:w="1517" w:type="dxa"/>
            <w:shd w:val="clear" w:color="auto" w:fill="auto"/>
            <w:vAlign w:val="center"/>
          </w:tcPr>
          <w:p w14:paraId="05B9A0FD"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Sredstva su predviđena Budžetom za 2022. godinu</w:t>
            </w:r>
          </w:p>
        </w:tc>
        <w:tc>
          <w:tcPr>
            <w:tcW w:w="3123" w:type="dxa"/>
            <w:shd w:val="clear" w:color="auto" w:fill="auto"/>
            <w:vAlign w:val="center"/>
          </w:tcPr>
          <w:p w14:paraId="3D61B7FE"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Ovim dokumentom će se utvrditi strateški i operativni ciljevi, kao i aktivnosti u cilju daljeg unapređenja sistema socijalne i dječje zaštite.</w:t>
            </w:r>
          </w:p>
        </w:tc>
      </w:tr>
      <w:tr w:rsidR="00153252" w:rsidRPr="00153252" w14:paraId="0CFC340F" w14:textId="77777777" w:rsidTr="00F268FE">
        <w:trPr>
          <w:cantSplit/>
          <w:tblHeader/>
        </w:trPr>
        <w:tc>
          <w:tcPr>
            <w:tcW w:w="441" w:type="dxa"/>
            <w:gridSpan w:val="2"/>
            <w:shd w:val="clear" w:color="auto" w:fill="auto"/>
            <w:vAlign w:val="center"/>
          </w:tcPr>
          <w:p w14:paraId="68738E79" w14:textId="77777777" w:rsidR="00153252" w:rsidRPr="00153252" w:rsidRDefault="00153252" w:rsidP="00153252">
            <w:pPr>
              <w:spacing w:after="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2.</w:t>
            </w:r>
          </w:p>
        </w:tc>
        <w:tc>
          <w:tcPr>
            <w:tcW w:w="2139" w:type="dxa"/>
            <w:shd w:val="clear" w:color="auto" w:fill="auto"/>
            <w:vAlign w:val="center"/>
          </w:tcPr>
          <w:p w14:paraId="342DB7F0"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Donijeti Strategiju razvoja sistema socijalne zaštite starijih za period od 2022. do 2026. godine, sa Akcionim planom za njeno sprovođenje u 2022. godini</w:t>
            </w:r>
          </w:p>
        </w:tc>
        <w:tc>
          <w:tcPr>
            <w:tcW w:w="2068" w:type="dxa"/>
            <w:gridSpan w:val="2"/>
            <w:shd w:val="clear" w:color="auto" w:fill="auto"/>
            <w:vAlign w:val="center"/>
          </w:tcPr>
          <w:p w14:paraId="58F62EF4"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Donesena Strategija razvoja sistema socijalne zaštite starijih za period od 2022. do 2026. godine, sa Akcionim planom za njeno sprovođenje u 2022. godini</w:t>
            </w:r>
          </w:p>
        </w:tc>
        <w:tc>
          <w:tcPr>
            <w:tcW w:w="1795" w:type="dxa"/>
            <w:shd w:val="clear" w:color="auto" w:fill="auto"/>
            <w:vAlign w:val="center"/>
          </w:tcPr>
          <w:p w14:paraId="77742C64"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 MFSS</w:t>
            </w:r>
          </w:p>
          <w:p w14:paraId="3ED7EBCB"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NK: KEPIF</w:t>
            </w:r>
          </w:p>
        </w:tc>
        <w:tc>
          <w:tcPr>
            <w:tcW w:w="2321" w:type="dxa"/>
            <w:shd w:val="clear" w:color="auto" w:fill="auto"/>
            <w:vAlign w:val="center"/>
          </w:tcPr>
          <w:p w14:paraId="7C7DA123"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III Q 2022.</w:t>
            </w:r>
          </w:p>
        </w:tc>
        <w:tc>
          <w:tcPr>
            <w:tcW w:w="1482" w:type="dxa"/>
            <w:gridSpan w:val="2"/>
            <w:shd w:val="clear" w:color="auto" w:fill="auto"/>
            <w:vAlign w:val="center"/>
          </w:tcPr>
          <w:p w14:paraId="7A9BA61C"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Radiće se analiza procjene uticaja - RIA</w:t>
            </w:r>
          </w:p>
        </w:tc>
        <w:tc>
          <w:tcPr>
            <w:tcW w:w="1517" w:type="dxa"/>
            <w:shd w:val="clear" w:color="auto" w:fill="auto"/>
            <w:vAlign w:val="center"/>
          </w:tcPr>
          <w:p w14:paraId="40407DAD"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Sredstva su predviđena Budžetom za 2022. godinu</w:t>
            </w:r>
          </w:p>
        </w:tc>
        <w:tc>
          <w:tcPr>
            <w:tcW w:w="3123" w:type="dxa"/>
            <w:shd w:val="clear" w:color="auto" w:fill="auto"/>
            <w:vAlign w:val="center"/>
          </w:tcPr>
          <w:p w14:paraId="05223948"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bookmarkStart w:id="6" w:name="_heading=h.gjdgxs" w:colFirst="0" w:colLast="0"/>
            <w:bookmarkEnd w:id="6"/>
            <w:r w:rsidRPr="00153252">
              <w:rPr>
                <w:rFonts w:ascii="Arial Narrow" w:eastAsia="Arial Narrow" w:hAnsi="Arial Narrow" w:cs="Arial Narrow"/>
                <w:color w:val="000000"/>
                <w:sz w:val="20"/>
                <w:szCs w:val="20"/>
              </w:rPr>
              <w:t>Ovim dokumentom će se utvrditi strateški i operativni ciljevi, kao i aktivnosti u cilju daljeg unapređenja sistema socijalne zaštite starijih.</w:t>
            </w:r>
          </w:p>
        </w:tc>
      </w:tr>
      <w:tr w:rsidR="00153252" w:rsidRPr="00153252" w14:paraId="799BD3CA" w14:textId="77777777" w:rsidTr="00F268FE">
        <w:trPr>
          <w:cantSplit/>
          <w:tblHeader/>
        </w:trPr>
        <w:tc>
          <w:tcPr>
            <w:tcW w:w="441" w:type="dxa"/>
            <w:gridSpan w:val="2"/>
            <w:shd w:val="clear" w:color="auto" w:fill="auto"/>
            <w:vAlign w:val="center"/>
          </w:tcPr>
          <w:p w14:paraId="4265E011" w14:textId="77777777" w:rsidR="00153252" w:rsidRPr="00153252" w:rsidRDefault="00153252" w:rsidP="00153252">
            <w:pPr>
              <w:spacing w:after="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lastRenderedPageBreak/>
              <w:t>3.</w:t>
            </w:r>
          </w:p>
        </w:tc>
        <w:tc>
          <w:tcPr>
            <w:tcW w:w="2139" w:type="dxa"/>
            <w:shd w:val="clear" w:color="auto" w:fill="auto"/>
            <w:vAlign w:val="center"/>
          </w:tcPr>
          <w:p w14:paraId="5951C3FE"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Donijeti Strategiju deinstitucionalizacije od 2022. do 2026. godine, sa Akcionim planom za njeno sprovođenje u 2023. godini</w:t>
            </w:r>
          </w:p>
        </w:tc>
        <w:tc>
          <w:tcPr>
            <w:tcW w:w="2068" w:type="dxa"/>
            <w:gridSpan w:val="2"/>
            <w:shd w:val="clear" w:color="auto" w:fill="auto"/>
            <w:vAlign w:val="center"/>
          </w:tcPr>
          <w:p w14:paraId="30D8BC9E"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Donesena Strategija deinstitucionalizacije od 2022. do 2026. godine, sa Akcionim planom za njeno sprovođenje u 2023. godini</w:t>
            </w:r>
          </w:p>
        </w:tc>
        <w:tc>
          <w:tcPr>
            <w:tcW w:w="1795" w:type="dxa"/>
            <w:shd w:val="clear" w:color="auto" w:fill="auto"/>
            <w:vAlign w:val="center"/>
          </w:tcPr>
          <w:p w14:paraId="05C8CEF8"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 MFSS</w:t>
            </w:r>
          </w:p>
          <w:p w14:paraId="03B8C435"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NK: KEPIF</w:t>
            </w:r>
          </w:p>
        </w:tc>
        <w:tc>
          <w:tcPr>
            <w:tcW w:w="2321" w:type="dxa"/>
            <w:shd w:val="clear" w:color="auto" w:fill="auto"/>
            <w:vAlign w:val="center"/>
          </w:tcPr>
          <w:p w14:paraId="624BDD00"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IV Q 2022.</w:t>
            </w:r>
          </w:p>
        </w:tc>
        <w:tc>
          <w:tcPr>
            <w:tcW w:w="1482" w:type="dxa"/>
            <w:gridSpan w:val="2"/>
            <w:shd w:val="clear" w:color="auto" w:fill="auto"/>
            <w:vAlign w:val="center"/>
          </w:tcPr>
          <w:p w14:paraId="136A283D"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Radiće se analiza procjene uticaja - RIA</w:t>
            </w:r>
          </w:p>
        </w:tc>
        <w:tc>
          <w:tcPr>
            <w:tcW w:w="1517" w:type="dxa"/>
            <w:shd w:val="clear" w:color="auto" w:fill="auto"/>
            <w:vAlign w:val="center"/>
          </w:tcPr>
          <w:p w14:paraId="6A965A77"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Sredstva su predviđena Budžetom za 2022. godinu</w:t>
            </w:r>
          </w:p>
        </w:tc>
        <w:tc>
          <w:tcPr>
            <w:tcW w:w="3123" w:type="dxa"/>
            <w:shd w:val="clear" w:color="auto" w:fill="auto"/>
            <w:vAlign w:val="center"/>
          </w:tcPr>
          <w:p w14:paraId="25196AD0"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Ovim dokumentom će se utvrditi strateški i operativni ciljevi, kao i aktivnosti u cilju nastavka procesa deinstitucionalizacije.</w:t>
            </w:r>
          </w:p>
          <w:p w14:paraId="5B237066"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p>
        </w:tc>
      </w:tr>
      <w:tr w:rsidR="00153252" w:rsidRPr="00153252" w14:paraId="18D6216F" w14:textId="77777777" w:rsidTr="00F268FE">
        <w:trPr>
          <w:cantSplit/>
          <w:tblHeader/>
        </w:trPr>
        <w:tc>
          <w:tcPr>
            <w:tcW w:w="441" w:type="dxa"/>
            <w:gridSpan w:val="2"/>
            <w:shd w:val="clear" w:color="auto" w:fill="auto"/>
            <w:vAlign w:val="center"/>
          </w:tcPr>
          <w:p w14:paraId="6A18EB4F" w14:textId="77777777" w:rsidR="00153252" w:rsidRPr="00153252" w:rsidRDefault="00153252" w:rsidP="00153252">
            <w:pPr>
              <w:spacing w:after="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4.</w:t>
            </w:r>
          </w:p>
        </w:tc>
        <w:tc>
          <w:tcPr>
            <w:tcW w:w="2139" w:type="dxa"/>
            <w:shd w:val="clear" w:color="auto" w:fill="auto"/>
            <w:vAlign w:val="center"/>
          </w:tcPr>
          <w:p w14:paraId="59082A83"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Donijeti Strategiju prevencije i zastite djece od nasilja za period 2023-2027.</w:t>
            </w:r>
          </w:p>
        </w:tc>
        <w:tc>
          <w:tcPr>
            <w:tcW w:w="2068" w:type="dxa"/>
            <w:gridSpan w:val="2"/>
            <w:shd w:val="clear" w:color="auto" w:fill="auto"/>
            <w:vAlign w:val="center"/>
          </w:tcPr>
          <w:p w14:paraId="2953C440"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Donesena Strategija prevencije i zastite djece od nasilja za period 2023-2027.</w:t>
            </w:r>
          </w:p>
        </w:tc>
        <w:tc>
          <w:tcPr>
            <w:tcW w:w="1795" w:type="dxa"/>
            <w:shd w:val="clear" w:color="auto" w:fill="auto"/>
            <w:vAlign w:val="center"/>
          </w:tcPr>
          <w:p w14:paraId="0D9C8ADE"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 MFSS</w:t>
            </w:r>
          </w:p>
          <w:p w14:paraId="4988224B"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NK: KEPIF</w:t>
            </w:r>
          </w:p>
        </w:tc>
        <w:tc>
          <w:tcPr>
            <w:tcW w:w="2321" w:type="dxa"/>
            <w:shd w:val="clear" w:color="auto" w:fill="auto"/>
            <w:vAlign w:val="center"/>
          </w:tcPr>
          <w:p w14:paraId="06986134"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IV Q 2022.</w:t>
            </w:r>
          </w:p>
        </w:tc>
        <w:tc>
          <w:tcPr>
            <w:tcW w:w="1482" w:type="dxa"/>
            <w:gridSpan w:val="2"/>
            <w:shd w:val="clear" w:color="auto" w:fill="auto"/>
            <w:vAlign w:val="center"/>
          </w:tcPr>
          <w:p w14:paraId="1ED5C615"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Radiće se analiza procjene uticaja - RIA</w:t>
            </w:r>
          </w:p>
        </w:tc>
        <w:tc>
          <w:tcPr>
            <w:tcW w:w="1517" w:type="dxa"/>
            <w:shd w:val="clear" w:color="auto" w:fill="auto"/>
            <w:vAlign w:val="center"/>
          </w:tcPr>
          <w:p w14:paraId="0A1CE455"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Sredstva su predviđena Budžetom za 2022. godinu</w:t>
            </w:r>
          </w:p>
        </w:tc>
        <w:tc>
          <w:tcPr>
            <w:tcW w:w="3123" w:type="dxa"/>
            <w:shd w:val="clear" w:color="auto" w:fill="auto"/>
            <w:vAlign w:val="center"/>
          </w:tcPr>
          <w:p w14:paraId="1170360C"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color w:val="000000"/>
                <w:sz w:val="20"/>
                <w:szCs w:val="20"/>
              </w:rPr>
              <w:t>Ovim dokumentom će se utvrditi strateški i operativni ciljevi, kao i aktivnosti u cilju</w:t>
            </w:r>
            <w:r w:rsidRPr="00153252">
              <w:rPr>
                <w:rFonts w:ascii="Arial Narrow" w:eastAsia="Arial Narrow" w:hAnsi="Arial Narrow" w:cs="Arial Narrow"/>
                <w:sz w:val="20"/>
                <w:szCs w:val="20"/>
              </w:rPr>
              <w:t xml:space="preserve"> zaštite i drugih vidova pomoći djeci koja su bila izložena nasilju ili seksualnom zlostavljanju.</w:t>
            </w:r>
          </w:p>
        </w:tc>
      </w:tr>
      <w:tr w:rsidR="00153252" w:rsidRPr="00153252" w14:paraId="575C0A83" w14:textId="77777777" w:rsidTr="00F268FE">
        <w:trPr>
          <w:cantSplit/>
          <w:tblHeader/>
        </w:trPr>
        <w:tc>
          <w:tcPr>
            <w:tcW w:w="441" w:type="dxa"/>
            <w:gridSpan w:val="2"/>
            <w:shd w:val="clear" w:color="auto" w:fill="auto"/>
            <w:vAlign w:val="center"/>
          </w:tcPr>
          <w:p w14:paraId="69CD6634" w14:textId="77777777" w:rsidR="00153252" w:rsidRPr="00153252" w:rsidRDefault="00153252" w:rsidP="00153252">
            <w:pPr>
              <w:spacing w:after="0" w:line="240" w:lineRule="auto"/>
              <w:jc w:val="both"/>
              <w:rPr>
                <w:rFonts w:ascii="Arial Narrow" w:eastAsia="Arial Narrow" w:hAnsi="Arial Narrow" w:cs="Arial Narrow"/>
                <w:b/>
                <w:color w:val="000000"/>
                <w:sz w:val="20"/>
                <w:szCs w:val="20"/>
              </w:rPr>
            </w:pPr>
          </w:p>
        </w:tc>
        <w:tc>
          <w:tcPr>
            <w:tcW w:w="14445" w:type="dxa"/>
            <w:gridSpan w:val="9"/>
            <w:shd w:val="clear" w:color="auto" w:fill="FFE599"/>
            <w:vAlign w:val="center"/>
          </w:tcPr>
          <w:p w14:paraId="07D6D2A7" w14:textId="77777777" w:rsidR="00153252" w:rsidRPr="00153252" w:rsidRDefault="00153252" w:rsidP="00153252">
            <w:pPr>
              <w:spacing w:before="20" w:after="2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b/>
                <w:sz w:val="20"/>
                <w:szCs w:val="20"/>
              </w:rPr>
              <w:t>NORMATIVNI DIO</w:t>
            </w:r>
          </w:p>
        </w:tc>
      </w:tr>
      <w:tr w:rsidR="00153252" w:rsidRPr="00153252" w14:paraId="38FA8E1F" w14:textId="77777777" w:rsidTr="00F268FE">
        <w:trPr>
          <w:cantSplit/>
          <w:tblHeader/>
        </w:trPr>
        <w:tc>
          <w:tcPr>
            <w:tcW w:w="441" w:type="dxa"/>
            <w:gridSpan w:val="2"/>
            <w:shd w:val="clear" w:color="auto" w:fill="auto"/>
            <w:vAlign w:val="center"/>
          </w:tcPr>
          <w:p w14:paraId="010C2620" w14:textId="77777777" w:rsidR="00153252" w:rsidRPr="00153252" w:rsidRDefault="00F27DB4" w:rsidP="00153252">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153252" w:rsidRPr="00153252">
              <w:rPr>
                <w:rFonts w:ascii="Arial Narrow" w:eastAsia="Arial Narrow" w:hAnsi="Arial Narrow" w:cs="Arial Narrow"/>
                <w:color w:val="000000"/>
                <w:sz w:val="20"/>
                <w:szCs w:val="20"/>
              </w:rPr>
              <w:t>.</w:t>
            </w:r>
          </w:p>
        </w:tc>
        <w:tc>
          <w:tcPr>
            <w:tcW w:w="2139" w:type="dxa"/>
            <w:shd w:val="clear" w:color="auto" w:fill="auto"/>
            <w:vAlign w:val="center"/>
          </w:tcPr>
          <w:p w14:paraId="4A1F47A1" w14:textId="77777777" w:rsidR="00153252" w:rsidRPr="00153252" w:rsidRDefault="00153252" w:rsidP="00153252">
            <w:pPr>
              <w:spacing w:after="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Donijeti Odluku o usklađivanju mjesečnih novčanih primanja korisnika prava iz boračke i invalidske zaštite.</w:t>
            </w:r>
          </w:p>
        </w:tc>
        <w:tc>
          <w:tcPr>
            <w:tcW w:w="2068" w:type="dxa"/>
            <w:gridSpan w:val="2"/>
            <w:shd w:val="clear" w:color="auto" w:fill="auto"/>
            <w:vAlign w:val="center"/>
          </w:tcPr>
          <w:p w14:paraId="2D0BD990" w14:textId="77777777" w:rsidR="00153252" w:rsidRPr="00153252" w:rsidRDefault="00153252" w:rsidP="00153252">
            <w:pPr>
              <w:spacing w:after="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Donesena Odluka o usklađivanju mjesečnih novčanih primanja korisnika prava iz boračke i invalidske zaštite.</w:t>
            </w:r>
          </w:p>
          <w:p w14:paraId="3AA621BC" w14:textId="77777777" w:rsidR="00153252" w:rsidRPr="00153252" w:rsidRDefault="00153252" w:rsidP="00153252">
            <w:pPr>
              <w:spacing w:after="0" w:line="276" w:lineRule="auto"/>
              <w:jc w:val="both"/>
              <w:rPr>
                <w:rFonts w:ascii="Arial Narrow" w:eastAsia="Arial Narrow" w:hAnsi="Arial Narrow" w:cs="Arial Narrow"/>
                <w:b/>
                <w:sz w:val="20"/>
                <w:szCs w:val="20"/>
              </w:rPr>
            </w:pPr>
          </w:p>
        </w:tc>
        <w:tc>
          <w:tcPr>
            <w:tcW w:w="1795" w:type="dxa"/>
            <w:shd w:val="clear" w:color="auto" w:fill="auto"/>
            <w:vAlign w:val="center"/>
          </w:tcPr>
          <w:p w14:paraId="1268FA86"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 MFSS</w:t>
            </w:r>
          </w:p>
          <w:p w14:paraId="605F9642"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i/>
                <w:sz w:val="20"/>
                <w:szCs w:val="20"/>
              </w:rPr>
              <w:t>NK: KPS, KEPIF</w:t>
            </w:r>
          </w:p>
        </w:tc>
        <w:tc>
          <w:tcPr>
            <w:tcW w:w="2321" w:type="dxa"/>
            <w:shd w:val="clear" w:color="auto" w:fill="auto"/>
            <w:vAlign w:val="center"/>
          </w:tcPr>
          <w:p w14:paraId="4E1448ED"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 Q 2022. i</w:t>
            </w:r>
          </w:p>
          <w:p w14:paraId="7B3E9BF6"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III Q 2022.</w:t>
            </w:r>
          </w:p>
        </w:tc>
        <w:tc>
          <w:tcPr>
            <w:tcW w:w="1482" w:type="dxa"/>
            <w:gridSpan w:val="2"/>
            <w:shd w:val="clear" w:color="auto" w:fill="auto"/>
            <w:vAlign w:val="center"/>
          </w:tcPr>
          <w:p w14:paraId="2BF233D7"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Neće se raditi analiza procjene uticaja - RIA</w:t>
            </w:r>
          </w:p>
        </w:tc>
        <w:tc>
          <w:tcPr>
            <w:tcW w:w="1517" w:type="dxa"/>
            <w:shd w:val="clear" w:color="auto" w:fill="auto"/>
            <w:vAlign w:val="center"/>
          </w:tcPr>
          <w:p w14:paraId="05BB822C"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Sredstva su predviđena Budžetom za 2022. godinu</w:t>
            </w:r>
          </w:p>
        </w:tc>
        <w:tc>
          <w:tcPr>
            <w:tcW w:w="3123" w:type="dxa"/>
            <w:shd w:val="clear" w:color="auto" w:fill="auto"/>
            <w:vAlign w:val="center"/>
          </w:tcPr>
          <w:p w14:paraId="057D74E8"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Ovim odlukama vrši se redovno polugodišnje usklađivanje lične invalidnine, porodične invalidnine, uvećane porodične invalidnine, dodatka za njegu i pomoć od strane drugog lica, ortopedskog dodatka, novčane naknade materijalnog obezbjeđenja i porodičnig dodatka.</w:t>
            </w:r>
          </w:p>
        </w:tc>
      </w:tr>
      <w:tr w:rsidR="00153252" w:rsidRPr="00153252" w14:paraId="33CF0661" w14:textId="77777777" w:rsidTr="00F268FE">
        <w:trPr>
          <w:cantSplit/>
          <w:tblHeader/>
        </w:trPr>
        <w:tc>
          <w:tcPr>
            <w:tcW w:w="441" w:type="dxa"/>
            <w:gridSpan w:val="2"/>
            <w:shd w:val="clear" w:color="auto" w:fill="auto"/>
            <w:vAlign w:val="center"/>
          </w:tcPr>
          <w:p w14:paraId="7F2B0AAF" w14:textId="77777777" w:rsidR="00153252" w:rsidRPr="00153252" w:rsidRDefault="00F27DB4" w:rsidP="00153252">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w:t>
            </w:r>
            <w:r w:rsidR="00153252" w:rsidRPr="00153252">
              <w:rPr>
                <w:rFonts w:ascii="Arial Narrow" w:eastAsia="Arial Narrow" w:hAnsi="Arial Narrow" w:cs="Arial Narrow"/>
                <w:color w:val="000000"/>
                <w:sz w:val="20"/>
                <w:szCs w:val="20"/>
              </w:rPr>
              <w:t>.</w:t>
            </w:r>
          </w:p>
        </w:tc>
        <w:tc>
          <w:tcPr>
            <w:tcW w:w="2139" w:type="dxa"/>
            <w:shd w:val="clear" w:color="auto" w:fill="auto"/>
            <w:vAlign w:val="center"/>
          </w:tcPr>
          <w:p w14:paraId="3145CA18" w14:textId="77777777" w:rsidR="00153252" w:rsidRPr="00153252" w:rsidRDefault="00153252" w:rsidP="00153252">
            <w:pPr>
              <w:spacing w:after="0" w:line="240"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Utvrditi Predlog zakona o potvrđivanju Sporazuma između Crne Gore i Rumunije o socijalnom osiguranju</w:t>
            </w:r>
          </w:p>
        </w:tc>
        <w:tc>
          <w:tcPr>
            <w:tcW w:w="2068" w:type="dxa"/>
            <w:gridSpan w:val="2"/>
            <w:shd w:val="clear" w:color="auto" w:fill="auto"/>
            <w:vAlign w:val="center"/>
          </w:tcPr>
          <w:p w14:paraId="5D66D18F"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color w:val="000000"/>
                <w:sz w:val="20"/>
                <w:szCs w:val="20"/>
              </w:rPr>
              <w:t>Utvrđen Predlog zakona o potvrđivanju Sporazuma između Crne Gore i Rumunije o socijalnom osiguranju</w:t>
            </w:r>
          </w:p>
        </w:tc>
        <w:tc>
          <w:tcPr>
            <w:tcW w:w="1795" w:type="dxa"/>
            <w:shd w:val="clear" w:color="auto" w:fill="auto"/>
            <w:vAlign w:val="center"/>
          </w:tcPr>
          <w:p w14:paraId="4C8248CB"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 MFSS</w:t>
            </w:r>
          </w:p>
          <w:p w14:paraId="3D2F7886"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NK: KPS, KEPIF</w:t>
            </w:r>
          </w:p>
        </w:tc>
        <w:tc>
          <w:tcPr>
            <w:tcW w:w="2321" w:type="dxa"/>
            <w:shd w:val="clear" w:color="auto" w:fill="auto"/>
            <w:vAlign w:val="center"/>
          </w:tcPr>
          <w:p w14:paraId="612F9248"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II Q 2022.</w:t>
            </w:r>
          </w:p>
        </w:tc>
        <w:tc>
          <w:tcPr>
            <w:tcW w:w="1482" w:type="dxa"/>
            <w:gridSpan w:val="2"/>
            <w:shd w:val="clear" w:color="auto" w:fill="auto"/>
            <w:vAlign w:val="center"/>
          </w:tcPr>
          <w:p w14:paraId="790BB9AE"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Za implementaciju ovog zakona nije potrebno dodatno obezbjeđenje finansijskih sredstava u Budžetu.</w:t>
            </w:r>
          </w:p>
          <w:p w14:paraId="51DF4D22"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Pripremaće se analiza procjene uticaja - RIA</w:t>
            </w:r>
          </w:p>
        </w:tc>
        <w:tc>
          <w:tcPr>
            <w:tcW w:w="1517" w:type="dxa"/>
            <w:shd w:val="clear" w:color="auto" w:fill="auto"/>
            <w:vAlign w:val="center"/>
          </w:tcPr>
          <w:p w14:paraId="7E9EF42E"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b/>
                <w:sz w:val="20"/>
                <w:szCs w:val="20"/>
              </w:rPr>
              <w:t>-</w:t>
            </w:r>
          </w:p>
        </w:tc>
        <w:tc>
          <w:tcPr>
            <w:tcW w:w="3123" w:type="dxa"/>
            <w:shd w:val="clear" w:color="auto" w:fill="auto"/>
            <w:vAlign w:val="center"/>
          </w:tcPr>
          <w:p w14:paraId="330A78F4"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Ovim zakonom omogućiće se usklađena primjena nacionalnih zakonodavstava država ugovornica u oblasti socijalnog osiguranja.</w:t>
            </w:r>
          </w:p>
        </w:tc>
      </w:tr>
      <w:tr w:rsidR="00153252" w:rsidRPr="00153252" w14:paraId="7BA874CE" w14:textId="77777777" w:rsidTr="00F268FE">
        <w:trPr>
          <w:cantSplit/>
          <w:tblHeader/>
        </w:trPr>
        <w:tc>
          <w:tcPr>
            <w:tcW w:w="441" w:type="dxa"/>
            <w:gridSpan w:val="2"/>
            <w:shd w:val="clear" w:color="auto" w:fill="auto"/>
            <w:vAlign w:val="center"/>
          </w:tcPr>
          <w:p w14:paraId="283473A2" w14:textId="77777777" w:rsidR="00153252" w:rsidRPr="00153252" w:rsidRDefault="00F27DB4" w:rsidP="00153252">
            <w:pPr>
              <w:spacing w:before="40" w:after="4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7</w:t>
            </w:r>
            <w:r w:rsidR="00153252" w:rsidRPr="00153252">
              <w:rPr>
                <w:rFonts w:ascii="Arial Narrow" w:eastAsia="Arial Narrow" w:hAnsi="Arial Narrow" w:cs="Arial Narrow"/>
                <w:sz w:val="20"/>
                <w:szCs w:val="20"/>
              </w:rPr>
              <w:t>.</w:t>
            </w:r>
          </w:p>
        </w:tc>
        <w:tc>
          <w:tcPr>
            <w:tcW w:w="2139" w:type="dxa"/>
            <w:shd w:val="clear" w:color="auto" w:fill="auto"/>
            <w:vAlign w:val="center"/>
          </w:tcPr>
          <w:p w14:paraId="7F44D0C2"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Utvrditi Predlog zakona o jedinstvenom tijelu vještačenja</w:t>
            </w:r>
          </w:p>
        </w:tc>
        <w:tc>
          <w:tcPr>
            <w:tcW w:w="2068" w:type="dxa"/>
            <w:gridSpan w:val="2"/>
            <w:shd w:val="clear" w:color="auto" w:fill="auto"/>
            <w:vAlign w:val="center"/>
          </w:tcPr>
          <w:p w14:paraId="0E09AA8D"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Utvrđen Predlog zakona o jedinstvenom tijelu vještačenja</w:t>
            </w:r>
          </w:p>
        </w:tc>
        <w:tc>
          <w:tcPr>
            <w:tcW w:w="1795" w:type="dxa"/>
            <w:shd w:val="clear" w:color="auto" w:fill="auto"/>
            <w:vAlign w:val="center"/>
          </w:tcPr>
          <w:p w14:paraId="23E0914E"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 MFSS</w:t>
            </w:r>
          </w:p>
          <w:p w14:paraId="79332C02"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i/>
                <w:sz w:val="20"/>
                <w:szCs w:val="20"/>
              </w:rPr>
              <w:t>NK: KPS, KEPIF</w:t>
            </w:r>
          </w:p>
        </w:tc>
        <w:tc>
          <w:tcPr>
            <w:tcW w:w="2321" w:type="dxa"/>
            <w:shd w:val="clear" w:color="auto" w:fill="auto"/>
            <w:vAlign w:val="center"/>
          </w:tcPr>
          <w:p w14:paraId="3B2C3E4A"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IV Q 2022.</w:t>
            </w:r>
          </w:p>
        </w:tc>
        <w:tc>
          <w:tcPr>
            <w:tcW w:w="1482" w:type="dxa"/>
            <w:gridSpan w:val="2"/>
            <w:shd w:val="clear" w:color="auto" w:fill="auto"/>
            <w:vAlign w:val="center"/>
          </w:tcPr>
          <w:p w14:paraId="2B5E7693"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Radiće se analiza procjene uticaja - RIA</w:t>
            </w:r>
          </w:p>
        </w:tc>
        <w:tc>
          <w:tcPr>
            <w:tcW w:w="1517" w:type="dxa"/>
            <w:shd w:val="clear" w:color="auto" w:fill="auto"/>
            <w:vAlign w:val="center"/>
          </w:tcPr>
          <w:p w14:paraId="61F7A923" w14:textId="77777777" w:rsidR="00153252" w:rsidRPr="00153252" w:rsidRDefault="00153252" w:rsidP="00153252">
            <w:pPr>
              <w:spacing w:after="0" w:line="276" w:lineRule="auto"/>
              <w:jc w:val="both"/>
              <w:rPr>
                <w:rFonts w:ascii="Arial Narrow" w:eastAsia="Arial Narrow" w:hAnsi="Arial Narrow" w:cs="Arial Narrow"/>
                <w:b/>
                <w:sz w:val="20"/>
                <w:szCs w:val="20"/>
              </w:rPr>
            </w:pPr>
          </w:p>
        </w:tc>
        <w:tc>
          <w:tcPr>
            <w:tcW w:w="3123" w:type="dxa"/>
            <w:shd w:val="clear" w:color="auto" w:fill="auto"/>
            <w:vAlign w:val="center"/>
          </w:tcPr>
          <w:p w14:paraId="75208558"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Zakonom o jedinstvenom tijelu vještačenja definisaće se pojam vještačenja, oblasti vještačenja, uslovi za vršenje vještačenja, osnivanje jedinstvenog tijela vještačenja, način i djelokrug rada, finansiranje i druga pitanja od značaja za njegov rad. Vještačenje će se sprovoditi u svrhu ostvarivanja prava u oblasti penzijskog i invalidskog osiguranja, socijalne i dječje zaštite, boračke i invalidske zaštite i profesionalne rehabilitacije i zapošljavanja lica sa invaliditetom, kao i ostvarivanja prava u drugim oblastima u kojima se prava ostvaruju na osnovu nalaza i mišljenja organa vještačenja propisana posebnim propisima.</w:t>
            </w:r>
          </w:p>
        </w:tc>
      </w:tr>
      <w:tr w:rsidR="00153252" w:rsidRPr="00153252" w14:paraId="3E7713C2" w14:textId="77777777" w:rsidTr="00F268FE">
        <w:trPr>
          <w:cantSplit/>
          <w:tblHeader/>
        </w:trPr>
        <w:tc>
          <w:tcPr>
            <w:tcW w:w="441" w:type="dxa"/>
            <w:gridSpan w:val="2"/>
            <w:shd w:val="clear" w:color="auto" w:fill="auto"/>
            <w:vAlign w:val="center"/>
          </w:tcPr>
          <w:p w14:paraId="0895FC26" w14:textId="77777777" w:rsidR="00153252" w:rsidRPr="00153252" w:rsidRDefault="00F27DB4" w:rsidP="00153252">
            <w:pPr>
              <w:spacing w:before="40" w:after="4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8</w:t>
            </w:r>
            <w:r w:rsidR="00153252" w:rsidRPr="00153252">
              <w:rPr>
                <w:rFonts w:ascii="Arial Narrow" w:eastAsia="Arial Narrow" w:hAnsi="Arial Narrow" w:cs="Arial Narrow"/>
                <w:sz w:val="20"/>
                <w:szCs w:val="20"/>
              </w:rPr>
              <w:t>.</w:t>
            </w:r>
          </w:p>
        </w:tc>
        <w:tc>
          <w:tcPr>
            <w:tcW w:w="2139" w:type="dxa"/>
            <w:shd w:val="clear" w:color="auto" w:fill="auto"/>
            <w:vAlign w:val="center"/>
          </w:tcPr>
          <w:p w14:paraId="7CF6F446"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sz w:val="20"/>
                <w:szCs w:val="20"/>
              </w:rPr>
              <w:t>Utvrditi Predlog zakona o socijalnoj i dječjoj zaštiti</w:t>
            </w:r>
          </w:p>
        </w:tc>
        <w:tc>
          <w:tcPr>
            <w:tcW w:w="2068" w:type="dxa"/>
            <w:gridSpan w:val="2"/>
            <w:shd w:val="clear" w:color="auto" w:fill="auto"/>
            <w:vAlign w:val="center"/>
          </w:tcPr>
          <w:p w14:paraId="290623A8"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Utvrđen</w:t>
            </w:r>
            <w:r w:rsidRPr="00153252">
              <w:rPr>
                <w:rFonts w:ascii="Arial Narrow" w:eastAsia="Arial Narrow" w:hAnsi="Arial Narrow" w:cs="Arial Narrow"/>
                <w:sz w:val="20"/>
                <w:szCs w:val="20"/>
              </w:rPr>
              <w:t xml:space="preserve"> Predlog zakona o socijalnoj i dječjoj zaštiti</w:t>
            </w:r>
          </w:p>
        </w:tc>
        <w:tc>
          <w:tcPr>
            <w:tcW w:w="1795" w:type="dxa"/>
            <w:shd w:val="clear" w:color="auto" w:fill="auto"/>
            <w:vAlign w:val="center"/>
          </w:tcPr>
          <w:p w14:paraId="6B92B22E"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 MFSS</w:t>
            </w:r>
          </w:p>
          <w:p w14:paraId="75CA79DB"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NK: KPS, KEPIF</w:t>
            </w:r>
          </w:p>
        </w:tc>
        <w:tc>
          <w:tcPr>
            <w:tcW w:w="2321" w:type="dxa"/>
            <w:shd w:val="clear" w:color="auto" w:fill="auto"/>
            <w:vAlign w:val="center"/>
          </w:tcPr>
          <w:p w14:paraId="73B1BD2B"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IV Q 2022.</w:t>
            </w:r>
          </w:p>
        </w:tc>
        <w:tc>
          <w:tcPr>
            <w:tcW w:w="1482" w:type="dxa"/>
            <w:gridSpan w:val="2"/>
            <w:shd w:val="clear" w:color="auto" w:fill="auto"/>
            <w:vAlign w:val="center"/>
          </w:tcPr>
          <w:p w14:paraId="04B30925"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Radiće se analiza procjene uticaja - RIA</w:t>
            </w:r>
          </w:p>
        </w:tc>
        <w:tc>
          <w:tcPr>
            <w:tcW w:w="1517" w:type="dxa"/>
            <w:shd w:val="clear" w:color="auto" w:fill="auto"/>
            <w:vAlign w:val="center"/>
          </w:tcPr>
          <w:p w14:paraId="637280EB" w14:textId="77777777" w:rsidR="00153252" w:rsidRPr="00153252" w:rsidRDefault="00153252" w:rsidP="00153252">
            <w:pPr>
              <w:spacing w:after="0" w:line="276" w:lineRule="auto"/>
              <w:jc w:val="both"/>
              <w:rPr>
                <w:rFonts w:ascii="Arial Narrow" w:eastAsia="Arial Narrow" w:hAnsi="Arial Narrow" w:cs="Arial Narrow"/>
                <w:b/>
                <w:sz w:val="20"/>
                <w:szCs w:val="20"/>
              </w:rPr>
            </w:pPr>
          </w:p>
        </w:tc>
        <w:tc>
          <w:tcPr>
            <w:tcW w:w="3123" w:type="dxa"/>
            <w:shd w:val="clear" w:color="auto" w:fill="auto"/>
            <w:vAlign w:val="center"/>
          </w:tcPr>
          <w:p w14:paraId="3AC8A537" w14:textId="77777777" w:rsidR="00153252" w:rsidRPr="00153252" w:rsidRDefault="00153252" w:rsidP="00153252">
            <w:pPr>
              <w:spacing w:after="0" w:line="240" w:lineRule="auto"/>
              <w:jc w:val="both"/>
              <w:rPr>
                <w:rFonts w:ascii="Arial Narrow" w:eastAsia="Arial Narrow" w:hAnsi="Arial Narrow" w:cs="Arial Narrow"/>
                <w:color w:val="262626"/>
                <w:sz w:val="20"/>
                <w:szCs w:val="20"/>
              </w:rPr>
            </w:pPr>
            <w:r w:rsidRPr="00153252">
              <w:rPr>
                <w:rFonts w:ascii="Arial Narrow" w:eastAsia="Arial Narrow" w:hAnsi="Arial Narrow" w:cs="Arial Narrow"/>
                <w:color w:val="262626"/>
                <w:sz w:val="20"/>
                <w:szCs w:val="20"/>
              </w:rPr>
              <w:t>Ovim zakonom će se uticati na unapređenje kvaliteta života pojedinca i porodice na način što će se unaprijediti materijalna davanja i usluge iz oblasti socijalne i dječje zaštite. Takođe, unaprjediće se postupak licenciranja pružaoca usluge i licenciranja stručnih radnika, kao i postupak akreditacije programa obuke što će unaprijediti sistem kvaliteta u socijalnoj i dječijoj zaštiti.</w:t>
            </w:r>
          </w:p>
        </w:tc>
      </w:tr>
      <w:tr w:rsidR="00153252" w:rsidRPr="00153252" w14:paraId="007E862A" w14:textId="77777777" w:rsidTr="00F268FE">
        <w:trPr>
          <w:cantSplit/>
          <w:tblHeader/>
        </w:trPr>
        <w:tc>
          <w:tcPr>
            <w:tcW w:w="441" w:type="dxa"/>
            <w:gridSpan w:val="2"/>
            <w:shd w:val="clear" w:color="auto" w:fill="auto"/>
            <w:vAlign w:val="center"/>
          </w:tcPr>
          <w:p w14:paraId="793DDF13" w14:textId="77777777" w:rsidR="00153252" w:rsidRPr="00153252" w:rsidRDefault="00F27DB4" w:rsidP="00153252">
            <w:pPr>
              <w:spacing w:before="40" w:after="4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9</w:t>
            </w:r>
            <w:r w:rsidR="00153252" w:rsidRPr="00153252">
              <w:rPr>
                <w:rFonts w:ascii="Arial Narrow" w:eastAsia="Arial Narrow" w:hAnsi="Arial Narrow" w:cs="Arial Narrow"/>
                <w:sz w:val="20"/>
                <w:szCs w:val="20"/>
              </w:rPr>
              <w:t>.</w:t>
            </w:r>
          </w:p>
        </w:tc>
        <w:tc>
          <w:tcPr>
            <w:tcW w:w="2139" w:type="dxa"/>
            <w:shd w:val="clear" w:color="auto" w:fill="auto"/>
            <w:vAlign w:val="center"/>
          </w:tcPr>
          <w:p w14:paraId="55A3E7CB"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Utvrditi Predlog zakona o povlastici na putovanje lica sa invaliditetom</w:t>
            </w:r>
          </w:p>
        </w:tc>
        <w:tc>
          <w:tcPr>
            <w:tcW w:w="2068" w:type="dxa"/>
            <w:gridSpan w:val="2"/>
            <w:shd w:val="clear" w:color="auto" w:fill="auto"/>
            <w:vAlign w:val="center"/>
          </w:tcPr>
          <w:p w14:paraId="0C003562"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Utvrđen Predlog zakona o povlastici na putovanje lica sa invaliditetom</w:t>
            </w:r>
          </w:p>
        </w:tc>
        <w:tc>
          <w:tcPr>
            <w:tcW w:w="1795" w:type="dxa"/>
            <w:shd w:val="clear" w:color="auto" w:fill="auto"/>
            <w:vAlign w:val="center"/>
          </w:tcPr>
          <w:p w14:paraId="7F0CB3E2"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 MFSS</w:t>
            </w:r>
          </w:p>
          <w:p w14:paraId="255DE9A7"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NK: KPS, KEPIF</w:t>
            </w:r>
          </w:p>
        </w:tc>
        <w:tc>
          <w:tcPr>
            <w:tcW w:w="2321" w:type="dxa"/>
            <w:shd w:val="clear" w:color="auto" w:fill="auto"/>
            <w:vAlign w:val="center"/>
          </w:tcPr>
          <w:p w14:paraId="1ED96B96"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IV Q 2022.</w:t>
            </w:r>
          </w:p>
        </w:tc>
        <w:tc>
          <w:tcPr>
            <w:tcW w:w="1482" w:type="dxa"/>
            <w:gridSpan w:val="2"/>
            <w:shd w:val="clear" w:color="auto" w:fill="auto"/>
            <w:vAlign w:val="center"/>
          </w:tcPr>
          <w:p w14:paraId="16010AA6"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Radiće se analiza procjene uticaja - RIA</w:t>
            </w:r>
          </w:p>
        </w:tc>
        <w:tc>
          <w:tcPr>
            <w:tcW w:w="1517" w:type="dxa"/>
            <w:shd w:val="clear" w:color="auto" w:fill="auto"/>
            <w:vAlign w:val="center"/>
          </w:tcPr>
          <w:p w14:paraId="41023BC6" w14:textId="77777777" w:rsidR="00153252" w:rsidRPr="00153252" w:rsidRDefault="00153252" w:rsidP="00153252">
            <w:pPr>
              <w:spacing w:after="0" w:line="276" w:lineRule="auto"/>
              <w:jc w:val="both"/>
              <w:rPr>
                <w:rFonts w:ascii="Arial Narrow" w:eastAsia="Arial Narrow" w:hAnsi="Arial Narrow" w:cs="Arial Narrow"/>
                <w:b/>
                <w:sz w:val="20"/>
                <w:szCs w:val="20"/>
              </w:rPr>
            </w:pPr>
          </w:p>
        </w:tc>
        <w:tc>
          <w:tcPr>
            <w:tcW w:w="3123" w:type="dxa"/>
            <w:shd w:val="clear" w:color="auto" w:fill="auto"/>
            <w:vAlign w:val="center"/>
          </w:tcPr>
          <w:p w14:paraId="0DBC00FC" w14:textId="77777777" w:rsidR="00153252" w:rsidRPr="00153252" w:rsidRDefault="00153252" w:rsidP="00153252">
            <w:pPr>
              <w:spacing w:after="0" w:line="240" w:lineRule="auto"/>
              <w:jc w:val="both"/>
              <w:rPr>
                <w:rFonts w:ascii="Arial Narrow" w:eastAsia="Arial Narrow" w:hAnsi="Arial Narrow" w:cs="Arial Narrow"/>
                <w:color w:val="262626"/>
                <w:sz w:val="20"/>
                <w:szCs w:val="20"/>
              </w:rPr>
            </w:pPr>
            <w:r w:rsidRPr="00153252">
              <w:rPr>
                <w:rFonts w:ascii="Arial Narrow" w:eastAsia="Arial Narrow" w:hAnsi="Arial Narrow" w:cs="Arial Narrow"/>
                <w:color w:val="262626"/>
                <w:sz w:val="20"/>
                <w:szCs w:val="20"/>
              </w:rPr>
              <w:t>Novi Zakon o povlastici na putovanje lica sa invaliditetom će poboljšati način ostvarivanja ovog prava za korisnike njege i pomoći drugog lica i djece i mladih koji su ostvarili pravo na pomoć za vaspitanje i obrazovanje djece i mladih sa posebnim potrebama, u skladu sa propisom iz oblasti socijalne i dječje zaštite i korisnike njege i pomoći drugog lica, koji je to pravo ostvario u skladu sa propisom iz oblasti penzijskog i invalidskog osiguranja. Utvrdiće se uslovi za ostvarivanje prava na povlasticu na putovanja u toku kalendarske godine, kao i uslovi za ostvarivanje prava na povlasticu na putovanje od mjesta stanovanja do mjesta rada.</w:t>
            </w:r>
          </w:p>
        </w:tc>
      </w:tr>
      <w:tr w:rsidR="00153252" w:rsidRPr="00153252" w14:paraId="192BF8F6" w14:textId="77777777" w:rsidTr="00F268FE">
        <w:trPr>
          <w:cantSplit/>
          <w:tblHeader/>
        </w:trPr>
        <w:tc>
          <w:tcPr>
            <w:tcW w:w="441" w:type="dxa"/>
            <w:gridSpan w:val="2"/>
            <w:shd w:val="clear" w:color="auto" w:fill="auto"/>
            <w:vAlign w:val="center"/>
          </w:tcPr>
          <w:p w14:paraId="10ED98BB" w14:textId="77777777" w:rsidR="00153252" w:rsidRPr="00153252" w:rsidRDefault="00F27DB4" w:rsidP="00153252">
            <w:pPr>
              <w:spacing w:before="40" w:after="4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10</w:t>
            </w:r>
          </w:p>
        </w:tc>
        <w:tc>
          <w:tcPr>
            <w:tcW w:w="2139" w:type="dxa"/>
            <w:shd w:val="clear" w:color="auto" w:fill="auto"/>
            <w:vAlign w:val="center"/>
          </w:tcPr>
          <w:p w14:paraId="0608FC81"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Utvrditi Predlog zakona o psihološkoj djelatnosti</w:t>
            </w:r>
          </w:p>
        </w:tc>
        <w:tc>
          <w:tcPr>
            <w:tcW w:w="2068" w:type="dxa"/>
            <w:gridSpan w:val="2"/>
            <w:shd w:val="clear" w:color="auto" w:fill="auto"/>
            <w:vAlign w:val="center"/>
          </w:tcPr>
          <w:p w14:paraId="21CB932E"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Utvrđen Predlog zakona o psihološkoj djelatnosti</w:t>
            </w:r>
          </w:p>
        </w:tc>
        <w:tc>
          <w:tcPr>
            <w:tcW w:w="1795" w:type="dxa"/>
            <w:shd w:val="clear" w:color="auto" w:fill="auto"/>
            <w:vAlign w:val="center"/>
          </w:tcPr>
          <w:p w14:paraId="19DA1149"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NI;MFSS</w:t>
            </w:r>
          </w:p>
          <w:p w14:paraId="5DD5D6E0"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NK;KPS,KEPIF</w:t>
            </w:r>
          </w:p>
        </w:tc>
        <w:tc>
          <w:tcPr>
            <w:tcW w:w="2321" w:type="dxa"/>
            <w:shd w:val="clear" w:color="auto" w:fill="auto"/>
            <w:vAlign w:val="center"/>
          </w:tcPr>
          <w:p w14:paraId="6FA13E27"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IV Q 2022.</w:t>
            </w:r>
          </w:p>
        </w:tc>
        <w:tc>
          <w:tcPr>
            <w:tcW w:w="1482" w:type="dxa"/>
            <w:gridSpan w:val="2"/>
            <w:shd w:val="clear" w:color="auto" w:fill="auto"/>
            <w:vAlign w:val="center"/>
          </w:tcPr>
          <w:p w14:paraId="17DA608C"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Nije potrebno dodatno obezbjeđenje finansijskih sredstava.</w:t>
            </w:r>
          </w:p>
          <w:p w14:paraId="2FB6906F"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Neće se raditi analiza procjene uticaja - RIA</w:t>
            </w:r>
          </w:p>
        </w:tc>
        <w:tc>
          <w:tcPr>
            <w:tcW w:w="1517" w:type="dxa"/>
            <w:shd w:val="clear" w:color="auto" w:fill="auto"/>
            <w:vAlign w:val="center"/>
          </w:tcPr>
          <w:p w14:paraId="09CFC74C" w14:textId="77777777" w:rsidR="00153252" w:rsidRPr="00153252" w:rsidRDefault="00153252" w:rsidP="00153252">
            <w:pPr>
              <w:spacing w:after="0" w:line="276" w:lineRule="auto"/>
              <w:jc w:val="both"/>
              <w:rPr>
                <w:rFonts w:ascii="Arial Narrow" w:eastAsia="Arial Narrow" w:hAnsi="Arial Narrow" w:cs="Arial Narrow"/>
                <w:b/>
                <w:sz w:val="20"/>
                <w:szCs w:val="20"/>
              </w:rPr>
            </w:pPr>
          </w:p>
        </w:tc>
        <w:tc>
          <w:tcPr>
            <w:tcW w:w="3123" w:type="dxa"/>
            <w:shd w:val="clear" w:color="auto" w:fill="auto"/>
            <w:vAlign w:val="center"/>
          </w:tcPr>
          <w:p w14:paraId="031D6157" w14:textId="77777777" w:rsidR="00153252" w:rsidRPr="00153252" w:rsidRDefault="00153252" w:rsidP="00153252">
            <w:pPr>
              <w:spacing w:after="0" w:line="240" w:lineRule="auto"/>
              <w:jc w:val="both"/>
              <w:rPr>
                <w:rFonts w:ascii="Arial Narrow" w:eastAsia="Arial Narrow" w:hAnsi="Arial Narrow" w:cs="Arial Narrow"/>
                <w:color w:val="262626"/>
                <w:sz w:val="20"/>
                <w:szCs w:val="20"/>
              </w:rPr>
            </w:pPr>
            <w:r w:rsidRPr="00153252">
              <w:rPr>
                <w:rFonts w:ascii="Arial Narrow" w:eastAsia="Arial Narrow" w:hAnsi="Arial Narrow" w:cs="Arial Narrow"/>
                <w:color w:val="262626"/>
                <w:sz w:val="20"/>
                <w:szCs w:val="20"/>
              </w:rPr>
              <w:t>Usvajanjem Zakona o psihološkoj djelatnosti doprinijelo bi se  unaprijeđenju oblasti socijalne zaštite, uticalo na kvalitet rada stručnih radnika, ali i doprinijelo pitanjima koja su vezana za  pregovarački proces u okviru poglavlja 19 (socijalna politika i zapošljavanje).  Doprinijeće se povećanju kvaliteta usluga, a samim tim će i korisnicima biti pružene sveobuhvatnije usluge. Biće riješen status psihologa i nadležnost njihovog rada.</w:t>
            </w:r>
          </w:p>
        </w:tc>
      </w:tr>
      <w:tr w:rsidR="00153252" w:rsidRPr="00153252" w14:paraId="0E6646C3" w14:textId="77777777" w:rsidTr="00F268FE">
        <w:trPr>
          <w:cantSplit/>
          <w:tblHeader/>
        </w:trPr>
        <w:tc>
          <w:tcPr>
            <w:tcW w:w="441" w:type="dxa"/>
            <w:gridSpan w:val="2"/>
            <w:shd w:val="clear" w:color="auto" w:fill="auto"/>
            <w:vAlign w:val="center"/>
          </w:tcPr>
          <w:p w14:paraId="46FAAB3E" w14:textId="77777777" w:rsidR="00153252" w:rsidRPr="00FF0B4A" w:rsidRDefault="00F27DB4" w:rsidP="00153252">
            <w:pPr>
              <w:spacing w:before="40" w:after="40" w:line="240" w:lineRule="auto"/>
              <w:jc w:val="both"/>
              <w:rPr>
                <w:rFonts w:ascii="Arial Narrow" w:eastAsia="Arial Narrow" w:hAnsi="Arial Narrow" w:cs="Arial Narrow"/>
                <w:sz w:val="20"/>
                <w:szCs w:val="20"/>
              </w:rPr>
            </w:pPr>
            <w:r w:rsidRPr="00FF0B4A">
              <w:rPr>
                <w:rFonts w:ascii="Arial Narrow" w:eastAsia="Arial Narrow" w:hAnsi="Arial Narrow" w:cs="Arial Narrow"/>
                <w:sz w:val="20"/>
                <w:szCs w:val="20"/>
              </w:rPr>
              <w:t>11</w:t>
            </w:r>
          </w:p>
        </w:tc>
        <w:tc>
          <w:tcPr>
            <w:tcW w:w="2139" w:type="dxa"/>
            <w:shd w:val="clear" w:color="auto" w:fill="auto"/>
            <w:vAlign w:val="center"/>
          </w:tcPr>
          <w:p w14:paraId="19884B02"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Donijeti Odluku o instituciji zaduženoj za određivanje primjenjivog zakonodavstva</w:t>
            </w:r>
          </w:p>
        </w:tc>
        <w:tc>
          <w:tcPr>
            <w:tcW w:w="2068" w:type="dxa"/>
            <w:gridSpan w:val="2"/>
            <w:shd w:val="clear" w:color="auto" w:fill="auto"/>
            <w:vAlign w:val="center"/>
          </w:tcPr>
          <w:p w14:paraId="1CB24B45" w14:textId="77777777" w:rsidR="00153252" w:rsidRPr="00153252" w:rsidRDefault="00153252" w:rsidP="00153252">
            <w:pPr>
              <w:spacing w:after="0" w:line="276" w:lineRule="auto"/>
              <w:jc w:val="both"/>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t xml:space="preserve">Donesena Odluka </w:t>
            </w:r>
            <w:r w:rsidRPr="00153252">
              <w:rPr>
                <w:rFonts w:ascii="Arial Narrow" w:eastAsia="Arial Narrow" w:hAnsi="Arial Narrow" w:cs="Arial Narrow"/>
                <w:sz w:val="20"/>
                <w:szCs w:val="20"/>
              </w:rPr>
              <w:t>o instituciji zaduženoj za određivanje primjenjivog zakonodavstva</w:t>
            </w:r>
          </w:p>
        </w:tc>
        <w:tc>
          <w:tcPr>
            <w:tcW w:w="1795" w:type="dxa"/>
            <w:shd w:val="clear" w:color="auto" w:fill="auto"/>
            <w:vAlign w:val="center"/>
          </w:tcPr>
          <w:p w14:paraId="7EFE4ABD"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 MFSS</w:t>
            </w:r>
          </w:p>
          <w:p w14:paraId="7C862918"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NK: KPS, KEPIF</w:t>
            </w:r>
          </w:p>
        </w:tc>
        <w:tc>
          <w:tcPr>
            <w:tcW w:w="2321" w:type="dxa"/>
            <w:shd w:val="clear" w:color="auto" w:fill="auto"/>
            <w:vAlign w:val="center"/>
          </w:tcPr>
          <w:p w14:paraId="41E38869"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IV Q 2022.</w:t>
            </w:r>
          </w:p>
        </w:tc>
        <w:tc>
          <w:tcPr>
            <w:tcW w:w="1482" w:type="dxa"/>
            <w:gridSpan w:val="2"/>
            <w:shd w:val="clear" w:color="auto" w:fill="auto"/>
            <w:vAlign w:val="center"/>
          </w:tcPr>
          <w:p w14:paraId="50F50660"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Nije potrebno dodatno obezbjeđenje finansijskih sredstava.</w:t>
            </w:r>
          </w:p>
          <w:p w14:paraId="63026FBB"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Neće se raditi analiza procjene uticaja - RIA</w:t>
            </w:r>
          </w:p>
        </w:tc>
        <w:tc>
          <w:tcPr>
            <w:tcW w:w="1517" w:type="dxa"/>
            <w:shd w:val="clear" w:color="auto" w:fill="auto"/>
            <w:vAlign w:val="center"/>
          </w:tcPr>
          <w:p w14:paraId="6F85577C"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b/>
                <w:sz w:val="20"/>
                <w:szCs w:val="20"/>
              </w:rPr>
              <w:t>-</w:t>
            </w:r>
          </w:p>
        </w:tc>
        <w:tc>
          <w:tcPr>
            <w:tcW w:w="3123" w:type="dxa"/>
            <w:shd w:val="clear" w:color="auto" w:fill="auto"/>
            <w:vAlign w:val="center"/>
          </w:tcPr>
          <w:p w14:paraId="697A283B"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Ovom odlukom će se odrediti institucija koja će prema regulativama o koordinaciji sistema socijalnog osiguranja biti zadužena za određivanje primjenjivog zakonodavstvo.</w:t>
            </w:r>
          </w:p>
        </w:tc>
      </w:tr>
      <w:tr w:rsidR="00153252" w:rsidRPr="00153252" w14:paraId="49631993" w14:textId="77777777" w:rsidTr="00F268FE">
        <w:trPr>
          <w:cantSplit/>
          <w:tblHeader/>
        </w:trPr>
        <w:tc>
          <w:tcPr>
            <w:tcW w:w="441" w:type="dxa"/>
            <w:gridSpan w:val="2"/>
            <w:shd w:val="clear" w:color="auto" w:fill="auto"/>
            <w:vAlign w:val="center"/>
          </w:tcPr>
          <w:p w14:paraId="04B56CD4" w14:textId="77777777" w:rsidR="00153252" w:rsidRPr="00FF0B4A" w:rsidRDefault="00F27DB4" w:rsidP="00153252">
            <w:pPr>
              <w:spacing w:before="40" w:after="40" w:line="240" w:lineRule="auto"/>
              <w:jc w:val="both"/>
              <w:rPr>
                <w:rFonts w:ascii="Arial Narrow" w:eastAsia="Arial Narrow" w:hAnsi="Arial Narrow" w:cs="Arial Narrow"/>
                <w:sz w:val="20"/>
                <w:szCs w:val="20"/>
              </w:rPr>
            </w:pPr>
            <w:bookmarkStart w:id="7" w:name="_heading=h.30j0zll" w:colFirst="0" w:colLast="0"/>
            <w:bookmarkEnd w:id="7"/>
            <w:r w:rsidRPr="00FF0B4A">
              <w:rPr>
                <w:rFonts w:ascii="Arial Narrow" w:eastAsia="Arial Narrow" w:hAnsi="Arial Narrow" w:cs="Arial Narrow"/>
                <w:sz w:val="20"/>
                <w:szCs w:val="20"/>
              </w:rPr>
              <w:lastRenderedPageBreak/>
              <w:t>12</w:t>
            </w:r>
          </w:p>
        </w:tc>
        <w:tc>
          <w:tcPr>
            <w:tcW w:w="2139" w:type="dxa"/>
            <w:shd w:val="clear" w:color="auto" w:fill="auto"/>
            <w:vAlign w:val="center"/>
          </w:tcPr>
          <w:p w14:paraId="3F1CA728"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Donijeti Odluku o instituciji nadležnoj za elektronsku razmjenu podataka</w:t>
            </w:r>
          </w:p>
        </w:tc>
        <w:tc>
          <w:tcPr>
            <w:tcW w:w="2068" w:type="dxa"/>
            <w:gridSpan w:val="2"/>
            <w:shd w:val="clear" w:color="auto" w:fill="auto"/>
            <w:vAlign w:val="center"/>
          </w:tcPr>
          <w:p w14:paraId="49456E77"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color w:val="000000"/>
                <w:sz w:val="20"/>
                <w:szCs w:val="20"/>
              </w:rPr>
              <w:t xml:space="preserve">Donesena Odluka </w:t>
            </w:r>
            <w:r w:rsidRPr="00153252">
              <w:rPr>
                <w:rFonts w:ascii="Arial Narrow" w:eastAsia="Arial Narrow" w:hAnsi="Arial Narrow" w:cs="Arial Narrow"/>
                <w:sz w:val="20"/>
                <w:szCs w:val="20"/>
              </w:rPr>
              <w:t>o instituciji nadležnoj za elektronsku razmjenu podataka</w:t>
            </w:r>
          </w:p>
        </w:tc>
        <w:tc>
          <w:tcPr>
            <w:tcW w:w="1795" w:type="dxa"/>
            <w:shd w:val="clear" w:color="auto" w:fill="auto"/>
            <w:vAlign w:val="center"/>
          </w:tcPr>
          <w:p w14:paraId="07ABA945"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 MFSS</w:t>
            </w:r>
          </w:p>
          <w:p w14:paraId="5F896DF8"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NK: KPS, KEPIF</w:t>
            </w:r>
          </w:p>
        </w:tc>
        <w:tc>
          <w:tcPr>
            <w:tcW w:w="2321" w:type="dxa"/>
            <w:shd w:val="clear" w:color="auto" w:fill="auto"/>
            <w:vAlign w:val="center"/>
          </w:tcPr>
          <w:p w14:paraId="364C9BE2"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IV Q 2022.</w:t>
            </w:r>
          </w:p>
        </w:tc>
        <w:tc>
          <w:tcPr>
            <w:tcW w:w="1482" w:type="dxa"/>
            <w:gridSpan w:val="2"/>
            <w:shd w:val="clear" w:color="auto" w:fill="auto"/>
            <w:vAlign w:val="center"/>
          </w:tcPr>
          <w:p w14:paraId="3405104F"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Nije potrebno dodatno obezbjeđenje finansijskih sredstava.</w:t>
            </w:r>
          </w:p>
          <w:p w14:paraId="414F6D0F"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Neće se raditi analiza procjene uticaja - RIA</w:t>
            </w:r>
          </w:p>
        </w:tc>
        <w:tc>
          <w:tcPr>
            <w:tcW w:w="1517" w:type="dxa"/>
            <w:shd w:val="clear" w:color="auto" w:fill="auto"/>
            <w:vAlign w:val="center"/>
          </w:tcPr>
          <w:p w14:paraId="1F17A16F"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b/>
                <w:sz w:val="20"/>
                <w:szCs w:val="20"/>
              </w:rPr>
              <w:t>-</w:t>
            </w:r>
          </w:p>
        </w:tc>
        <w:tc>
          <w:tcPr>
            <w:tcW w:w="3123" w:type="dxa"/>
            <w:shd w:val="clear" w:color="auto" w:fill="auto"/>
            <w:vAlign w:val="center"/>
          </w:tcPr>
          <w:p w14:paraId="6898CFA7"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Ovom odlukom će se odrediti institucija koja će biti nadležna za elektronsku razmjenu podataka, odnosno koja će biti pristupna tačka za elektronsku razmjenu podataka u sistemu socijalnog osiguranja. Naime, primjena EU regulative zahtijeva elektronsku razmjenu podataka, kako na nacionalnom nivou, tako i na nivou evropskih institucija, za što je potrebno uspostaviti odgovarajuću informatičku infrastrukturu u svim institucijama u sistemu socijalnog osiguranja, a jedna (ili više) institucija će biti pristupna tačka za elektronsku razmjenu podataka, putem koje će se razmjenjivati svi podaci o socijalnom osiguranju između crnogorskih institucija i institucija drugih država članica.</w:t>
            </w:r>
          </w:p>
        </w:tc>
      </w:tr>
      <w:tr w:rsidR="00153252" w:rsidRPr="00153252" w14:paraId="19AC7B90" w14:textId="77777777" w:rsidTr="00F268FE">
        <w:trPr>
          <w:cantSplit/>
          <w:trHeight w:val="710"/>
          <w:tblHeader/>
        </w:trPr>
        <w:tc>
          <w:tcPr>
            <w:tcW w:w="2580" w:type="dxa"/>
            <w:gridSpan w:val="3"/>
            <w:shd w:val="clear" w:color="auto" w:fill="DBDBDB"/>
            <w:vAlign w:val="center"/>
          </w:tcPr>
          <w:p w14:paraId="79D9096B" w14:textId="77777777" w:rsidR="00D003CC" w:rsidRPr="00D003CC" w:rsidRDefault="00D003CC" w:rsidP="00D003CC">
            <w:pPr>
              <w:spacing w:after="0" w:line="276" w:lineRule="auto"/>
              <w:jc w:val="center"/>
              <w:rPr>
                <w:rFonts w:ascii="Arial Narrow" w:eastAsia="Arial Narrow" w:hAnsi="Arial Narrow" w:cs="Arial Narrow"/>
                <w:b/>
                <w:sz w:val="20"/>
                <w:szCs w:val="20"/>
              </w:rPr>
            </w:pPr>
            <w:bookmarkStart w:id="8" w:name="_Hlk89628827"/>
          </w:p>
          <w:p w14:paraId="164B5917" w14:textId="77777777" w:rsidR="00153252" w:rsidRPr="00D003CC" w:rsidRDefault="00153252" w:rsidP="00D003CC">
            <w:pPr>
              <w:spacing w:after="0" w:line="276" w:lineRule="auto"/>
              <w:jc w:val="center"/>
              <w:rPr>
                <w:rFonts w:ascii="Arial Narrow" w:eastAsia="Arial Narrow" w:hAnsi="Arial Narrow" w:cs="Arial Narrow"/>
                <w:b/>
                <w:sz w:val="20"/>
                <w:szCs w:val="20"/>
              </w:rPr>
            </w:pPr>
            <w:r w:rsidRPr="00D003CC">
              <w:rPr>
                <w:rFonts w:ascii="Arial Narrow" w:eastAsia="Arial Narrow" w:hAnsi="Arial Narrow" w:cs="Arial Narrow"/>
                <w:b/>
                <w:sz w:val="20"/>
                <w:szCs w:val="20"/>
              </w:rPr>
              <w:t xml:space="preserve">Cilj </w:t>
            </w:r>
            <w:r w:rsidR="00B80AA5" w:rsidRPr="00D003CC">
              <w:rPr>
                <w:rFonts w:ascii="Arial Narrow" w:eastAsia="Arial Narrow" w:hAnsi="Arial Narrow" w:cs="Arial Narrow"/>
                <w:b/>
                <w:sz w:val="20"/>
                <w:szCs w:val="20"/>
              </w:rPr>
              <w:t>1.7.</w:t>
            </w:r>
          </w:p>
          <w:p w14:paraId="63A58DB6" w14:textId="77777777" w:rsidR="00153252" w:rsidRPr="00D003CC" w:rsidRDefault="00153252" w:rsidP="00153252">
            <w:pPr>
              <w:spacing w:after="0" w:line="276" w:lineRule="auto"/>
              <w:jc w:val="both"/>
              <w:rPr>
                <w:rFonts w:ascii="Arial Narrow" w:eastAsia="Arial Narrow" w:hAnsi="Arial Narrow" w:cs="Arial Narrow"/>
                <w:b/>
                <w:sz w:val="20"/>
                <w:szCs w:val="20"/>
              </w:rPr>
            </w:pPr>
          </w:p>
        </w:tc>
        <w:tc>
          <w:tcPr>
            <w:tcW w:w="12306" w:type="dxa"/>
            <w:gridSpan w:val="8"/>
            <w:shd w:val="clear" w:color="auto" w:fill="DBDBDB"/>
            <w:vAlign w:val="center"/>
          </w:tcPr>
          <w:p w14:paraId="613A6E75" w14:textId="77777777" w:rsidR="00153252" w:rsidRPr="00D003CC" w:rsidRDefault="00153252" w:rsidP="00153252">
            <w:pPr>
              <w:spacing w:after="0" w:line="276" w:lineRule="auto"/>
              <w:jc w:val="both"/>
              <w:rPr>
                <w:rFonts w:ascii="Arial Narrow" w:eastAsia="Arial Narrow" w:hAnsi="Arial Narrow" w:cs="Arial Narrow"/>
                <w:b/>
                <w:sz w:val="20"/>
                <w:szCs w:val="20"/>
              </w:rPr>
            </w:pPr>
            <w:r w:rsidRPr="00D003CC">
              <w:rPr>
                <w:rFonts w:ascii="Arial Narrow" w:eastAsia="Arial Narrow" w:hAnsi="Arial Narrow" w:cs="Arial Narrow"/>
                <w:b/>
                <w:sz w:val="20"/>
                <w:szCs w:val="20"/>
              </w:rPr>
              <w:t>Poboljšana bezbjednost granica i ispunjavanje uslova za ulazak u EU i šengenski prostor</w:t>
            </w:r>
          </w:p>
        </w:tc>
      </w:tr>
      <w:tr w:rsidR="00153252" w:rsidRPr="00153252" w14:paraId="3342D14E" w14:textId="77777777" w:rsidTr="00F268FE">
        <w:trPr>
          <w:cantSplit/>
          <w:tblHeader/>
        </w:trPr>
        <w:tc>
          <w:tcPr>
            <w:tcW w:w="2580" w:type="dxa"/>
            <w:gridSpan w:val="3"/>
            <w:shd w:val="clear" w:color="auto" w:fill="BDD7EE"/>
            <w:vAlign w:val="center"/>
          </w:tcPr>
          <w:p w14:paraId="090CFCDC" w14:textId="77777777" w:rsidR="00153252" w:rsidRPr="00153252" w:rsidRDefault="00153252" w:rsidP="00153252">
            <w:pPr>
              <w:spacing w:before="40" w:after="4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Indikator učinka</w:t>
            </w:r>
          </w:p>
        </w:tc>
        <w:tc>
          <w:tcPr>
            <w:tcW w:w="2061" w:type="dxa"/>
            <w:shd w:val="clear" w:color="auto" w:fill="BDD7EE"/>
            <w:vAlign w:val="center"/>
          </w:tcPr>
          <w:p w14:paraId="524D4A94"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Polazna vrijednost – 2020.</w:t>
            </w:r>
          </w:p>
        </w:tc>
        <w:tc>
          <w:tcPr>
            <w:tcW w:w="1796" w:type="dxa"/>
            <w:gridSpan w:val="2"/>
            <w:shd w:val="clear" w:color="auto" w:fill="BDD7EE"/>
            <w:vAlign w:val="center"/>
          </w:tcPr>
          <w:p w14:paraId="7A32F49E"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Prelazna vrijednost – 2022.</w:t>
            </w:r>
          </w:p>
        </w:tc>
        <w:tc>
          <w:tcPr>
            <w:tcW w:w="2322" w:type="dxa"/>
            <w:tcBorders>
              <w:bottom w:val="single" w:sz="4" w:space="0" w:color="FFFFFF"/>
            </w:tcBorders>
            <w:shd w:val="clear" w:color="auto" w:fill="BDD7EE"/>
            <w:vAlign w:val="center"/>
          </w:tcPr>
          <w:p w14:paraId="0FDF3DF9"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Prelazna vrijednost – 2023.</w:t>
            </w:r>
          </w:p>
        </w:tc>
        <w:tc>
          <w:tcPr>
            <w:tcW w:w="6127" w:type="dxa"/>
            <w:gridSpan w:val="4"/>
            <w:tcBorders>
              <w:bottom w:val="single" w:sz="4" w:space="0" w:color="FFFFFF"/>
            </w:tcBorders>
            <w:shd w:val="clear" w:color="auto" w:fill="BDD7EE"/>
            <w:vAlign w:val="center"/>
          </w:tcPr>
          <w:p w14:paraId="02593494" w14:textId="77777777" w:rsidR="00153252" w:rsidRPr="00153252" w:rsidRDefault="00153252" w:rsidP="00F27DB4">
            <w:pPr>
              <w:spacing w:before="40" w:after="40" w:line="240"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Ciljna vrijednost - 2024.</w:t>
            </w:r>
          </w:p>
        </w:tc>
      </w:tr>
      <w:tr w:rsidR="00153252" w:rsidRPr="00153252" w14:paraId="29BFCA74" w14:textId="77777777" w:rsidTr="00F268FE">
        <w:trPr>
          <w:cantSplit/>
          <w:trHeight w:val="416"/>
          <w:tblHeader/>
        </w:trPr>
        <w:tc>
          <w:tcPr>
            <w:tcW w:w="2580" w:type="dxa"/>
            <w:gridSpan w:val="3"/>
            <w:shd w:val="clear" w:color="auto" w:fill="BDD7EE"/>
          </w:tcPr>
          <w:p w14:paraId="25647861"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Broj ilegalnih migracija.</w:t>
            </w:r>
          </w:p>
        </w:tc>
        <w:tc>
          <w:tcPr>
            <w:tcW w:w="2061" w:type="dxa"/>
            <w:shd w:val="clear" w:color="auto" w:fill="BDD7EE"/>
          </w:tcPr>
          <w:p w14:paraId="1A6ADFF5" w14:textId="77777777" w:rsidR="00153252" w:rsidRPr="00153252" w:rsidRDefault="00153252" w:rsidP="00F27DB4">
            <w:pPr>
              <w:spacing w:after="0" w:line="276" w:lineRule="auto"/>
              <w:jc w:val="center"/>
              <w:rPr>
                <w:rFonts w:ascii="Arial Narrow" w:eastAsia="Arial Narrow" w:hAnsi="Arial Narrow" w:cs="Arial Narrow"/>
                <w:sz w:val="20"/>
                <w:szCs w:val="20"/>
              </w:rPr>
            </w:pPr>
          </w:p>
        </w:tc>
        <w:tc>
          <w:tcPr>
            <w:tcW w:w="1796" w:type="dxa"/>
            <w:gridSpan w:val="2"/>
            <w:shd w:val="clear" w:color="auto" w:fill="BDD7EE"/>
          </w:tcPr>
          <w:p w14:paraId="111E6EC2" w14:textId="77777777" w:rsidR="00153252" w:rsidRPr="00153252" w:rsidRDefault="00153252" w:rsidP="00F27DB4">
            <w:pPr>
              <w:spacing w:after="0" w:line="276" w:lineRule="auto"/>
              <w:jc w:val="center"/>
              <w:rPr>
                <w:rFonts w:ascii="Arial Narrow" w:eastAsia="Arial Narrow" w:hAnsi="Arial Narrow" w:cs="Arial Narrow"/>
                <w:sz w:val="20"/>
                <w:szCs w:val="20"/>
              </w:rPr>
            </w:pPr>
          </w:p>
        </w:tc>
        <w:tc>
          <w:tcPr>
            <w:tcW w:w="2322" w:type="dxa"/>
            <w:shd w:val="clear" w:color="auto" w:fill="BDD7EE"/>
          </w:tcPr>
          <w:p w14:paraId="578BB728" w14:textId="77777777" w:rsidR="00153252" w:rsidRPr="00153252" w:rsidRDefault="00153252" w:rsidP="00F27DB4">
            <w:pPr>
              <w:spacing w:after="0" w:line="276" w:lineRule="auto"/>
              <w:jc w:val="center"/>
              <w:rPr>
                <w:rFonts w:ascii="Arial Narrow" w:eastAsia="Arial Narrow" w:hAnsi="Arial Narrow" w:cs="Arial Narrow"/>
                <w:sz w:val="20"/>
                <w:szCs w:val="20"/>
              </w:rPr>
            </w:pPr>
          </w:p>
        </w:tc>
        <w:tc>
          <w:tcPr>
            <w:tcW w:w="6127" w:type="dxa"/>
            <w:gridSpan w:val="4"/>
            <w:shd w:val="clear" w:color="auto" w:fill="BDD7EE"/>
          </w:tcPr>
          <w:p w14:paraId="25FE5997" w14:textId="77777777" w:rsidR="00153252" w:rsidRPr="00153252" w:rsidRDefault="00153252" w:rsidP="00F27DB4">
            <w:pPr>
              <w:spacing w:after="0" w:line="276" w:lineRule="auto"/>
              <w:jc w:val="center"/>
              <w:rPr>
                <w:rFonts w:ascii="Arial Narrow" w:eastAsia="Arial Narrow" w:hAnsi="Arial Narrow" w:cs="Arial Narrow"/>
                <w:sz w:val="20"/>
                <w:szCs w:val="20"/>
              </w:rPr>
            </w:pPr>
          </w:p>
        </w:tc>
      </w:tr>
      <w:tr w:rsidR="00153252" w:rsidRPr="00153252" w14:paraId="338EDE1D" w14:textId="77777777" w:rsidTr="00F268FE">
        <w:trPr>
          <w:cantSplit/>
          <w:trHeight w:val="416"/>
          <w:tblHeader/>
        </w:trPr>
        <w:tc>
          <w:tcPr>
            <w:tcW w:w="2580" w:type="dxa"/>
            <w:gridSpan w:val="3"/>
            <w:shd w:val="clear" w:color="auto" w:fill="BDD7EE"/>
          </w:tcPr>
          <w:p w14:paraId="3DC67A64"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Broj zajedničkih patrola, akcija i obuka.</w:t>
            </w:r>
          </w:p>
        </w:tc>
        <w:tc>
          <w:tcPr>
            <w:tcW w:w="2061" w:type="dxa"/>
            <w:shd w:val="clear" w:color="auto" w:fill="BDD7EE"/>
          </w:tcPr>
          <w:p w14:paraId="0252154A" w14:textId="77777777" w:rsidR="00153252" w:rsidRPr="00153252" w:rsidRDefault="00153252" w:rsidP="00F27DB4">
            <w:pPr>
              <w:spacing w:after="0" w:line="276" w:lineRule="auto"/>
              <w:jc w:val="center"/>
              <w:rPr>
                <w:rFonts w:ascii="Arial Narrow" w:eastAsia="Arial Narrow" w:hAnsi="Arial Narrow" w:cs="Arial Narrow"/>
                <w:sz w:val="20"/>
                <w:szCs w:val="20"/>
              </w:rPr>
            </w:pPr>
          </w:p>
        </w:tc>
        <w:tc>
          <w:tcPr>
            <w:tcW w:w="1796" w:type="dxa"/>
            <w:gridSpan w:val="2"/>
            <w:shd w:val="clear" w:color="auto" w:fill="BDD7EE"/>
          </w:tcPr>
          <w:p w14:paraId="22076BE3" w14:textId="77777777" w:rsidR="00153252" w:rsidRPr="00153252" w:rsidRDefault="00153252" w:rsidP="00F27DB4">
            <w:pPr>
              <w:spacing w:after="0" w:line="276" w:lineRule="auto"/>
              <w:jc w:val="center"/>
              <w:rPr>
                <w:rFonts w:ascii="Arial Narrow" w:eastAsia="Arial Narrow" w:hAnsi="Arial Narrow" w:cs="Arial Narrow"/>
                <w:sz w:val="20"/>
                <w:szCs w:val="20"/>
              </w:rPr>
            </w:pPr>
          </w:p>
        </w:tc>
        <w:tc>
          <w:tcPr>
            <w:tcW w:w="2322" w:type="dxa"/>
            <w:shd w:val="clear" w:color="auto" w:fill="BDD7EE"/>
          </w:tcPr>
          <w:p w14:paraId="11C29932" w14:textId="77777777" w:rsidR="00153252" w:rsidRPr="00153252" w:rsidRDefault="00153252" w:rsidP="00F27DB4">
            <w:pPr>
              <w:spacing w:after="0" w:line="276" w:lineRule="auto"/>
              <w:jc w:val="center"/>
              <w:rPr>
                <w:rFonts w:ascii="Arial Narrow" w:eastAsia="Arial Narrow" w:hAnsi="Arial Narrow" w:cs="Arial Narrow"/>
                <w:sz w:val="20"/>
                <w:szCs w:val="20"/>
              </w:rPr>
            </w:pPr>
          </w:p>
        </w:tc>
        <w:tc>
          <w:tcPr>
            <w:tcW w:w="6127" w:type="dxa"/>
            <w:gridSpan w:val="4"/>
            <w:shd w:val="clear" w:color="auto" w:fill="BDD7EE"/>
          </w:tcPr>
          <w:p w14:paraId="717BC058" w14:textId="77777777" w:rsidR="00153252" w:rsidRPr="00153252" w:rsidRDefault="00153252" w:rsidP="00F27DB4">
            <w:pPr>
              <w:spacing w:after="0" w:line="276" w:lineRule="auto"/>
              <w:jc w:val="center"/>
              <w:rPr>
                <w:rFonts w:ascii="Arial Narrow" w:eastAsia="Arial Narrow" w:hAnsi="Arial Narrow" w:cs="Arial Narrow"/>
                <w:sz w:val="20"/>
                <w:szCs w:val="20"/>
              </w:rPr>
            </w:pPr>
          </w:p>
        </w:tc>
      </w:tr>
      <w:tr w:rsidR="00153252" w:rsidRPr="00153252" w14:paraId="1F2F2ADC" w14:textId="77777777" w:rsidTr="00F268FE">
        <w:trPr>
          <w:cantSplit/>
          <w:trHeight w:val="416"/>
          <w:tblHeader/>
        </w:trPr>
        <w:tc>
          <w:tcPr>
            <w:tcW w:w="2580" w:type="dxa"/>
            <w:gridSpan w:val="3"/>
            <w:shd w:val="clear" w:color="auto" w:fill="BDD7EE"/>
          </w:tcPr>
          <w:p w14:paraId="0AEBD8FA"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Procenat usklađenosti sa šengenskom pravnom tekovinom.</w:t>
            </w:r>
          </w:p>
        </w:tc>
        <w:tc>
          <w:tcPr>
            <w:tcW w:w="2061" w:type="dxa"/>
            <w:shd w:val="clear" w:color="auto" w:fill="BDD7EE"/>
          </w:tcPr>
          <w:p w14:paraId="14EFAB84" w14:textId="77777777" w:rsidR="00153252" w:rsidRPr="00153252" w:rsidRDefault="00153252" w:rsidP="00F27DB4">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52,11%</w:t>
            </w:r>
          </w:p>
          <w:p w14:paraId="49939F60" w14:textId="77777777" w:rsidR="00153252" w:rsidRPr="00153252" w:rsidRDefault="00153252" w:rsidP="00F27DB4">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(Analiza realizacije Šengenskog akcionog plana 2017-2020.)</w:t>
            </w:r>
          </w:p>
        </w:tc>
        <w:tc>
          <w:tcPr>
            <w:tcW w:w="1796" w:type="dxa"/>
            <w:gridSpan w:val="2"/>
            <w:shd w:val="clear" w:color="auto" w:fill="BDD7EE"/>
          </w:tcPr>
          <w:p w14:paraId="3F55F719" w14:textId="77777777" w:rsidR="00153252" w:rsidRPr="00153252" w:rsidRDefault="00153252" w:rsidP="00F27DB4">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57,11%</w:t>
            </w:r>
          </w:p>
        </w:tc>
        <w:tc>
          <w:tcPr>
            <w:tcW w:w="2322" w:type="dxa"/>
            <w:shd w:val="clear" w:color="auto" w:fill="BDD7EE"/>
          </w:tcPr>
          <w:p w14:paraId="5FF55006" w14:textId="77777777" w:rsidR="00153252" w:rsidRPr="00153252" w:rsidRDefault="00153252" w:rsidP="00F27DB4">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62,11%</w:t>
            </w:r>
          </w:p>
        </w:tc>
        <w:tc>
          <w:tcPr>
            <w:tcW w:w="6127" w:type="dxa"/>
            <w:gridSpan w:val="4"/>
            <w:shd w:val="clear" w:color="auto" w:fill="BDD7EE"/>
          </w:tcPr>
          <w:p w14:paraId="610BDD21" w14:textId="77777777" w:rsidR="00153252" w:rsidRPr="00153252" w:rsidRDefault="00153252" w:rsidP="00F27DB4">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67,11%</w:t>
            </w:r>
          </w:p>
        </w:tc>
      </w:tr>
      <w:bookmarkEnd w:id="8"/>
      <w:tr w:rsidR="00153252" w:rsidRPr="00153252" w14:paraId="7103E938" w14:textId="77777777" w:rsidTr="00F268FE">
        <w:trPr>
          <w:cantSplit/>
          <w:tblHeader/>
        </w:trPr>
        <w:tc>
          <w:tcPr>
            <w:tcW w:w="2580" w:type="dxa"/>
            <w:gridSpan w:val="3"/>
            <w:shd w:val="clear" w:color="auto" w:fill="FFF2CC"/>
            <w:vAlign w:val="center"/>
          </w:tcPr>
          <w:p w14:paraId="6F8BF4AA" w14:textId="77777777" w:rsidR="00153252" w:rsidRPr="00F27DB4" w:rsidRDefault="00153252" w:rsidP="00F27DB4">
            <w:pPr>
              <w:spacing w:before="40" w:after="40" w:line="240" w:lineRule="auto"/>
              <w:jc w:val="center"/>
              <w:rPr>
                <w:rFonts w:ascii="Arial Narrow" w:eastAsia="Arial Narrow" w:hAnsi="Arial Narrow" w:cs="Arial Narrow"/>
                <w:b/>
                <w:sz w:val="20"/>
                <w:szCs w:val="20"/>
              </w:rPr>
            </w:pPr>
            <w:r w:rsidRPr="00F27DB4">
              <w:rPr>
                <w:rFonts w:ascii="Arial Narrow" w:eastAsia="Arial Narrow" w:hAnsi="Arial Narrow" w:cs="Arial Narrow"/>
                <w:b/>
                <w:sz w:val="20"/>
                <w:szCs w:val="20"/>
              </w:rPr>
              <w:t>Aktivnosti</w:t>
            </w:r>
          </w:p>
        </w:tc>
        <w:tc>
          <w:tcPr>
            <w:tcW w:w="2061" w:type="dxa"/>
            <w:shd w:val="clear" w:color="auto" w:fill="FFF2CC"/>
            <w:vAlign w:val="center"/>
          </w:tcPr>
          <w:p w14:paraId="6736072E" w14:textId="77777777" w:rsidR="00153252" w:rsidRPr="00F27DB4" w:rsidRDefault="00153252" w:rsidP="00F27DB4">
            <w:pPr>
              <w:spacing w:after="0" w:line="276" w:lineRule="auto"/>
              <w:jc w:val="center"/>
              <w:rPr>
                <w:rFonts w:ascii="Arial Narrow" w:eastAsia="Arial Narrow" w:hAnsi="Arial Narrow" w:cs="Arial Narrow"/>
                <w:b/>
                <w:sz w:val="20"/>
                <w:szCs w:val="20"/>
              </w:rPr>
            </w:pPr>
            <w:r w:rsidRPr="00F27DB4">
              <w:rPr>
                <w:rFonts w:ascii="Arial Narrow" w:eastAsia="Arial Narrow" w:hAnsi="Arial Narrow" w:cs="Arial Narrow"/>
                <w:b/>
                <w:sz w:val="20"/>
                <w:szCs w:val="20"/>
              </w:rPr>
              <w:t>Indikator rezultata</w:t>
            </w:r>
          </w:p>
        </w:tc>
        <w:tc>
          <w:tcPr>
            <w:tcW w:w="1796" w:type="dxa"/>
            <w:gridSpan w:val="2"/>
            <w:shd w:val="clear" w:color="auto" w:fill="FFF2CC"/>
            <w:vAlign w:val="center"/>
          </w:tcPr>
          <w:p w14:paraId="1EBE5F6E" w14:textId="77777777" w:rsidR="00153252" w:rsidRPr="00F27DB4" w:rsidRDefault="00153252" w:rsidP="00F27DB4">
            <w:pPr>
              <w:spacing w:after="0" w:line="276" w:lineRule="auto"/>
              <w:jc w:val="center"/>
              <w:rPr>
                <w:rFonts w:ascii="Arial Narrow" w:eastAsia="Arial Narrow" w:hAnsi="Arial Narrow" w:cs="Arial Narrow"/>
                <w:b/>
                <w:sz w:val="20"/>
                <w:szCs w:val="20"/>
              </w:rPr>
            </w:pPr>
            <w:r w:rsidRPr="00F27DB4">
              <w:rPr>
                <w:rFonts w:ascii="Arial Narrow" w:eastAsia="Arial Narrow" w:hAnsi="Arial Narrow" w:cs="Arial Narrow"/>
                <w:b/>
                <w:sz w:val="20"/>
                <w:szCs w:val="20"/>
              </w:rPr>
              <w:t>Nadležne institucije i nadležna komisija</w:t>
            </w:r>
          </w:p>
        </w:tc>
        <w:tc>
          <w:tcPr>
            <w:tcW w:w="2322" w:type="dxa"/>
            <w:shd w:val="clear" w:color="auto" w:fill="FFF2CC"/>
            <w:vAlign w:val="center"/>
          </w:tcPr>
          <w:p w14:paraId="085FD223" w14:textId="77777777" w:rsidR="00153252" w:rsidRPr="00F27DB4" w:rsidRDefault="00153252" w:rsidP="00F27DB4">
            <w:pPr>
              <w:spacing w:after="0" w:line="276" w:lineRule="auto"/>
              <w:jc w:val="center"/>
              <w:rPr>
                <w:rFonts w:ascii="Arial Narrow" w:eastAsia="Arial Narrow" w:hAnsi="Arial Narrow" w:cs="Arial Narrow"/>
                <w:b/>
                <w:sz w:val="20"/>
                <w:szCs w:val="20"/>
              </w:rPr>
            </w:pPr>
            <w:r w:rsidRPr="00F27DB4">
              <w:rPr>
                <w:rFonts w:ascii="Arial Narrow" w:eastAsia="Arial Narrow" w:hAnsi="Arial Narrow" w:cs="Arial Narrow"/>
                <w:b/>
                <w:sz w:val="20"/>
                <w:szCs w:val="20"/>
              </w:rPr>
              <w:t>Planirani početak i završetak aktivnosti</w:t>
            </w:r>
          </w:p>
        </w:tc>
        <w:tc>
          <w:tcPr>
            <w:tcW w:w="1410" w:type="dxa"/>
            <w:shd w:val="clear" w:color="auto" w:fill="FFF2CC"/>
            <w:vAlign w:val="center"/>
          </w:tcPr>
          <w:p w14:paraId="5F0D2DA7" w14:textId="77777777" w:rsidR="00153252" w:rsidRPr="00F27DB4" w:rsidRDefault="00153252" w:rsidP="00F27DB4">
            <w:pPr>
              <w:spacing w:after="0" w:line="276" w:lineRule="auto"/>
              <w:jc w:val="center"/>
              <w:rPr>
                <w:rFonts w:ascii="Arial Narrow" w:eastAsia="Arial Narrow" w:hAnsi="Arial Narrow" w:cs="Arial Narrow"/>
                <w:b/>
                <w:sz w:val="20"/>
                <w:szCs w:val="20"/>
              </w:rPr>
            </w:pPr>
            <w:r w:rsidRPr="00F27DB4">
              <w:rPr>
                <w:rFonts w:ascii="Arial Narrow" w:eastAsia="Arial Narrow" w:hAnsi="Arial Narrow" w:cs="Arial Narrow"/>
                <w:b/>
                <w:sz w:val="20"/>
                <w:szCs w:val="20"/>
              </w:rPr>
              <w:t>Sredstva za realizaciju i informacija o izradi RIA</w:t>
            </w:r>
          </w:p>
        </w:tc>
        <w:tc>
          <w:tcPr>
            <w:tcW w:w="1594" w:type="dxa"/>
            <w:gridSpan w:val="2"/>
            <w:shd w:val="clear" w:color="auto" w:fill="FFF2CC"/>
            <w:vAlign w:val="center"/>
          </w:tcPr>
          <w:p w14:paraId="179D4E91" w14:textId="77777777" w:rsidR="00153252" w:rsidRPr="00F27DB4" w:rsidRDefault="00153252" w:rsidP="00F27DB4">
            <w:pPr>
              <w:spacing w:after="0" w:line="276" w:lineRule="auto"/>
              <w:jc w:val="center"/>
              <w:rPr>
                <w:rFonts w:ascii="Arial Narrow" w:eastAsia="Arial Narrow" w:hAnsi="Arial Narrow" w:cs="Arial Narrow"/>
                <w:b/>
                <w:sz w:val="20"/>
                <w:szCs w:val="20"/>
              </w:rPr>
            </w:pPr>
            <w:r w:rsidRPr="00F27DB4">
              <w:rPr>
                <w:rFonts w:ascii="Arial Narrow" w:eastAsia="Arial Narrow" w:hAnsi="Arial Narrow" w:cs="Arial Narrow"/>
                <w:b/>
                <w:sz w:val="20"/>
                <w:szCs w:val="20"/>
              </w:rPr>
              <w:t>Izvor finansiranja</w:t>
            </w:r>
          </w:p>
        </w:tc>
        <w:tc>
          <w:tcPr>
            <w:tcW w:w="3123" w:type="dxa"/>
            <w:shd w:val="clear" w:color="auto" w:fill="FFF2CC"/>
            <w:vAlign w:val="center"/>
          </w:tcPr>
          <w:p w14:paraId="08DBBD90" w14:textId="77777777" w:rsidR="00153252" w:rsidRPr="00F27DB4" w:rsidRDefault="00153252" w:rsidP="00F27DB4">
            <w:pPr>
              <w:spacing w:after="0" w:line="276" w:lineRule="auto"/>
              <w:jc w:val="center"/>
              <w:rPr>
                <w:rFonts w:ascii="Arial Narrow" w:eastAsia="Arial Narrow" w:hAnsi="Arial Narrow" w:cs="Arial Narrow"/>
                <w:b/>
                <w:sz w:val="20"/>
                <w:szCs w:val="20"/>
              </w:rPr>
            </w:pPr>
            <w:r w:rsidRPr="00F27DB4">
              <w:rPr>
                <w:rFonts w:ascii="Arial Narrow" w:eastAsia="Arial Narrow" w:hAnsi="Arial Narrow" w:cs="Arial Narrow"/>
                <w:b/>
                <w:sz w:val="20"/>
                <w:szCs w:val="20"/>
              </w:rPr>
              <w:t>Obrazloženje</w:t>
            </w:r>
          </w:p>
        </w:tc>
      </w:tr>
      <w:tr w:rsidR="00153252" w:rsidRPr="00153252" w14:paraId="119FF699" w14:textId="77777777" w:rsidTr="00FD6B98">
        <w:trPr>
          <w:cantSplit/>
          <w:tblHeader/>
        </w:trPr>
        <w:tc>
          <w:tcPr>
            <w:tcW w:w="14886" w:type="dxa"/>
            <w:gridSpan w:val="11"/>
            <w:shd w:val="clear" w:color="auto" w:fill="FFF2CC"/>
            <w:vAlign w:val="center"/>
          </w:tcPr>
          <w:p w14:paraId="3E16F41E" w14:textId="77777777" w:rsidR="00153252" w:rsidRPr="00F27DB4" w:rsidRDefault="00153252" w:rsidP="00153252">
            <w:pPr>
              <w:spacing w:before="20" w:after="20" w:line="240" w:lineRule="auto"/>
              <w:jc w:val="center"/>
              <w:rPr>
                <w:rFonts w:ascii="Arial Narrow" w:eastAsia="Arial Narrow" w:hAnsi="Arial Narrow" w:cs="Arial Narrow"/>
                <w:sz w:val="20"/>
                <w:szCs w:val="20"/>
              </w:rPr>
            </w:pPr>
            <w:r w:rsidRPr="00F27DB4">
              <w:rPr>
                <w:rFonts w:ascii="Arial Narrow" w:eastAsia="Arial Narrow" w:hAnsi="Arial Narrow" w:cs="Arial Narrow"/>
                <w:sz w:val="20"/>
                <w:szCs w:val="20"/>
              </w:rPr>
              <w:t>TEMATSKI DIO</w:t>
            </w:r>
          </w:p>
        </w:tc>
      </w:tr>
      <w:tr w:rsidR="00153252" w:rsidRPr="00153252" w14:paraId="67993C18" w14:textId="77777777" w:rsidTr="00F268FE">
        <w:trPr>
          <w:cantSplit/>
          <w:tblHeader/>
        </w:trPr>
        <w:tc>
          <w:tcPr>
            <w:tcW w:w="441" w:type="dxa"/>
            <w:gridSpan w:val="2"/>
            <w:shd w:val="clear" w:color="auto" w:fill="auto"/>
            <w:vAlign w:val="center"/>
          </w:tcPr>
          <w:p w14:paraId="40C3FAF0" w14:textId="77777777" w:rsidR="00153252" w:rsidRPr="00153252" w:rsidRDefault="00153252" w:rsidP="00153252">
            <w:pPr>
              <w:spacing w:after="0" w:line="240" w:lineRule="auto"/>
              <w:jc w:val="center"/>
              <w:rPr>
                <w:rFonts w:ascii="Arial Narrow" w:eastAsia="Arial Narrow" w:hAnsi="Arial Narrow" w:cs="Arial Narrow"/>
                <w:color w:val="000000"/>
                <w:sz w:val="20"/>
                <w:szCs w:val="20"/>
              </w:rPr>
            </w:pPr>
            <w:r w:rsidRPr="00153252">
              <w:rPr>
                <w:rFonts w:ascii="Arial Narrow" w:eastAsia="Arial Narrow" w:hAnsi="Arial Narrow" w:cs="Arial Narrow"/>
                <w:color w:val="000000"/>
                <w:sz w:val="20"/>
                <w:szCs w:val="20"/>
              </w:rPr>
              <w:lastRenderedPageBreak/>
              <w:t>1.</w:t>
            </w:r>
          </w:p>
        </w:tc>
        <w:tc>
          <w:tcPr>
            <w:tcW w:w="2139" w:type="dxa"/>
            <w:shd w:val="clear" w:color="auto" w:fill="auto"/>
          </w:tcPr>
          <w:p w14:paraId="397E9B3C"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Donijeti Akcioni plan za sprovođenje Strategije integrisanog upravljanja granicom, za 2022. godinu, sa Izvještajem o implementaciji Akcionog plana za sprovođenje Strategije integrisanog upravljanja granicom, za 2021. godinu</w:t>
            </w:r>
          </w:p>
          <w:p w14:paraId="491622AA" w14:textId="77777777" w:rsidR="00153252" w:rsidRPr="00153252" w:rsidRDefault="00153252" w:rsidP="00153252">
            <w:pPr>
              <w:spacing w:after="0" w:line="276" w:lineRule="auto"/>
              <w:rPr>
                <w:rFonts w:ascii="Arial Narrow" w:eastAsia="Arial Narrow" w:hAnsi="Arial Narrow" w:cs="Arial Narrow"/>
                <w:sz w:val="20"/>
                <w:szCs w:val="20"/>
              </w:rPr>
            </w:pPr>
          </w:p>
        </w:tc>
        <w:tc>
          <w:tcPr>
            <w:tcW w:w="2068" w:type="dxa"/>
            <w:gridSpan w:val="2"/>
            <w:shd w:val="clear" w:color="auto" w:fill="auto"/>
          </w:tcPr>
          <w:p w14:paraId="713CB3BD"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Donesen Akcioni plan za sprovođenje Strategije integrisanog upravljanja granicom, za 2022. godinu, sa Izvještajem o implementaciji Akcionog plana za sprovođenje Strategije integrisanog upravljanja granicom, za 2021. godinu</w:t>
            </w:r>
          </w:p>
        </w:tc>
        <w:tc>
          <w:tcPr>
            <w:tcW w:w="1789" w:type="dxa"/>
            <w:shd w:val="clear" w:color="auto" w:fill="auto"/>
          </w:tcPr>
          <w:p w14:paraId="40C84DA6" w14:textId="77777777" w:rsidR="00153252" w:rsidRPr="00153252" w:rsidRDefault="00153252" w:rsidP="00153252">
            <w:pPr>
              <w:spacing w:after="0" w:line="276" w:lineRule="auto"/>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NI:MUP</w:t>
            </w:r>
          </w:p>
          <w:p w14:paraId="5F57BA09"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i/>
                <w:sz w:val="20"/>
                <w:szCs w:val="20"/>
              </w:rPr>
              <w:t>NK:KPS</w:t>
            </w:r>
          </w:p>
        </w:tc>
        <w:tc>
          <w:tcPr>
            <w:tcW w:w="2322" w:type="dxa"/>
            <w:shd w:val="clear" w:color="auto" w:fill="auto"/>
          </w:tcPr>
          <w:p w14:paraId="4388D837" w14:textId="77777777" w:rsidR="00153252" w:rsidRPr="00153252" w:rsidRDefault="00153252" w:rsidP="00153252">
            <w:pPr>
              <w:spacing w:after="0" w:line="276" w:lineRule="auto"/>
              <w:rPr>
                <w:rFonts w:ascii="Arial Narrow" w:eastAsia="Arial Narrow" w:hAnsi="Arial Narrow" w:cs="Arial Narrow"/>
                <w:i/>
                <w:sz w:val="20"/>
                <w:szCs w:val="20"/>
              </w:rPr>
            </w:pPr>
            <w:r w:rsidRPr="00153252">
              <w:rPr>
                <w:rFonts w:ascii="Arial Narrow" w:eastAsia="Arial Narrow" w:hAnsi="Arial Narrow" w:cs="Arial Narrow"/>
                <w:i/>
                <w:sz w:val="20"/>
                <w:szCs w:val="20"/>
              </w:rPr>
              <w:t>I  Q 2022</w:t>
            </w:r>
          </w:p>
        </w:tc>
        <w:tc>
          <w:tcPr>
            <w:tcW w:w="1410" w:type="dxa"/>
            <w:shd w:val="clear" w:color="auto" w:fill="auto"/>
          </w:tcPr>
          <w:p w14:paraId="73DB93DD"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Redovni troškovi planirani Budžetom</w:t>
            </w:r>
          </w:p>
        </w:tc>
        <w:tc>
          <w:tcPr>
            <w:tcW w:w="1594" w:type="dxa"/>
            <w:gridSpan w:val="2"/>
            <w:shd w:val="clear" w:color="auto" w:fill="auto"/>
          </w:tcPr>
          <w:p w14:paraId="49C475FA"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Sredstva su predviđena Budžetom za 2022. godinu</w:t>
            </w:r>
          </w:p>
          <w:p w14:paraId="10EED8DB" w14:textId="77777777" w:rsidR="00153252" w:rsidRPr="00153252" w:rsidRDefault="00153252" w:rsidP="00153252">
            <w:pPr>
              <w:spacing w:after="0" w:line="276" w:lineRule="auto"/>
              <w:rPr>
                <w:rFonts w:ascii="Arial Narrow" w:eastAsia="Arial Narrow" w:hAnsi="Arial Narrow" w:cs="Arial Narrow"/>
                <w:sz w:val="20"/>
                <w:szCs w:val="20"/>
              </w:rPr>
            </w:pPr>
          </w:p>
        </w:tc>
        <w:tc>
          <w:tcPr>
            <w:tcW w:w="3123" w:type="dxa"/>
            <w:shd w:val="clear" w:color="auto" w:fill="auto"/>
          </w:tcPr>
          <w:p w14:paraId="360205A7"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Akcionim planom za sprovođenje Strategije integrisanog upravljanja granicom,  za 2022. godinu, definisaće se mjere i aktivnosti, nadležni organi i rokovi za sprovođenje pojedinih aktivnosti, sa osvrtom na mjere koje nijesu realizovane u 2021. godini i u skladu sa preporukama iz godišnjeg Izvještaja Evropske komisije o Crnoj Gori, u oblasti Vanjskih granica i Šengena, u cilju unapređenja sistema integrisanog upravljanja granicom usklađenog sa novim konceptom EU u oblasti upravljanja granicom.</w:t>
            </w:r>
          </w:p>
          <w:p w14:paraId="069FA513" w14:textId="77777777" w:rsidR="00153252" w:rsidRPr="00153252" w:rsidRDefault="00153252" w:rsidP="00153252">
            <w:pPr>
              <w:spacing w:after="0" w:line="276" w:lineRule="auto"/>
              <w:rPr>
                <w:rFonts w:ascii="Arial Narrow" w:eastAsia="Arial Narrow" w:hAnsi="Arial Narrow" w:cs="Arial Narrow"/>
                <w:sz w:val="20"/>
                <w:szCs w:val="20"/>
              </w:rPr>
            </w:pPr>
          </w:p>
          <w:p w14:paraId="358C6F5E"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Izvještajem o implementaciji Akcionog plana za sprovođenje Strategije integrisanog upravljanja granicom, daće se pregled realizovanih aktivnosti i ostvarenih rezultata u 2021. godini, kao i efekti njihove realizacije.</w:t>
            </w:r>
          </w:p>
        </w:tc>
      </w:tr>
      <w:tr w:rsidR="00153252" w:rsidRPr="00153252" w14:paraId="3C086C0B" w14:textId="77777777" w:rsidTr="00F268FE">
        <w:trPr>
          <w:cantSplit/>
          <w:tblHeader/>
        </w:trPr>
        <w:tc>
          <w:tcPr>
            <w:tcW w:w="431" w:type="dxa"/>
            <w:tcBorders>
              <w:bottom w:val="nil"/>
            </w:tcBorders>
            <w:shd w:val="clear" w:color="auto" w:fill="auto"/>
            <w:vAlign w:val="center"/>
          </w:tcPr>
          <w:p w14:paraId="7CA3417A" w14:textId="77777777" w:rsidR="00153252" w:rsidRPr="00153252" w:rsidRDefault="00153252" w:rsidP="00153252">
            <w:pPr>
              <w:spacing w:after="0" w:line="276" w:lineRule="auto"/>
              <w:jc w:val="center"/>
              <w:rPr>
                <w:rFonts w:ascii="Calibri" w:eastAsia="Calibri" w:hAnsi="Calibri" w:cs="Calibri"/>
                <w:sz w:val="20"/>
                <w:szCs w:val="20"/>
              </w:rPr>
            </w:pPr>
            <w:r w:rsidRPr="00153252">
              <w:rPr>
                <w:rFonts w:ascii="Calibri" w:eastAsia="Calibri" w:hAnsi="Calibri" w:cs="Calibri"/>
                <w:sz w:val="20"/>
                <w:szCs w:val="20"/>
              </w:rPr>
              <w:lastRenderedPageBreak/>
              <w:t>2.</w:t>
            </w:r>
          </w:p>
        </w:tc>
        <w:tc>
          <w:tcPr>
            <w:tcW w:w="2149" w:type="dxa"/>
            <w:gridSpan w:val="2"/>
            <w:tcBorders>
              <w:bottom w:val="nil"/>
            </w:tcBorders>
            <w:shd w:val="clear" w:color="auto" w:fill="auto"/>
          </w:tcPr>
          <w:p w14:paraId="1E13E094"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Donijeti Akcioni plan za sprovođenje Šengenskog akcionog plana, za 2022. godinu, sa Izvještajem o implementaciji Akcionog plana za sprovođenje Šengenskog akcionog plana, za 2021. godinu</w:t>
            </w:r>
          </w:p>
        </w:tc>
        <w:tc>
          <w:tcPr>
            <w:tcW w:w="2068" w:type="dxa"/>
            <w:gridSpan w:val="2"/>
            <w:tcBorders>
              <w:bottom w:val="nil"/>
            </w:tcBorders>
            <w:shd w:val="clear" w:color="auto" w:fill="auto"/>
          </w:tcPr>
          <w:p w14:paraId="7B9B5FF5"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 xml:space="preserve">Donesen Akcioni plan za sprovođenje Šengenskog akcionog plana za 2022. godinu, sa Izvještajem o implementaciji Akcionog plana za sprovođenje Šengenskog akcionog plana, za 2021. godinu </w:t>
            </w:r>
          </w:p>
        </w:tc>
        <w:tc>
          <w:tcPr>
            <w:tcW w:w="1789" w:type="dxa"/>
            <w:tcBorders>
              <w:bottom w:val="nil"/>
            </w:tcBorders>
            <w:shd w:val="clear" w:color="auto" w:fill="auto"/>
          </w:tcPr>
          <w:p w14:paraId="12BD442D" w14:textId="77777777" w:rsidR="00153252" w:rsidRPr="00153252" w:rsidRDefault="00153252" w:rsidP="00153252">
            <w:pPr>
              <w:spacing w:after="0" w:line="276" w:lineRule="auto"/>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NI:MUP</w:t>
            </w:r>
          </w:p>
          <w:p w14:paraId="01ED23BB"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i/>
                <w:sz w:val="20"/>
                <w:szCs w:val="20"/>
              </w:rPr>
              <w:t>NK:KPS</w:t>
            </w:r>
          </w:p>
        </w:tc>
        <w:tc>
          <w:tcPr>
            <w:tcW w:w="2322" w:type="dxa"/>
            <w:tcBorders>
              <w:bottom w:val="nil"/>
            </w:tcBorders>
            <w:shd w:val="clear" w:color="auto" w:fill="auto"/>
          </w:tcPr>
          <w:p w14:paraId="018064F3" w14:textId="77777777" w:rsidR="00153252" w:rsidRPr="00153252" w:rsidRDefault="00153252" w:rsidP="00153252">
            <w:pPr>
              <w:spacing w:before="20" w:after="20" w:line="240" w:lineRule="auto"/>
              <w:rPr>
                <w:rFonts w:ascii="Arial Narrow" w:eastAsia="Arial Narrow" w:hAnsi="Arial Narrow" w:cs="Arial Narrow"/>
                <w:i/>
                <w:sz w:val="20"/>
                <w:szCs w:val="20"/>
              </w:rPr>
            </w:pPr>
            <w:r w:rsidRPr="00153252">
              <w:rPr>
                <w:rFonts w:ascii="Arial Narrow" w:eastAsia="Arial Narrow" w:hAnsi="Arial Narrow" w:cs="Arial Narrow"/>
                <w:i/>
                <w:sz w:val="20"/>
                <w:szCs w:val="20"/>
              </w:rPr>
              <w:t xml:space="preserve"> I Q 2022.godina</w:t>
            </w:r>
          </w:p>
        </w:tc>
        <w:tc>
          <w:tcPr>
            <w:tcW w:w="1410" w:type="dxa"/>
            <w:tcBorders>
              <w:bottom w:val="nil"/>
            </w:tcBorders>
            <w:shd w:val="clear" w:color="auto" w:fill="auto"/>
          </w:tcPr>
          <w:p w14:paraId="35AD719B" w14:textId="77777777" w:rsidR="00153252" w:rsidRPr="00153252" w:rsidRDefault="00153252" w:rsidP="00153252">
            <w:pPr>
              <w:spacing w:after="0" w:line="276" w:lineRule="auto"/>
              <w:rPr>
                <w:rFonts w:ascii="Arial Narrow" w:eastAsia="Arial Narrow" w:hAnsi="Arial Narrow" w:cs="Arial Narrow"/>
                <w:b/>
                <w:sz w:val="20"/>
                <w:szCs w:val="20"/>
              </w:rPr>
            </w:pPr>
            <w:r w:rsidRPr="00153252">
              <w:rPr>
                <w:rFonts w:ascii="Arial Narrow" w:eastAsia="Arial Narrow" w:hAnsi="Arial Narrow" w:cs="Arial Narrow"/>
                <w:sz w:val="20"/>
                <w:szCs w:val="20"/>
              </w:rPr>
              <w:t>Redovni troškovi planirani Budžetom</w:t>
            </w:r>
          </w:p>
        </w:tc>
        <w:tc>
          <w:tcPr>
            <w:tcW w:w="1594" w:type="dxa"/>
            <w:gridSpan w:val="2"/>
            <w:tcBorders>
              <w:bottom w:val="nil"/>
            </w:tcBorders>
            <w:shd w:val="clear" w:color="auto" w:fill="auto"/>
          </w:tcPr>
          <w:p w14:paraId="59EC220A"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Sredstva su predviđena Budžetom za 2022. godinu</w:t>
            </w:r>
          </w:p>
          <w:p w14:paraId="52E2C574" w14:textId="77777777" w:rsidR="00153252" w:rsidRPr="00153252" w:rsidRDefault="00153252" w:rsidP="00153252">
            <w:pPr>
              <w:spacing w:after="0" w:line="276" w:lineRule="auto"/>
              <w:rPr>
                <w:rFonts w:ascii="Arial Narrow" w:eastAsia="Arial Narrow" w:hAnsi="Arial Narrow" w:cs="Arial Narrow"/>
                <w:b/>
                <w:sz w:val="20"/>
                <w:szCs w:val="20"/>
              </w:rPr>
            </w:pPr>
          </w:p>
        </w:tc>
        <w:tc>
          <w:tcPr>
            <w:tcW w:w="3123" w:type="dxa"/>
            <w:tcBorders>
              <w:bottom w:val="nil"/>
            </w:tcBorders>
            <w:shd w:val="clear" w:color="auto" w:fill="auto"/>
            <w:vAlign w:val="center"/>
          </w:tcPr>
          <w:p w14:paraId="60BDDB97"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Akcionim planom za sprovođenje Šengenskog akcionog plana, definisaće se aktivnosti, nadležne institucije za sprovođenje, rokovi za realizaciju, indikatori uspjeha, potrebna budžetska sredstva, izvori finansiranja i druga pitanja od značaja za dalje usklađivanje sa Šengenskom pravnom tekovinom, uključujući nadzor granice, graničnu kontrolu, opremu, informaciono -komunikacione sisteme, integrisano upravljanje granicom, za 2022. godinu.</w:t>
            </w:r>
          </w:p>
          <w:p w14:paraId="6E9E11A2" w14:textId="77777777" w:rsidR="00153252" w:rsidRPr="00153252" w:rsidRDefault="00153252" w:rsidP="00153252">
            <w:pPr>
              <w:spacing w:after="0" w:line="276" w:lineRule="auto"/>
              <w:rPr>
                <w:rFonts w:ascii="Arial Narrow" w:eastAsia="Arial Narrow" w:hAnsi="Arial Narrow" w:cs="Arial Narrow"/>
                <w:sz w:val="20"/>
                <w:szCs w:val="20"/>
              </w:rPr>
            </w:pPr>
          </w:p>
          <w:p w14:paraId="411775A1"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Izvještajem o implementaciji Akcionog plana za sprovođenje Šengenskog akcionog plana, daće se pregled realizovanih aktivnosti i ostvarenih rezultata  u 2021. godini, kao i efekti njihove realizacije.</w:t>
            </w:r>
          </w:p>
        </w:tc>
      </w:tr>
      <w:tr w:rsidR="00153252" w:rsidRPr="00153252" w14:paraId="031A0423" w14:textId="77777777" w:rsidTr="00FD6B98">
        <w:trPr>
          <w:cantSplit/>
          <w:tblHeader/>
        </w:trPr>
        <w:tc>
          <w:tcPr>
            <w:tcW w:w="14886" w:type="dxa"/>
            <w:gridSpan w:val="11"/>
            <w:shd w:val="clear" w:color="auto" w:fill="FFF2CC"/>
            <w:vAlign w:val="center"/>
          </w:tcPr>
          <w:p w14:paraId="2A25B192" w14:textId="77777777" w:rsidR="00153252" w:rsidRPr="00153252" w:rsidRDefault="00153252" w:rsidP="00153252">
            <w:pPr>
              <w:spacing w:before="20" w:after="20" w:line="240" w:lineRule="auto"/>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NORMATIVNI DIO</w:t>
            </w:r>
          </w:p>
        </w:tc>
      </w:tr>
      <w:tr w:rsidR="00153252" w:rsidRPr="00153252" w14:paraId="28936B34" w14:textId="77777777" w:rsidTr="00F268FE">
        <w:trPr>
          <w:cantSplit/>
          <w:tblHeader/>
        </w:trPr>
        <w:tc>
          <w:tcPr>
            <w:tcW w:w="431" w:type="dxa"/>
            <w:shd w:val="clear" w:color="auto" w:fill="auto"/>
            <w:vAlign w:val="center"/>
          </w:tcPr>
          <w:p w14:paraId="181D5AE1" w14:textId="77777777" w:rsidR="00153252" w:rsidRPr="00153252" w:rsidRDefault="00153252" w:rsidP="00153252">
            <w:pPr>
              <w:spacing w:after="0" w:line="276" w:lineRule="auto"/>
              <w:jc w:val="center"/>
              <w:rPr>
                <w:rFonts w:ascii="Times New Roman" w:eastAsia="Times New Roman" w:hAnsi="Times New Roman" w:cs="Times New Roman"/>
              </w:rPr>
            </w:pPr>
            <w:r w:rsidRPr="00591FB8">
              <w:rPr>
                <w:rFonts w:ascii="Arial Narrow" w:eastAsia="Times New Roman" w:hAnsi="Arial Narrow" w:cs="Times New Roman"/>
                <w:sz w:val="20"/>
                <w:szCs w:val="20"/>
              </w:rPr>
              <w:lastRenderedPageBreak/>
              <w:t>3</w:t>
            </w:r>
            <w:r w:rsidRPr="00153252">
              <w:rPr>
                <w:rFonts w:ascii="Times New Roman" w:eastAsia="Times New Roman" w:hAnsi="Times New Roman" w:cs="Times New Roman"/>
              </w:rPr>
              <w:t>.</w:t>
            </w:r>
          </w:p>
        </w:tc>
        <w:tc>
          <w:tcPr>
            <w:tcW w:w="2149" w:type="dxa"/>
            <w:gridSpan w:val="2"/>
            <w:shd w:val="clear" w:color="auto" w:fill="auto"/>
          </w:tcPr>
          <w:p w14:paraId="39342B01" w14:textId="77777777" w:rsidR="00153252" w:rsidRPr="00591FB8" w:rsidRDefault="00153252" w:rsidP="00153252">
            <w:pPr>
              <w:spacing w:after="0" w:line="276" w:lineRule="auto"/>
              <w:rPr>
                <w:rFonts w:ascii="Arial Narrow" w:eastAsia="Arial Narrow" w:hAnsi="Arial Narrow" w:cs="Arial Narrow"/>
                <w:sz w:val="20"/>
                <w:szCs w:val="20"/>
              </w:rPr>
            </w:pPr>
            <w:r w:rsidRPr="00591FB8">
              <w:rPr>
                <w:rFonts w:ascii="Arial Narrow" w:eastAsia="Arial Narrow" w:hAnsi="Arial Narrow" w:cs="Arial Narrow"/>
                <w:sz w:val="20"/>
                <w:szCs w:val="20"/>
              </w:rPr>
              <w:t xml:space="preserve">Donošenje Zakona o izmjenama i dopunama Zakona o strancima  </w:t>
            </w:r>
          </w:p>
        </w:tc>
        <w:tc>
          <w:tcPr>
            <w:tcW w:w="2061" w:type="dxa"/>
            <w:shd w:val="clear" w:color="auto" w:fill="auto"/>
          </w:tcPr>
          <w:p w14:paraId="216297DD" w14:textId="77777777" w:rsidR="00153252" w:rsidRPr="00591FB8" w:rsidRDefault="00153252" w:rsidP="00153252">
            <w:pPr>
              <w:spacing w:after="0" w:line="240" w:lineRule="auto"/>
              <w:rPr>
                <w:rFonts w:ascii="Arial Narrow" w:eastAsia="Arial Narrow" w:hAnsi="Arial Narrow" w:cs="Arial Narrow"/>
                <w:sz w:val="20"/>
                <w:szCs w:val="20"/>
              </w:rPr>
            </w:pPr>
            <w:r w:rsidRPr="00591FB8">
              <w:rPr>
                <w:rFonts w:ascii="Arial Narrow" w:eastAsia="Arial Narrow" w:hAnsi="Arial Narrow" w:cs="Arial Narrow"/>
                <w:sz w:val="20"/>
                <w:szCs w:val="20"/>
              </w:rPr>
              <w:t xml:space="preserve">Donešen Zakona o izmjenama i dopunama Zakona o strancima  </w:t>
            </w:r>
          </w:p>
        </w:tc>
        <w:tc>
          <w:tcPr>
            <w:tcW w:w="1796" w:type="dxa"/>
            <w:gridSpan w:val="2"/>
            <w:shd w:val="clear" w:color="auto" w:fill="auto"/>
          </w:tcPr>
          <w:p w14:paraId="5E68AC3C" w14:textId="77777777" w:rsidR="00153252" w:rsidRPr="00591FB8" w:rsidRDefault="00153252" w:rsidP="00153252">
            <w:pPr>
              <w:spacing w:after="0" w:line="276" w:lineRule="auto"/>
              <w:jc w:val="center"/>
              <w:rPr>
                <w:rFonts w:ascii="Arial Narrow" w:eastAsia="Arial Narrow" w:hAnsi="Arial Narrow" w:cs="Arial Narrow"/>
                <w:i/>
                <w:sz w:val="20"/>
                <w:szCs w:val="20"/>
              </w:rPr>
            </w:pPr>
            <w:r w:rsidRPr="00591FB8">
              <w:rPr>
                <w:rFonts w:ascii="Arial Narrow" w:eastAsia="Arial Narrow" w:hAnsi="Arial Narrow" w:cs="Arial Narrow"/>
                <w:i/>
                <w:sz w:val="20"/>
                <w:szCs w:val="20"/>
              </w:rPr>
              <w:t>NI:MUP</w:t>
            </w:r>
          </w:p>
          <w:p w14:paraId="70A4676A" w14:textId="77777777" w:rsidR="00153252" w:rsidRPr="00591FB8" w:rsidRDefault="00153252" w:rsidP="00153252">
            <w:pPr>
              <w:spacing w:after="0" w:line="276" w:lineRule="auto"/>
              <w:jc w:val="center"/>
              <w:rPr>
                <w:rFonts w:ascii="Arial Narrow" w:eastAsia="Arial Narrow" w:hAnsi="Arial Narrow" w:cs="Arial Narrow"/>
                <w:i/>
                <w:sz w:val="20"/>
                <w:szCs w:val="20"/>
              </w:rPr>
            </w:pPr>
            <w:r w:rsidRPr="00591FB8">
              <w:rPr>
                <w:rFonts w:ascii="Arial Narrow" w:eastAsia="Arial Narrow" w:hAnsi="Arial Narrow" w:cs="Arial Narrow"/>
                <w:i/>
                <w:sz w:val="20"/>
                <w:szCs w:val="20"/>
              </w:rPr>
              <w:t>NK:KPS</w:t>
            </w:r>
          </w:p>
        </w:tc>
        <w:tc>
          <w:tcPr>
            <w:tcW w:w="2322" w:type="dxa"/>
            <w:shd w:val="clear" w:color="auto" w:fill="auto"/>
          </w:tcPr>
          <w:p w14:paraId="6E2043BE" w14:textId="77777777" w:rsidR="00153252" w:rsidRPr="00591FB8" w:rsidRDefault="00153252" w:rsidP="00153252">
            <w:pPr>
              <w:spacing w:before="20" w:after="20" w:line="240" w:lineRule="auto"/>
              <w:rPr>
                <w:rFonts w:ascii="Arial Narrow" w:eastAsia="Arial Narrow" w:hAnsi="Arial Narrow" w:cs="Arial Narrow"/>
                <w:i/>
                <w:sz w:val="20"/>
                <w:szCs w:val="20"/>
              </w:rPr>
            </w:pPr>
            <w:r w:rsidRPr="00591FB8">
              <w:rPr>
                <w:rFonts w:ascii="Arial Narrow" w:eastAsia="Arial Narrow" w:hAnsi="Arial Narrow" w:cs="Arial Narrow"/>
                <w:i/>
                <w:sz w:val="20"/>
                <w:szCs w:val="20"/>
              </w:rPr>
              <w:t xml:space="preserve"> I-IV Q 2022.</w:t>
            </w:r>
          </w:p>
        </w:tc>
        <w:tc>
          <w:tcPr>
            <w:tcW w:w="1410" w:type="dxa"/>
            <w:shd w:val="clear" w:color="auto" w:fill="auto"/>
          </w:tcPr>
          <w:p w14:paraId="66D3C223" w14:textId="77777777" w:rsidR="00153252" w:rsidRPr="00591FB8" w:rsidRDefault="00153252" w:rsidP="00153252">
            <w:pPr>
              <w:spacing w:after="0" w:line="240" w:lineRule="auto"/>
              <w:rPr>
                <w:rFonts w:ascii="Arial Narrow" w:eastAsia="Arial Narrow" w:hAnsi="Arial Narrow" w:cs="Arial Narrow"/>
                <w:sz w:val="20"/>
                <w:szCs w:val="20"/>
              </w:rPr>
            </w:pPr>
            <w:r w:rsidRPr="00591FB8">
              <w:rPr>
                <w:rFonts w:ascii="Arial Narrow" w:eastAsia="Arial Narrow" w:hAnsi="Arial Narrow" w:cs="Arial Narrow"/>
                <w:sz w:val="20"/>
                <w:szCs w:val="20"/>
              </w:rPr>
              <w:t>Redovni troškovi planirani budžetom</w:t>
            </w:r>
          </w:p>
          <w:p w14:paraId="64CBAB21" w14:textId="77777777" w:rsidR="00153252" w:rsidRPr="00591FB8" w:rsidRDefault="00153252" w:rsidP="00153252">
            <w:pPr>
              <w:spacing w:after="0" w:line="276" w:lineRule="auto"/>
              <w:rPr>
                <w:rFonts w:ascii="Arial Narrow" w:eastAsia="Arial Narrow" w:hAnsi="Arial Narrow" w:cs="Arial Narrow"/>
                <w:sz w:val="20"/>
                <w:szCs w:val="20"/>
              </w:rPr>
            </w:pPr>
          </w:p>
          <w:p w14:paraId="7470F8D6" w14:textId="77777777" w:rsidR="00153252" w:rsidRPr="00591FB8" w:rsidRDefault="00153252" w:rsidP="00153252">
            <w:pPr>
              <w:spacing w:after="0" w:line="276" w:lineRule="auto"/>
              <w:rPr>
                <w:rFonts w:ascii="Arial Narrow" w:eastAsia="Arial Narrow" w:hAnsi="Arial Narrow" w:cs="Arial Narrow"/>
                <w:sz w:val="20"/>
                <w:szCs w:val="20"/>
              </w:rPr>
            </w:pPr>
            <w:r w:rsidRPr="00591FB8">
              <w:rPr>
                <w:rFonts w:ascii="Arial Narrow" w:eastAsia="Arial Narrow" w:hAnsi="Arial Narrow" w:cs="Arial Narrow"/>
                <w:sz w:val="20"/>
                <w:szCs w:val="20"/>
              </w:rPr>
              <w:t>Za utvrđivanje procjene uticaja prpisa će biti urađena RIA</w:t>
            </w:r>
          </w:p>
          <w:p w14:paraId="2D072081" w14:textId="77777777" w:rsidR="00153252" w:rsidRPr="00591FB8" w:rsidRDefault="00153252" w:rsidP="00153252">
            <w:pPr>
              <w:spacing w:after="0" w:line="276" w:lineRule="auto"/>
              <w:rPr>
                <w:rFonts w:ascii="Arial Narrow" w:eastAsia="Arial Narrow" w:hAnsi="Arial Narrow" w:cs="Arial Narrow"/>
                <w:b/>
                <w:sz w:val="20"/>
                <w:szCs w:val="20"/>
              </w:rPr>
            </w:pPr>
          </w:p>
        </w:tc>
        <w:tc>
          <w:tcPr>
            <w:tcW w:w="1594" w:type="dxa"/>
            <w:gridSpan w:val="2"/>
            <w:shd w:val="clear" w:color="auto" w:fill="auto"/>
          </w:tcPr>
          <w:p w14:paraId="0576CAF6" w14:textId="77777777" w:rsidR="00153252" w:rsidRPr="00591FB8" w:rsidRDefault="00153252" w:rsidP="00153252">
            <w:pPr>
              <w:spacing w:after="0" w:line="276" w:lineRule="auto"/>
              <w:rPr>
                <w:rFonts w:ascii="Arial Narrow" w:eastAsia="Arial Narrow" w:hAnsi="Arial Narrow" w:cs="Arial Narrow"/>
                <w:b/>
                <w:sz w:val="20"/>
                <w:szCs w:val="20"/>
              </w:rPr>
            </w:pPr>
            <w:r w:rsidRPr="00591FB8">
              <w:rPr>
                <w:rFonts w:ascii="Arial Narrow" w:eastAsia="Arial Narrow" w:hAnsi="Arial Narrow" w:cs="Arial Narrow"/>
                <w:sz w:val="20"/>
                <w:szCs w:val="20"/>
              </w:rPr>
              <w:t>Budžet</w:t>
            </w:r>
          </w:p>
        </w:tc>
        <w:tc>
          <w:tcPr>
            <w:tcW w:w="3123" w:type="dxa"/>
            <w:shd w:val="clear" w:color="auto" w:fill="auto"/>
            <w:vAlign w:val="center"/>
          </w:tcPr>
          <w:p w14:paraId="3954E788" w14:textId="77777777" w:rsidR="00153252" w:rsidRPr="00591FB8" w:rsidRDefault="00153252" w:rsidP="00153252">
            <w:pPr>
              <w:shd w:val="clear" w:color="auto" w:fill="FFFFFF"/>
              <w:spacing w:after="120" w:line="240" w:lineRule="auto"/>
              <w:rPr>
                <w:rFonts w:ascii="Arial Narrow" w:eastAsia="Arial Narrow" w:hAnsi="Arial Narrow" w:cs="Arial Narrow"/>
                <w:sz w:val="20"/>
                <w:szCs w:val="20"/>
              </w:rPr>
            </w:pPr>
            <w:r w:rsidRPr="00591FB8">
              <w:rPr>
                <w:rFonts w:ascii="Arial Narrow" w:eastAsia="Arial Narrow" w:hAnsi="Arial Narrow" w:cs="Arial Narrow"/>
                <w:sz w:val="20"/>
                <w:szCs w:val="20"/>
              </w:rPr>
              <w:t xml:space="preserve"> -Prenijete Direktive 96/71/EZ Evropskog parlamenta i Vijeća od 16. decembra 1996. godine o upućivanju radnika u okviru pružanja usluga, Direktive 2018/957 Evropskog parlamenta i Vijeća od 28. juna 2018. godine o izmjeni Direktive 96/71/EZ o upućivanju radnika u okviru pružanja usluga, kao i Direktive 2014/67 Evropskog parlametna i Savjeta od 15. maja 2014. o sprovođenju Direktive 96/71/EZ o upućivanju radnika u okviru pružanja usluga, u ovaj Zakon, što je jedna od obaveza iz Pregovaračkog poglavlja 2 - Sloboda kretanja radnika.</w:t>
            </w:r>
          </w:p>
          <w:p w14:paraId="09430DAC" w14:textId="77777777" w:rsidR="00153252" w:rsidRPr="00591FB8" w:rsidRDefault="00153252" w:rsidP="00153252">
            <w:pPr>
              <w:shd w:val="clear" w:color="auto" w:fill="FFFFFF"/>
              <w:spacing w:before="120" w:after="120" w:line="240" w:lineRule="auto"/>
              <w:rPr>
                <w:rFonts w:ascii="Arial Narrow" w:eastAsia="Arial Narrow" w:hAnsi="Arial Narrow" w:cs="Arial Narrow"/>
                <w:sz w:val="20"/>
                <w:szCs w:val="20"/>
              </w:rPr>
            </w:pPr>
            <w:r w:rsidRPr="00591FB8">
              <w:rPr>
                <w:rFonts w:ascii="Arial Narrow" w:eastAsia="Arial Narrow" w:hAnsi="Arial Narrow" w:cs="Arial Narrow"/>
                <w:sz w:val="20"/>
                <w:szCs w:val="20"/>
              </w:rPr>
              <w:t>- Upućenim radnicima je osigurana zaštita tokom njihovog upućivanja u odnosu na slobodu pružanja usluga, utvrđivanjem obaveznih odredaba u vezi sa uslovima rada, kao i zaštitom njihovog zdravlja i sigurnosti.</w:t>
            </w:r>
          </w:p>
          <w:p w14:paraId="6C703AFA" w14:textId="77777777" w:rsidR="00153252" w:rsidRPr="00591FB8" w:rsidRDefault="00153252" w:rsidP="00153252">
            <w:pPr>
              <w:spacing w:after="0" w:line="276" w:lineRule="auto"/>
              <w:rPr>
                <w:rFonts w:ascii="Arial Narrow" w:eastAsia="Arial Narrow" w:hAnsi="Arial Narrow" w:cs="Arial Narrow"/>
                <w:sz w:val="20"/>
                <w:szCs w:val="20"/>
              </w:rPr>
            </w:pPr>
            <w:r w:rsidRPr="00591FB8">
              <w:rPr>
                <w:rFonts w:ascii="Arial Narrow" w:eastAsia="Arial Narrow" w:hAnsi="Arial Narrow" w:cs="Arial Narrow"/>
                <w:sz w:val="20"/>
                <w:szCs w:val="20"/>
              </w:rPr>
              <w:t>-Otklonjeni nedostaci u primjeni dosadašnjeg Zakona o strancima</w:t>
            </w:r>
          </w:p>
        </w:tc>
      </w:tr>
      <w:tr w:rsidR="00153252" w:rsidRPr="00153252" w14:paraId="69AF51E8" w14:textId="77777777" w:rsidTr="00F268FE">
        <w:trPr>
          <w:cantSplit/>
          <w:tblHeader/>
        </w:trPr>
        <w:tc>
          <w:tcPr>
            <w:tcW w:w="2580" w:type="dxa"/>
            <w:gridSpan w:val="3"/>
            <w:shd w:val="clear" w:color="auto" w:fill="DBDBDB"/>
            <w:vAlign w:val="center"/>
          </w:tcPr>
          <w:p w14:paraId="3A847066" w14:textId="77777777" w:rsidR="00153252" w:rsidRPr="00D003CC" w:rsidRDefault="00153252" w:rsidP="00153252">
            <w:pPr>
              <w:spacing w:after="0" w:line="276" w:lineRule="auto"/>
              <w:jc w:val="center"/>
              <w:rPr>
                <w:rFonts w:ascii="Arial Narrow" w:eastAsia="Arial Narrow" w:hAnsi="Arial Narrow" w:cs="Arial Narrow"/>
                <w:b/>
                <w:sz w:val="20"/>
                <w:szCs w:val="20"/>
              </w:rPr>
            </w:pPr>
            <w:bookmarkStart w:id="9" w:name="_Hlk89628846"/>
            <w:r w:rsidRPr="00D003CC">
              <w:rPr>
                <w:rFonts w:ascii="Arial Narrow" w:eastAsia="Arial Narrow" w:hAnsi="Arial Narrow" w:cs="Arial Narrow"/>
                <w:b/>
                <w:sz w:val="20"/>
                <w:szCs w:val="20"/>
              </w:rPr>
              <w:t xml:space="preserve">Cilj </w:t>
            </w:r>
            <w:r w:rsidR="00B80AA5" w:rsidRPr="00D003CC">
              <w:rPr>
                <w:rFonts w:ascii="Arial Narrow" w:eastAsia="Arial Narrow" w:hAnsi="Arial Narrow" w:cs="Arial Narrow"/>
                <w:b/>
                <w:sz w:val="20"/>
                <w:szCs w:val="20"/>
              </w:rPr>
              <w:t>1.8.</w:t>
            </w:r>
          </w:p>
        </w:tc>
        <w:tc>
          <w:tcPr>
            <w:tcW w:w="12306" w:type="dxa"/>
            <w:gridSpan w:val="8"/>
            <w:shd w:val="clear" w:color="auto" w:fill="DBDBDB"/>
            <w:vAlign w:val="center"/>
          </w:tcPr>
          <w:p w14:paraId="05D8CFFA" w14:textId="77777777" w:rsidR="00153252" w:rsidRPr="00D003CC" w:rsidRDefault="00153252" w:rsidP="00153252">
            <w:pPr>
              <w:spacing w:after="0" w:line="276" w:lineRule="auto"/>
              <w:rPr>
                <w:rFonts w:ascii="Arial Narrow" w:eastAsia="Arial Narrow" w:hAnsi="Arial Narrow" w:cs="Arial Narrow"/>
                <w:b/>
                <w:sz w:val="20"/>
                <w:szCs w:val="20"/>
              </w:rPr>
            </w:pPr>
            <w:r w:rsidRPr="00D003CC">
              <w:rPr>
                <w:rFonts w:ascii="Arial Narrow" w:eastAsia="Arial Narrow" w:hAnsi="Arial Narrow" w:cs="Arial Narrow"/>
                <w:b/>
                <w:sz w:val="20"/>
                <w:szCs w:val="20"/>
              </w:rPr>
              <w:t xml:space="preserve">Unapređenje administritivnih evidencija </w:t>
            </w:r>
          </w:p>
        </w:tc>
      </w:tr>
      <w:tr w:rsidR="00153252" w:rsidRPr="00153252" w14:paraId="6DEACD56" w14:textId="77777777" w:rsidTr="00F268FE">
        <w:trPr>
          <w:cantSplit/>
          <w:tblHeader/>
        </w:trPr>
        <w:tc>
          <w:tcPr>
            <w:tcW w:w="2580" w:type="dxa"/>
            <w:gridSpan w:val="3"/>
            <w:shd w:val="clear" w:color="auto" w:fill="BDD7EE"/>
            <w:vAlign w:val="center"/>
          </w:tcPr>
          <w:p w14:paraId="05E611F1" w14:textId="77777777" w:rsidR="00153252" w:rsidRPr="00153252" w:rsidRDefault="00153252" w:rsidP="00153252">
            <w:pPr>
              <w:spacing w:before="40" w:after="40" w:line="240" w:lineRule="auto"/>
              <w:jc w:val="both"/>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2061" w:type="dxa"/>
            <w:shd w:val="clear" w:color="auto" w:fill="BDD7EE"/>
            <w:vAlign w:val="center"/>
          </w:tcPr>
          <w:p w14:paraId="664B0A2A" w14:textId="77777777" w:rsidR="00153252" w:rsidRPr="00153252" w:rsidRDefault="00153252" w:rsidP="00153252">
            <w:pPr>
              <w:spacing w:before="40" w:after="40" w:line="240" w:lineRule="auto"/>
              <w:jc w:val="both"/>
              <w:rPr>
                <w:rFonts w:ascii="Arial Narrow" w:eastAsia="Arial Narrow" w:hAnsi="Arial Narrow" w:cs="Arial Narrow"/>
                <w:b/>
                <w:sz w:val="20"/>
                <w:szCs w:val="20"/>
              </w:rPr>
            </w:pPr>
            <w:r w:rsidRPr="00153252">
              <w:rPr>
                <w:rFonts w:ascii="Arial Narrow" w:eastAsia="Arial Narrow" w:hAnsi="Arial Narrow" w:cs="Arial Narrow"/>
                <w:b/>
                <w:sz w:val="20"/>
                <w:szCs w:val="20"/>
              </w:rPr>
              <w:t xml:space="preserve">Polazna vrijednost – 2021. </w:t>
            </w:r>
          </w:p>
        </w:tc>
        <w:tc>
          <w:tcPr>
            <w:tcW w:w="1796" w:type="dxa"/>
            <w:gridSpan w:val="2"/>
            <w:shd w:val="clear" w:color="auto" w:fill="BDD7EE"/>
            <w:vAlign w:val="center"/>
          </w:tcPr>
          <w:p w14:paraId="67D1CF43" w14:textId="77777777" w:rsidR="00153252" w:rsidRPr="00153252" w:rsidRDefault="00153252" w:rsidP="00153252">
            <w:pPr>
              <w:spacing w:before="40" w:after="40" w:line="240" w:lineRule="auto"/>
              <w:jc w:val="both"/>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2022.</w:t>
            </w:r>
          </w:p>
        </w:tc>
        <w:tc>
          <w:tcPr>
            <w:tcW w:w="2322" w:type="dxa"/>
            <w:shd w:val="clear" w:color="auto" w:fill="BDD7EE"/>
            <w:vAlign w:val="center"/>
          </w:tcPr>
          <w:p w14:paraId="77092DA8" w14:textId="77777777" w:rsidR="00153252" w:rsidRPr="00153252" w:rsidRDefault="00153252" w:rsidP="00153252">
            <w:pPr>
              <w:spacing w:before="40" w:after="40" w:line="240" w:lineRule="auto"/>
              <w:jc w:val="both"/>
              <w:rPr>
                <w:rFonts w:ascii="Arial Narrow" w:eastAsia="Arial Narrow" w:hAnsi="Arial Narrow" w:cs="Arial Narrow"/>
                <w:b/>
                <w:sz w:val="20"/>
                <w:szCs w:val="20"/>
              </w:rPr>
            </w:pPr>
            <w:r w:rsidRPr="00153252">
              <w:rPr>
                <w:rFonts w:ascii="Arial Narrow" w:eastAsia="Arial Narrow" w:hAnsi="Arial Narrow" w:cs="Arial Narrow"/>
                <w:b/>
                <w:sz w:val="20"/>
                <w:szCs w:val="20"/>
              </w:rPr>
              <w:t xml:space="preserve">Prelazna vrijednost – 2023. </w:t>
            </w:r>
          </w:p>
        </w:tc>
        <w:tc>
          <w:tcPr>
            <w:tcW w:w="6127" w:type="dxa"/>
            <w:gridSpan w:val="4"/>
            <w:shd w:val="clear" w:color="auto" w:fill="BDD7EE"/>
            <w:vAlign w:val="center"/>
          </w:tcPr>
          <w:p w14:paraId="36296A96"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b/>
                <w:sz w:val="20"/>
                <w:szCs w:val="20"/>
              </w:rPr>
              <w:t>Ciljna vrijednost - 2024.</w:t>
            </w:r>
          </w:p>
        </w:tc>
      </w:tr>
      <w:tr w:rsidR="00153252" w:rsidRPr="00153252" w14:paraId="2797A2C0" w14:textId="77777777" w:rsidTr="00F268FE">
        <w:trPr>
          <w:cantSplit/>
          <w:tblHeader/>
        </w:trPr>
        <w:tc>
          <w:tcPr>
            <w:tcW w:w="2580" w:type="dxa"/>
            <w:gridSpan w:val="3"/>
            <w:shd w:val="clear" w:color="auto" w:fill="BDD7EE"/>
          </w:tcPr>
          <w:p w14:paraId="63D45C11" w14:textId="77777777" w:rsidR="00153252" w:rsidRPr="00A80EEE" w:rsidRDefault="00153252" w:rsidP="00153252">
            <w:pPr>
              <w:spacing w:after="0" w:line="276" w:lineRule="auto"/>
              <w:jc w:val="both"/>
              <w:rPr>
                <w:rFonts w:ascii="Arial Narrow" w:eastAsia="Arial Narrow" w:hAnsi="Arial Narrow" w:cs="Arial Narrow"/>
                <w:sz w:val="20"/>
                <w:szCs w:val="20"/>
              </w:rPr>
            </w:pPr>
            <w:r w:rsidRPr="00A80EEE">
              <w:rPr>
                <w:rFonts w:ascii="Arial Narrow" w:eastAsia="Arial Narrow" w:hAnsi="Arial Narrow" w:cs="Arial Narrow"/>
                <w:sz w:val="20"/>
                <w:szCs w:val="20"/>
              </w:rPr>
              <w:t>Procenat ažuriranosti registra prebivališta.</w:t>
            </w:r>
          </w:p>
        </w:tc>
        <w:tc>
          <w:tcPr>
            <w:tcW w:w="2061" w:type="dxa"/>
            <w:shd w:val="clear" w:color="auto" w:fill="BDD7EE"/>
          </w:tcPr>
          <w:p w14:paraId="64DCF3E1" w14:textId="77777777" w:rsidR="00153252" w:rsidRPr="00153252" w:rsidRDefault="00153252" w:rsidP="00153252">
            <w:pPr>
              <w:spacing w:after="0" w:line="276" w:lineRule="auto"/>
              <w:jc w:val="both"/>
              <w:rPr>
                <w:rFonts w:ascii="Arial Narrow" w:eastAsia="Arial Narrow" w:hAnsi="Arial Narrow" w:cs="Arial Narrow"/>
                <w:i/>
                <w:sz w:val="20"/>
                <w:szCs w:val="20"/>
              </w:rPr>
            </w:pPr>
          </w:p>
        </w:tc>
        <w:tc>
          <w:tcPr>
            <w:tcW w:w="1796" w:type="dxa"/>
            <w:gridSpan w:val="2"/>
            <w:shd w:val="clear" w:color="auto" w:fill="BDD7EE"/>
          </w:tcPr>
          <w:p w14:paraId="0B84FAAC" w14:textId="77777777" w:rsidR="00153252" w:rsidRPr="00153252" w:rsidRDefault="00153252" w:rsidP="00153252">
            <w:pPr>
              <w:spacing w:after="0" w:line="276" w:lineRule="auto"/>
              <w:jc w:val="both"/>
              <w:rPr>
                <w:rFonts w:ascii="Arial Narrow" w:eastAsia="Arial Narrow" w:hAnsi="Arial Narrow" w:cs="Arial Narrow"/>
                <w:i/>
                <w:sz w:val="20"/>
                <w:szCs w:val="20"/>
              </w:rPr>
            </w:pPr>
          </w:p>
        </w:tc>
        <w:tc>
          <w:tcPr>
            <w:tcW w:w="2322" w:type="dxa"/>
            <w:shd w:val="clear" w:color="auto" w:fill="BDD7EE"/>
          </w:tcPr>
          <w:p w14:paraId="07915C99" w14:textId="77777777" w:rsidR="00153252" w:rsidRPr="00153252" w:rsidRDefault="00153252" w:rsidP="00153252">
            <w:pPr>
              <w:spacing w:after="0" w:line="276" w:lineRule="auto"/>
              <w:jc w:val="both"/>
              <w:rPr>
                <w:rFonts w:ascii="Arial Narrow" w:eastAsia="Arial Narrow" w:hAnsi="Arial Narrow" w:cs="Arial Narrow"/>
                <w:i/>
                <w:sz w:val="20"/>
                <w:szCs w:val="20"/>
              </w:rPr>
            </w:pPr>
          </w:p>
        </w:tc>
        <w:tc>
          <w:tcPr>
            <w:tcW w:w="6127" w:type="dxa"/>
            <w:gridSpan w:val="4"/>
            <w:shd w:val="clear" w:color="auto" w:fill="BDD7EE"/>
          </w:tcPr>
          <w:p w14:paraId="6E9A1153" w14:textId="77777777" w:rsidR="00153252" w:rsidRPr="00153252" w:rsidRDefault="00153252" w:rsidP="00153252">
            <w:pPr>
              <w:spacing w:after="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95%</w:t>
            </w:r>
          </w:p>
        </w:tc>
      </w:tr>
      <w:bookmarkEnd w:id="9"/>
      <w:tr w:rsidR="00153252" w:rsidRPr="00153252" w14:paraId="30C956D6" w14:textId="77777777" w:rsidTr="00F268FE">
        <w:trPr>
          <w:cantSplit/>
          <w:trHeight w:val="699"/>
          <w:tblHeader/>
        </w:trPr>
        <w:tc>
          <w:tcPr>
            <w:tcW w:w="2580" w:type="dxa"/>
            <w:gridSpan w:val="3"/>
            <w:shd w:val="clear" w:color="auto" w:fill="FFF2CC"/>
            <w:vAlign w:val="center"/>
          </w:tcPr>
          <w:p w14:paraId="7F4B747E" w14:textId="77777777" w:rsidR="00153252" w:rsidRPr="00153252" w:rsidRDefault="00153252" w:rsidP="00153252">
            <w:pPr>
              <w:spacing w:before="40" w:after="40" w:line="240" w:lineRule="auto"/>
              <w:jc w:val="both"/>
              <w:rPr>
                <w:rFonts w:ascii="Arial Narrow" w:eastAsia="Arial Narrow" w:hAnsi="Arial Narrow" w:cs="Arial Narrow"/>
                <w:i/>
                <w:sz w:val="20"/>
                <w:szCs w:val="20"/>
              </w:rPr>
            </w:pPr>
            <w:r w:rsidRPr="00153252">
              <w:rPr>
                <w:rFonts w:ascii="Arial Narrow" w:eastAsia="Arial Narrow" w:hAnsi="Arial Narrow" w:cs="Arial Narrow"/>
                <w:b/>
                <w:sz w:val="20"/>
                <w:szCs w:val="20"/>
              </w:rPr>
              <w:t>Aktivnosti</w:t>
            </w:r>
          </w:p>
        </w:tc>
        <w:tc>
          <w:tcPr>
            <w:tcW w:w="2061" w:type="dxa"/>
            <w:shd w:val="clear" w:color="auto" w:fill="FFF2CC"/>
            <w:vAlign w:val="center"/>
          </w:tcPr>
          <w:p w14:paraId="0CC0F053"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b/>
                <w:sz w:val="20"/>
                <w:szCs w:val="20"/>
              </w:rPr>
              <w:t>Indikator rezultata</w:t>
            </w:r>
          </w:p>
        </w:tc>
        <w:tc>
          <w:tcPr>
            <w:tcW w:w="1796" w:type="dxa"/>
            <w:gridSpan w:val="2"/>
            <w:shd w:val="clear" w:color="auto" w:fill="FFF2CC"/>
            <w:vAlign w:val="center"/>
          </w:tcPr>
          <w:p w14:paraId="60D05F04"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b/>
                <w:sz w:val="20"/>
                <w:szCs w:val="20"/>
              </w:rPr>
              <w:t>Nadležne institucije i nadležna komisija</w:t>
            </w:r>
          </w:p>
        </w:tc>
        <w:tc>
          <w:tcPr>
            <w:tcW w:w="2322" w:type="dxa"/>
            <w:shd w:val="clear" w:color="auto" w:fill="FFF2CC"/>
            <w:vAlign w:val="center"/>
          </w:tcPr>
          <w:p w14:paraId="34DA0581"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b/>
                <w:sz w:val="20"/>
                <w:szCs w:val="20"/>
              </w:rPr>
              <w:t>Planirani početak i završetak aktivnosti</w:t>
            </w:r>
          </w:p>
        </w:tc>
        <w:tc>
          <w:tcPr>
            <w:tcW w:w="1482" w:type="dxa"/>
            <w:gridSpan w:val="2"/>
            <w:shd w:val="clear" w:color="auto" w:fill="FFF2CC"/>
            <w:vAlign w:val="center"/>
          </w:tcPr>
          <w:p w14:paraId="2B11F2AB"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b/>
                <w:sz w:val="20"/>
                <w:szCs w:val="20"/>
              </w:rPr>
              <w:t>Sredstva za realizaciju i informacija o izradi RIA</w:t>
            </w:r>
          </w:p>
        </w:tc>
        <w:tc>
          <w:tcPr>
            <w:tcW w:w="1522" w:type="dxa"/>
            <w:shd w:val="clear" w:color="auto" w:fill="FFF2CC"/>
            <w:vAlign w:val="center"/>
          </w:tcPr>
          <w:p w14:paraId="6A974490"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b/>
                <w:sz w:val="20"/>
                <w:szCs w:val="20"/>
              </w:rPr>
              <w:t>Izvor finansiranja</w:t>
            </w:r>
          </w:p>
        </w:tc>
        <w:tc>
          <w:tcPr>
            <w:tcW w:w="3123" w:type="dxa"/>
            <w:shd w:val="clear" w:color="auto" w:fill="FFF2CC"/>
            <w:vAlign w:val="center"/>
          </w:tcPr>
          <w:p w14:paraId="482E3C3A"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b/>
                <w:sz w:val="20"/>
                <w:szCs w:val="20"/>
              </w:rPr>
              <w:t>Obrazloženje</w:t>
            </w:r>
          </w:p>
        </w:tc>
      </w:tr>
      <w:tr w:rsidR="00153252" w:rsidRPr="00153252" w14:paraId="3FA464ED" w14:textId="77777777" w:rsidTr="00FD6B98">
        <w:trPr>
          <w:cantSplit/>
          <w:tblHeader/>
        </w:trPr>
        <w:tc>
          <w:tcPr>
            <w:tcW w:w="14886" w:type="dxa"/>
            <w:gridSpan w:val="11"/>
            <w:shd w:val="clear" w:color="auto" w:fill="FFF2CC"/>
            <w:vAlign w:val="center"/>
          </w:tcPr>
          <w:p w14:paraId="37151A72" w14:textId="77777777" w:rsidR="00153252" w:rsidRPr="00153252" w:rsidRDefault="00153252" w:rsidP="00153252">
            <w:pPr>
              <w:spacing w:before="20" w:after="20" w:line="240" w:lineRule="auto"/>
              <w:jc w:val="both"/>
              <w:rPr>
                <w:rFonts w:ascii="Arial Narrow" w:eastAsia="Arial Narrow" w:hAnsi="Arial Narrow" w:cs="Arial Narrow"/>
                <w:b/>
                <w:sz w:val="20"/>
                <w:szCs w:val="20"/>
              </w:rPr>
            </w:pPr>
            <w:r w:rsidRPr="00153252">
              <w:rPr>
                <w:rFonts w:ascii="Arial Narrow" w:eastAsia="Arial Narrow" w:hAnsi="Arial Narrow" w:cs="Arial Narrow"/>
                <w:b/>
                <w:sz w:val="20"/>
                <w:szCs w:val="20"/>
              </w:rPr>
              <w:t>NORMATIVNI DIO</w:t>
            </w:r>
          </w:p>
        </w:tc>
      </w:tr>
      <w:tr w:rsidR="00153252" w:rsidRPr="00153252" w14:paraId="3E3EFE4E" w14:textId="77777777" w:rsidTr="00F268FE">
        <w:trPr>
          <w:cantSplit/>
          <w:tblHeader/>
        </w:trPr>
        <w:tc>
          <w:tcPr>
            <w:tcW w:w="431" w:type="dxa"/>
            <w:shd w:val="clear" w:color="auto" w:fill="auto"/>
            <w:vAlign w:val="center"/>
          </w:tcPr>
          <w:p w14:paraId="20C0A5F3"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lastRenderedPageBreak/>
              <w:t>1.</w:t>
            </w:r>
          </w:p>
        </w:tc>
        <w:tc>
          <w:tcPr>
            <w:tcW w:w="2149" w:type="dxa"/>
            <w:gridSpan w:val="2"/>
            <w:shd w:val="clear" w:color="auto" w:fill="auto"/>
          </w:tcPr>
          <w:p w14:paraId="19AB2A8E"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color w:val="000000"/>
                <w:sz w:val="20"/>
                <w:szCs w:val="20"/>
              </w:rPr>
              <w:t>Donošenje Zakona o izmjenama i dopunama Zakona o registrima prebivališta i boravišta i objavljivanje u „Službenom listu Crne Gore“</w:t>
            </w:r>
          </w:p>
        </w:tc>
        <w:tc>
          <w:tcPr>
            <w:tcW w:w="2061" w:type="dxa"/>
            <w:shd w:val="clear" w:color="auto" w:fill="auto"/>
          </w:tcPr>
          <w:p w14:paraId="568C43CE"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color w:val="000000"/>
                <w:sz w:val="20"/>
                <w:szCs w:val="20"/>
              </w:rPr>
              <w:t>Donešen  Zakon o izmjenama i dopunama Zakona o registrima prebivališta i boravišta i objavljivanje u „Službenom listu Crne Gore“</w:t>
            </w:r>
          </w:p>
        </w:tc>
        <w:tc>
          <w:tcPr>
            <w:tcW w:w="1796" w:type="dxa"/>
            <w:gridSpan w:val="2"/>
            <w:shd w:val="clear" w:color="auto" w:fill="auto"/>
          </w:tcPr>
          <w:p w14:paraId="5E1214D8"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NI:MUP</w:t>
            </w:r>
          </w:p>
          <w:p w14:paraId="76B68898" w14:textId="77777777" w:rsidR="00153252" w:rsidRPr="00153252" w:rsidRDefault="00153252" w:rsidP="00153252">
            <w:pPr>
              <w:spacing w:after="0" w:line="276"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NK:KPS</w:t>
            </w:r>
          </w:p>
        </w:tc>
        <w:tc>
          <w:tcPr>
            <w:tcW w:w="2322" w:type="dxa"/>
            <w:shd w:val="clear" w:color="auto" w:fill="auto"/>
          </w:tcPr>
          <w:p w14:paraId="53A31F29" w14:textId="77777777" w:rsidR="00153252" w:rsidRPr="00153252" w:rsidRDefault="00153252" w:rsidP="00153252">
            <w:pPr>
              <w:spacing w:before="20" w:after="20" w:line="240" w:lineRule="auto"/>
              <w:jc w:val="both"/>
              <w:rPr>
                <w:rFonts w:ascii="Arial Narrow" w:eastAsia="Arial Narrow" w:hAnsi="Arial Narrow" w:cs="Arial Narrow"/>
                <w:i/>
                <w:sz w:val="20"/>
                <w:szCs w:val="20"/>
              </w:rPr>
            </w:pPr>
            <w:r w:rsidRPr="00153252">
              <w:rPr>
                <w:rFonts w:ascii="Arial Narrow" w:eastAsia="Arial Narrow" w:hAnsi="Arial Narrow" w:cs="Arial Narrow"/>
                <w:i/>
                <w:sz w:val="20"/>
                <w:szCs w:val="20"/>
              </w:rPr>
              <w:t xml:space="preserve"> I- II Q 2022.</w:t>
            </w:r>
          </w:p>
        </w:tc>
        <w:tc>
          <w:tcPr>
            <w:tcW w:w="1410" w:type="dxa"/>
            <w:shd w:val="clear" w:color="auto" w:fill="auto"/>
          </w:tcPr>
          <w:p w14:paraId="33EF501F"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Redovni troškovi planirani budžetom</w:t>
            </w:r>
          </w:p>
          <w:p w14:paraId="7EE18222" w14:textId="77777777" w:rsidR="00153252" w:rsidRPr="00153252" w:rsidRDefault="00153252" w:rsidP="00153252">
            <w:pPr>
              <w:spacing w:after="0" w:line="276" w:lineRule="auto"/>
              <w:jc w:val="both"/>
              <w:rPr>
                <w:rFonts w:ascii="Arial Narrow" w:eastAsia="Arial Narrow" w:hAnsi="Arial Narrow" w:cs="Arial Narrow"/>
                <w:sz w:val="20"/>
                <w:szCs w:val="20"/>
              </w:rPr>
            </w:pPr>
          </w:p>
          <w:p w14:paraId="2C4A607E"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Za utvrđivanje procjene uticaja prpisa će biti urađena RIA</w:t>
            </w:r>
          </w:p>
          <w:p w14:paraId="3C648B47" w14:textId="77777777" w:rsidR="00153252" w:rsidRPr="00153252" w:rsidRDefault="00153252" w:rsidP="00153252">
            <w:pPr>
              <w:spacing w:after="0" w:line="276" w:lineRule="auto"/>
              <w:jc w:val="both"/>
              <w:rPr>
                <w:rFonts w:ascii="Arial Narrow" w:eastAsia="Arial Narrow" w:hAnsi="Arial Narrow" w:cs="Arial Narrow"/>
                <w:sz w:val="20"/>
                <w:szCs w:val="20"/>
              </w:rPr>
            </w:pPr>
          </w:p>
        </w:tc>
        <w:tc>
          <w:tcPr>
            <w:tcW w:w="1594" w:type="dxa"/>
            <w:gridSpan w:val="2"/>
            <w:shd w:val="clear" w:color="auto" w:fill="auto"/>
          </w:tcPr>
          <w:p w14:paraId="784003E6" w14:textId="77777777" w:rsidR="00153252" w:rsidRPr="00153252" w:rsidRDefault="00153252" w:rsidP="00153252">
            <w:pPr>
              <w:spacing w:after="0" w:line="276" w:lineRule="auto"/>
              <w:jc w:val="both"/>
              <w:rPr>
                <w:rFonts w:ascii="Arial Narrow" w:eastAsia="Arial Narrow" w:hAnsi="Arial Narrow" w:cs="Arial Narrow"/>
                <w:b/>
                <w:sz w:val="20"/>
                <w:szCs w:val="20"/>
              </w:rPr>
            </w:pPr>
          </w:p>
          <w:p w14:paraId="4AE277FA" w14:textId="77777777" w:rsidR="00153252" w:rsidRPr="00153252" w:rsidRDefault="00153252" w:rsidP="00153252">
            <w:pPr>
              <w:spacing w:after="0" w:line="276" w:lineRule="auto"/>
              <w:jc w:val="both"/>
              <w:rPr>
                <w:rFonts w:ascii="Arial Narrow" w:eastAsia="Arial Narrow" w:hAnsi="Arial Narrow" w:cs="Arial Narrow"/>
                <w:b/>
                <w:sz w:val="20"/>
                <w:szCs w:val="20"/>
              </w:rPr>
            </w:pPr>
            <w:r w:rsidRPr="00153252">
              <w:rPr>
                <w:rFonts w:ascii="Arial Narrow" w:eastAsia="Arial Narrow" w:hAnsi="Arial Narrow" w:cs="Arial Narrow"/>
                <w:sz w:val="20"/>
                <w:szCs w:val="20"/>
              </w:rPr>
              <w:t>Budžet</w:t>
            </w:r>
          </w:p>
        </w:tc>
        <w:tc>
          <w:tcPr>
            <w:tcW w:w="3123" w:type="dxa"/>
            <w:shd w:val="clear" w:color="auto" w:fill="auto"/>
            <w:vAlign w:val="center"/>
          </w:tcPr>
          <w:p w14:paraId="6D21A189"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Otklanjanje nedostataka u normativnoj regulativi, odnosno u Zakonu o registrima prebivališta i boravišta, na način što se istim moraju precizno i jasno definisati odredbe kojima se propisuju mehanizmi kontrole, te pravni osnov u cilju tačnosti utvrđivanja adrese prebivališta, a radi ažurnog i preciznog registra prebivališta, i omogućavanja da podaci u registru prebivališta odražavaju i faktičko stanje</w:t>
            </w:r>
          </w:p>
        </w:tc>
      </w:tr>
      <w:tr w:rsidR="00153252" w:rsidRPr="00153252" w14:paraId="473AD4D7" w14:textId="77777777" w:rsidTr="00FD6B98">
        <w:trPr>
          <w:cantSplit/>
          <w:tblHeader/>
        </w:trPr>
        <w:tc>
          <w:tcPr>
            <w:tcW w:w="431" w:type="dxa"/>
          </w:tcPr>
          <w:p w14:paraId="11AEC1CB" w14:textId="77777777" w:rsidR="00153252" w:rsidRPr="00153252" w:rsidRDefault="00153252" w:rsidP="00153252">
            <w:pPr>
              <w:spacing w:after="0" w:line="276" w:lineRule="auto"/>
              <w:jc w:val="center"/>
              <w:rPr>
                <w:rFonts w:ascii="Arial Narrow" w:eastAsia="Arial Narrow" w:hAnsi="Arial Narrow" w:cs="Arial Narrow"/>
                <w:sz w:val="20"/>
                <w:szCs w:val="20"/>
              </w:rPr>
            </w:pPr>
            <w:r w:rsidRPr="00153252">
              <w:rPr>
                <w:rFonts w:ascii="Arial Narrow" w:eastAsia="Arial Narrow" w:hAnsi="Arial Narrow" w:cs="Arial Narrow"/>
                <w:sz w:val="20"/>
                <w:szCs w:val="20"/>
              </w:rPr>
              <w:t>2.</w:t>
            </w:r>
          </w:p>
        </w:tc>
        <w:tc>
          <w:tcPr>
            <w:tcW w:w="2147" w:type="dxa"/>
            <w:gridSpan w:val="2"/>
          </w:tcPr>
          <w:p w14:paraId="784D38D9"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color w:val="000000"/>
                <w:sz w:val="20"/>
                <w:szCs w:val="20"/>
              </w:rPr>
              <w:t>Donošenje Zakona o izmjenama i dopunama Zakona o matičnim registrima i objavljivanje u “Službenom listu Crne Gore”</w:t>
            </w:r>
          </w:p>
        </w:tc>
        <w:tc>
          <w:tcPr>
            <w:tcW w:w="2062" w:type="dxa"/>
          </w:tcPr>
          <w:p w14:paraId="458ACE33"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color w:val="000000"/>
                <w:sz w:val="20"/>
                <w:szCs w:val="20"/>
              </w:rPr>
              <w:t>Donešen Zakon o izmjenama i dopunama Zakona o matičnim registrima i objavljivanje u “Službenom listu Crne Gore”</w:t>
            </w:r>
          </w:p>
        </w:tc>
        <w:tc>
          <w:tcPr>
            <w:tcW w:w="1797" w:type="dxa"/>
            <w:gridSpan w:val="2"/>
          </w:tcPr>
          <w:p w14:paraId="79154D9F" w14:textId="77777777" w:rsidR="00153252" w:rsidRPr="00153252" w:rsidRDefault="00153252" w:rsidP="00153252">
            <w:pPr>
              <w:spacing w:after="0" w:line="276" w:lineRule="auto"/>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NI:MUP</w:t>
            </w:r>
          </w:p>
          <w:p w14:paraId="414FB776" w14:textId="77777777" w:rsidR="00153252" w:rsidRPr="00153252" w:rsidRDefault="00153252" w:rsidP="00153252">
            <w:pPr>
              <w:spacing w:after="0" w:line="276" w:lineRule="auto"/>
              <w:jc w:val="center"/>
              <w:rPr>
                <w:rFonts w:ascii="Arial Narrow" w:eastAsia="Arial Narrow" w:hAnsi="Arial Narrow" w:cs="Arial Narrow"/>
                <w:i/>
                <w:sz w:val="20"/>
                <w:szCs w:val="20"/>
              </w:rPr>
            </w:pPr>
            <w:r w:rsidRPr="00153252">
              <w:rPr>
                <w:rFonts w:ascii="Arial Narrow" w:eastAsia="Arial Narrow" w:hAnsi="Arial Narrow" w:cs="Arial Narrow"/>
                <w:i/>
                <w:sz w:val="20"/>
                <w:szCs w:val="20"/>
              </w:rPr>
              <w:t>NK:KPS</w:t>
            </w:r>
          </w:p>
        </w:tc>
        <w:tc>
          <w:tcPr>
            <w:tcW w:w="2323" w:type="dxa"/>
          </w:tcPr>
          <w:p w14:paraId="2A3DF685" w14:textId="77777777" w:rsidR="00153252" w:rsidRPr="00153252" w:rsidRDefault="00153252" w:rsidP="00153252">
            <w:pPr>
              <w:spacing w:before="20" w:after="20" w:line="240" w:lineRule="auto"/>
              <w:rPr>
                <w:rFonts w:ascii="Arial Narrow" w:eastAsia="Arial Narrow" w:hAnsi="Arial Narrow" w:cs="Arial Narrow"/>
                <w:i/>
                <w:sz w:val="20"/>
                <w:szCs w:val="20"/>
              </w:rPr>
            </w:pPr>
            <w:r w:rsidRPr="00153252">
              <w:rPr>
                <w:rFonts w:ascii="Arial Narrow" w:eastAsia="Arial Narrow" w:hAnsi="Arial Narrow" w:cs="Arial Narrow"/>
                <w:i/>
                <w:sz w:val="20"/>
                <w:szCs w:val="20"/>
              </w:rPr>
              <w:t>II Q 2022.</w:t>
            </w:r>
          </w:p>
        </w:tc>
        <w:tc>
          <w:tcPr>
            <w:tcW w:w="1411" w:type="dxa"/>
          </w:tcPr>
          <w:p w14:paraId="26271F30" w14:textId="77777777" w:rsidR="00153252" w:rsidRPr="00153252" w:rsidRDefault="00153252" w:rsidP="00153252">
            <w:pPr>
              <w:spacing w:after="0" w:line="240"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Redovni troškovi planirani budžetom</w:t>
            </w:r>
          </w:p>
          <w:p w14:paraId="45E44A3B" w14:textId="77777777" w:rsidR="00153252" w:rsidRPr="00153252" w:rsidRDefault="00153252" w:rsidP="00153252">
            <w:pPr>
              <w:spacing w:after="0" w:line="276" w:lineRule="auto"/>
              <w:rPr>
                <w:rFonts w:ascii="Arial Narrow" w:eastAsia="Arial Narrow" w:hAnsi="Arial Narrow" w:cs="Arial Narrow"/>
                <w:sz w:val="20"/>
                <w:szCs w:val="20"/>
              </w:rPr>
            </w:pPr>
          </w:p>
          <w:p w14:paraId="62009272" w14:textId="77777777" w:rsidR="00153252" w:rsidRPr="00153252" w:rsidRDefault="00153252" w:rsidP="00153252">
            <w:pPr>
              <w:spacing w:after="0" w:line="276" w:lineRule="auto"/>
              <w:rPr>
                <w:rFonts w:ascii="Arial Narrow" w:eastAsia="Arial Narrow" w:hAnsi="Arial Narrow" w:cs="Arial Narrow"/>
                <w:sz w:val="20"/>
                <w:szCs w:val="20"/>
              </w:rPr>
            </w:pPr>
            <w:r w:rsidRPr="00153252">
              <w:rPr>
                <w:rFonts w:ascii="Arial Narrow" w:eastAsia="Arial Narrow" w:hAnsi="Arial Narrow" w:cs="Arial Narrow"/>
                <w:sz w:val="20"/>
                <w:szCs w:val="20"/>
              </w:rPr>
              <w:t>Za utvrđivanje procjene uticaja prpisa će biti urađena RIA</w:t>
            </w:r>
          </w:p>
        </w:tc>
        <w:tc>
          <w:tcPr>
            <w:tcW w:w="1590" w:type="dxa"/>
            <w:gridSpan w:val="2"/>
          </w:tcPr>
          <w:p w14:paraId="4AFF1786" w14:textId="77777777" w:rsidR="00153252" w:rsidRPr="00153252" w:rsidRDefault="00153252" w:rsidP="00153252">
            <w:pPr>
              <w:spacing w:after="0" w:line="276" w:lineRule="auto"/>
              <w:jc w:val="center"/>
              <w:rPr>
                <w:rFonts w:ascii="Arial Narrow" w:eastAsia="Arial Narrow" w:hAnsi="Arial Narrow" w:cs="Arial Narrow"/>
                <w:b/>
                <w:sz w:val="20"/>
                <w:szCs w:val="20"/>
              </w:rPr>
            </w:pPr>
          </w:p>
          <w:p w14:paraId="3736500A" w14:textId="77777777" w:rsidR="00153252" w:rsidRPr="00153252" w:rsidRDefault="00153252" w:rsidP="00153252">
            <w:pPr>
              <w:spacing w:after="0" w:line="276" w:lineRule="auto"/>
              <w:jc w:val="center"/>
              <w:rPr>
                <w:rFonts w:ascii="Arial Narrow" w:eastAsia="Arial Narrow" w:hAnsi="Arial Narrow" w:cs="Arial Narrow"/>
                <w:b/>
                <w:sz w:val="20"/>
                <w:szCs w:val="20"/>
              </w:rPr>
            </w:pPr>
            <w:r w:rsidRPr="00153252">
              <w:rPr>
                <w:rFonts w:ascii="Arial Narrow" w:eastAsia="Arial Narrow" w:hAnsi="Arial Narrow" w:cs="Arial Narrow"/>
                <w:sz w:val="20"/>
                <w:szCs w:val="20"/>
              </w:rPr>
              <w:t>Budžet</w:t>
            </w:r>
          </w:p>
        </w:tc>
        <w:tc>
          <w:tcPr>
            <w:tcW w:w="3125" w:type="dxa"/>
          </w:tcPr>
          <w:p w14:paraId="39A959BD" w14:textId="77777777" w:rsidR="00153252" w:rsidRPr="00153252" w:rsidRDefault="00153252" w:rsidP="00153252">
            <w:pPr>
              <w:spacing w:after="0" w:line="276" w:lineRule="auto"/>
              <w:jc w:val="both"/>
              <w:rPr>
                <w:rFonts w:ascii="Arial Narrow" w:eastAsia="Arial Narrow" w:hAnsi="Arial Narrow" w:cs="Arial Narrow"/>
                <w:sz w:val="20"/>
                <w:szCs w:val="20"/>
              </w:rPr>
            </w:pPr>
            <w:r w:rsidRPr="00153252">
              <w:rPr>
                <w:rFonts w:ascii="Arial Narrow" w:eastAsia="Arial Narrow" w:hAnsi="Arial Narrow" w:cs="Arial Narrow"/>
                <w:sz w:val="20"/>
                <w:szCs w:val="20"/>
              </w:rPr>
              <w:t>Otklanjanje nedostataka u postojećoj zakonskoj regulativi, odnosno propisivanje pravnog osnova za utvrđivanje cijene obrasca izvoda iz matičnog registra rođenih, kroz izmjene važećeg zakona.</w:t>
            </w:r>
          </w:p>
          <w:p w14:paraId="30E473CA" w14:textId="77777777" w:rsidR="00153252" w:rsidRPr="00153252" w:rsidRDefault="00153252" w:rsidP="00153252">
            <w:pPr>
              <w:spacing w:after="0" w:line="276" w:lineRule="auto"/>
              <w:rPr>
                <w:rFonts w:ascii="Arial Narrow" w:eastAsia="Arial Narrow" w:hAnsi="Arial Narrow" w:cs="Arial Narrow"/>
                <w:color w:val="000000"/>
                <w:sz w:val="20"/>
                <w:szCs w:val="20"/>
              </w:rPr>
            </w:pPr>
          </w:p>
        </w:tc>
      </w:tr>
    </w:tbl>
    <w:tbl>
      <w:tblPr>
        <w:tblStyle w:val="TableGrid"/>
        <w:tblW w:w="14886" w:type="dxa"/>
        <w:tblInd w:w="-856" w:type="dxa"/>
        <w:tblLook w:val="04A0" w:firstRow="1" w:lastRow="0" w:firstColumn="1" w:lastColumn="0" w:noHBand="0" w:noVBand="1"/>
      </w:tblPr>
      <w:tblGrid>
        <w:gridCol w:w="2919"/>
        <w:gridCol w:w="3143"/>
        <w:gridCol w:w="2988"/>
        <w:gridCol w:w="2806"/>
        <w:gridCol w:w="3030"/>
      </w:tblGrid>
      <w:tr w:rsidR="004F1465" w:rsidRPr="004F1465" w14:paraId="33E804A1" w14:textId="77777777" w:rsidTr="00FD6B98">
        <w:tc>
          <w:tcPr>
            <w:tcW w:w="2919" w:type="dxa"/>
            <w:shd w:val="clear" w:color="auto" w:fill="DEEAF6" w:themeFill="accent5" w:themeFillTint="33"/>
          </w:tcPr>
          <w:p w14:paraId="37040862" w14:textId="77777777" w:rsidR="004F1465" w:rsidRPr="00D003CC" w:rsidRDefault="004F1465" w:rsidP="00FD6B98">
            <w:pPr>
              <w:spacing w:before="40" w:after="40"/>
              <w:jc w:val="center"/>
              <w:rPr>
                <w:rFonts w:cstheme="minorHAnsi"/>
                <w:b/>
                <w:sz w:val="20"/>
              </w:rPr>
            </w:pPr>
            <w:bookmarkStart w:id="10" w:name="_Hlk89628863"/>
            <w:r w:rsidRPr="00D003CC">
              <w:rPr>
                <w:rFonts w:cstheme="minorHAnsi"/>
                <w:b/>
                <w:sz w:val="20"/>
              </w:rPr>
              <w:t xml:space="preserve">Cilj </w:t>
            </w:r>
            <w:r w:rsidR="00B80AA5" w:rsidRPr="00D003CC">
              <w:rPr>
                <w:rFonts w:cstheme="minorHAnsi"/>
                <w:b/>
                <w:sz w:val="20"/>
              </w:rPr>
              <w:t>1.9.</w:t>
            </w:r>
          </w:p>
          <w:p w14:paraId="30C26DFF" w14:textId="77777777" w:rsidR="004F1465" w:rsidRPr="004F1465" w:rsidRDefault="004F1465" w:rsidP="00FD6B98">
            <w:pPr>
              <w:spacing w:before="40" w:after="40"/>
              <w:jc w:val="center"/>
              <w:rPr>
                <w:rFonts w:cstheme="minorHAnsi"/>
                <w:b/>
                <w:szCs w:val="24"/>
              </w:rPr>
            </w:pPr>
          </w:p>
        </w:tc>
        <w:tc>
          <w:tcPr>
            <w:tcW w:w="11967" w:type="dxa"/>
            <w:gridSpan w:val="4"/>
            <w:shd w:val="clear" w:color="auto" w:fill="DEEAF6" w:themeFill="accent5" w:themeFillTint="33"/>
          </w:tcPr>
          <w:p w14:paraId="2E0293AC" w14:textId="77777777" w:rsidR="004F1465" w:rsidRPr="00D003CC" w:rsidRDefault="004F1465" w:rsidP="00FD6B98">
            <w:pPr>
              <w:spacing w:before="40" w:after="40"/>
              <w:jc w:val="both"/>
              <w:rPr>
                <w:rFonts w:cstheme="minorHAnsi"/>
                <w:b/>
                <w:sz w:val="20"/>
              </w:rPr>
            </w:pPr>
            <w:r w:rsidRPr="00D003CC">
              <w:rPr>
                <w:rFonts w:cstheme="minorHAnsi"/>
                <w:b/>
                <w:sz w:val="20"/>
              </w:rPr>
              <w:t>Smanjiti i eliminisati uticaj transnacionalnog organizovanog kriminala na crnogorsko društvo i identifikovati mjere za jačanje borbe protiv organizovanih kriminalnih grupa.</w:t>
            </w:r>
          </w:p>
        </w:tc>
      </w:tr>
      <w:tr w:rsidR="004F1465" w:rsidRPr="00D003CC" w14:paraId="66A329CA" w14:textId="77777777" w:rsidTr="00FD6B98">
        <w:tc>
          <w:tcPr>
            <w:tcW w:w="2919" w:type="dxa"/>
            <w:shd w:val="clear" w:color="auto" w:fill="DAF2F6"/>
          </w:tcPr>
          <w:p w14:paraId="6706517A" w14:textId="77777777" w:rsidR="004F1465" w:rsidRPr="00D003CC" w:rsidRDefault="004F1465" w:rsidP="00FD6B98">
            <w:pPr>
              <w:spacing w:before="40" w:after="40"/>
              <w:jc w:val="center"/>
              <w:rPr>
                <w:rFonts w:cstheme="minorHAnsi"/>
                <w:b/>
                <w:sz w:val="20"/>
              </w:rPr>
            </w:pPr>
            <w:r w:rsidRPr="00D003CC">
              <w:rPr>
                <w:rFonts w:cstheme="minorHAnsi"/>
                <w:b/>
                <w:sz w:val="20"/>
              </w:rPr>
              <w:t>Indikator učinka</w:t>
            </w:r>
          </w:p>
        </w:tc>
        <w:tc>
          <w:tcPr>
            <w:tcW w:w="3143" w:type="dxa"/>
            <w:shd w:val="clear" w:color="auto" w:fill="DAF2F6"/>
          </w:tcPr>
          <w:p w14:paraId="7870AFFA" w14:textId="77777777" w:rsidR="004F1465" w:rsidRPr="00D003CC" w:rsidRDefault="004F1465" w:rsidP="00FD6B98">
            <w:pPr>
              <w:spacing w:before="40" w:after="40"/>
              <w:jc w:val="center"/>
              <w:rPr>
                <w:rFonts w:cstheme="minorHAnsi"/>
                <w:b/>
                <w:sz w:val="20"/>
              </w:rPr>
            </w:pPr>
            <w:r w:rsidRPr="00D003CC">
              <w:rPr>
                <w:rFonts w:cstheme="minorHAnsi"/>
                <w:b/>
                <w:sz w:val="20"/>
              </w:rPr>
              <w:t>Polaznavrijednost – 2021.g</w:t>
            </w:r>
          </w:p>
        </w:tc>
        <w:tc>
          <w:tcPr>
            <w:tcW w:w="2988" w:type="dxa"/>
            <w:shd w:val="clear" w:color="auto" w:fill="DAF2F6"/>
            <w:vAlign w:val="center"/>
          </w:tcPr>
          <w:p w14:paraId="161BF0ED" w14:textId="77777777" w:rsidR="004F1465" w:rsidRPr="00D003CC" w:rsidRDefault="004F1465" w:rsidP="00FD6B98">
            <w:pPr>
              <w:spacing w:before="40" w:after="40"/>
              <w:jc w:val="center"/>
              <w:rPr>
                <w:rFonts w:cstheme="minorHAnsi"/>
                <w:b/>
                <w:sz w:val="20"/>
              </w:rPr>
            </w:pPr>
            <w:r w:rsidRPr="00D003CC">
              <w:rPr>
                <w:rFonts w:cstheme="minorHAnsi"/>
                <w:b/>
                <w:sz w:val="20"/>
              </w:rPr>
              <w:t>Prelaznavrijednost – 2022.g</w:t>
            </w:r>
          </w:p>
        </w:tc>
        <w:tc>
          <w:tcPr>
            <w:tcW w:w="2806" w:type="dxa"/>
            <w:tcBorders>
              <w:bottom w:val="single" w:sz="4" w:space="0" w:color="FFFFFF" w:themeColor="background1"/>
            </w:tcBorders>
            <w:shd w:val="clear" w:color="auto" w:fill="DAF2F6"/>
            <w:vAlign w:val="center"/>
          </w:tcPr>
          <w:p w14:paraId="48F6652D" w14:textId="77777777" w:rsidR="004F1465" w:rsidRPr="00D003CC" w:rsidRDefault="004F1465" w:rsidP="00FD6B98">
            <w:pPr>
              <w:spacing w:before="40" w:after="40"/>
              <w:jc w:val="center"/>
              <w:rPr>
                <w:rFonts w:cstheme="minorHAnsi"/>
                <w:b/>
                <w:sz w:val="20"/>
              </w:rPr>
            </w:pPr>
            <w:r w:rsidRPr="00D003CC">
              <w:rPr>
                <w:rFonts w:cstheme="minorHAnsi"/>
                <w:b/>
                <w:sz w:val="20"/>
              </w:rPr>
              <w:t>Prelaznavrijednost – 2023.g</w:t>
            </w:r>
          </w:p>
        </w:tc>
        <w:tc>
          <w:tcPr>
            <w:tcW w:w="3030" w:type="dxa"/>
            <w:tcBorders>
              <w:bottom w:val="single" w:sz="4" w:space="0" w:color="FFFFFF" w:themeColor="background1"/>
            </w:tcBorders>
            <w:shd w:val="clear" w:color="auto" w:fill="DAF2F6"/>
            <w:vAlign w:val="center"/>
          </w:tcPr>
          <w:p w14:paraId="2F944837" w14:textId="77777777" w:rsidR="004F1465" w:rsidRPr="00D003CC" w:rsidRDefault="004F1465" w:rsidP="00FD6B98">
            <w:pPr>
              <w:spacing w:before="40" w:after="40"/>
              <w:jc w:val="center"/>
              <w:rPr>
                <w:rFonts w:cstheme="minorHAnsi"/>
                <w:b/>
                <w:sz w:val="20"/>
              </w:rPr>
            </w:pPr>
            <w:r w:rsidRPr="00D003CC">
              <w:rPr>
                <w:rFonts w:cstheme="minorHAnsi"/>
                <w:b/>
                <w:sz w:val="20"/>
              </w:rPr>
              <w:t>Ciljnavrijednost - 2024.g</w:t>
            </w:r>
          </w:p>
        </w:tc>
      </w:tr>
    </w:tbl>
    <w:tbl>
      <w:tblPr>
        <w:tblW w:w="14886"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9"/>
        <w:gridCol w:w="3143"/>
        <w:gridCol w:w="2988"/>
        <w:gridCol w:w="2806"/>
        <w:gridCol w:w="3030"/>
      </w:tblGrid>
      <w:tr w:rsidR="004F1465" w:rsidRPr="00D003CC" w14:paraId="7D05A03D" w14:textId="77777777" w:rsidTr="00FD6B98">
        <w:trPr>
          <w:cantSplit/>
          <w:tblHeader/>
        </w:trPr>
        <w:tc>
          <w:tcPr>
            <w:tcW w:w="2919" w:type="dxa"/>
            <w:shd w:val="clear" w:color="auto" w:fill="DAF2F6"/>
          </w:tcPr>
          <w:p w14:paraId="1C8712FC" w14:textId="77777777" w:rsidR="004F1465" w:rsidRPr="00D003CC" w:rsidRDefault="004F1465" w:rsidP="00FD6B98">
            <w:pPr>
              <w:spacing w:before="40" w:after="40" w:line="240" w:lineRule="auto"/>
              <w:rPr>
                <w:rFonts w:ascii="Arial Narrow" w:eastAsia="Arial Narrow" w:hAnsi="Arial Narrow" w:cstheme="minorHAnsi"/>
                <w:sz w:val="20"/>
                <w:szCs w:val="20"/>
              </w:rPr>
            </w:pPr>
            <w:r w:rsidRPr="00D003CC">
              <w:rPr>
                <w:rFonts w:ascii="Arial Narrow" w:eastAsia="Arial Narrow" w:hAnsi="Arial Narrow" w:cstheme="minorHAnsi"/>
                <w:sz w:val="20"/>
                <w:szCs w:val="20"/>
              </w:rPr>
              <w:t>1.</w:t>
            </w:r>
            <w:r w:rsidRPr="00D003CC">
              <w:rPr>
                <w:rFonts w:ascii="Arial Narrow" w:hAnsi="Arial Narrow" w:cstheme="minorHAnsi"/>
                <w:sz w:val="20"/>
                <w:szCs w:val="20"/>
              </w:rPr>
              <w:t xml:space="preserve"> </w:t>
            </w:r>
            <w:r w:rsidRPr="00D003CC">
              <w:rPr>
                <w:rFonts w:ascii="Arial Narrow" w:eastAsia="Arial Narrow" w:hAnsi="Arial Narrow" w:cstheme="minorHAnsi"/>
                <w:sz w:val="20"/>
                <w:szCs w:val="20"/>
              </w:rPr>
              <w:t>Obim direktnih stranih investicija u Crnoj Gori</w:t>
            </w:r>
          </w:p>
        </w:tc>
        <w:tc>
          <w:tcPr>
            <w:tcW w:w="3143" w:type="dxa"/>
            <w:shd w:val="clear" w:color="auto" w:fill="DAF2F6"/>
          </w:tcPr>
          <w:p w14:paraId="04F016E8" w14:textId="77777777" w:rsidR="004F1465" w:rsidRPr="00D003CC" w:rsidRDefault="004F1465" w:rsidP="00FD6B98">
            <w:pPr>
              <w:spacing w:before="40" w:after="40" w:line="240" w:lineRule="auto"/>
              <w:rPr>
                <w:rFonts w:ascii="Arial Narrow" w:eastAsia="Arial Narrow" w:hAnsi="Arial Narrow" w:cstheme="minorHAnsi"/>
                <w:color w:val="000000"/>
                <w:sz w:val="20"/>
                <w:szCs w:val="20"/>
              </w:rPr>
            </w:pPr>
            <w:r w:rsidRPr="00D003CC">
              <w:rPr>
                <w:rFonts w:ascii="Arial Narrow" w:eastAsia="Arial Narrow" w:hAnsi="Arial Narrow" w:cstheme="minorHAnsi"/>
                <w:color w:val="000000"/>
                <w:sz w:val="20"/>
                <w:szCs w:val="20"/>
              </w:rPr>
              <w:t>663 miliona eura</w:t>
            </w:r>
          </w:p>
        </w:tc>
        <w:tc>
          <w:tcPr>
            <w:tcW w:w="2988" w:type="dxa"/>
            <w:shd w:val="clear" w:color="auto" w:fill="DAF2F6"/>
          </w:tcPr>
          <w:p w14:paraId="09AB6F18" w14:textId="77777777" w:rsidR="004F1465" w:rsidRPr="00D003CC" w:rsidRDefault="004F1465" w:rsidP="00FD6B98">
            <w:pPr>
              <w:spacing w:before="40" w:after="40" w:line="240" w:lineRule="auto"/>
              <w:rPr>
                <w:rFonts w:ascii="Arial Narrow" w:eastAsia="Arial Narrow" w:hAnsi="Arial Narrow" w:cstheme="minorHAnsi"/>
                <w:color w:val="000000"/>
                <w:sz w:val="20"/>
                <w:szCs w:val="20"/>
              </w:rPr>
            </w:pPr>
            <w:r w:rsidRPr="00D003CC">
              <w:rPr>
                <w:rFonts w:ascii="Arial Narrow" w:eastAsia="Arial Narrow" w:hAnsi="Arial Narrow" w:cstheme="minorHAnsi"/>
                <w:color w:val="000000"/>
                <w:sz w:val="20"/>
                <w:szCs w:val="20"/>
              </w:rPr>
              <w:t>670 miliona eura</w:t>
            </w:r>
          </w:p>
        </w:tc>
        <w:tc>
          <w:tcPr>
            <w:tcW w:w="2806" w:type="dxa"/>
            <w:shd w:val="clear" w:color="auto" w:fill="DAF2F6"/>
          </w:tcPr>
          <w:p w14:paraId="10D190A9" w14:textId="77777777" w:rsidR="004F1465" w:rsidRPr="00D003CC" w:rsidRDefault="004F1465" w:rsidP="00FD6B98">
            <w:pPr>
              <w:spacing w:before="40" w:after="40" w:line="240" w:lineRule="auto"/>
              <w:rPr>
                <w:rFonts w:ascii="Arial Narrow" w:eastAsia="Arial Narrow" w:hAnsi="Arial Narrow" w:cstheme="minorHAnsi"/>
                <w:color w:val="000000"/>
                <w:sz w:val="20"/>
                <w:szCs w:val="20"/>
              </w:rPr>
            </w:pPr>
            <w:r w:rsidRPr="00D003CC">
              <w:rPr>
                <w:rFonts w:ascii="Arial Narrow" w:eastAsia="Arial Narrow" w:hAnsi="Arial Narrow" w:cstheme="minorHAnsi"/>
                <w:bCs/>
                <w:color w:val="000000"/>
                <w:sz w:val="20"/>
                <w:szCs w:val="20"/>
                <w:lang w:val="it-IT"/>
              </w:rPr>
              <w:t>680 miliona eura</w:t>
            </w:r>
          </w:p>
          <w:p w14:paraId="52A76BED" w14:textId="77777777" w:rsidR="004F1465" w:rsidRPr="00D003CC" w:rsidRDefault="004F1465" w:rsidP="00FD6B98">
            <w:pPr>
              <w:spacing w:before="40" w:after="40" w:line="240" w:lineRule="auto"/>
              <w:rPr>
                <w:rFonts w:ascii="Arial Narrow" w:eastAsia="Arial Narrow" w:hAnsi="Arial Narrow" w:cstheme="minorHAnsi"/>
                <w:color w:val="000000"/>
                <w:sz w:val="20"/>
                <w:szCs w:val="20"/>
              </w:rPr>
            </w:pPr>
          </w:p>
        </w:tc>
        <w:tc>
          <w:tcPr>
            <w:tcW w:w="3030" w:type="dxa"/>
            <w:shd w:val="clear" w:color="auto" w:fill="DAF2F6"/>
          </w:tcPr>
          <w:p w14:paraId="7BE43657" w14:textId="77777777" w:rsidR="004F1465" w:rsidRPr="00D003CC" w:rsidRDefault="004F1465" w:rsidP="00FD6B98">
            <w:pPr>
              <w:spacing w:before="40" w:after="40" w:line="240" w:lineRule="auto"/>
              <w:rPr>
                <w:rFonts w:ascii="Arial Narrow" w:eastAsia="Arial Narrow" w:hAnsi="Arial Narrow" w:cstheme="minorHAnsi"/>
                <w:color w:val="000000"/>
                <w:sz w:val="20"/>
                <w:szCs w:val="20"/>
              </w:rPr>
            </w:pPr>
            <w:r w:rsidRPr="00D003CC">
              <w:rPr>
                <w:rFonts w:ascii="Arial Narrow" w:eastAsia="Arial Narrow" w:hAnsi="Arial Narrow" w:cstheme="minorHAnsi"/>
                <w:bCs/>
                <w:color w:val="000000"/>
                <w:sz w:val="20"/>
                <w:szCs w:val="20"/>
                <w:lang w:val="it-IT"/>
              </w:rPr>
              <w:t>690 miliona eura</w:t>
            </w:r>
          </w:p>
        </w:tc>
      </w:tr>
    </w:tbl>
    <w:tbl>
      <w:tblPr>
        <w:tblStyle w:val="TableGrid"/>
        <w:tblW w:w="14886" w:type="dxa"/>
        <w:tblInd w:w="-856" w:type="dxa"/>
        <w:tblLook w:val="04A0" w:firstRow="1" w:lastRow="0" w:firstColumn="1" w:lastColumn="0" w:noHBand="0" w:noVBand="1"/>
      </w:tblPr>
      <w:tblGrid>
        <w:gridCol w:w="709"/>
        <w:gridCol w:w="2210"/>
        <w:gridCol w:w="2634"/>
        <w:gridCol w:w="509"/>
        <w:gridCol w:w="1295"/>
        <w:gridCol w:w="1693"/>
        <w:gridCol w:w="2085"/>
        <w:gridCol w:w="721"/>
        <w:gridCol w:w="645"/>
        <w:gridCol w:w="2385"/>
      </w:tblGrid>
      <w:tr w:rsidR="004F1465" w:rsidRPr="00D003CC" w14:paraId="2481290B" w14:textId="77777777" w:rsidTr="00FD6B98">
        <w:tc>
          <w:tcPr>
            <w:tcW w:w="2919" w:type="dxa"/>
            <w:gridSpan w:val="2"/>
            <w:shd w:val="clear" w:color="auto" w:fill="DAF2F6"/>
          </w:tcPr>
          <w:p w14:paraId="5BE12F15" w14:textId="77777777" w:rsidR="004F1465" w:rsidRPr="00D003CC" w:rsidRDefault="004F1465" w:rsidP="00FD6B98">
            <w:pPr>
              <w:spacing w:before="40" w:after="40"/>
              <w:rPr>
                <w:rFonts w:cstheme="minorHAnsi"/>
                <w:sz w:val="20"/>
              </w:rPr>
            </w:pPr>
            <w:r w:rsidRPr="00D003CC">
              <w:rPr>
                <w:rFonts w:cstheme="minorHAnsi"/>
                <w:sz w:val="20"/>
              </w:rPr>
              <w:t>2.Povećan broj međunarodnih istraga u kojima učestvuju tužioci i policijski službenici (kao dio JIT-a)</w:t>
            </w:r>
          </w:p>
        </w:tc>
        <w:tc>
          <w:tcPr>
            <w:tcW w:w="3143" w:type="dxa"/>
            <w:gridSpan w:val="2"/>
            <w:shd w:val="clear" w:color="auto" w:fill="DAF2F6"/>
          </w:tcPr>
          <w:p w14:paraId="68D81A42" w14:textId="77777777" w:rsidR="004F1465" w:rsidRPr="00D003CC" w:rsidRDefault="004F1465" w:rsidP="00FD6B98">
            <w:pPr>
              <w:spacing w:before="40" w:after="40"/>
              <w:jc w:val="center"/>
              <w:rPr>
                <w:rFonts w:cstheme="minorHAnsi"/>
                <w:sz w:val="20"/>
              </w:rPr>
            </w:pPr>
            <w:r w:rsidRPr="00D003CC">
              <w:rPr>
                <w:rFonts w:cstheme="minorHAnsi"/>
                <w:sz w:val="20"/>
              </w:rPr>
              <w:t>1</w:t>
            </w:r>
          </w:p>
        </w:tc>
        <w:tc>
          <w:tcPr>
            <w:tcW w:w="2988" w:type="dxa"/>
            <w:gridSpan w:val="2"/>
            <w:shd w:val="clear" w:color="auto" w:fill="DAF2F6"/>
          </w:tcPr>
          <w:p w14:paraId="457449D1" w14:textId="77777777" w:rsidR="004F1465" w:rsidRPr="00D003CC" w:rsidRDefault="004F1465" w:rsidP="00FD6B98">
            <w:pPr>
              <w:spacing w:before="40" w:after="40"/>
              <w:jc w:val="center"/>
              <w:rPr>
                <w:rFonts w:cstheme="minorHAnsi"/>
                <w:sz w:val="20"/>
              </w:rPr>
            </w:pPr>
            <w:r w:rsidRPr="00D003CC">
              <w:rPr>
                <w:rFonts w:cstheme="minorHAnsi"/>
                <w:sz w:val="20"/>
              </w:rPr>
              <w:t>1</w:t>
            </w:r>
          </w:p>
        </w:tc>
        <w:tc>
          <w:tcPr>
            <w:tcW w:w="2806" w:type="dxa"/>
            <w:gridSpan w:val="2"/>
            <w:shd w:val="clear" w:color="auto" w:fill="DAF2F6"/>
          </w:tcPr>
          <w:p w14:paraId="1940A9B9" w14:textId="77777777" w:rsidR="004F1465" w:rsidRPr="00D003CC" w:rsidRDefault="004F1465" w:rsidP="00FD6B98">
            <w:pPr>
              <w:spacing w:before="40" w:after="40"/>
              <w:jc w:val="center"/>
              <w:rPr>
                <w:rFonts w:cstheme="minorHAnsi"/>
                <w:sz w:val="20"/>
              </w:rPr>
            </w:pPr>
            <w:r w:rsidRPr="00D003CC">
              <w:rPr>
                <w:rFonts w:cstheme="minorHAnsi"/>
                <w:sz w:val="20"/>
              </w:rPr>
              <w:t>2</w:t>
            </w:r>
          </w:p>
        </w:tc>
        <w:tc>
          <w:tcPr>
            <w:tcW w:w="3030" w:type="dxa"/>
            <w:gridSpan w:val="2"/>
            <w:shd w:val="clear" w:color="auto" w:fill="DAF2F6"/>
          </w:tcPr>
          <w:p w14:paraId="60BBED08" w14:textId="77777777" w:rsidR="004F1465" w:rsidRPr="00D003CC" w:rsidRDefault="004F1465" w:rsidP="00FD6B98">
            <w:pPr>
              <w:spacing w:before="40" w:after="40"/>
              <w:jc w:val="center"/>
              <w:rPr>
                <w:rFonts w:cstheme="minorHAnsi"/>
                <w:sz w:val="20"/>
              </w:rPr>
            </w:pPr>
            <w:r w:rsidRPr="00D003CC">
              <w:rPr>
                <w:rFonts w:cstheme="minorHAnsi"/>
                <w:sz w:val="20"/>
              </w:rPr>
              <w:t>2</w:t>
            </w:r>
          </w:p>
        </w:tc>
      </w:tr>
      <w:tr w:rsidR="004F1465" w:rsidRPr="00D003CC" w14:paraId="16C33124" w14:textId="77777777" w:rsidTr="00FD6B98">
        <w:tc>
          <w:tcPr>
            <w:tcW w:w="2919" w:type="dxa"/>
            <w:gridSpan w:val="2"/>
            <w:shd w:val="clear" w:color="auto" w:fill="DAF2F6"/>
          </w:tcPr>
          <w:p w14:paraId="0A105C5F" w14:textId="77777777" w:rsidR="004F1465" w:rsidRPr="00D003CC" w:rsidRDefault="004F1465" w:rsidP="00FD6B98">
            <w:pPr>
              <w:spacing w:before="40" w:after="40"/>
              <w:rPr>
                <w:rFonts w:cstheme="minorHAnsi"/>
                <w:sz w:val="20"/>
              </w:rPr>
            </w:pPr>
            <w:r w:rsidRPr="00D003CC">
              <w:rPr>
                <w:rFonts w:cstheme="minorHAnsi"/>
                <w:sz w:val="20"/>
              </w:rPr>
              <w:t>3.Razmjena svih dokumenata i elektronske forme dokaza u predmetima organizovanog kriminala između aktera sprovodi se digitalno</w:t>
            </w:r>
          </w:p>
        </w:tc>
        <w:tc>
          <w:tcPr>
            <w:tcW w:w="3143" w:type="dxa"/>
            <w:gridSpan w:val="2"/>
            <w:shd w:val="clear" w:color="auto" w:fill="DAF2F6"/>
          </w:tcPr>
          <w:p w14:paraId="30B46607" w14:textId="77777777" w:rsidR="004F1465" w:rsidRPr="00D003CC" w:rsidRDefault="004F1465" w:rsidP="00FD6B98">
            <w:pPr>
              <w:spacing w:before="40" w:after="40"/>
              <w:rPr>
                <w:rFonts w:cstheme="minorHAnsi"/>
                <w:sz w:val="20"/>
              </w:rPr>
            </w:pPr>
          </w:p>
          <w:p w14:paraId="13BAF941" w14:textId="77777777" w:rsidR="004F1465" w:rsidRPr="00D003CC" w:rsidRDefault="004F1465" w:rsidP="00FD6B98">
            <w:pPr>
              <w:rPr>
                <w:rFonts w:cstheme="minorHAnsi"/>
                <w:sz w:val="20"/>
              </w:rPr>
            </w:pPr>
          </w:p>
          <w:p w14:paraId="06F8FCDF" w14:textId="77777777" w:rsidR="004F1465" w:rsidRPr="00D003CC" w:rsidRDefault="004F1465" w:rsidP="00FD6B98">
            <w:pPr>
              <w:jc w:val="center"/>
              <w:rPr>
                <w:rFonts w:cstheme="minorHAnsi"/>
                <w:sz w:val="20"/>
              </w:rPr>
            </w:pPr>
            <w:r w:rsidRPr="00D003CC">
              <w:rPr>
                <w:rFonts w:cstheme="minorHAnsi"/>
                <w:sz w:val="20"/>
              </w:rPr>
              <w:t>0</w:t>
            </w:r>
          </w:p>
        </w:tc>
        <w:tc>
          <w:tcPr>
            <w:tcW w:w="2988" w:type="dxa"/>
            <w:gridSpan w:val="2"/>
            <w:shd w:val="clear" w:color="auto" w:fill="DAF2F6"/>
          </w:tcPr>
          <w:p w14:paraId="1909AAB7" w14:textId="77777777" w:rsidR="004F1465" w:rsidRPr="00D003CC" w:rsidRDefault="004F1465" w:rsidP="00FD6B98">
            <w:pPr>
              <w:spacing w:before="40" w:after="40"/>
              <w:rPr>
                <w:rFonts w:cstheme="minorHAnsi"/>
                <w:sz w:val="20"/>
              </w:rPr>
            </w:pPr>
          </w:p>
          <w:p w14:paraId="22E6EEB2" w14:textId="77777777" w:rsidR="004F1465" w:rsidRPr="00D003CC" w:rsidRDefault="004F1465" w:rsidP="00FD6B98">
            <w:pPr>
              <w:rPr>
                <w:rFonts w:cstheme="minorHAnsi"/>
                <w:sz w:val="20"/>
              </w:rPr>
            </w:pPr>
          </w:p>
          <w:p w14:paraId="105FEFB2" w14:textId="77777777" w:rsidR="004F1465" w:rsidRPr="00D003CC" w:rsidRDefault="004F1465" w:rsidP="00FD6B98">
            <w:pPr>
              <w:jc w:val="center"/>
              <w:rPr>
                <w:rFonts w:cstheme="minorHAnsi"/>
                <w:sz w:val="20"/>
              </w:rPr>
            </w:pPr>
            <w:r w:rsidRPr="00D003CC">
              <w:rPr>
                <w:rFonts w:cstheme="minorHAnsi"/>
                <w:sz w:val="20"/>
              </w:rPr>
              <w:t>12%</w:t>
            </w:r>
          </w:p>
        </w:tc>
        <w:tc>
          <w:tcPr>
            <w:tcW w:w="2806" w:type="dxa"/>
            <w:gridSpan w:val="2"/>
            <w:shd w:val="clear" w:color="auto" w:fill="DAF2F6"/>
          </w:tcPr>
          <w:p w14:paraId="4B7B28A6" w14:textId="77777777" w:rsidR="004F1465" w:rsidRPr="00D003CC" w:rsidRDefault="004F1465" w:rsidP="00FD6B98">
            <w:pPr>
              <w:spacing w:before="40" w:after="40"/>
              <w:rPr>
                <w:rFonts w:cstheme="minorHAnsi"/>
                <w:sz w:val="20"/>
              </w:rPr>
            </w:pPr>
          </w:p>
          <w:p w14:paraId="4ED34FDB" w14:textId="77777777" w:rsidR="004F1465" w:rsidRPr="00D003CC" w:rsidRDefault="004F1465" w:rsidP="00FD6B98">
            <w:pPr>
              <w:rPr>
                <w:rFonts w:cstheme="minorHAnsi"/>
                <w:sz w:val="20"/>
              </w:rPr>
            </w:pPr>
          </w:p>
          <w:p w14:paraId="1BAB5F73" w14:textId="77777777" w:rsidR="004F1465" w:rsidRPr="00D003CC" w:rsidRDefault="004F1465" w:rsidP="00FD6B98">
            <w:pPr>
              <w:jc w:val="center"/>
              <w:rPr>
                <w:rFonts w:cstheme="minorHAnsi"/>
                <w:sz w:val="20"/>
              </w:rPr>
            </w:pPr>
            <w:r w:rsidRPr="00D003CC">
              <w:rPr>
                <w:rFonts w:cstheme="minorHAnsi"/>
                <w:sz w:val="20"/>
              </w:rPr>
              <w:t>25%</w:t>
            </w:r>
          </w:p>
        </w:tc>
        <w:tc>
          <w:tcPr>
            <w:tcW w:w="3030" w:type="dxa"/>
            <w:gridSpan w:val="2"/>
            <w:shd w:val="clear" w:color="auto" w:fill="DAF2F6"/>
          </w:tcPr>
          <w:p w14:paraId="18797EEB" w14:textId="77777777" w:rsidR="004F1465" w:rsidRPr="00D003CC" w:rsidRDefault="004F1465" w:rsidP="00FD6B98">
            <w:pPr>
              <w:spacing w:before="40" w:after="40"/>
              <w:rPr>
                <w:rFonts w:cstheme="minorHAnsi"/>
                <w:sz w:val="20"/>
              </w:rPr>
            </w:pPr>
          </w:p>
          <w:p w14:paraId="0806C36F" w14:textId="77777777" w:rsidR="004F1465" w:rsidRPr="00D003CC" w:rsidRDefault="004F1465" w:rsidP="00FD6B98">
            <w:pPr>
              <w:rPr>
                <w:rFonts w:cstheme="minorHAnsi"/>
                <w:sz w:val="20"/>
              </w:rPr>
            </w:pPr>
          </w:p>
          <w:p w14:paraId="0684266F" w14:textId="77777777" w:rsidR="004F1465" w:rsidRPr="00D003CC" w:rsidRDefault="004F1465" w:rsidP="00FD6B98">
            <w:pPr>
              <w:jc w:val="center"/>
              <w:rPr>
                <w:rFonts w:cstheme="minorHAnsi"/>
                <w:sz w:val="20"/>
              </w:rPr>
            </w:pPr>
            <w:r w:rsidRPr="00D003CC">
              <w:rPr>
                <w:rFonts w:cstheme="minorHAnsi"/>
                <w:sz w:val="20"/>
              </w:rPr>
              <w:t>40%</w:t>
            </w:r>
          </w:p>
        </w:tc>
      </w:tr>
      <w:bookmarkEnd w:id="10"/>
      <w:tr w:rsidR="004F1465" w:rsidRPr="00D003CC" w14:paraId="0E54FE29" w14:textId="77777777" w:rsidTr="00FD6B98">
        <w:tc>
          <w:tcPr>
            <w:tcW w:w="2919" w:type="dxa"/>
            <w:gridSpan w:val="2"/>
            <w:shd w:val="clear" w:color="auto" w:fill="FFF2CC" w:themeFill="accent4" w:themeFillTint="33"/>
            <w:vAlign w:val="center"/>
          </w:tcPr>
          <w:p w14:paraId="5940EA20" w14:textId="77777777" w:rsidR="004F1465" w:rsidRPr="00D003CC" w:rsidRDefault="004F1465" w:rsidP="00FD6B98">
            <w:pPr>
              <w:spacing w:before="20" w:after="20"/>
              <w:jc w:val="center"/>
              <w:rPr>
                <w:rFonts w:cs="Times New Roman"/>
                <w:b/>
                <w:sz w:val="20"/>
              </w:rPr>
            </w:pPr>
            <w:r w:rsidRPr="00D003CC">
              <w:rPr>
                <w:rFonts w:cs="Times New Roman"/>
                <w:b/>
                <w:sz w:val="20"/>
              </w:rPr>
              <w:t>Aktivnosti</w:t>
            </w:r>
          </w:p>
        </w:tc>
        <w:tc>
          <w:tcPr>
            <w:tcW w:w="2634" w:type="dxa"/>
            <w:shd w:val="clear" w:color="auto" w:fill="FFF2CC" w:themeFill="accent4" w:themeFillTint="33"/>
            <w:vAlign w:val="center"/>
          </w:tcPr>
          <w:p w14:paraId="2A62A25F" w14:textId="77777777" w:rsidR="004F1465" w:rsidRPr="00D003CC" w:rsidRDefault="004F1465" w:rsidP="00FD6B98">
            <w:pPr>
              <w:spacing w:before="20" w:after="20"/>
              <w:jc w:val="center"/>
              <w:rPr>
                <w:rFonts w:cs="Times New Roman"/>
                <w:b/>
                <w:sz w:val="20"/>
              </w:rPr>
            </w:pPr>
            <w:r w:rsidRPr="00D003CC">
              <w:rPr>
                <w:rFonts w:cs="Times New Roman"/>
                <w:b/>
                <w:sz w:val="20"/>
              </w:rPr>
              <w:t>Indikator rezultata</w:t>
            </w:r>
          </w:p>
        </w:tc>
        <w:tc>
          <w:tcPr>
            <w:tcW w:w="1804" w:type="dxa"/>
            <w:gridSpan w:val="2"/>
            <w:shd w:val="clear" w:color="auto" w:fill="FFF2CC" w:themeFill="accent4" w:themeFillTint="33"/>
            <w:vAlign w:val="center"/>
          </w:tcPr>
          <w:p w14:paraId="24FBDAB3" w14:textId="77777777" w:rsidR="004F1465" w:rsidRPr="00D003CC" w:rsidRDefault="004F1465" w:rsidP="00FD6B98">
            <w:pPr>
              <w:spacing w:before="20" w:after="20"/>
              <w:jc w:val="center"/>
              <w:rPr>
                <w:rFonts w:cs="Times New Roman"/>
                <w:b/>
                <w:sz w:val="20"/>
              </w:rPr>
            </w:pPr>
            <w:r w:rsidRPr="00D003CC">
              <w:rPr>
                <w:rFonts w:cs="Times New Roman"/>
                <w:b/>
                <w:sz w:val="20"/>
              </w:rPr>
              <w:t>Nadležne institucije i nadležna komisija</w:t>
            </w:r>
          </w:p>
        </w:tc>
        <w:tc>
          <w:tcPr>
            <w:tcW w:w="1693" w:type="dxa"/>
            <w:shd w:val="clear" w:color="auto" w:fill="FFF2CC" w:themeFill="accent4" w:themeFillTint="33"/>
            <w:vAlign w:val="center"/>
          </w:tcPr>
          <w:p w14:paraId="6D01C3BD" w14:textId="77777777" w:rsidR="004F1465" w:rsidRPr="00D003CC" w:rsidRDefault="004F1465" w:rsidP="00FD6B98">
            <w:pPr>
              <w:spacing w:before="20" w:after="20"/>
              <w:jc w:val="center"/>
              <w:rPr>
                <w:rFonts w:cs="Times New Roman"/>
                <w:b/>
                <w:sz w:val="20"/>
              </w:rPr>
            </w:pPr>
            <w:r w:rsidRPr="00D003CC">
              <w:rPr>
                <w:rFonts w:cs="Times New Roman"/>
                <w:b/>
                <w:sz w:val="20"/>
              </w:rPr>
              <w:t>Planirani početak i završetak aktivnosti</w:t>
            </w:r>
          </w:p>
        </w:tc>
        <w:tc>
          <w:tcPr>
            <w:tcW w:w="2085" w:type="dxa"/>
            <w:shd w:val="clear" w:color="auto" w:fill="FFF2CC" w:themeFill="accent4" w:themeFillTint="33"/>
            <w:vAlign w:val="center"/>
          </w:tcPr>
          <w:p w14:paraId="77BF2B22" w14:textId="77777777" w:rsidR="004F1465" w:rsidRPr="00D003CC" w:rsidRDefault="004F1465" w:rsidP="00FD6B98">
            <w:pPr>
              <w:spacing w:before="20" w:after="20"/>
              <w:jc w:val="center"/>
              <w:rPr>
                <w:rFonts w:cs="Times New Roman"/>
                <w:b/>
                <w:sz w:val="20"/>
              </w:rPr>
            </w:pPr>
            <w:r w:rsidRPr="00D003CC">
              <w:rPr>
                <w:rFonts w:cs="Times New Roman"/>
                <w:b/>
                <w:sz w:val="20"/>
              </w:rPr>
              <w:t>Sredstva za realizaciju i informacija o izradi RIA</w:t>
            </w:r>
          </w:p>
        </w:tc>
        <w:tc>
          <w:tcPr>
            <w:tcW w:w="1366" w:type="dxa"/>
            <w:gridSpan w:val="2"/>
            <w:shd w:val="clear" w:color="auto" w:fill="FFF2CC" w:themeFill="accent4" w:themeFillTint="33"/>
            <w:vAlign w:val="center"/>
          </w:tcPr>
          <w:p w14:paraId="7BE6B2C1" w14:textId="77777777" w:rsidR="004F1465" w:rsidRPr="00D003CC" w:rsidRDefault="004F1465" w:rsidP="00FD6B98">
            <w:pPr>
              <w:spacing w:before="20" w:after="20"/>
              <w:jc w:val="center"/>
              <w:rPr>
                <w:rFonts w:cs="Times New Roman"/>
                <w:b/>
                <w:sz w:val="20"/>
              </w:rPr>
            </w:pPr>
            <w:r w:rsidRPr="00D003CC">
              <w:rPr>
                <w:rFonts w:cs="Times New Roman"/>
                <w:b/>
                <w:sz w:val="20"/>
              </w:rPr>
              <w:t>Izvor finansiranja</w:t>
            </w:r>
          </w:p>
        </w:tc>
        <w:tc>
          <w:tcPr>
            <w:tcW w:w="2385" w:type="dxa"/>
            <w:shd w:val="clear" w:color="auto" w:fill="FFF2CC" w:themeFill="accent4" w:themeFillTint="33"/>
            <w:vAlign w:val="center"/>
          </w:tcPr>
          <w:p w14:paraId="5C649C9C" w14:textId="77777777" w:rsidR="004F1465" w:rsidRPr="00D003CC" w:rsidRDefault="004F1465" w:rsidP="00FD6B98">
            <w:pPr>
              <w:spacing w:before="20" w:after="20"/>
              <w:jc w:val="center"/>
              <w:rPr>
                <w:rFonts w:cs="Times New Roman"/>
                <w:b/>
                <w:sz w:val="20"/>
              </w:rPr>
            </w:pPr>
          </w:p>
          <w:p w14:paraId="1AD8E850" w14:textId="77777777" w:rsidR="004F1465" w:rsidRPr="00D003CC" w:rsidRDefault="004F1465" w:rsidP="00FD6B98">
            <w:pPr>
              <w:spacing w:before="20" w:after="20"/>
              <w:jc w:val="center"/>
              <w:rPr>
                <w:rFonts w:cs="Times New Roman"/>
                <w:b/>
                <w:sz w:val="20"/>
              </w:rPr>
            </w:pPr>
            <w:r w:rsidRPr="00D003CC">
              <w:rPr>
                <w:rFonts w:cs="Times New Roman"/>
                <w:b/>
                <w:sz w:val="20"/>
              </w:rPr>
              <w:t>Obrazloženje</w:t>
            </w:r>
          </w:p>
        </w:tc>
      </w:tr>
      <w:tr w:rsidR="004F1465" w:rsidRPr="00D003CC" w14:paraId="4EA9E813" w14:textId="77777777" w:rsidTr="00FD6B98">
        <w:tc>
          <w:tcPr>
            <w:tcW w:w="709" w:type="dxa"/>
          </w:tcPr>
          <w:p w14:paraId="6DA72E1A" w14:textId="77777777" w:rsidR="004F1465" w:rsidRPr="00D003CC" w:rsidRDefault="004F1465" w:rsidP="00FD6B98">
            <w:pPr>
              <w:spacing w:before="20" w:after="20"/>
              <w:rPr>
                <w:rFonts w:cs="Times New Roman"/>
                <w:sz w:val="20"/>
              </w:rPr>
            </w:pPr>
            <w:r w:rsidRPr="00D003CC">
              <w:rPr>
                <w:rFonts w:cs="Times New Roman"/>
                <w:sz w:val="20"/>
              </w:rPr>
              <w:lastRenderedPageBreak/>
              <w:t>1</w:t>
            </w:r>
          </w:p>
        </w:tc>
        <w:tc>
          <w:tcPr>
            <w:tcW w:w="2210" w:type="dxa"/>
          </w:tcPr>
          <w:p w14:paraId="41A09906" w14:textId="77777777" w:rsidR="004F1465" w:rsidRPr="00D003CC" w:rsidRDefault="004F1465" w:rsidP="00FD6B98">
            <w:pPr>
              <w:spacing w:before="20" w:after="20"/>
              <w:rPr>
                <w:rFonts w:cs="Times New Roman"/>
                <w:sz w:val="20"/>
              </w:rPr>
            </w:pPr>
            <w:r w:rsidRPr="00D003CC">
              <w:rPr>
                <w:rFonts w:cs="Times New Roman"/>
                <w:sz w:val="20"/>
              </w:rPr>
              <w:t>Usvajanje i implementacija prve Nacionalne strategije  za borbu protiv</w:t>
            </w:r>
          </w:p>
          <w:p w14:paraId="491B6581" w14:textId="77777777" w:rsidR="004F1465" w:rsidRPr="00D003CC" w:rsidRDefault="004F1465" w:rsidP="00FD6B98">
            <w:pPr>
              <w:spacing w:before="20" w:after="20"/>
              <w:rPr>
                <w:rFonts w:cs="Times New Roman"/>
                <w:i/>
                <w:color w:val="FF0000"/>
                <w:sz w:val="20"/>
              </w:rPr>
            </w:pPr>
            <w:r w:rsidRPr="00D003CC">
              <w:rPr>
                <w:rFonts w:cs="Times New Roman"/>
                <w:sz w:val="20"/>
              </w:rPr>
              <w:t>Transnacionalnog organizovanog kriminala 2022-2025, s Akcionim planom za 2022-2023</w:t>
            </w:r>
          </w:p>
        </w:tc>
        <w:tc>
          <w:tcPr>
            <w:tcW w:w="2634" w:type="dxa"/>
          </w:tcPr>
          <w:p w14:paraId="3B11D60A" w14:textId="77777777" w:rsidR="004F1465" w:rsidRPr="00D003CC" w:rsidRDefault="004F1465" w:rsidP="00FD6B98">
            <w:pPr>
              <w:spacing w:before="20" w:after="20"/>
              <w:rPr>
                <w:rFonts w:cs="Times New Roman"/>
                <w:sz w:val="20"/>
              </w:rPr>
            </w:pPr>
            <w:r w:rsidRPr="00D003CC">
              <w:rPr>
                <w:rFonts w:cs="Times New Roman"/>
                <w:sz w:val="20"/>
              </w:rPr>
              <w:t>Usvojena prva Nacionalna strategija za borbu protiv transnacionalnog organizovanog kriminala 2022-2025, s Akcionim planom za 2022-2023 i početak njene implementacije</w:t>
            </w:r>
          </w:p>
          <w:p w14:paraId="364CFEBF" w14:textId="77777777" w:rsidR="004F1465" w:rsidRPr="00D003CC" w:rsidRDefault="004F1465" w:rsidP="00FD6B98">
            <w:pPr>
              <w:spacing w:before="20" w:after="20"/>
              <w:rPr>
                <w:rFonts w:cs="Times New Roman"/>
                <w:i/>
                <w:color w:val="FF0000"/>
                <w:sz w:val="20"/>
              </w:rPr>
            </w:pPr>
          </w:p>
          <w:p w14:paraId="42D5B94E" w14:textId="77777777" w:rsidR="004F1465" w:rsidRPr="00D003CC" w:rsidRDefault="004F1465" w:rsidP="00FD6B98">
            <w:pPr>
              <w:spacing w:before="20" w:after="20"/>
              <w:rPr>
                <w:rFonts w:cs="Times New Roman"/>
                <w:i/>
                <w:color w:val="FF0000"/>
                <w:sz w:val="20"/>
              </w:rPr>
            </w:pPr>
          </w:p>
          <w:p w14:paraId="1C32CFF6" w14:textId="77777777" w:rsidR="004F1465" w:rsidRPr="00D003CC" w:rsidRDefault="004F1465" w:rsidP="00FD6B98">
            <w:pPr>
              <w:spacing w:before="20" w:after="20"/>
              <w:rPr>
                <w:rFonts w:cs="Times New Roman"/>
                <w:i/>
                <w:color w:val="FF0000"/>
                <w:sz w:val="20"/>
              </w:rPr>
            </w:pPr>
          </w:p>
          <w:p w14:paraId="6460D60C" w14:textId="77777777" w:rsidR="004F1465" w:rsidRPr="00D003CC" w:rsidRDefault="004F1465" w:rsidP="00FD6B98">
            <w:pPr>
              <w:spacing w:before="20" w:after="20"/>
              <w:rPr>
                <w:rFonts w:cs="Times New Roman"/>
                <w:i/>
                <w:color w:val="FF0000"/>
                <w:sz w:val="20"/>
              </w:rPr>
            </w:pPr>
          </w:p>
        </w:tc>
        <w:tc>
          <w:tcPr>
            <w:tcW w:w="1804" w:type="dxa"/>
            <w:gridSpan w:val="2"/>
          </w:tcPr>
          <w:p w14:paraId="720087B6" w14:textId="77777777" w:rsidR="004F1465" w:rsidRPr="00D003CC" w:rsidRDefault="004F1465" w:rsidP="00FD6B98">
            <w:pPr>
              <w:spacing w:before="20" w:after="20"/>
              <w:rPr>
                <w:rFonts w:cs="Times New Roman"/>
                <w:sz w:val="20"/>
              </w:rPr>
            </w:pPr>
            <w:r w:rsidRPr="00D003CC">
              <w:rPr>
                <w:rFonts w:cs="Times New Roman"/>
                <w:sz w:val="20"/>
              </w:rPr>
              <w:t>MUP/UP u SARADNJI SA:</w:t>
            </w:r>
          </w:p>
          <w:p w14:paraId="19634CE7" w14:textId="77777777" w:rsidR="004F1465" w:rsidRPr="00D003CC" w:rsidRDefault="004F1465" w:rsidP="00FD6B98">
            <w:pPr>
              <w:spacing w:before="20" w:after="20"/>
              <w:rPr>
                <w:rFonts w:cs="Times New Roman"/>
                <w:i/>
                <w:color w:val="FF0000"/>
                <w:sz w:val="20"/>
              </w:rPr>
            </w:pPr>
            <w:r w:rsidRPr="00D003CC">
              <w:rPr>
                <w:rFonts w:cs="Times New Roman"/>
                <w:sz w:val="20"/>
              </w:rPr>
              <w:t>MP,MFSS, SDT, ANB, UPIC, UIKS, MER</w:t>
            </w:r>
          </w:p>
        </w:tc>
        <w:tc>
          <w:tcPr>
            <w:tcW w:w="1693" w:type="dxa"/>
          </w:tcPr>
          <w:p w14:paraId="1189F018" w14:textId="77777777" w:rsidR="004F1465" w:rsidRPr="00D003CC" w:rsidRDefault="004F1465" w:rsidP="00FD6B98">
            <w:pPr>
              <w:spacing w:before="20" w:after="20"/>
              <w:rPr>
                <w:rFonts w:cs="Times New Roman"/>
                <w:sz w:val="20"/>
              </w:rPr>
            </w:pPr>
            <w:r w:rsidRPr="00D003CC">
              <w:rPr>
                <w:rFonts w:cs="Times New Roman"/>
                <w:sz w:val="20"/>
              </w:rPr>
              <w:t>II Q 2022</w:t>
            </w:r>
          </w:p>
          <w:p w14:paraId="73CC88B4" w14:textId="77777777" w:rsidR="004F1465" w:rsidRPr="00D003CC" w:rsidRDefault="004F1465" w:rsidP="00FD6B98">
            <w:pPr>
              <w:spacing w:before="20" w:after="20"/>
              <w:rPr>
                <w:rFonts w:cs="Times New Roman"/>
                <w:sz w:val="20"/>
              </w:rPr>
            </w:pPr>
          </w:p>
          <w:p w14:paraId="4C500DF2" w14:textId="3244194A" w:rsidR="004F1465" w:rsidRPr="00D003CC" w:rsidRDefault="004F1465" w:rsidP="00FD6B98">
            <w:pPr>
              <w:spacing w:before="20" w:after="20"/>
              <w:rPr>
                <w:rFonts w:cs="Times New Roman"/>
                <w:color w:val="FF0000"/>
                <w:sz w:val="20"/>
              </w:rPr>
            </w:pPr>
          </w:p>
        </w:tc>
        <w:tc>
          <w:tcPr>
            <w:tcW w:w="2085" w:type="dxa"/>
          </w:tcPr>
          <w:p w14:paraId="3633EA4F" w14:textId="77777777" w:rsidR="004F1465" w:rsidRPr="00D003CC" w:rsidRDefault="004F1465" w:rsidP="00FD6B98">
            <w:pPr>
              <w:spacing w:before="20" w:after="20"/>
              <w:rPr>
                <w:rFonts w:cs="Times New Roman"/>
                <w:b/>
                <w:color w:val="FF0000"/>
                <w:sz w:val="20"/>
              </w:rPr>
            </w:pPr>
            <w:r w:rsidRPr="00D003CC">
              <w:rPr>
                <w:rFonts w:cs="Times New Roman"/>
                <w:b/>
                <w:i/>
                <w:sz w:val="20"/>
              </w:rPr>
              <w:t>Za utvrđivanje procjene uticaja propisa će biti urađena RIA.</w:t>
            </w:r>
          </w:p>
        </w:tc>
        <w:tc>
          <w:tcPr>
            <w:tcW w:w="1366" w:type="dxa"/>
            <w:gridSpan w:val="2"/>
          </w:tcPr>
          <w:p w14:paraId="00B0BA09" w14:textId="77777777" w:rsidR="004F1465" w:rsidRPr="00D003CC" w:rsidRDefault="004F1465" w:rsidP="00FD6B98">
            <w:pPr>
              <w:spacing w:before="20" w:after="20"/>
              <w:rPr>
                <w:rFonts w:cs="Times New Roman"/>
                <w:b/>
                <w:i/>
                <w:color w:val="FF0000"/>
                <w:sz w:val="20"/>
              </w:rPr>
            </w:pPr>
            <w:r w:rsidRPr="00D003CC">
              <w:rPr>
                <w:rFonts w:cs="Times New Roman"/>
                <w:sz w:val="20"/>
              </w:rPr>
              <w:t>Budžet, IPA, Fond Norveške ambasade, Amasada SAD - ICITAP</w:t>
            </w:r>
          </w:p>
        </w:tc>
        <w:tc>
          <w:tcPr>
            <w:tcW w:w="2385" w:type="dxa"/>
          </w:tcPr>
          <w:p w14:paraId="16DD9CE0" w14:textId="77777777" w:rsidR="004F1465" w:rsidRPr="00D003CC" w:rsidRDefault="004F1465" w:rsidP="00FD6B98">
            <w:pPr>
              <w:spacing w:before="20" w:after="20"/>
              <w:rPr>
                <w:rFonts w:cs="Times New Roman"/>
                <w:sz w:val="20"/>
              </w:rPr>
            </w:pPr>
            <w:r w:rsidRPr="00D003CC">
              <w:rPr>
                <w:rFonts w:cs="Times New Roman"/>
                <w:sz w:val="20"/>
              </w:rPr>
              <w:t>Usvajanjem prve Nacionalne strategije  za borbu protiv</w:t>
            </w:r>
          </w:p>
          <w:p w14:paraId="4ED7FA4B" w14:textId="77777777" w:rsidR="004F1465" w:rsidRPr="00D003CC" w:rsidRDefault="004F1465" w:rsidP="00FD6B98">
            <w:pPr>
              <w:spacing w:before="20" w:after="20"/>
              <w:rPr>
                <w:rFonts w:cs="Times New Roman"/>
                <w:sz w:val="20"/>
              </w:rPr>
            </w:pPr>
            <w:r w:rsidRPr="00D003CC">
              <w:rPr>
                <w:rFonts w:cs="Times New Roman"/>
                <w:sz w:val="20"/>
              </w:rPr>
              <w:t>Transnacionalnog organizovanog kriminala 2022-2025, s Akcionim planom za 2022-2023 će se ujedno usvojiti i sveobuhvatna strategija koja se primjenjuje na sve vladine agencije i organizacije.Ovom sveobuhvatnom Strategijom Vlada prepoznaje činjenicu da borba sa transnacionalnim organizovanim kriminalom traži napor cijele vlade u bliskoj koordinaciji sa međunarodnim partnerima. Ova strategija treba da bude smjernica za naše napore i da služi kao izraz političke volje da energično/snažno radimo protiv transnacionalnog organizovanog kriminala.</w:t>
            </w:r>
          </w:p>
        </w:tc>
      </w:tr>
    </w:tbl>
    <w:p w14:paraId="6738F45F" w14:textId="77777777" w:rsidR="00F268FE" w:rsidRDefault="00F268FE">
      <w:pPr>
        <w:rPr>
          <w:rFonts w:ascii="Arial" w:hAnsi="Arial" w:cs="Arial"/>
          <w:b/>
          <w:sz w:val="20"/>
          <w:szCs w:val="20"/>
        </w:rPr>
      </w:pPr>
      <w:r>
        <w:rPr>
          <w:rFonts w:ascii="Arial" w:hAnsi="Arial" w:cs="Arial"/>
          <w:b/>
          <w:sz w:val="20"/>
          <w:szCs w:val="20"/>
        </w:rPr>
        <w:br w:type="page"/>
      </w:r>
    </w:p>
    <w:tbl>
      <w:tblPr>
        <w:tblStyle w:val="TableGrid1"/>
        <w:tblW w:w="14886" w:type="dxa"/>
        <w:tblInd w:w="-856" w:type="dxa"/>
        <w:tblLook w:val="04A0" w:firstRow="1" w:lastRow="0" w:firstColumn="1" w:lastColumn="0" w:noHBand="0" w:noVBand="1"/>
      </w:tblPr>
      <w:tblGrid>
        <w:gridCol w:w="447"/>
        <w:gridCol w:w="139"/>
        <w:gridCol w:w="2012"/>
        <w:gridCol w:w="2066"/>
        <w:gridCol w:w="1843"/>
        <w:gridCol w:w="2400"/>
        <w:gridCol w:w="1945"/>
        <w:gridCol w:w="1941"/>
        <w:gridCol w:w="2093"/>
      </w:tblGrid>
      <w:tr w:rsidR="00383886" w:rsidRPr="00383886" w14:paraId="5871F013" w14:textId="77777777" w:rsidTr="00FD6B98">
        <w:tc>
          <w:tcPr>
            <w:tcW w:w="2598" w:type="dxa"/>
            <w:gridSpan w:val="3"/>
            <w:shd w:val="clear" w:color="auto" w:fill="D5DCE4" w:themeFill="text2" w:themeFillTint="33"/>
          </w:tcPr>
          <w:p w14:paraId="0F03C7B1" w14:textId="77777777" w:rsidR="00383886" w:rsidRPr="00301973" w:rsidRDefault="00301973" w:rsidP="00301973">
            <w:pPr>
              <w:spacing w:before="40" w:after="40"/>
              <w:jc w:val="center"/>
              <w:rPr>
                <w:rFonts w:cs="Arial"/>
                <w:b/>
                <w:szCs w:val="24"/>
              </w:rPr>
            </w:pPr>
            <w:r w:rsidRPr="00301973">
              <w:rPr>
                <w:rFonts w:cs="Arial"/>
                <w:b/>
                <w:szCs w:val="24"/>
              </w:rPr>
              <w:lastRenderedPageBreak/>
              <w:t>PRIORITET 2</w:t>
            </w:r>
          </w:p>
        </w:tc>
        <w:tc>
          <w:tcPr>
            <w:tcW w:w="12288" w:type="dxa"/>
            <w:gridSpan w:val="6"/>
            <w:shd w:val="clear" w:color="auto" w:fill="D5DCE4" w:themeFill="text2" w:themeFillTint="33"/>
          </w:tcPr>
          <w:p w14:paraId="1F108959" w14:textId="77777777" w:rsidR="00383886" w:rsidRPr="00301973" w:rsidRDefault="00301973" w:rsidP="00FD6B98">
            <w:pPr>
              <w:spacing w:before="40" w:after="40"/>
              <w:jc w:val="both"/>
              <w:rPr>
                <w:rFonts w:cs="Arial"/>
                <w:b/>
                <w:szCs w:val="24"/>
              </w:rPr>
            </w:pPr>
            <w:r w:rsidRPr="00301973">
              <w:rPr>
                <w:rFonts w:cs="Arial"/>
                <w:b/>
                <w:szCs w:val="24"/>
                <w:lang w:val="sr-Latn-RS"/>
              </w:rPr>
              <w:t>ZDRAVE FINANSIJE I EKONOMSKI RAZVOJ</w:t>
            </w:r>
          </w:p>
        </w:tc>
      </w:tr>
      <w:tr w:rsidR="00383886" w:rsidRPr="00383886" w14:paraId="03A6791B" w14:textId="77777777" w:rsidTr="00FD6B98">
        <w:tc>
          <w:tcPr>
            <w:tcW w:w="2598" w:type="dxa"/>
            <w:gridSpan w:val="3"/>
            <w:shd w:val="clear" w:color="auto" w:fill="D5DCE4" w:themeFill="text2" w:themeFillTint="33"/>
          </w:tcPr>
          <w:p w14:paraId="2613F374" w14:textId="77777777" w:rsidR="00383886" w:rsidRPr="00383886" w:rsidRDefault="00383886" w:rsidP="00FD6B98">
            <w:pPr>
              <w:spacing w:before="40" w:after="40"/>
              <w:jc w:val="both"/>
              <w:rPr>
                <w:rFonts w:cs="Arial"/>
                <w:b/>
                <w:sz w:val="20"/>
              </w:rPr>
            </w:pPr>
            <w:bookmarkStart w:id="11" w:name="_Hlk89629081"/>
          </w:p>
          <w:p w14:paraId="666F67DB" w14:textId="77777777" w:rsidR="00383886" w:rsidRPr="00383886" w:rsidRDefault="00383886" w:rsidP="00A80EEE">
            <w:pPr>
              <w:spacing w:before="40" w:after="40"/>
              <w:jc w:val="center"/>
              <w:rPr>
                <w:rFonts w:cs="Arial"/>
                <w:b/>
                <w:sz w:val="20"/>
              </w:rPr>
            </w:pPr>
            <w:r w:rsidRPr="00383886">
              <w:rPr>
                <w:rFonts w:cs="Arial"/>
                <w:b/>
                <w:sz w:val="20"/>
              </w:rPr>
              <w:t xml:space="preserve">Cilj </w:t>
            </w:r>
            <w:r w:rsidR="005D3BC5">
              <w:rPr>
                <w:rFonts w:cs="Arial"/>
                <w:b/>
                <w:sz w:val="20"/>
              </w:rPr>
              <w:t>2.</w:t>
            </w:r>
            <w:r w:rsidRPr="00383886">
              <w:rPr>
                <w:rFonts w:cs="Arial"/>
                <w:b/>
                <w:sz w:val="20"/>
              </w:rPr>
              <w:t>1</w:t>
            </w:r>
            <w:r w:rsidR="005D3BC5">
              <w:rPr>
                <w:rFonts w:cs="Arial"/>
                <w:b/>
                <w:sz w:val="20"/>
              </w:rPr>
              <w:t>.</w:t>
            </w:r>
          </w:p>
        </w:tc>
        <w:tc>
          <w:tcPr>
            <w:tcW w:w="12288" w:type="dxa"/>
            <w:gridSpan w:val="6"/>
            <w:shd w:val="clear" w:color="auto" w:fill="D5DCE4" w:themeFill="text2" w:themeFillTint="33"/>
          </w:tcPr>
          <w:p w14:paraId="5AF017AC" w14:textId="77777777" w:rsidR="00383886" w:rsidRPr="00383886" w:rsidRDefault="00383886" w:rsidP="00FD6B98">
            <w:pPr>
              <w:spacing w:before="40" w:after="40"/>
              <w:jc w:val="both"/>
              <w:rPr>
                <w:rFonts w:cs="Arial"/>
                <w:b/>
                <w:sz w:val="20"/>
                <w:lang w:val="sr-Latn-RS"/>
              </w:rPr>
            </w:pPr>
          </w:p>
          <w:p w14:paraId="47C8F687" w14:textId="77777777" w:rsidR="00383886" w:rsidRPr="00383886" w:rsidRDefault="00383886" w:rsidP="00FD6B98">
            <w:pPr>
              <w:spacing w:before="40" w:after="40"/>
              <w:jc w:val="both"/>
              <w:rPr>
                <w:rFonts w:cs="Arial"/>
                <w:b/>
                <w:sz w:val="20"/>
                <w:lang w:val="sr-Latn-RS"/>
              </w:rPr>
            </w:pPr>
            <w:r w:rsidRPr="00383886">
              <w:rPr>
                <w:rFonts w:cs="Arial"/>
                <w:b/>
                <w:sz w:val="20"/>
                <w:lang w:val="sr-Latn-RS"/>
              </w:rPr>
              <w:t>Jačanje makroekonomske stabilnosti</w:t>
            </w:r>
          </w:p>
        </w:tc>
      </w:tr>
      <w:tr w:rsidR="00383886" w:rsidRPr="00383886" w14:paraId="65FBED04" w14:textId="77777777" w:rsidTr="00FD6B98">
        <w:tc>
          <w:tcPr>
            <w:tcW w:w="2598" w:type="dxa"/>
            <w:gridSpan w:val="3"/>
            <w:shd w:val="clear" w:color="auto" w:fill="DAF2F6"/>
            <w:vAlign w:val="center"/>
          </w:tcPr>
          <w:p w14:paraId="2480AF0B" w14:textId="77777777" w:rsidR="00383886" w:rsidRPr="00383886" w:rsidRDefault="00383886" w:rsidP="00FD6B98">
            <w:pPr>
              <w:spacing w:line="276" w:lineRule="auto"/>
              <w:jc w:val="both"/>
              <w:rPr>
                <w:rFonts w:cs="Arial"/>
                <w:b/>
                <w:bCs/>
                <w:i/>
                <w:color w:val="000000"/>
                <w:sz w:val="20"/>
                <w:lang w:val="sr-Latn-RS"/>
              </w:rPr>
            </w:pPr>
            <w:r w:rsidRPr="00383886">
              <w:rPr>
                <w:rFonts w:cs="Arial"/>
                <w:b/>
                <w:sz w:val="20"/>
              </w:rPr>
              <w:t>Indikator učinka</w:t>
            </w:r>
          </w:p>
        </w:tc>
        <w:tc>
          <w:tcPr>
            <w:tcW w:w="2066" w:type="dxa"/>
            <w:shd w:val="clear" w:color="auto" w:fill="DAF2F6"/>
            <w:vAlign w:val="center"/>
          </w:tcPr>
          <w:p w14:paraId="77C7EF3E" w14:textId="77777777" w:rsidR="00383886" w:rsidRPr="00383886" w:rsidRDefault="00383886" w:rsidP="00FD6B98">
            <w:pPr>
              <w:spacing w:before="40" w:after="40"/>
              <w:jc w:val="center"/>
              <w:rPr>
                <w:rFonts w:cs="Arial"/>
                <w:sz w:val="20"/>
              </w:rPr>
            </w:pPr>
            <w:r w:rsidRPr="00383886">
              <w:rPr>
                <w:rFonts w:cs="Arial"/>
                <w:b/>
                <w:sz w:val="20"/>
              </w:rPr>
              <w:t>Polazna vrijednost – 2021.</w:t>
            </w:r>
            <w:r w:rsidRPr="00383886">
              <w:rPr>
                <w:rStyle w:val="FootnoteReference"/>
                <w:rFonts w:cs="Arial"/>
                <w:b/>
                <w:sz w:val="20"/>
              </w:rPr>
              <w:footnoteReference w:id="11"/>
            </w:r>
          </w:p>
        </w:tc>
        <w:tc>
          <w:tcPr>
            <w:tcW w:w="1843" w:type="dxa"/>
            <w:shd w:val="clear" w:color="auto" w:fill="DAF2F6"/>
            <w:vAlign w:val="center"/>
          </w:tcPr>
          <w:p w14:paraId="4C320AD8" w14:textId="77777777" w:rsidR="00383886" w:rsidRPr="00383886" w:rsidRDefault="00383886" w:rsidP="00FD6B98">
            <w:pPr>
              <w:spacing w:before="40" w:after="40"/>
              <w:jc w:val="center"/>
              <w:rPr>
                <w:rFonts w:cs="Arial"/>
                <w:sz w:val="20"/>
              </w:rPr>
            </w:pPr>
            <w:r w:rsidRPr="00383886">
              <w:rPr>
                <w:rFonts w:cs="Arial"/>
                <w:b/>
                <w:sz w:val="20"/>
              </w:rPr>
              <w:t>Prelazna vrijednost 2022.</w:t>
            </w:r>
          </w:p>
        </w:tc>
        <w:tc>
          <w:tcPr>
            <w:tcW w:w="2400" w:type="dxa"/>
            <w:tcBorders>
              <w:bottom w:val="single" w:sz="4" w:space="0" w:color="FFFFFF" w:themeColor="background1"/>
            </w:tcBorders>
            <w:shd w:val="clear" w:color="auto" w:fill="DAF2F6"/>
            <w:vAlign w:val="center"/>
          </w:tcPr>
          <w:p w14:paraId="36D6DAE8" w14:textId="77777777" w:rsidR="00383886" w:rsidRPr="00383886" w:rsidRDefault="00383886" w:rsidP="00FD6B98">
            <w:pPr>
              <w:spacing w:before="40" w:after="40"/>
              <w:jc w:val="center"/>
              <w:rPr>
                <w:rFonts w:cs="Arial"/>
                <w:b/>
                <w:sz w:val="20"/>
              </w:rPr>
            </w:pPr>
            <w:r w:rsidRPr="00383886">
              <w:rPr>
                <w:rFonts w:cs="Arial"/>
                <w:b/>
                <w:sz w:val="20"/>
              </w:rPr>
              <w:t>Prelazna vrijednost –</w:t>
            </w:r>
          </w:p>
          <w:p w14:paraId="6B98D956" w14:textId="77777777" w:rsidR="00383886" w:rsidRPr="00383886" w:rsidRDefault="00383886" w:rsidP="00FD6B98">
            <w:pPr>
              <w:spacing w:before="40" w:after="40"/>
              <w:jc w:val="center"/>
              <w:rPr>
                <w:rFonts w:cs="Arial"/>
                <w:sz w:val="20"/>
              </w:rPr>
            </w:pPr>
            <w:r w:rsidRPr="00383886">
              <w:rPr>
                <w:rFonts w:cs="Arial"/>
                <w:b/>
                <w:sz w:val="20"/>
              </w:rPr>
              <w:t>2023.</w:t>
            </w:r>
          </w:p>
        </w:tc>
        <w:tc>
          <w:tcPr>
            <w:tcW w:w="5979" w:type="dxa"/>
            <w:gridSpan w:val="3"/>
            <w:tcBorders>
              <w:bottom w:val="single" w:sz="4" w:space="0" w:color="FFFFFF" w:themeColor="background1"/>
            </w:tcBorders>
            <w:shd w:val="clear" w:color="auto" w:fill="DAF2F6"/>
            <w:vAlign w:val="center"/>
          </w:tcPr>
          <w:p w14:paraId="61D69706" w14:textId="77777777" w:rsidR="00383886" w:rsidRPr="00383886" w:rsidRDefault="00383886" w:rsidP="00FD6B98">
            <w:pPr>
              <w:spacing w:before="40" w:after="40"/>
              <w:jc w:val="center"/>
              <w:rPr>
                <w:rFonts w:cs="Arial"/>
                <w:b/>
                <w:sz w:val="20"/>
              </w:rPr>
            </w:pPr>
            <w:r w:rsidRPr="00383886">
              <w:rPr>
                <w:rFonts w:cs="Arial"/>
                <w:b/>
                <w:sz w:val="20"/>
              </w:rPr>
              <w:t>Ciljna vrijednost -</w:t>
            </w:r>
          </w:p>
          <w:p w14:paraId="006CB8D8" w14:textId="77777777" w:rsidR="00383886" w:rsidRPr="00383886" w:rsidRDefault="00383886" w:rsidP="00FD6B98">
            <w:pPr>
              <w:spacing w:before="40" w:after="40"/>
              <w:jc w:val="center"/>
              <w:rPr>
                <w:rFonts w:cs="Arial"/>
                <w:sz w:val="20"/>
              </w:rPr>
            </w:pPr>
            <w:r w:rsidRPr="00383886">
              <w:rPr>
                <w:rFonts w:cs="Arial"/>
                <w:b/>
                <w:sz w:val="20"/>
              </w:rPr>
              <w:t xml:space="preserve"> 2024.</w:t>
            </w:r>
          </w:p>
        </w:tc>
      </w:tr>
      <w:tr w:rsidR="00383886" w:rsidRPr="00383886" w14:paraId="07C17C1F" w14:textId="77777777" w:rsidTr="00FD6B98">
        <w:tc>
          <w:tcPr>
            <w:tcW w:w="2598" w:type="dxa"/>
            <w:gridSpan w:val="3"/>
            <w:shd w:val="clear" w:color="auto" w:fill="DAF2F6"/>
            <w:vAlign w:val="center"/>
          </w:tcPr>
          <w:p w14:paraId="0CC0954A" w14:textId="77777777" w:rsidR="00383886" w:rsidRPr="00A80EEE" w:rsidRDefault="00383886" w:rsidP="00FD6B98">
            <w:pPr>
              <w:spacing w:line="276" w:lineRule="auto"/>
              <w:jc w:val="both"/>
              <w:rPr>
                <w:rFonts w:cs="Arial"/>
                <w:bCs/>
                <w:iCs/>
                <w:color w:val="000000"/>
                <w:sz w:val="20"/>
                <w:lang w:val="sr-Latn-RS"/>
              </w:rPr>
            </w:pPr>
            <w:r w:rsidRPr="00A80EEE">
              <w:rPr>
                <w:rFonts w:cs="Arial"/>
                <w:bCs/>
                <w:iCs/>
                <w:color w:val="000000"/>
                <w:sz w:val="20"/>
                <w:lang w:val="sr-Latn-RS"/>
              </w:rPr>
              <w:t xml:space="preserve">(Bruto domaći proizvod) </w:t>
            </w:r>
          </w:p>
          <w:p w14:paraId="532BE6DD" w14:textId="77777777" w:rsidR="00383886" w:rsidRPr="00A80EEE" w:rsidRDefault="00383886" w:rsidP="00FD6B98">
            <w:pPr>
              <w:spacing w:line="276" w:lineRule="auto"/>
              <w:jc w:val="both"/>
              <w:rPr>
                <w:rFonts w:cs="Arial"/>
                <w:bCs/>
                <w:iCs/>
                <w:color w:val="000000"/>
                <w:sz w:val="20"/>
                <w:lang w:val="sr-Latn-RS"/>
              </w:rPr>
            </w:pPr>
          </w:p>
          <w:p w14:paraId="564481DA" w14:textId="77777777" w:rsidR="00383886" w:rsidRPr="00A80EEE" w:rsidRDefault="00383886" w:rsidP="00FD6B98">
            <w:pPr>
              <w:spacing w:line="276" w:lineRule="auto"/>
              <w:jc w:val="both"/>
              <w:rPr>
                <w:rFonts w:cs="Arial"/>
                <w:iCs/>
                <w:sz w:val="20"/>
              </w:rPr>
            </w:pPr>
            <w:r w:rsidRPr="00A80EEE">
              <w:rPr>
                <w:rFonts w:cs="Arial"/>
                <w:bCs/>
                <w:iCs/>
                <w:color w:val="000000"/>
                <w:sz w:val="20"/>
                <w:lang w:val="sr-Latn-RS"/>
              </w:rPr>
              <w:t>Stopa realnog rasta ekonomije (u %)</w:t>
            </w:r>
          </w:p>
        </w:tc>
        <w:tc>
          <w:tcPr>
            <w:tcW w:w="2066" w:type="dxa"/>
            <w:shd w:val="clear" w:color="auto" w:fill="DAF2F6"/>
            <w:vAlign w:val="center"/>
          </w:tcPr>
          <w:p w14:paraId="1D3672AC" w14:textId="77777777" w:rsidR="00383886" w:rsidRPr="00A80EEE" w:rsidRDefault="00383886" w:rsidP="00F27DB4">
            <w:pPr>
              <w:spacing w:before="40" w:after="40"/>
              <w:jc w:val="center"/>
              <w:rPr>
                <w:rFonts w:cs="Arial"/>
                <w:sz w:val="20"/>
              </w:rPr>
            </w:pPr>
            <w:r w:rsidRPr="00A80EEE">
              <w:rPr>
                <w:rFonts w:cs="Arial"/>
                <w:sz w:val="20"/>
              </w:rPr>
              <w:t>4881.3 mil.€ (Nominalni BDP)</w:t>
            </w:r>
          </w:p>
          <w:p w14:paraId="4CD9E83B" w14:textId="77777777" w:rsidR="00383886" w:rsidRPr="00A80EEE" w:rsidRDefault="00383886" w:rsidP="00F27DB4">
            <w:pPr>
              <w:spacing w:before="40" w:after="40"/>
              <w:jc w:val="center"/>
              <w:rPr>
                <w:rFonts w:cs="Arial"/>
                <w:sz w:val="20"/>
              </w:rPr>
            </w:pPr>
          </w:p>
          <w:p w14:paraId="5EAEFEAA" w14:textId="77777777" w:rsidR="00383886" w:rsidRPr="00A80EEE" w:rsidRDefault="00383886" w:rsidP="00F27DB4">
            <w:pPr>
              <w:spacing w:before="40" w:after="40"/>
              <w:jc w:val="center"/>
              <w:rPr>
                <w:rFonts w:cs="Arial"/>
                <w:sz w:val="20"/>
              </w:rPr>
            </w:pPr>
            <w:r w:rsidRPr="00A80EEE">
              <w:rPr>
                <w:rFonts w:cs="Arial"/>
                <w:sz w:val="20"/>
              </w:rPr>
              <w:t>13,4</w:t>
            </w:r>
          </w:p>
        </w:tc>
        <w:tc>
          <w:tcPr>
            <w:tcW w:w="1843" w:type="dxa"/>
            <w:shd w:val="clear" w:color="auto" w:fill="DAF2F6"/>
            <w:vAlign w:val="center"/>
          </w:tcPr>
          <w:p w14:paraId="7A6CBAC9" w14:textId="77777777" w:rsidR="00383886" w:rsidRPr="00A80EEE" w:rsidRDefault="00383886" w:rsidP="00F27DB4">
            <w:pPr>
              <w:spacing w:before="40" w:after="40"/>
              <w:jc w:val="center"/>
              <w:rPr>
                <w:rFonts w:cs="Arial"/>
                <w:sz w:val="20"/>
              </w:rPr>
            </w:pPr>
          </w:p>
          <w:p w14:paraId="3846BAF7" w14:textId="77777777" w:rsidR="00383886" w:rsidRPr="00A80EEE" w:rsidRDefault="00383886" w:rsidP="00F27DB4">
            <w:pPr>
              <w:spacing w:before="40" w:after="40"/>
              <w:jc w:val="center"/>
              <w:rPr>
                <w:rFonts w:cs="Arial"/>
                <w:sz w:val="20"/>
              </w:rPr>
            </w:pPr>
          </w:p>
          <w:p w14:paraId="0C7F58A5" w14:textId="77777777" w:rsidR="00383886" w:rsidRPr="00A80EEE" w:rsidRDefault="00383886" w:rsidP="00F27DB4">
            <w:pPr>
              <w:spacing w:before="40" w:after="40"/>
              <w:jc w:val="center"/>
              <w:rPr>
                <w:rFonts w:cs="Arial"/>
                <w:sz w:val="20"/>
              </w:rPr>
            </w:pPr>
          </w:p>
          <w:p w14:paraId="0C786D4A" w14:textId="77777777" w:rsidR="00383886" w:rsidRPr="00A80EEE" w:rsidRDefault="00383886" w:rsidP="00F27DB4">
            <w:pPr>
              <w:spacing w:before="40" w:after="40"/>
              <w:jc w:val="center"/>
              <w:rPr>
                <w:rFonts w:cs="Arial"/>
                <w:sz w:val="20"/>
              </w:rPr>
            </w:pPr>
            <w:r w:rsidRPr="00A80EEE">
              <w:rPr>
                <w:rFonts w:cs="Arial"/>
                <w:sz w:val="20"/>
              </w:rPr>
              <w:t>6,4</w:t>
            </w:r>
          </w:p>
        </w:tc>
        <w:tc>
          <w:tcPr>
            <w:tcW w:w="2400" w:type="dxa"/>
            <w:shd w:val="clear" w:color="auto" w:fill="DAF2F6"/>
            <w:vAlign w:val="center"/>
          </w:tcPr>
          <w:p w14:paraId="03055DF8" w14:textId="77777777" w:rsidR="00383886" w:rsidRPr="00A80EEE" w:rsidRDefault="00383886" w:rsidP="00F27DB4">
            <w:pPr>
              <w:spacing w:before="40" w:after="40"/>
              <w:jc w:val="center"/>
              <w:rPr>
                <w:rFonts w:cs="Arial"/>
                <w:sz w:val="20"/>
              </w:rPr>
            </w:pPr>
          </w:p>
          <w:p w14:paraId="7FF29B67" w14:textId="77777777" w:rsidR="00383886" w:rsidRPr="00A80EEE" w:rsidRDefault="00383886" w:rsidP="00F27DB4">
            <w:pPr>
              <w:spacing w:before="40" w:after="40"/>
              <w:jc w:val="center"/>
              <w:rPr>
                <w:rFonts w:cs="Arial"/>
                <w:sz w:val="20"/>
              </w:rPr>
            </w:pPr>
          </w:p>
          <w:p w14:paraId="1940B3FC" w14:textId="77777777" w:rsidR="00383886" w:rsidRPr="00A80EEE" w:rsidRDefault="00383886" w:rsidP="00F27DB4">
            <w:pPr>
              <w:spacing w:before="40" w:after="40"/>
              <w:jc w:val="center"/>
              <w:rPr>
                <w:rFonts w:cs="Arial"/>
                <w:sz w:val="20"/>
              </w:rPr>
            </w:pPr>
          </w:p>
          <w:p w14:paraId="624594CD" w14:textId="77777777" w:rsidR="00383886" w:rsidRPr="00A80EEE" w:rsidRDefault="00383886" w:rsidP="00F27DB4">
            <w:pPr>
              <w:spacing w:before="40" w:after="40"/>
              <w:jc w:val="center"/>
              <w:rPr>
                <w:rFonts w:cs="Arial"/>
                <w:sz w:val="20"/>
              </w:rPr>
            </w:pPr>
            <w:r w:rsidRPr="00A80EEE">
              <w:rPr>
                <w:rFonts w:cs="Arial"/>
                <w:sz w:val="20"/>
              </w:rPr>
              <w:t>5,1</w:t>
            </w:r>
          </w:p>
        </w:tc>
        <w:tc>
          <w:tcPr>
            <w:tcW w:w="5979" w:type="dxa"/>
            <w:gridSpan w:val="3"/>
            <w:shd w:val="clear" w:color="auto" w:fill="DAF2F6"/>
            <w:vAlign w:val="center"/>
          </w:tcPr>
          <w:p w14:paraId="226A568A" w14:textId="77777777" w:rsidR="00383886" w:rsidRPr="00A80EEE" w:rsidRDefault="00383886" w:rsidP="00F27DB4">
            <w:pPr>
              <w:spacing w:before="40" w:after="40"/>
              <w:jc w:val="center"/>
              <w:rPr>
                <w:rFonts w:cs="Arial"/>
                <w:sz w:val="20"/>
              </w:rPr>
            </w:pPr>
          </w:p>
          <w:p w14:paraId="6486AC58" w14:textId="77777777" w:rsidR="00383886" w:rsidRPr="00A80EEE" w:rsidRDefault="00383886" w:rsidP="00F27DB4">
            <w:pPr>
              <w:spacing w:before="40" w:after="40"/>
              <w:jc w:val="center"/>
              <w:rPr>
                <w:rFonts w:cs="Arial"/>
                <w:sz w:val="20"/>
              </w:rPr>
            </w:pPr>
          </w:p>
          <w:p w14:paraId="1D8E9F5C" w14:textId="77777777" w:rsidR="00383886" w:rsidRPr="00A80EEE" w:rsidRDefault="00383886" w:rsidP="00F27DB4">
            <w:pPr>
              <w:spacing w:before="40" w:after="40"/>
              <w:jc w:val="center"/>
              <w:rPr>
                <w:rFonts w:cs="Arial"/>
                <w:sz w:val="20"/>
              </w:rPr>
            </w:pPr>
          </w:p>
          <w:p w14:paraId="03845BC6" w14:textId="77777777" w:rsidR="00383886" w:rsidRPr="00A80EEE" w:rsidRDefault="00383886" w:rsidP="00F27DB4">
            <w:pPr>
              <w:spacing w:before="40" w:after="40"/>
              <w:jc w:val="center"/>
              <w:rPr>
                <w:rFonts w:cs="Arial"/>
                <w:sz w:val="20"/>
              </w:rPr>
            </w:pPr>
            <w:r w:rsidRPr="00A80EEE">
              <w:rPr>
                <w:rFonts w:cs="Arial"/>
                <w:sz w:val="20"/>
              </w:rPr>
              <w:t>4,5</w:t>
            </w:r>
          </w:p>
        </w:tc>
      </w:tr>
      <w:tr w:rsidR="00383886" w:rsidRPr="00383886" w14:paraId="3D8F168F" w14:textId="77777777" w:rsidTr="00FD6B98">
        <w:tc>
          <w:tcPr>
            <w:tcW w:w="2598" w:type="dxa"/>
            <w:gridSpan w:val="3"/>
            <w:shd w:val="clear" w:color="auto" w:fill="DAF2F6"/>
            <w:vAlign w:val="center"/>
          </w:tcPr>
          <w:p w14:paraId="24C365CA" w14:textId="77777777" w:rsidR="00383886" w:rsidRPr="00A80EEE" w:rsidRDefault="00383886" w:rsidP="00FD6B98">
            <w:pPr>
              <w:spacing w:line="276" w:lineRule="auto"/>
              <w:jc w:val="both"/>
              <w:rPr>
                <w:rFonts w:cs="Arial"/>
                <w:iCs/>
                <w:sz w:val="20"/>
              </w:rPr>
            </w:pPr>
            <w:r w:rsidRPr="00A80EEE">
              <w:rPr>
                <w:rFonts w:cs="Arial"/>
                <w:bCs/>
                <w:iCs/>
                <w:color w:val="000000"/>
                <w:sz w:val="20"/>
                <w:lang w:val="sr-Latn-RS"/>
              </w:rPr>
              <w:t xml:space="preserve">Prosječna stopa inflacije </w:t>
            </w:r>
          </w:p>
        </w:tc>
        <w:tc>
          <w:tcPr>
            <w:tcW w:w="2066" w:type="dxa"/>
            <w:shd w:val="clear" w:color="auto" w:fill="DAF2F6"/>
            <w:vAlign w:val="center"/>
          </w:tcPr>
          <w:p w14:paraId="7724B685" w14:textId="77777777" w:rsidR="00383886" w:rsidRPr="00A80EEE" w:rsidRDefault="00383886" w:rsidP="00F27DB4">
            <w:pPr>
              <w:spacing w:before="40" w:after="40"/>
              <w:jc w:val="center"/>
              <w:rPr>
                <w:rFonts w:cs="Arial"/>
                <w:sz w:val="20"/>
              </w:rPr>
            </w:pPr>
            <w:r w:rsidRPr="00A80EEE">
              <w:rPr>
                <w:rFonts w:cs="Arial"/>
                <w:sz w:val="20"/>
              </w:rPr>
              <w:t>2,1</w:t>
            </w:r>
          </w:p>
        </w:tc>
        <w:tc>
          <w:tcPr>
            <w:tcW w:w="1843" w:type="dxa"/>
            <w:shd w:val="clear" w:color="auto" w:fill="DAF2F6"/>
            <w:vAlign w:val="center"/>
          </w:tcPr>
          <w:p w14:paraId="567AF8BD" w14:textId="77777777" w:rsidR="00383886" w:rsidRPr="00A80EEE" w:rsidRDefault="00383886" w:rsidP="00F27DB4">
            <w:pPr>
              <w:spacing w:before="40" w:after="40"/>
              <w:jc w:val="center"/>
              <w:rPr>
                <w:rFonts w:cs="Arial"/>
                <w:sz w:val="20"/>
              </w:rPr>
            </w:pPr>
            <w:r w:rsidRPr="00A80EEE">
              <w:rPr>
                <w:rFonts w:cs="Arial"/>
                <w:sz w:val="20"/>
              </w:rPr>
              <w:t>2,3</w:t>
            </w:r>
          </w:p>
        </w:tc>
        <w:tc>
          <w:tcPr>
            <w:tcW w:w="2400" w:type="dxa"/>
            <w:shd w:val="clear" w:color="auto" w:fill="DAF2F6"/>
            <w:vAlign w:val="center"/>
          </w:tcPr>
          <w:p w14:paraId="46A53E35" w14:textId="77777777" w:rsidR="00383886" w:rsidRPr="00A80EEE" w:rsidRDefault="00383886" w:rsidP="00F27DB4">
            <w:pPr>
              <w:spacing w:before="40" w:after="40"/>
              <w:jc w:val="center"/>
              <w:rPr>
                <w:rFonts w:cs="Arial"/>
                <w:sz w:val="20"/>
              </w:rPr>
            </w:pPr>
            <w:r w:rsidRPr="00A80EEE">
              <w:rPr>
                <w:rFonts w:cs="Arial"/>
                <w:sz w:val="20"/>
              </w:rPr>
              <w:t>1,8</w:t>
            </w:r>
          </w:p>
        </w:tc>
        <w:tc>
          <w:tcPr>
            <w:tcW w:w="5979" w:type="dxa"/>
            <w:gridSpan w:val="3"/>
            <w:shd w:val="clear" w:color="auto" w:fill="DAF2F6"/>
            <w:vAlign w:val="center"/>
          </w:tcPr>
          <w:p w14:paraId="4C503F09" w14:textId="77777777" w:rsidR="00383886" w:rsidRPr="00A80EEE" w:rsidRDefault="00383886" w:rsidP="00F27DB4">
            <w:pPr>
              <w:spacing w:before="40" w:after="40"/>
              <w:jc w:val="center"/>
              <w:rPr>
                <w:rFonts w:cs="Arial"/>
                <w:sz w:val="20"/>
              </w:rPr>
            </w:pPr>
            <w:r w:rsidRPr="00A80EEE">
              <w:rPr>
                <w:rFonts w:cs="Arial"/>
                <w:sz w:val="20"/>
              </w:rPr>
              <w:t>1,6</w:t>
            </w:r>
          </w:p>
        </w:tc>
      </w:tr>
      <w:tr w:rsidR="00383886" w:rsidRPr="00383886" w14:paraId="0D4FABED" w14:textId="77777777" w:rsidTr="00FD6B98">
        <w:tc>
          <w:tcPr>
            <w:tcW w:w="2598" w:type="dxa"/>
            <w:gridSpan w:val="3"/>
            <w:shd w:val="clear" w:color="auto" w:fill="DAF2F6"/>
            <w:vAlign w:val="center"/>
          </w:tcPr>
          <w:p w14:paraId="35614112" w14:textId="77777777" w:rsidR="00383886" w:rsidRPr="00A80EEE" w:rsidRDefault="00383886" w:rsidP="00FD6B98">
            <w:pPr>
              <w:spacing w:before="40" w:after="40"/>
              <w:jc w:val="both"/>
              <w:rPr>
                <w:rFonts w:cs="Arial"/>
                <w:iCs/>
                <w:sz w:val="20"/>
              </w:rPr>
            </w:pPr>
            <w:r w:rsidRPr="00A80EEE">
              <w:rPr>
                <w:rFonts w:cs="Arial"/>
                <w:bCs/>
                <w:iCs/>
                <w:color w:val="000000"/>
                <w:sz w:val="20"/>
                <w:lang w:val="sr-Latn-RS"/>
              </w:rPr>
              <w:t>Broj zaposlenih</w:t>
            </w:r>
          </w:p>
        </w:tc>
        <w:tc>
          <w:tcPr>
            <w:tcW w:w="2066" w:type="dxa"/>
            <w:shd w:val="clear" w:color="auto" w:fill="DAF2F6"/>
            <w:vAlign w:val="center"/>
          </w:tcPr>
          <w:p w14:paraId="6F0A1033" w14:textId="77777777" w:rsidR="00383886" w:rsidRPr="00A80EEE" w:rsidRDefault="00383886" w:rsidP="00FD6B98">
            <w:pPr>
              <w:spacing w:before="40" w:after="40"/>
              <w:jc w:val="center"/>
              <w:rPr>
                <w:rFonts w:cs="Arial"/>
                <w:sz w:val="20"/>
              </w:rPr>
            </w:pPr>
            <w:r w:rsidRPr="00A80EEE">
              <w:rPr>
                <w:rFonts w:cs="Arial"/>
                <w:sz w:val="20"/>
              </w:rPr>
              <w:t>230.000</w:t>
            </w:r>
          </w:p>
        </w:tc>
        <w:tc>
          <w:tcPr>
            <w:tcW w:w="10222" w:type="dxa"/>
            <w:gridSpan w:val="5"/>
            <w:shd w:val="clear" w:color="auto" w:fill="DAF2F6"/>
            <w:vAlign w:val="center"/>
          </w:tcPr>
          <w:p w14:paraId="701C6B5C" w14:textId="77777777" w:rsidR="00383886" w:rsidRPr="00A80EEE" w:rsidRDefault="00383886" w:rsidP="00FD6B98">
            <w:pPr>
              <w:spacing w:before="40" w:after="40"/>
              <w:jc w:val="center"/>
              <w:rPr>
                <w:rFonts w:cs="Arial"/>
                <w:sz w:val="20"/>
              </w:rPr>
            </w:pPr>
            <w:r w:rsidRPr="00A80EEE">
              <w:rPr>
                <w:rFonts w:cs="Arial"/>
                <w:sz w:val="20"/>
              </w:rPr>
              <w:t>U ovom periodu prosječan rast broja zaposlenih projektovan je na 3,3%</w:t>
            </w:r>
          </w:p>
        </w:tc>
      </w:tr>
      <w:bookmarkEnd w:id="11"/>
      <w:tr w:rsidR="00383886" w:rsidRPr="00383886" w14:paraId="5B8CF86C" w14:textId="77777777" w:rsidTr="00FD6B98">
        <w:tc>
          <w:tcPr>
            <w:tcW w:w="2598" w:type="dxa"/>
            <w:gridSpan w:val="3"/>
            <w:shd w:val="clear" w:color="auto" w:fill="FFF2CC" w:themeFill="accent4" w:themeFillTint="33"/>
            <w:vAlign w:val="center"/>
          </w:tcPr>
          <w:p w14:paraId="44834E2E" w14:textId="77777777" w:rsidR="00383886" w:rsidRPr="00383886" w:rsidRDefault="00383886" w:rsidP="00FD6B98">
            <w:pPr>
              <w:spacing w:before="40" w:after="40"/>
              <w:jc w:val="both"/>
              <w:rPr>
                <w:rFonts w:cs="Arial"/>
                <w:bCs/>
                <w:i/>
                <w:color w:val="000000"/>
                <w:sz w:val="20"/>
                <w:lang w:val="sr-Latn-RS"/>
              </w:rPr>
            </w:pPr>
            <w:r w:rsidRPr="00383886">
              <w:rPr>
                <w:rFonts w:cs="Arial"/>
                <w:b/>
                <w:sz w:val="20"/>
              </w:rPr>
              <w:t>Aktivnosti</w:t>
            </w:r>
          </w:p>
        </w:tc>
        <w:tc>
          <w:tcPr>
            <w:tcW w:w="2066" w:type="dxa"/>
            <w:shd w:val="clear" w:color="auto" w:fill="FFF2CC" w:themeFill="accent4" w:themeFillTint="33"/>
            <w:vAlign w:val="center"/>
          </w:tcPr>
          <w:p w14:paraId="7C5B258E" w14:textId="77777777" w:rsidR="00383886" w:rsidRPr="00383886" w:rsidRDefault="00383886" w:rsidP="00FD6B98">
            <w:pPr>
              <w:spacing w:before="40" w:after="40"/>
              <w:jc w:val="both"/>
              <w:rPr>
                <w:rFonts w:cs="Arial"/>
                <w:sz w:val="20"/>
              </w:rPr>
            </w:pPr>
            <w:r w:rsidRPr="00383886">
              <w:rPr>
                <w:rFonts w:cs="Arial"/>
                <w:b/>
                <w:sz w:val="20"/>
              </w:rPr>
              <w:t>Indikator rezultata</w:t>
            </w:r>
          </w:p>
        </w:tc>
        <w:tc>
          <w:tcPr>
            <w:tcW w:w="1843" w:type="dxa"/>
            <w:shd w:val="clear" w:color="auto" w:fill="FFF2CC" w:themeFill="accent4" w:themeFillTint="33"/>
            <w:vAlign w:val="center"/>
          </w:tcPr>
          <w:p w14:paraId="4FBCB989" w14:textId="77777777" w:rsidR="00383886" w:rsidRPr="00383886" w:rsidRDefault="00383886" w:rsidP="00FD6B98">
            <w:pPr>
              <w:spacing w:before="40" w:after="40"/>
              <w:jc w:val="both"/>
              <w:rPr>
                <w:rFonts w:cs="Arial"/>
                <w:sz w:val="20"/>
              </w:rPr>
            </w:pPr>
            <w:r w:rsidRPr="00383886">
              <w:rPr>
                <w:rFonts w:cs="Arial"/>
                <w:b/>
                <w:sz w:val="20"/>
              </w:rPr>
              <w:t>Nadležne institucije i nadležna komisija</w:t>
            </w:r>
          </w:p>
        </w:tc>
        <w:tc>
          <w:tcPr>
            <w:tcW w:w="2400" w:type="dxa"/>
            <w:shd w:val="clear" w:color="auto" w:fill="FFF2CC" w:themeFill="accent4" w:themeFillTint="33"/>
            <w:vAlign w:val="center"/>
          </w:tcPr>
          <w:p w14:paraId="1626ADD7" w14:textId="77777777" w:rsidR="00383886" w:rsidRPr="00383886" w:rsidRDefault="00383886" w:rsidP="00FD6B98">
            <w:pPr>
              <w:spacing w:before="40" w:after="40"/>
              <w:jc w:val="both"/>
              <w:rPr>
                <w:rFonts w:cs="Arial"/>
                <w:sz w:val="20"/>
              </w:rPr>
            </w:pPr>
            <w:r w:rsidRPr="00383886">
              <w:rPr>
                <w:rFonts w:cs="Arial"/>
                <w:b/>
                <w:sz w:val="20"/>
              </w:rPr>
              <w:t>Planirani početak i završetak aktivnosti</w:t>
            </w:r>
          </w:p>
        </w:tc>
        <w:tc>
          <w:tcPr>
            <w:tcW w:w="1945" w:type="dxa"/>
            <w:shd w:val="clear" w:color="auto" w:fill="FFF2CC" w:themeFill="accent4" w:themeFillTint="33"/>
            <w:vAlign w:val="center"/>
          </w:tcPr>
          <w:p w14:paraId="64E7C840" w14:textId="77777777" w:rsidR="00383886" w:rsidRPr="00383886" w:rsidRDefault="00383886" w:rsidP="00FD6B98">
            <w:pPr>
              <w:spacing w:before="40" w:after="40"/>
              <w:jc w:val="both"/>
              <w:rPr>
                <w:rFonts w:cs="Arial"/>
                <w:sz w:val="20"/>
              </w:rPr>
            </w:pPr>
            <w:r w:rsidRPr="00383886">
              <w:rPr>
                <w:rFonts w:cs="Arial"/>
                <w:b/>
                <w:sz w:val="20"/>
              </w:rPr>
              <w:t>Sredstva za realizaciju i informacija o izradi RIA</w:t>
            </w:r>
          </w:p>
        </w:tc>
        <w:tc>
          <w:tcPr>
            <w:tcW w:w="1941" w:type="dxa"/>
            <w:shd w:val="clear" w:color="auto" w:fill="FFF2CC" w:themeFill="accent4" w:themeFillTint="33"/>
            <w:vAlign w:val="center"/>
          </w:tcPr>
          <w:p w14:paraId="2AFA3377" w14:textId="77777777" w:rsidR="00383886" w:rsidRPr="00383886" w:rsidRDefault="00383886" w:rsidP="00FD6B98">
            <w:pPr>
              <w:spacing w:before="40" w:after="40"/>
              <w:jc w:val="both"/>
              <w:rPr>
                <w:rFonts w:cs="Arial"/>
                <w:sz w:val="20"/>
              </w:rPr>
            </w:pPr>
            <w:r w:rsidRPr="00383886">
              <w:rPr>
                <w:rFonts w:cs="Arial"/>
                <w:b/>
                <w:sz w:val="20"/>
              </w:rPr>
              <w:t>Izvor finansiranja</w:t>
            </w:r>
          </w:p>
        </w:tc>
        <w:tc>
          <w:tcPr>
            <w:tcW w:w="2093" w:type="dxa"/>
            <w:shd w:val="clear" w:color="auto" w:fill="FFF2CC" w:themeFill="accent4" w:themeFillTint="33"/>
            <w:vAlign w:val="center"/>
          </w:tcPr>
          <w:p w14:paraId="5B952B81" w14:textId="77777777" w:rsidR="00383886" w:rsidRPr="00383886" w:rsidRDefault="00383886" w:rsidP="00FD6B98">
            <w:pPr>
              <w:spacing w:before="20" w:after="20"/>
              <w:jc w:val="both"/>
              <w:rPr>
                <w:rFonts w:cs="Arial"/>
                <w:b/>
                <w:sz w:val="20"/>
              </w:rPr>
            </w:pPr>
          </w:p>
          <w:p w14:paraId="04B2D473" w14:textId="77777777" w:rsidR="00383886" w:rsidRPr="00383886" w:rsidRDefault="00383886" w:rsidP="00FD6B98">
            <w:pPr>
              <w:spacing w:before="40" w:after="40"/>
              <w:jc w:val="both"/>
              <w:rPr>
                <w:rFonts w:cs="Arial"/>
                <w:sz w:val="20"/>
              </w:rPr>
            </w:pPr>
            <w:r w:rsidRPr="00383886">
              <w:rPr>
                <w:rFonts w:cs="Arial"/>
                <w:b/>
                <w:sz w:val="20"/>
              </w:rPr>
              <w:t>Obrazloženje</w:t>
            </w:r>
          </w:p>
        </w:tc>
      </w:tr>
      <w:tr w:rsidR="00383886" w:rsidRPr="00383886" w14:paraId="7934C68E" w14:textId="77777777" w:rsidTr="00FD6B98">
        <w:tc>
          <w:tcPr>
            <w:tcW w:w="447" w:type="dxa"/>
            <w:shd w:val="clear" w:color="auto" w:fill="auto"/>
            <w:vAlign w:val="center"/>
          </w:tcPr>
          <w:p w14:paraId="4A232D5D" w14:textId="77777777" w:rsidR="00383886" w:rsidRPr="00383886" w:rsidRDefault="00383886" w:rsidP="00FD6B98">
            <w:pPr>
              <w:spacing w:before="40" w:after="40"/>
              <w:jc w:val="both"/>
              <w:rPr>
                <w:rFonts w:cs="Arial"/>
                <w:sz w:val="20"/>
              </w:rPr>
            </w:pPr>
            <w:bookmarkStart w:id="12" w:name="_Hlk87261175"/>
            <w:r w:rsidRPr="00383886">
              <w:rPr>
                <w:rFonts w:cs="Arial"/>
                <w:sz w:val="20"/>
              </w:rPr>
              <w:t>1.</w:t>
            </w:r>
          </w:p>
        </w:tc>
        <w:tc>
          <w:tcPr>
            <w:tcW w:w="2151" w:type="dxa"/>
            <w:gridSpan w:val="2"/>
            <w:shd w:val="clear" w:color="auto" w:fill="auto"/>
            <w:vAlign w:val="center"/>
          </w:tcPr>
          <w:p w14:paraId="4290125D" w14:textId="77777777" w:rsidR="00383886" w:rsidRPr="00383886" w:rsidRDefault="00383886" w:rsidP="00FD6B98">
            <w:pPr>
              <w:spacing w:line="276" w:lineRule="auto"/>
              <w:contextualSpacing/>
              <w:jc w:val="both"/>
              <w:rPr>
                <w:rFonts w:cs="Arial"/>
                <w:sz w:val="20"/>
                <w:lang w:val="en-GB"/>
              </w:rPr>
            </w:pPr>
            <w:r w:rsidRPr="00383886">
              <w:rPr>
                <w:rFonts w:cs="Arial"/>
                <w:sz w:val="20"/>
                <w:lang w:val="hr-HR"/>
              </w:rPr>
              <w:t>Donijeti Program ekonomskih reformi (PER) za Crnu Goru 2022-2024. godina</w:t>
            </w:r>
          </w:p>
        </w:tc>
        <w:tc>
          <w:tcPr>
            <w:tcW w:w="2066" w:type="dxa"/>
            <w:shd w:val="clear" w:color="auto" w:fill="auto"/>
            <w:vAlign w:val="center"/>
          </w:tcPr>
          <w:p w14:paraId="2C1D61DD" w14:textId="77777777" w:rsidR="00383886" w:rsidRPr="00383886" w:rsidRDefault="00383886" w:rsidP="00FD6B98">
            <w:pPr>
              <w:spacing w:before="40" w:after="40"/>
              <w:jc w:val="both"/>
              <w:rPr>
                <w:rFonts w:cs="Arial"/>
                <w:b/>
                <w:sz w:val="20"/>
              </w:rPr>
            </w:pPr>
            <w:r w:rsidRPr="00383886">
              <w:rPr>
                <w:rFonts w:cs="Arial"/>
                <w:sz w:val="20"/>
                <w:lang w:val="hr-HR"/>
              </w:rPr>
              <w:t>Donesen Program ekonomskih reformi (PER) za Crnu Goru 2022-2024. godina</w:t>
            </w:r>
          </w:p>
        </w:tc>
        <w:tc>
          <w:tcPr>
            <w:tcW w:w="1843" w:type="dxa"/>
            <w:shd w:val="clear" w:color="auto" w:fill="auto"/>
            <w:vAlign w:val="center"/>
          </w:tcPr>
          <w:p w14:paraId="7E401A39" w14:textId="77777777" w:rsidR="00383886" w:rsidRPr="00383886" w:rsidRDefault="00383886" w:rsidP="00FD6B98">
            <w:pPr>
              <w:spacing w:before="20" w:after="20"/>
              <w:jc w:val="both"/>
              <w:rPr>
                <w:rFonts w:cs="Arial"/>
                <w:i/>
                <w:sz w:val="20"/>
              </w:rPr>
            </w:pPr>
            <w:r w:rsidRPr="00383886">
              <w:rPr>
                <w:rFonts w:cs="Arial"/>
                <w:i/>
                <w:sz w:val="20"/>
              </w:rPr>
              <w:t>NI: MFSS</w:t>
            </w:r>
          </w:p>
          <w:p w14:paraId="7C3AECB9" w14:textId="77777777" w:rsidR="00383886" w:rsidRPr="00383886" w:rsidRDefault="00383886" w:rsidP="00FD6B98">
            <w:pPr>
              <w:spacing w:before="40" w:after="40"/>
              <w:jc w:val="both"/>
              <w:rPr>
                <w:rFonts w:cs="Arial"/>
                <w:b/>
                <w:sz w:val="20"/>
              </w:rPr>
            </w:pPr>
            <w:r w:rsidRPr="00383886">
              <w:rPr>
                <w:rFonts w:cs="Arial"/>
                <w:i/>
                <w:sz w:val="20"/>
              </w:rPr>
              <w:t>NK: KPS, KEPIF</w:t>
            </w:r>
          </w:p>
        </w:tc>
        <w:tc>
          <w:tcPr>
            <w:tcW w:w="2400" w:type="dxa"/>
            <w:shd w:val="clear" w:color="auto" w:fill="auto"/>
            <w:vAlign w:val="center"/>
          </w:tcPr>
          <w:p w14:paraId="7B986453" w14:textId="77777777" w:rsidR="00383886" w:rsidRPr="00383886" w:rsidRDefault="00383886" w:rsidP="00FD6B98">
            <w:pPr>
              <w:spacing w:before="40" w:after="40"/>
              <w:jc w:val="both"/>
              <w:rPr>
                <w:rFonts w:cs="Arial"/>
                <w:b/>
                <w:sz w:val="20"/>
              </w:rPr>
            </w:pPr>
            <w:r w:rsidRPr="00383886">
              <w:rPr>
                <w:rFonts w:cs="Arial"/>
                <w:sz w:val="20"/>
              </w:rPr>
              <w:t>I Q 2022.</w:t>
            </w:r>
          </w:p>
        </w:tc>
        <w:tc>
          <w:tcPr>
            <w:tcW w:w="1945" w:type="dxa"/>
            <w:shd w:val="clear" w:color="auto" w:fill="auto"/>
            <w:vAlign w:val="center"/>
          </w:tcPr>
          <w:p w14:paraId="204DAC61" w14:textId="77777777" w:rsidR="00383886" w:rsidRPr="00383886" w:rsidRDefault="00383886" w:rsidP="00FD6B98">
            <w:pPr>
              <w:spacing w:line="276" w:lineRule="auto"/>
              <w:jc w:val="both"/>
              <w:rPr>
                <w:rFonts w:cs="Arial"/>
                <w:sz w:val="20"/>
              </w:rPr>
            </w:pPr>
            <w:r w:rsidRPr="00383886">
              <w:rPr>
                <w:rFonts w:cs="Arial"/>
                <w:sz w:val="20"/>
              </w:rPr>
              <w:t>Nije potrebno dodatno obezbjeđenje finansijskih sredstava.</w:t>
            </w:r>
          </w:p>
          <w:p w14:paraId="5EDAD230" w14:textId="77777777" w:rsidR="00383886" w:rsidRPr="00383886" w:rsidRDefault="00383886" w:rsidP="00FD6B98">
            <w:pPr>
              <w:autoSpaceDE w:val="0"/>
              <w:autoSpaceDN w:val="0"/>
              <w:adjustRightInd w:val="0"/>
              <w:contextualSpacing/>
              <w:jc w:val="both"/>
              <w:rPr>
                <w:rFonts w:cs="Arial"/>
                <w:b/>
                <w:sz w:val="20"/>
              </w:rPr>
            </w:pPr>
            <w:r w:rsidRPr="00383886">
              <w:rPr>
                <w:rFonts w:cs="Arial"/>
                <w:sz w:val="20"/>
              </w:rPr>
              <w:t>Neće se raditi analiza procjene uticaja - RIA</w:t>
            </w:r>
          </w:p>
        </w:tc>
        <w:tc>
          <w:tcPr>
            <w:tcW w:w="1941" w:type="dxa"/>
            <w:shd w:val="clear" w:color="auto" w:fill="auto"/>
            <w:vAlign w:val="center"/>
          </w:tcPr>
          <w:p w14:paraId="0BBE6A2F" w14:textId="77777777" w:rsidR="00383886" w:rsidRPr="00383886" w:rsidRDefault="00383886" w:rsidP="00FD6B98">
            <w:pPr>
              <w:spacing w:before="40" w:after="40"/>
              <w:jc w:val="both"/>
              <w:rPr>
                <w:rFonts w:cs="Arial"/>
                <w:b/>
                <w:sz w:val="20"/>
              </w:rPr>
            </w:pPr>
            <w:r w:rsidRPr="00383886">
              <w:rPr>
                <w:rFonts w:cs="Arial"/>
                <w:sz w:val="20"/>
              </w:rPr>
              <w:t>-</w:t>
            </w:r>
          </w:p>
        </w:tc>
        <w:tc>
          <w:tcPr>
            <w:tcW w:w="2093" w:type="dxa"/>
            <w:shd w:val="clear" w:color="auto" w:fill="auto"/>
            <w:vAlign w:val="center"/>
          </w:tcPr>
          <w:p w14:paraId="22FC5263" w14:textId="77777777" w:rsidR="00383886" w:rsidRPr="00383886" w:rsidRDefault="00383886" w:rsidP="00FD6B98">
            <w:pPr>
              <w:ind w:firstLine="31"/>
              <w:jc w:val="both"/>
              <w:rPr>
                <w:rFonts w:cs="Arial"/>
                <w:sz w:val="20"/>
                <w:lang w:val="hr-HR"/>
              </w:rPr>
            </w:pPr>
            <w:r w:rsidRPr="00383886">
              <w:rPr>
                <w:rFonts w:cs="Arial"/>
                <w:sz w:val="20"/>
                <w:lang w:val="hr-HR"/>
              </w:rPr>
              <w:t>Ovim dokumentom Vlada Crne Gore predstavlja ekonomsku politiku Crne Gore za narednu godinu i srednjoročni period, uvažavajući smjernice i preporuke Evropske komisije, što je i osnov ekonomskog dijaloga u procesu EU integracija.</w:t>
            </w:r>
          </w:p>
          <w:p w14:paraId="44F1541D" w14:textId="77777777" w:rsidR="00383886" w:rsidRPr="00383886" w:rsidRDefault="00383886" w:rsidP="00FD6B98">
            <w:pPr>
              <w:spacing w:line="276" w:lineRule="auto"/>
              <w:jc w:val="both"/>
              <w:rPr>
                <w:rFonts w:cs="Arial"/>
                <w:sz w:val="20"/>
                <w:lang w:val="en-GB"/>
              </w:rPr>
            </w:pPr>
            <w:r w:rsidRPr="00383886">
              <w:rPr>
                <w:rFonts w:cs="Arial"/>
                <w:sz w:val="20"/>
                <w:lang w:val="hr-HR"/>
              </w:rPr>
              <w:t xml:space="preserve">Program ekonomskih reformi sadržaće srednjoročni makroekonomski i fiskalni okvir, kao i mjere fiskalne politike. Istovremeno, sadržaće sveobuhvatnu </w:t>
            </w:r>
            <w:r w:rsidRPr="00383886">
              <w:rPr>
                <w:rFonts w:cs="Arial"/>
                <w:sz w:val="20"/>
                <w:lang w:val="hr-HR"/>
              </w:rPr>
              <w:lastRenderedPageBreak/>
              <w:t>agendu strukturnih reformi koja prikazuje javne politike u izabranim oblastima ekonomskog sistema, a kojima se doprinosi rastu i razvoju, te povećanju konkurentnosti domaće ekonomije.</w:t>
            </w:r>
          </w:p>
        </w:tc>
      </w:tr>
      <w:bookmarkEnd w:id="12"/>
      <w:tr w:rsidR="00383886" w:rsidRPr="00383886" w14:paraId="16FF35B2" w14:textId="77777777" w:rsidTr="00FD6B98">
        <w:tc>
          <w:tcPr>
            <w:tcW w:w="447" w:type="dxa"/>
            <w:shd w:val="clear" w:color="auto" w:fill="auto"/>
            <w:vAlign w:val="center"/>
          </w:tcPr>
          <w:p w14:paraId="78B2369C" w14:textId="77777777" w:rsidR="00383886" w:rsidRPr="00383886" w:rsidRDefault="00383886" w:rsidP="00FD6B98">
            <w:pPr>
              <w:spacing w:before="40" w:after="40"/>
              <w:jc w:val="both"/>
              <w:rPr>
                <w:rFonts w:cs="Arial"/>
                <w:sz w:val="20"/>
              </w:rPr>
            </w:pPr>
            <w:r w:rsidRPr="00383886">
              <w:rPr>
                <w:rFonts w:cs="Arial"/>
                <w:sz w:val="20"/>
              </w:rPr>
              <w:t>2.</w:t>
            </w:r>
          </w:p>
        </w:tc>
        <w:tc>
          <w:tcPr>
            <w:tcW w:w="2151" w:type="dxa"/>
            <w:gridSpan w:val="2"/>
            <w:shd w:val="clear" w:color="auto" w:fill="auto"/>
            <w:vAlign w:val="center"/>
          </w:tcPr>
          <w:p w14:paraId="67E5F6C8" w14:textId="77777777" w:rsidR="00383886" w:rsidRPr="00383886" w:rsidRDefault="00383886" w:rsidP="00FD6B98">
            <w:pPr>
              <w:widowControl w:val="0"/>
              <w:autoSpaceDE w:val="0"/>
              <w:autoSpaceDN w:val="0"/>
              <w:adjustRightInd w:val="0"/>
              <w:snapToGrid w:val="0"/>
              <w:spacing w:line="276" w:lineRule="auto"/>
              <w:contextualSpacing/>
              <w:jc w:val="both"/>
              <w:rPr>
                <w:rFonts w:cs="Arial"/>
                <w:sz w:val="20"/>
              </w:rPr>
            </w:pPr>
            <w:r w:rsidRPr="00383886">
              <w:rPr>
                <w:rFonts w:cs="Arial"/>
                <w:sz w:val="20"/>
              </w:rPr>
              <w:t>Donijeti Smjernice makroekonomske i fiskalne politike 2022-2025. godine</w:t>
            </w:r>
          </w:p>
        </w:tc>
        <w:tc>
          <w:tcPr>
            <w:tcW w:w="2066" w:type="dxa"/>
            <w:shd w:val="clear" w:color="auto" w:fill="auto"/>
            <w:vAlign w:val="center"/>
          </w:tcPr>
          <w:p w14:paraId="7C393716" w14:textId="77777777" w:rsidR="00383886" w:rsidRPr="00383886" w:rsidRDefault="00383886" w:rsidP="00FD6B98">
            <w:pPr>
              <w:spacing w:before="40" w:after="40"/>
              <w:jc w:val="both"/>
              <w:rPr>
                <w:rFonts w:cs="Arial"/>
                <w:sz w:val="20"/>
              </w:rPr>
            </w:pPr>
            <w:r w:rsidRPr="00383886">
              <w:rPr>
                <w:rFonts w:cs="Arial"/>
                <w:sz w:val="20"/>
              </w:rPr>
              <w:t>Donesene Smjernice makroekonomske i fiskalne politike 2022-2025. godine</w:t>
            </w:r>
          </w:p>
        </w:tc>
        <w:tc>
          <w:tcPr>
            <w:tcW w:w="1843" w:type="dxa"/>
            <w:shd w:val="clear" w:color="auto" w:fill="auto"/>
            <w:vAlign w:val="center"/>
          </w:tcPr>
          <w:p w14:paraId="3A033E6E" w14:textId="77777777" w:rsidR="00383886" w:rsidRPr="00383886" w:rsidRDefault="00383886" w:rsidP="00FD6B98">
            <w:pPr>
              <w:spacing w:before="20" w:after="20"/>
              <w:jc w:val="both"/>
              <w:rPr>
                <w:rFonts w:cs="Arial"/>
                <w:i/>
                <w:sz w:val="20"/>
              </w:rPr>
            </w:pPr>
            <w:r w:rsidRPr="00383886">
              <w:rPr>
                <w:rFonts w:cs="Arial"/>
                <w:i/>
                <w:sz w:val="20"/>
              </w:rPr>
              <w:t>NI: MFSS</w:t>
            </w:r>
          </w:p>
          <w:p w14:paraId="297ECA1E" w14:textId="77777777" w:rsidR="00383886" w:rsidRPr="00383886" w:rsidRDefault="00383886" w:rsidP="00FD6B98">
            <w:pPr>
              <w:spacing w:before="40" w:after="40"/>
              <w:jc w:val="both"/>
              <w:rPr>
                <w:rFonts w:cs="Arial"/>
                <w:sz w:val="20"/>
              </w:rPr>
            </w:pPr>
            <w:r w:rsidRPr="00383886">
              <w:rPr>
                <w:rFonts w:cs="Arial"/>
                <w:i/>
                <w:sz w:val="20"/>
              </w:rPr>
              <w:t>NK: KPS, KEPIF</w:t>
            </w:r>
          </w:p>
        </w:tc>
        <w:tc>
          <w:tcPr>
            <w:tcW w:w="2400" w:type="dxa"/>
            <w:shd w:val="clear" w:color="auto" w:fill="auto"/>
            <w:vAlign w:val="center"/>
          </w:tcPr>
          <w:p w14:paraId="001CB7AB" w14:textId="77777777" w:rsidR="00383886" w:rsidRPr="00383886" w:rsidRDefault="00383886" w:rsidP="00FD6B98">
            <w:pPr>
              <w:spacing w:before="40" w:after="40"/>
              <w:jc w:val="both"/>
              <w:rPr>
                <w:rFonts w:cs="Arial"/>
                <w:sz w:val="20"/>
              </w:rPr>
            </w:pPr>
            <w:r w:rsidRPr="00383886">
              <w:rPr>
                <w:rFonts w:cs="Arial"/>
                <w:sz w:val="20"/>
              </w:rPr>
              <w:t>II Q 2022.</w:t>
            </w:r>
          </w:p>
        </w:tc>
        <w:tc>
          <w:tcPr>
            <w:tcW w:w="1945" w:type="dxa"/>
            <w:shd w:val="clear" w:color="auto" w:fill="auto"/>
            <w:vAlign w:val="center"/>
          </w:tcPr>
          <w:p w14:paraId="68BEDBA2" w14:textId="77777777" w:rsidR="00383886" w:rsidRPr="00383886" w:rsidRDefault="00383886" w:rsidP="00FD6B98">
            <w:pPr>
              <w:spacing w:line="276" w:lineRule="auto"/>
              <w:jc w:val="both"/>
              <w:rPr>
                <w:rFonts w:cs="Arial"/>
                <w:sz w:val="20"/>
              </w:rPr>
            </w:pPr>
            <w:r w:rsidRPr="00383886">
              <w:rPr>
                <w:rFonts w:cs="Arial"/>
                <w:sz w:val="20"/>
              </w:rPr>
              <w:t>Nije potrebno dodatno obezbjeđenje finansijskih sredstava.</w:t>
            </w:r>
          </w:p>
          <w:p w14:paraId="7CFCBEC0" w14:textId="77777777" w:rsidR="00383886" w:rsidRPr="00383886" w:rsidRDefault="00383886" w:rsidP="00FD6B98">
            <w:pPr>
              <w:spacing w:before="40" w:after="40"/>
              <w:jc w:val="both"/>
              <w:rPr>
                <w:rFonts w:cs="Arial"/>
                <w:sz w:val="20"/>
              </w:rPr>
            </w:pPr>
            <w:r w:rsidRPr="00383886">
              <w:rPr>
                <w:rFonts w:cs="Arial"/>
                <w:sz w:val="20"/>
              </w:rPr>
              <w:t>Neće se raditi analiza procjene uticaja - RIA</w:t>
            </w:r>
          </w:p>
        </w:tc>
        <w:tc>
          <w:tcPr>
            <w:tcW w:w="1941" w:type="dxa"/>
            <w:shd w:val="clear" w:color="auto" w:fill="auto"/>
            <w:vAlign w:val="center"/>
          </w:tcPr>
          <w:p w14:paraId="072EBF5E" w14:textId="77777777" w:rsidR="00383886" w:rsidRPr="00383886" w:rsidRDefault="00383886" w:rsidP="00FD6B98">
            <w:pPr>
              <w:spacing w:before="40" w:after="40"/>
              <w:jc w:val="both"/>
              <w:rPr>
                <w:rFonts w:cs="Arial"/>
                <w:b/>
                <w:sz w:val="20"/>
              </w:rPr>
            </w:pPr>
            <w:r w:rsidRPr="00383886">
              <w:rPr>
                <w:rFonts w:cs="Arial"/>
                <w:b/>
                <w:sz w:val="20"/>
              </w:rPr>
              <w:t>-</w:t>
            </w:r>
          </w:p>
        </w:tc>
        <w:tc>
          <w:tcPr>
            <w:tcW w:w="2093" w:type="dxa"/>
            <w:shd w:val="clear" w:color="auto" w:fill="auto"/>
            <w:vAlign w:val="center"/>
          </w:tcPr>
          <w:p w14:paraId="2770371E" w14:textId="77777777" w:rsidR="00383886" w:rsidRPr="00383886" w:rsidRDefault="00383886" w:rsidP="00FD6B98">
            <w:pPr>
              <w:widowControl w:val="0"/>
              <w:autoSpaceDE w:val="0"/>
              <w:autoSpaceDN w:val="0"/>
              <w:adjustRightInd w:val="0"/>
              <w:snapToGrid w:val="0"/>
              <w:spacing w:line="276" w:lineRule="auto"/>
              <w:jc w:val="both"/>
              <w:rPr>
                <w:rFonts w:cs="Arial"/>
                <w:sz w:val="20"/>
              </w:rPr>
            </w:pPr>
            <w:r w:rsidRPr="00383886">
              <w:rPr>
                <w:rFonts w:cs="Arial"/>
                <w:sz w:val="20"/>
              </w:rPr>
              <w:t>Smjernicama makroekonomske i fiskalne politike 2022-2025. godine daće se kretanje makroekonomskih indikatora za period 2022-2025. godine, na osnovu kojih se planiraju javni prihodi i rashodi za 2023. godinu, a projektuju za 2024. i 2025. godinu. Takođe, utvrdiće se limiti potrošnje, nivoi bruto zarada i ostalih ličnih primanja, izdaci za penzijsko i invalidsko osiguranje i socijalnu zaštitu. Na osnovu Smjernica, Ministarstvo finansija i socijalnog staranja će izdati stručno uputstvo za pripremanje budžeta potrošačkih jedinica za narednu godinu.</w:t>
            </w:r>
          </w:p>
        </w:tc>
      </w:tr>
      <w:tr w:rsidR="00383886" w:rsidRPr="00383886" w14:paraId="56E004C0" w14:textId="77777777" w:rsidTr="00FD6B98">
        <w:tc>
          <w:tcPr>
            <w:tcW w:w="447" w:type="dxa"/>
            <w:shd w:val="clear" w:color="auto" w:fill="auto"/>
            <w:vAlign w:val="center"/>
          </w:tcPr>
          <w:p w14:paraId="57BB9F31" w14:textId="77777777" w:rsidR="00383886" w:rsidRPr="00383886" w:rsidRDefault="00383886" w:rsidP="00FD6B98">
            <w:pPr>
              <w:spacing w:before="40" w:after="40"/>
              <w:jc w:val="both"/>
              <w:rPr>
                <w:rFonts w:cs="Arial"/>
                <w:sz w:val="20"/>
              </w:rPr>
            </w:pPr>
            <w:r w:rsidRPr="00383886">
              <w:rPr>
                <w:rFonts w:cs="Arial"/>
                <w:sz w:val="20"/>
              </w:rPr>
              <w:lastRenderedPageBreak/>
              <w:t>3.</w:t>
            </w:r>
          </w:p>
        </w:tc>
        <w:tc>
          <w:tcPr>
            <w:tcW w:w="2151" w:type="dxa"/>
            <w:gridSpan w:val="2"/>
            <w:shd w:val="clear" w:color="auto" w:fill="auto"/>
            <w:vAlign w:val="center"/>
          </w:tcPr>
          <w:p w14:paraId="53D6F71D" w14:textId="77777777" w:rsidR="00383886" w:rsidRPr="00383886" w:rsidRDefault="00383886" w:rsidP="00FD6B98">
            <w:pPr>
              <w:widowControl w:val="0"/>
              <w:autoSpaceDE w:val="0"/>
              <w:autoSpaceDN w:val="0"/>
              <w:adjustRightInd w:val="0"/>
              <w:snapToGrid w:val="0"/>
              <w:spacing w:line="276" w:lineRule="auto"/>
              <w:contextualSpacing/>
              <w:jc w:val="both"/>
              <w:rPr>
                <w:rFonts w:cs="Arial"/>
                <w:sz w:val="20"/>
              </w:rPr>
            </w:pPr>
            <w:r w:rsidRPr="00383886">
              <w:rPr>
                <w:rFonts w:eastAsia="Cambria" w:cs="Arial"/>
                <w:sz w:val="20"/>
              </w:rPr>
              <w:t>Utvrditi Listu prioritetnih projekata koji se finansiraju iz kapitalnog budžeta za 2023. godinu</w:t>
            </w:r>
          </w:p>
        </w:tc>
        <w:tc>
          <w:tcPr>
            <w:tcW w:w="2066" w:type="dxa"/>
            <w:shd w:val="clear" w:color="auto" w:fill="auto"/>
            <w:vAlign w:val="center"/>
          </w:tcPr>
          <w:p w14:paraId="78D2E4FB" w14:textId="77777777" w:rsidR="00383886" w:rsidRPr="00383886" w:rsidRDefault="00383886" w:rsidP="00FD6B98">
            <w:pPr>
              <w:spacing w:before="40" w:after="40"/>
              <w:jc w:val="both"/>
              <w:rPr>
                <w:rFonts w:cs="Arial"/>
                <w:sz w:val="20"/>
              </w:rPr>
            </w:pPr>
            <w:r w:rsidRPr="00383886">
              <w:rPr>
                <w:rFonts w:eastAsia="Cambria" w:cs="Arial"/>
                <w:sz w:val="20"/>
              </w:rPr>
              <w:t>Utvrđena Lista prioritetnih projekata koji se finansiraju iz kapitalnog budžeta za 2023. godinu</w:t>
            </w:r>
          </w:p>
        </w:tc>
        <w:tc>
          <w:tcPr>
            <w:tcW w:w="1843" w:type="dxa"/>
            <w:shd w:val="clear" w:color="auto" w:fill="auto"/>
            <w:vAlign w:val="center"/>
          </w:tcPr>
          <w:p w14:paraId="4DA75C08" w14:textId="77777777" w:rsidR="00383886" w:rsidRPr="00383886" w:rsidRDefault="00383886" w:rsidP="00FD6B98">
            <w:pPr>
              <w:spacing w:before="20" w:after="20"/>
              <w:jc w:val="both"/>
              <w:rPr>
                <w:rFonts w:cs="Arial"/>
                <w:i/>
                <w:sz w:val="20"/>
              </w:rPr>
            </w:pPr>
            <w:r w:rsidRPr="00383886">
              <w:rPr>
                <w:rFonts w:cs="Arial"/>
                <w:i/>
                <w:sz w:val="20"/>
              </w:rPr>
              <w:t>NI: MFSS</w:t>
            </w:r>
          </w:p>
          <w:p w14:paraId="288279A5" w14:textId="77777777" w:rsidR="00383886" w:rsidRPr="00383886" w:rsidRDefault="00383886" w:rsidP="00FD6B98">
            <w:pPr>
              <w:spacing w:before="20" w:after="20"/>
              <w:jc w:val="both"/>
              <w:rPr>
                <w:rFonts w:cs="Arial"/>
                <w:i/>
                <w:sz w:val="20"/>
              </w:rPr>
            </w:pPr>
            <w:r w:rsidRPr="00383886">
              <w:rPr>
                <w:rFonts w:cs="Arial"/>
                <w:i/>
                <w:sz w:val="20"/>
              </w:rPr>
              <w:t>NK: KPS, KEPIF</w:t>
            </w:r>
          </w:p>
        </w:tc>
        <w:tc>
          <w:tcPr>
            <w:tcW w:w="2400" w:type="dxa"/>
            <w:shd w:val="clear" w:color="auto" w:fill="auto"/>
            <w:vAlign w:val="center"/>
          </w:tcPr>
          <w:p w14:paraId="30818782" w14:textId="77777777" w:rsidR="00383886" w:rsidRPr="00383886" w:rsidRDefault="00383886" w:rsidP="00FD6B98">
            <w:pPr>
              <w:spacing w:before="40" w:after="40"/>
              <w:jc w:val="both"/>
              <w:rPr>
                <w:rFonts w:cs="Arial"/>
                <w:sz w:val="20"/>
              </w:rPr>
            </w:pPr>
            <w:r w:rsidRPr="00383886">
              <w:rPr>
                <w:rFonts w:cs="Arial"/>
                <w:sz w:val="20"/>
              </w:rPr>
              <w:t>I - II Q 2022.</w:t>
            </w:r>
          </w:p>
        </w:tc>
        <w:tc>
          <w:tcPr>
            <w:tcW w:w="1945" w:type="dxa"/>
            <w:shd w:val="clear" w:color="auto" w:fill="auto"/>
            <w:vAlign w:val="center"/>
          </w:tcPr>
          <w:p w14:paraId="74385486" w14:textId="77777777" w:rsidR="00383886" w:rsidRPr="00383886" w:rsidRDefault="00383886" w:rsidP="00FD6B98">
            <w:pPr>
              <w:spacing w:before="40" w:after="40"/>
              <w:jc w:val="both"/>
              <w:rPr>
                <w:rFonts w:cs="Arial"/>
                <w:sz w:val="20"/>
              </w:rPr>
            </w:pPr>
            <w:r w:rsidRPr="00383886">
              <w:rPr>
                <w:rFonts w:cs="Arial"/>
                <w:sz w:val="20"/>
              </w:rPr>
              <w:t>Nije potrebno dodatno obezbjeđenje finansijskih sredstava.</w:t>
            </w:r>
          </w:p>
          <w:p w14:paraId="300F91C4" w14:textId="77777777" w:rsidR="00383886" w:rsidRPr="00383886" w:rsidRDefault="00383886" w:rsidP="00FD6B98">
            <w:pPr>
              <w:spacing w:before="40" w:after="40"/>
              <w:jc w:val="both"/>
              <w:rPr>
                <w:rFonts w:cs="Arial"/>
                <w:sz w:val="20"/>
              </w:rPr>
            </w:pPr>
            <w:r w:rsidRPr="00383886">
              <w:rPr>
                <w:rFonts w:cs="Arial"/>
                <w:sz w:val="20"/>
              </w:rPr>
              <w:t>Radiće se procjena uticaja - RIA</w:t>
            </w:r>
          </w:p>
        </w:tc>
        <w:tc>
          <w:tcPr>
            <w:tcW w:w="1941" w:type="dxa"/>
            <w:shd w:val="clear" w:color="auto" w:fill="auto"/>
            <w:vAlign w:val="center"/>
          </w:tcPr>
          <w:p w14:paraId="6057D40F" w14:textId="77777777" w:rsidR="00383886" w:rsidRPr="00383886" w:rsidRDefault="00383886" w:rsidP="00FD6B98">
            <w:pPr>
              <w:spacing w:before="40" w:after="40"/>
              <w:jc w:val="both"/>
              <w:rPr>
                <w:rFonts w:cs="Arial"/>
                <w:b/>
                <w:sz w:val="20"/>
              </w:rPr>
            </w:pPr>
          </w:p>
        </w:tc>
        <w:tc>
          <w:tcPr>
            <w:tcW w:w="2093" w:type="dxa"/>
            <w:shd w:val="clear" w:color="auto" w:fill="auto"/>
            <w:vAlign w:val="center"/>
          </w:tcPr>
          <w:p w14:paraId="246F24B5" w14:textId="77777777" w:rsidR="00383886" w:rsidRPr="00383886" w:rsidRDefault="00383886" w:rsidP="00FD6B98">
            <w:pPr>
              <w:widowControl w:val="0"/>
              <w:autoSpaceDE w:val="0"/>
              <w:autoSpaceDN w:val="0"/>
              <w:adjustRightInd w:val="0"/>
              <w:snapToGrid w:val="0"/>
              <w:spacing w:line="276" w:lineRule="auto"/>
              <w:jc w:val="both"/>
              <w:rPr>
                <w:rFonts w:cs="Arial"/>
                <w:sz w:val="20"/>
              </w:rPr>
            </w:pPr>
            <w:r w:rsidRPr="00383886">
              <w:rPr>
                <w:rFonts w:eastAsia="Cambria" w:cs="Arial"/>
                <w:sz w:val="20"/>
              </w:rPr>
              <w:t>Lista se priprema u skladu sa Odlukom o izradi kapitalnog budžeta i utrđivanju i vrednovanju kriterijuma za odabir projekata. Dodatno, omogućava uvid u nove projekte.</w:t>
            </w:r>
          </w:p>
        </w:tc>
      </w:tr>
      <w:tr w:rsidR="00383886" w:rsidRPr="00383886" w14:paraId="5C61DB39" w14:textId="77777777" w:rsidTr="00FD6B98">
        <w:tc>
          <w:tcPr>
            <w:tcW w:w="447" w:type="dxa"/>
            <w:shd w:val="clear" w:color="auto" w:fill="auto"/>
            <w:vAlign w:val="center"/>
          </w:tcPr>
          <w:p w14:paraId="6B232126" w14:textId="77777777" w:rsidR="00383886" w:rsidRPr="00383886" w:rsidRDefault="00383886" w:rsidP="00FD6B98">
            <w:pPr>
              <w:spacing w:before="40" w:after="40"/>
              <w:jc w:val="both"/>
              <w:rPr>
                <w:rFonts w:cs="Arial"/>
                <w:sz w:val="20"/>
              </w:rPr>
            </w:pPr>
            <w:r w:rsidRPr="00383886">
              <w:rPr>
                <w:rFonts w:cs="Arial"/>
                <w:sz w:val="20"/>
              </w:rPr>
              <w:t>4.</w:t>
            </w:r>
          </w:p>
        </w:tc>
        <w:tc>
          <w:tcPr>
            <w:tcW w:w="2151" w:type="dxa"/>
            <w:gridSpan w:val="2"/>
            <w:shd w:val="clear" w:color="auto" w:fill="auto"/>
            <w:vAlign w:val="center"/>
          </w:tcPr>
          <w:p w14:paraId="3DBBA21F" w14:textId="77777777" w:rsidR="00383886" w:rsidRPr="00383886" w:rsidRDefault="00383886" w:rsidP="00FD6B98">
            <w:pPr>
              <w:spacing w:line="276" w:lineRule="auto"/>
              <w:contextualSpacing/>
              <w:jc w:val="both"/>
              <w:rPr>
                <w:rFonts w:cs="Arial"/>
                <w:sz w:val="20"/>
                <w:lang w:val="en-GB"/>
              </w:rPr>
            </w:pPr>
            <w:proofErr w:type="spellStart"/>
            <w:r w:rsidRPr="00383886">
              <w:rPr>
                <w:rFonts w:cs="Arial"/>
                <w:sz w:val="20"/>
                <w:lang w:val="en-GB"/>
              </w:rPr>
              <w:t>Pripremiti</w:t>
            </w:r>
            <w:proofErr w:type="spellEnd"/>
            <w:r w:rsidRPr="00383886">
              <w:rPr>
                <w:rFonts w:cs="Arial"/>
                <w:sz w:val="20"/>
                <w:lang w:val="en-GB"/>
              </w:rPr>
              <w:t xml:space="preserve"> </w:t>
            </w:r>
            <w:proofErr w:type="spellStart"/>
            <w:r w:rsidRPr="00383886">
              <w:rPr>
                <w:rFonts w:cs="Arial"/>
                <w:sz w:val="20"/>
                <w:lang w:val="en-GB"/>
              </w:rPr>
              <w:t>Proljećnu</w:t>
            </w:r>
            <w:proofErr w:type="spellEnd"/>
            <w:r w:rsidRPr="00383886">
              <w:rPr>
                <w:rFonts w:cs="Arial"/>
                <w:sz w:val="20"/>
                <w:lang w:val="en-GB"/>
              </w:rPr>
              <w:t>/</w:t>
            </w:r>
            <w:proofErr w:type="spellStart"/>
            <w:r w:rsidRPr="00383886">
              <w:rPr>
                <w:rFonts w:cs="Arial"/>
                <w:sz w:val="20"/>
                <w:lang w:val="en-GB"/>
              </w:rPr>
              <w:t>jesenju</w:t>
            </w:r>
            <w:proofErr w:type="spellEnd"/>
            <w:r w:rsidRPr="00383886">
              <w:rPr>
                <w:rFonts w:cs="Arial"/>
                <w:sz w:val="20"/>
                <w:lang w:val="en-GB"/>
              </w:rPr>
              <w:t xml:space="preserve"> </w:t>
            </w:r>
            <w:proofErr w:type="spellStart"/>
            <w:r w:rsidRPr="00383886">
              <w:rPr>
                <w:rFonts w:cs="Arial"/>
                <w:sz w:val="20"/>
                <w:lang w:val="en-GB"/>
              </w:rPr>
              <w:t>analizu</w:t>
            </w:r>
            <w:proofErr w:type="spellEnd"/>
            <w:r w:rsidRPr="00383886">
              <w:rPr>
                <w:rFonts w:cs="Arial"/>
                <w:sz w:val="20"/>
                <w:lang w:val="en-GB"/>
              </w:rPr>
              <w:t xml:space="preserve"> </w:t>
            </w:r>
            <w:proofErr w:type="spellStart"/>
            <w:r w:rsidRPr="00383886">
              <w:rPr>
                <w:rFonts w:cs="Arial"/>
                <w:sz w:val="20"/>
                <w:lang w:val="en-GB"/>
              </w:rPr>
              <w:t>makroekonomskih</w:t>
            </w:r>
            <w:proofErr w:type="spellEnd"/>
            <w:r w:rsidRPr="00383886">
              <w:rPr>
                <w:rFonts w:cs="Arial"/>
                <w:sz w:val="20"/>
                <w:lang w:val="en-GB"/>
              </w:rPr>
              <w:t xml:space="preserve"> </w:t>
            </w:r>
            <w:proofErr w:type="spellStart"/>
            <w:r w:rsidRPr="00383886">
              <w:rPr>
                <w:rFonts w:cs="Arial"/>
                <w:sz w:val="20"/>
                <w:lang w:val="en-GB"/>
              </w:rPr>
              <w:t>kretanja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strukturnih</w:t>
            </w:r>
            <w:proofErr w:type="spellEnd"/>
            <w:r w:rsidRPr="00383886">
              <w:rPr>
                <w:rFonts w:cs="Arial"/>
                <w:sz w:val="20"/>
                <w:lang w:val="en-GB"/>
              </w:rPr>
              <w:t xml:space="preserve"> </w:t>
            </w:r>
            <w:proofErr w:type="spellStart"/>
            <w:r w:rsidRPr="00383886">
              <w:rPr>
                <w:rFonts w:cs="Arial"/>
                <w:sz w:val="20"/>
                <w:lang w:val="en-GB"/>
              </w:rPr>
              <w:t>reformi</w:t>
            </w:r>
            <w:proofErr w:type="spellEnd"/>
            <w:r w:rsidRPr="00383886">
              <w:rPr>
                <w:rFonts w:cs="Arial"/>
                <w:sz w:val="20"/>
                <w:lang w:val="en-GB"/>
              </w:rPr>
              <w:t xml:space="preserve"> – 2022. </w:t>
            </w:r>
            <w:proofErr w:type="spellStart"/>
            <w:r w:rsidRPr="00383886">
              <w:rPr>
                <w:rFonts w:cs="Arial"/>
                <w:sz w:val="20"/>
                <w:lang w:val="en-GB"/>
              </w:rPr>
              <w:t>godine</w:t>
            </w:r>
            <w:proofErr w:type="spellEnd"/>
          </w:p>
        </w:tc>
        <w:tc>
          <w:tcPr>
            <w:tcW w:w="2066" w:type="dxa"/>
            <w:shd w:val="clear" w:color="auto" w:fill="auto"/>
            <w:vAlign w:val="center"/>
          </w:tcPr>
          <w:p w14:paraId="624747B7" w14:textId="77777777" w:rsidR="00383886" w:rsidRPr="00383886" w:rsidRDefault="00383886" w:rsidP="00FD6B98">
            <w:pPr>
              <w:spacing w:line="276" w:lineRule="auto"/>
              <w:contextualSpacing/>
              <w:jc w:val="both"/>
              <w:rPr>
                <w:rFonts w:cs="Arial"/>
                <w:sz w:val="20"/>
                <w:lang w:val="en-GB"/>
              </w:rPr>
            </w:pPr>
            <w:r w:rsidRPr="00383886">
              <w:rPr>
                <w:rFonts w:cs="Arial"/>
                <w:sz w:val="20"/>
                <w:lang w:val="hr-HR"/>
              </w:rPr>
              <w:t xml:space="preserve">Usvojene </w:t>
            </w:r>
            <w:proofErr w:type="spellStart"/>
            <w:r w:rsidRPr="00383886">
              <w:rPr>
                <w:rFonts w:cs="Arial"/>
                <w:sz w:val="20"/>
                <w:lang w:val="en-GB"/>
              </w:rPr>
              <w:t>Proljećna</w:t>
            </w:r>
            <w:proofErr w:type="spellEnd"/>
            <w:r w:rsidRPr="00383886">
              <w:rPr>
                <w:rFonts w:cs="Arial"/>
                <w:sz w:val="20"/>
                <w:lang w:val="en-GB"/>
              </w:rPr>
              <w:t>/</w:t>
            </w:r>
            <w:proofErr w:type="spellStart"/>
            <w:r w:rsidRPr="00383886">
              <w:rPr>
                <w:rFonts w:cs="Arial"/>
                <w:sz w:val="20"/>
                <w:lang w:val="en-GB"/>
              </w:rPr>
              <w:t>jesenja</w:t>
            </w:r>
            <w:proofErr w:type="spellEnd"/>
            <w:r w:rsidRPr="00383886">
              <w:rPr>
                <w:rFonts w:cs="Arial"/>
                <w:sz w:val="20"/>
                <w:lang w:val="en-GB"/>
              </w:rPr>
              <w:t xml:space="preserve"> </w:t>
            </w:r>
            <w:proofErr w:type="spellStart"/>
            <w:r w:rsidRPr="00383886">
              <w:rPr>
                <w:rFonts w:cs="Arial"/>
                <w:sz w:val="20"/>
                <w:lang w:val="en-GB"/>
              </w:rPr>
              <w:t>analiza</w:t>
            </w:r>
            <w:proofErr w:type="spellEnd"/>
            <w:r w:rsidRPr="00383886">
              <w:rPr>
                <w:rFonts w:cs="Arial"/>
                <w:sz w:val="20"/>
                <w:lang w:val="en-GB"/>
              </w:rPr>
              <w:t xml:space="preserve"> </w:t>
            </w:r>
            <w:proofErr w:type="spellStart"/>
            <w:r w:rsidRPr="00383886">
              <w:rPr>
                <w:rFonts w:cs="Arial"/>
                <w:sz w:val="20"/>
                <w:lang w:val="en-GB"/>
              </w:rPr>
              <w:t>makroekonomskih</w:t>
            </w:r>
            <w:proofErr w:type="spellEnd"/>
            <w:r w:rsidRPr="00383886">
              <w:rPr>
                <w:rFonts w:cs="Arial"/>
                <w:sz w:val="20"/>
                <w:lang w:val="en-GB"/>
              </w:rPr>
              <w:t xml:space="preserve"> </w:t>
            </w:r>
            <w:proofErr w:type="spellStart"/>
            <w:r w:rsidRPr="00383886">
              <w:rPr>
                <w:rFonts w:cs="Arial"/>
                <w:sz w:val="20"/>
                <w:lang w:val="en-GB"/>
              </w:rPr>
              <w:t>kretanja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strukturnih</w:t>
            </w:r>
            <w:proofErr w:type="spellEnd"/>
            <w:r w:rsidRPr="00383886">
              <w:rPr>
                <w:rFonts w:cs="Arial"/>
                <w:sz w:val="20"/>
                <w:lang w:val="en-GB"/>
              </w:rPr>
              <w:t xml:space="preserve"> </w:t>
            </w:r>
            <w:proofErr w:type="spellStart"/>
            <w:r w:rsidRPr="00383886">
              <w:rPr>
                <w:rFonts w:cs="Arial"/>
                <w:sz w:val="20"/>
                <w:lang w:val="en-GB"/>
              </w:rPr>
              <w:t>reformi</w:t>
            </w:r>
            <w:proofErr w:type="spellEnd"/>
            <w:r w:rsidRPr="00383886">
              <w:rPr>
                <w:rFonts w:cs="Arial"/>
                <w:sz w:val="20"/>
                <w:lang w:val="en-GB"/>
              </w:rPr>
              <w:t xml:space="preserve"> – 2022. </w:t>
            </w:r>
            <w:proofErr w:type="spellStart"/>
            <w:r w:rsidRPr="00383886">
              <w:rPr>
                <w:rFonts w:cs="Arial"/>
                <w:sz w:val="20"/>
                <w:lang w:val="en-GB"/>
              </w:rPr>
              <w:t>godine</w:t>
            </w:r>
            <w:proofErr w:type="spellEnd"/>
          </w:p>
          <w:p w14:paraId="63972A1E" w14:textId="77777777" w:rsidR="00383886" w:rsidRPr="00383886" w:rsidRDefault="00383886" w:rsidP="00FD6B98">
            <w:pPr>
              <w:spacing w:before="40" w:after="40"/>
              <w:jc w:val="both"/>
              <w:rPr>
                <w:rFonts w:cs="Arial"/>
                <w:sz w:val="20"/>
                <w:lang w:val="hr-HR"/>
              </w:rPr>
            </w:pPr>
          </w:p>
        </w:tc>
        <w:tc>
          <w:tcPr>
            <w:tcW w:w="1843" w:type="dxa"/>
            <w:shd w:val="clear" w:color="auto" w:fill="auto"/>
            <w:vAlign w:val="center"/>
          </w:tcPr>
          <w:p w14:paraId="3937BDA8" w14:textId="77777777" w:rsidR="00383886" w:rsidRPr="00383886" w:rsidRDefault="00383886" w:rsidP="00FD6B98">
            <w:pPr>
              <w:spacing w:before="20" w:after="20"/>
              <w:jc w:val="both"/>
              <w:rPr>
                <w:rFonts w:cs="Arial"/>
                <w:i/>
                <w:sz w:val="20"/>
              </w:rPr>
            </w:pPr>
            <w:r w:rsidRPr="00383886">
              <w:rPr>
                <w:rFonts w:cs="Arial"/>
                <w:i/>
                <w:sz w:val="20"/>
              </w:rPr>
              <w:t>NI: MFSS</w:t>
            </w:r>
          </w:p>
          <w:p w14:paraId="2A739A11" w14:textId="77777777" w:rsidR="00383886" w:rsidRPr="00383886" w:rsidRDefault="00383886" w:rsidP="00FD6B98">
            <w:pPr>
              <w:spacing w:before="20" w:after="20"/>
              <w:jc w:val="both"/>
              <w:rPr>
                <w:rFonts w:cs="Arial"/>
                <w:i/>
                <w:sz w:val="20"/>
              </w:rPr>
            </w:pPr>
            <w:r w:rsidRPr="00383886">
              <w:rPr>
                <w:rFonts w:cs="Arial"/>
                <w:i/>
                <w:sz w:val="20"/>
              </w:rPr>
              <w:t>NK: KEPIF</w:t>
            </w:r>
          </w:p>
        </w:tc>
        <w:tc>
          <w:tcPr>
            <w:tcW w:w="2400" w:type="dxa"/>
            <w:shd w:val="clear" w:color="auto" w:fill="auto"/>
            <w:vAlign w:val="center"/>
          </w:tcPr>
          <w:p w14:paraId="2FEA5552" w14:textId="77777777" w:rsidR="00383886" w:rsidRPr="00383886" w:rsidRDefault="00383886" w:rsidP="00FD6B98">
            <w:pPr>
              <w:spacing w:before="40" w:after="40"/>
              <w:jc w:val="both"/>
              <w:rPr>
                <w:rFonts w:cs="Arial"/>
                <w:sz w:val="20"/>
              </w:rPr>
            </w:pPr>
            <w:r w:rsidRPr="00383886">
              <w:rPr>
                <w:rFonts w:cs="Arial"/>
                <w:sz w:val="20"/>
              </w:rPr>
              <w:t>II Q 2022.</w:t>
            </w:r>
          </w:p>
          <w:p w14:paraId="4BD7E7C8" w14:textId="77777777" w:rsidR="00383886" w:rsidRPr="00383886" w:rsidRDefault="00383886" w:rsidP="00FD6B98">
            <w:pPr>
              <w:spacing w:before="40" w:after="40"/>
              <w:jc w:val="both"/>
              <w:rPr>
                <w:rFonts w:cs="Arial"/>
                <w:sz w:val="20"/>
              </w:rPr>
            </w:pPr>
            <w:r w:rsidRPr="00383886">
              <w:rPr>
                <w:rFonts w:cs="Arial"/>
                <w:sz w:val="20"/>
              </w:rPr>
              <w:t>IV Q 2022.</w:t>
            </w:r>
          </w:p>
        </w:tc>
        <w:tc>
          <w:tcPr>
            <w:tcW w:w="1945" w:type="dxa"/>
            <w:shd w:val="clear" w:color="auto" w:fill="auto"/>
            <w:vAlign w:val="center"/>
          </w:tcPr>
          <w:p w14:paraId="34E3B7F4" w14:textId="77777777" w:rsidR="00383886" w:rsidRPr="00383886" w:rsidRDefault="00383886" w:rsidP="00FD6B98">
            <w:pPr>
              <w:spacing w:before="40" w:after="40"/>
              <w:jc w:val="both"/>
              <w:rPr>
                <w:rFonts w:cs="Arial"/>
                <w:sz w:val="20"/>
              </w:rPr>
            </w:pPr>
            <w:r w:rsidRPr="00383886">
              <w:rPr>
                <w:rFonts w:cs="Arial"/>
                <w:sz w:val="20"/>
              </w:rPr>
              <w:t>Nije potrebno dodatno obezbjeđenje finansijskih sredstava.</w:t>
            </w:r>
          </w:p>
          <w:p w14:paraId="1F14CC62" w14:textId="77777777" w:rsidR="00383886" w:rsidRPr="00383886" w:rsidRDefault="00383886" w:rsidP="00FD6B98">
            <w:pPr>
              <w:spacing w:before="40" w:after="40"/>
              <w:jc w:val="both"/>
              <w:rPr>
                <w:rFonts w:cs="Arial"/>
                <w:sz w:val="20"/>
              </w:rPr>
            </w:pPr>
            <w:r w:rsidRPr="00383886">
              <w:rPr>
                <w:rFonts w:cs="Arial"/>
                <w:sz w:val="20"/>
              </w:rPr>
              <w:t>Neće se raditi analiza procjene uticaja - RIA</w:t>
            </w:r>
          </w:p>
        </w:tc>
        <w:tc>
          <w:tcPr>
            <w:tcW w:w="1941" w:type="dxa"/>
            <w:shd w:val="clear" w:color="auto" w:fill="auto"/>
            <w:vAlign w:val="center"/>
          </w:tcPr>
          <w:p w14:paraId="7BF17CAD" w14:textId="77777777" w:rsidR="00383886" w:rsidRPr="00383886" w:rsidRDefault="00383886" w:rsidP="00FD6B98">
            <w:pPr>
              <w:spacing w:before="40" w:after="40"/>
              <w:jc w:val="both"/>
              <w:rPr>
                <w:rFonts w:cs="Arial"/>
                <w:sz w:val="20"/>
              </w:rPr>
            </w:pPr>
          </w:p>
        </w:tc>
        <w:tc>
          <w:tcPr>
            <w:tcW w:w="2093" w:type="dxa"/>
            <w:shd w:val="clear" w:color="auto" w:fill="auto"/>
            <w:vAlign w:val="center"/>
          </w:tcPr>
          <w:p w14:paraId="7A48F813" w14:textId="77777777" w:rsidR="00383886" w:rsidRPr="00383886" w:rsidRDefault="00383886" w:rsidP="00FD6B98">
            <w:pPr>
              <w:spacing w:line="276" w:lineRule="auto"/>
              <w:jc w:val="both"/>
              <w:rPr>
                <w:rFonts w:cs="Arial"/>
                <w:sz w:val="20"/>
                <w:lang w:val="en-GB"/>
              </w:rPr>
            </w:pPr>
            <w:proofErr w:type="spellStart"/>
            <w:r w:rsidRPr="00383886">
              <w:rPr>
                <w:rFonts w:cs="Arial"/>
                <w:sz w:val="20"/>
                <w:lang w:val="en-GB"/>
              </w:rPr>
              <w:t>Analizama</w:t>
            </w:r>
            <w:proofErr w:type="spellEnd"/>
            <w:r w:rsidRPr="00383886">
              <w:rPr>
                <w:rFonts w:cs="Arial"/>
                <w:sz w:val="20"/>
                <w:lang w:val="en-GB"/>
              </w:rPr>
              <w:t xml:space="preserve"> </w:t>
            </w:r>
            <w:proofErr w:type="spellStart"/>
            <w:r w:rsidRPr="00383886">
              <w:rPr>
                <w:rFonts w:cs="Arial"/>
                <w:sz w:val="20"/>
                <w:lang w:val="en-GB"/>
              </w:rPr>
              <w:t>će</w:t>
            </w:r>
            <w:proofErr w:type="spellEnd"/>
            <w:r w:rsidRPr="00383886">
              <w:rPr>
                <w:rFonts w:cs="Arial"/>
                <w:sz w:val="20"/>
                <w:lang w:val="en-GB"/>
              </w:rPr>
              <w:t xml:space="preserve"> se </w:t>
            </w:r>
            <w:proofErr w:type="spellStart"/>
            <w:r w:rsidRPr="00383886">
              <w:rPr>
                <w:rFonts w:cs="Arial"/>
                <w:sz w:val="20"/>
                <w:lang w:val="en-GB"/>
              </w:rPr>
              <w:t>prezentovati</w:t>
            </w:r>
            <w:proofErr w:type="spellEnd"/>
            <w:r w:rsidRPr="00383886">
              <w:rPr>
                <w:rFonts w:cs="Arial"/>
                <w:sz w:val="20"/>
                <w:lang w:val="en-GB"/>
              </w:rPr>
              <w:t xml:space="preserve"> </w:t>
            </w:r>
            <w:proofErr w:type="spellStart"/>
            <w:r w:rsidRPr="00383886">
              <w:rPr>
                <w:rFonts w:cs="Arial"/>
                <w:sz w:val="20"/>
                <w:lang w:val="en-GB"/>
              </w:rPr>
              <w:t>realizacija</w:t>
            </w:r>
            <w:proofErr w:type="spellEnd"/>
            <w:r w:rsidRPr="00383886">
              <w:rPr>
                <w:rFonts w:cs="Arial"/>
                <w:sz w:val="20"/>
                <w:lang w:val="en-GB"/>
              </w:rPr>
              <w:t xml:space="preserve"> </w:t>
            </w:r>
            <w:proofErr w:type="spellStart"/>
            <w:r w:rsidRPr="00383886">
              <w:rPr>
                <w:rFonts w:cs="Arial"/>
                <w:sz w:val="20"/>
                <w:lang w:val="en-GB"/>
              </w:rPr>
              <w:t>ekonomske</w:t>
            </w:r>
            <w:proofErr w:type="spellEnd"/>
            <w:r w:rsidRPr="00383886">
              <w:rPr>
                <w:rFonts w:cs="Arial"/>
                <w:sz w:val="20"/>
                <w:lang w:val="en-GB"/>
              </w:rPr>
              <w:t xml:space="preserve"> </w:t>
            </w:r>
            <w:proofErr w:type="spellStart"/>
            <w:r w:rsidRPr="00383886">
              <w:rPr>
                <w:rFonts w:cs="Arial"/>
                <w:sz w:val="20"/>
                <w:lang w:val="en-GB"/>
              </w:rPr>
              <w:t>politike</w:t>
            </w:r>
            <w:proofErr w:type="spellEnd"/>
            <w:r w:rsidRPr="00383886">
              <w:rPr>
                <w:rFonts w:cs="Arial"/>
                <w:sz w:val="20"/>
                <w:lang w:val="en-GB"/>
              </w:rPr>
              <w:t xml:space="preserve"> u </w:t>
            </w:r>
            <w:proofErr w:type="spellStart"/>
            <w:r w:rsidRPr="00383886">
              <w:rPr>
                <w:rFonts w:cs="Arial"/>
                <w:sz w:val="20"/>
                <w:lang w:val="en-GB"/>
              </w:rPr>
              <w:t>prethodnoj</w:t>
            </w:r>
            <w:proofErr w:type="spellEnd"/>
            <w:r w:rsidRPr="00383886">
              <w:rPr>
                <w:rFonts w:cs="Arial"/>
                <w:sz w:val="20"/>
                <w:lang w:val="en-GB"/>
              </w:rPr>
              <w:t xml:space="preserve"> 2021. </w:t>
            </w:r>
            <w:proofErr w:type="spellStart"/>
            <w:r w:rsidRPr="00383886">
              <w:rPr>
                <w:rFonts w:cs="Arial"/>
                <w:sz w:val="20"/>
                <w:lang w:val="en-GB"/>
              </w:rPr>
              <w:t>godini</w:t>
            </w:r>
            <w:proofErr w:type="spellEnd"/>
            <w:r w:rsidRPr="00383886">
              <w:rPr>
                <w:rFonts w:cs="Arial"/>
                <w:sz w:val="20"/>
                <w:lang w:val="en-GB"/>
              </w:rPr>
              <w:t xml:space="preserve">, </w:t>
            </w:r>
            <w:proofErr w:type="spellStart"/>
            <w:r w:rsidRPr="00383886">
              <w:rPr>
                <w:rFonts w:cs="Arial"/>
                <w:sz w:val="20"/>
                <w:lang w:val="en-GB"/>
              </w:rPr>
              <w:t>makroekonomska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fiskalna</w:t>
            </w:r>
            <w:proofErr w:type="spellEnd"/>
            <w:r w:rsidRPr="00383886">
              <w:rPr>
                <w:rFonts w:cs="Arial"/>
                <w:sz w:val="20"/>
                <w:lang w:val="en-GB"/>
              </w:rPr>
              <w:t xml:space="preserve"> </w:t>
            </w:r>
            <w:proofErr w:type="spellStart"/>
            <w:r w:rsidRPr="00383886">
              <w:rPr>
                <w:rFonts w:cs="Arial"/>
                <w:sz w:val="20"/>
                <w:lang w:val="en-GB"/>
              </w:rPr>
              <w:t>kretanja</w:t>
            </w:r>
            <w:proofErr w:type="spellEnd"/>
            <w:r w:rsidRPr="00383886">
              <w:rPr>
                <w:rFonts w:cs="Arial"/>
                <w:sz w:val="20"/>
                <w:lang w:val="en-GB"/>
              </w:rPr>
              <w:t xml:space="preserve"> u </w:t>
            </w:r>
            <w:proofErr w:type="spellStart"/>
            <w:r w:rsidRPr="00383886">
              <w:rPr>
                <w:rFonts w:cs="Arial"/>
                <w:sz w:val="20"/>
                <w:lang w:val="en-GB"/>
              </w:rPr>
              <w:t>prvom</w:t>
            </w:r>
            <w:proofErr w:type="spellEnd"/>
            <w:r w:rsidRPr="00383886">
              <w:rPr>
                <w:rFonts w:cs="Arial"/>
                <w:sz w:val="20"/>
                <w:lang w:val="en-GB"/>
              </w:rPr>
              <w:t xml:space="preserve"> </w:t>
            </w:r>
            <w:proofErr w:type="spellStart"/>
            <w:r w:rsidRPr="00383886">
              <w:rPr>
                <w:rFonts w:cs="Arial"/>
                <w:sz w:val="20"/>
                <w:lang w:val="en-GB"/>
              </w:rPr>
              <w:t>kvartalu</w:t>
            </w:r>
            <w:proofErr w:type="spellEnd"/>
            <w:r w:rsidRPr="00383886">
              <w:rPr>
                <w:rFonts w:cs="Arial"/>
                <w:sz w:val="20"/>
                <w:lang w:val="en-GB"/>
              </w:rPr>
              <w:t xml:space="preserve"> 2022, </w:t>
            </w:r>
            <w:proofErr w:type="spellStart"/>
            <w:r w:rsidRPr="00383886">
              <w:rPr>
                <w:rFonts w:cs="Arial"/>
                <w:sz w:val="20"/>
                <w:lang w:val="en-GB"/>
              </w:rPr>
              <w:t>odnosno</w:t>
            </w:r>
            <w:proofErr w:type="spellEnd"/>
            <w:r w:rsidRPr="00383886">
              <w:rPr>
                <w:rFonts w:cs="Arial"/>
                <w:sz w:val="20"/>
                <w:lang w:val="en-GB"/>
              </w:rPr>
              <w:t xml:space="preserve"> </w:t>
            </w:r>
            <w:proofErr w:type="spellStart"/>
            <w:r w:rsidRPr="00383886">
              <w:rPr>
                <w:rFonts w:cs="Arial"/>
                <w:sz w:val="20"/>
                <w:lang w:val="en-GB"/>
              </w:rPr>
              <w:t>drugom</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trećem</w:t>
            </w:r>
            <w:proofErr w:type="spellEnd"/>
            <w:r w:rsidRPr="00383886">
              <w:rPr>
                <w:rFonts w:cs="Arial"/>
                <w:sz w:val="20"/>
                <w:lang w:val="en-GB"/>
              </w:rPr>
              <w:t xml:space="preserve"> </w:t>
            </w:r>
            <w:proofErr w:type="spellStart"/>
            <w:r w:rsidRPr="00383886">
              <w:rPr>
                <w:rFonts w:cs="Arial"/>
                <w:sz w:val="20"/>
                <w:lang w:val="en-GB"/>
              </w:rPr>
              <w:t>kvartalu</w:t>
            </w:r>
            <w:proofErr w:type="spellEnd"/>
            <w:r w:rsidRPr="00383886">
              <w:rPr>
                <w:rFonts w:cs="Arial"/>
                <w:sz w:val="20"/>
                <w:lang w:val="en-GB"/>
              </w:rPr>
              <w:t xml:space="preserve"> 2022. </w:t>
            </w:r>
            <w:proofErr w:type="spellStart"/>
            <w:r w:rsidRPr="00383886">
              <w:rPr>
                <w:rFonts w:cs="Arial"/>
                <w:sz w:val="20"/>
                <w:lang w:val="en-GB"/>
              </w:rPr>
              <w:t>godine</w:t>
            </w:r>
            <w:proofErr w:type="spellEnd"/>
            <w:r w:rsidRPr="00383886">
              <w:rPr>
                <w:rFonts w:cs="Arial"/>
                <w:sz w:val="20"/>
                <w:lang w:val="en-GB"/>
              </w:rPr>
              <w:t xml:space="preserve">, </w:t>
            </w:r>
            <w:proofErr w:type="spellStart"/>
            <w:r w:rsidRPr="00383886">
              <w:rPr>
                <w:rFonts w:cs="Arial"/>
                <w:sz w:val="20"/>
                <w:lang w:val="en-GB"/>
              </w:rPr>
              <w:t>makroekonomski</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fiskalni</w:t>
            </w:r>
            <w:proofErr w:type="spellEnd"/>
            <w:r w:rsidRPr="00383886">
              <w:rPr>
                <w:rFonts w:cs="Arial"/>
                <w:sz w:val="20"/>
                <w:lang w:val="en-GB"/>
              </w:rPr>
              <w:t xml:space="preserve"> </w:t>
            </w:r>
            <w:proofErr w:type="spellStart"/>
            <w:r w:rsidRPr="00383886">
              <w:rPr>
                <w:rFonts w:cs="Arial"/>
                <w:sz w:val="20"/>
                <w:lang w:val="en-GB"/>
              </w:rPr>
              <w:t>rizici</w:t>
            </w:r>
            <w:proofErr w:type="spellEnd"/>
            <w:r w:rsidRPr="00383886">
              <w:rPr>
                <w:rFonts w:cs="Arial"/>
                <w:sz w:val="20"/>
                <w:lang w:val="en-GB"/>
              </w:rPr>
              <w:t xml:space="preserve">, </w:t>
            </w:r>
            <w:proofErr w:type="spellStart"/>
            <w:r w:rsidRPr="00383886">
              <w:rPr>
                <w:rFonts w:cs="Arial"/>
                <w:sz w:val="20"/>
                <w:lang w:val="en-GB"/>
              </w:rPr>
              <w:t>realizacija</w:t>
            </w:r>
            <w:proofErr w:type="spellEnd"/>
            <w:r w:rsidRPr="00383886">
              <w:rPr>
                <w:rFonts w:cs="Arial"/>
                <w:sz w:val="20"/>
                <w:lang w:val="en-GB"/>
              </w:rPr>
              <w:t xml:space="preserve"> </w:t>
            </w:r>
            <w:proofErr w:type="spellStart"/>
            <w:r w:rsidRPr="00383886">
              <w:rPr>
                <w:rFonts w:cs="Arial"/>
                <w:sz w:val="20"/>
                <w:lang w:val="en-GB"/>
              </w:rPr>
              <w:t>sektorskih</w:t>
            </w:r>
            <w:proofErr w:type="spellEnd"/>
            <w:r w:rsidRPr="00383886">
              <w:rPr>
                <w:rFonts w:cs="Arial"/>
                <w:sz w:val="20"/>
                <w:lang w:val="en-GB"/>
              </w:rPr>
              <w:t xml:space="preserve"> </w:t>
            </w:r>
            <w:proofErr w:type="spellStart"/>
            <w:r w:rsidRPr="00383886">
              <w:rPr>
                <w:rFonts w:cs="Arial"/>
                <w:sz w:val="20"/>
                <w:lang w:val="en-GB"/>
              </w:rPr>
              <w:t>politika</w:t>
            </w:r>
            <w:proofErr w:type="spellEnd"/>
            <w:r w:rsidRPr="00383886">
              <w:rPr>
                <w:rFonts w:cs="Arial"/>
                <w:sz w:val="20"/>
                <w:lang w:val="en-GB"/>
              </w:rPr>
              <w:t xml:space="preserve">, </w:t>
            </w:r>
            <w:proofErr w:type="spellStart"/>
            <w:r w:rsidRPr="00383886">
              <w:rPr>
                <w:rFonts w:cs="Arial"/>
                <w:sz w:val="20"/>
                <w:lang w:val="en-GB"/>
              </w:rPr>
              <w:t>sa</w:t>
            </w:r>
            <w:proofErr w:type="spellEnd"/>
            <w:r w:rsidRPr="00383886">
              <w:rPr>
                <w:rFonts w:cs="Arial"/>
                <w:sz w:val="20"/>
                <w:lang w:val="en-GB"/>
              </w:rPr>
              <w:t xml:space="preserve"> </w:t>
            </w:r>
            <w:proofErr w:type="spellStart"/>
            <w:r w:rsidRPr="00383886">
              <w:rPr>
                <w:rFonts w:cs="Arial"/>
                <w:sz w:val="20"/>
                <w:lang w:val="en-GB"/>
              </w:rPr>
              <w:t>prikazom</w:t>
            </w:r>
            <w:proofErr w:type="spellEnd"/>
            <w:r w:rsidRPr="00383886">
              <w:rPr>
                <w:rFonts w:cs="Arial"/>
                <w:sz w:val="20"/>
                <w:lang w:val="en-GB"/>
              </w:rPr>
              <w:t xml:space="preserve"> </w:t>
            </w:r>
            <w:proofErr w:type="spellStart"/>
            <w:r w:rsidRPr="00383886">
              <w:rPr>
                <w:rFonts w:cs="Arial"/>
                <w:sz w:val="20"/>
                <w:lang w:val="en-GB"/>
              </w:rPr>
              <w:t>najznačajnijih</w:t>
            </w:r>
            <w:proofErr w:type="spellEnd"/>
            <w:r w:rsidRPr="00383886">
              <w:rPr>
                <w:rFonts w:cs="Arial"/>
                <w:sz w:val="20"/>
                <w:lang w:val="en-GB"/>
              </w:rPr>
              <w:t xml:space="preserve"> </w:t>
            </w:r>
            <w:proofErr w:type="spellStart"/>
            <w:r w:rsidRPr="00383886">
              <w:rPr>
                <w:rFonts w:cs="Arial"/>
                <w:sz w:val="20"/>
                <w:lang w:val="en-GB"/>
              </w:rPr>
              <w:t>rezultata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aktuelnih</w:t>
            </w:r>
            <w:proofErr w:type="spellEnd"/>
            <w:r w:rsidRPr="00383886">
              <w:rPr>
                <w:rFonts w:cs="Arial"/>
                <w:sz w:val="20"/>
                <w:lang w:val="en-GB"/>
              </w:rPr>
              <w:t xml:space="preserve"> </w:t>
            </w:r>
            <w:proofErr w:type="spellStart"/>
            <w:r w:rsidRPr="00383886">
              <w:rPr>
                <w:rFonts w:cs="Arial"/>
                <w:sz w:val="20"/>
                <w:lang w:val="en-GB"/>
              </w:rPr>
              <w:t>izazova</w:t>
            </w:r>
            <w:proofErr w:type="spellEnd"/>
            <w:r w:rsidRPr="00383886">
              <w:rPr>
                <w:rFonts w:cs="Arial"/>
                <w:sz w:val="20"/>
                <w:lang w:val="en-GB"/>
              </w:rPr>
              <w:t xml:space="preserve">, </w:t>
            </w:r>
            <w:proofErr w:type="spellStart"/>
            <w:r w:rsidRPr="00383886">
              <w:rPr>
                <w:rFonts w:cs="Arial"/>
                <w:sz w:val="20"/>
                <w:lang w:val="en-GB"/>
              </w:rPr>
              <w:t>kao</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strukturnih</w:t>
            </w:r>
            <w:proofErr w:type="spellEnd"/>
            <w:r w:rsidRPr="00383886">
              <w:rPr>
                <w:rFonts w:cs="Arial"/>
                <w:sz w:val="20"/>
                <w:lang w:val="en-GB"/>
              </w:rPr>
              <w:t xml:space="preserve"> </w:t>
            </w:r>
            <w:proofErr w:type="spellStart"/>
            <w:r w:rsidRPr="00383886">
              <w:rPr>
                <w:rFonts w:cs="Arial"/>
                <w:sz w:val="20"/>
                <w:lang w:val="en-GB"/>
              </w:rPr>
              <w:t>reformi</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projekata</w:t>
            </w:r>
            <w:proofErr w:type="spellEnd"/>
            <w:r w:rsidRPr="00383886">
              <w:rPr>
                <w:rFonts w:cs="Arial"/>
                <w:sz w:val="20"/>
                <w:lang w:val="en-GB"/>
              </w:rPr>
              <w:t xml:space="preserve"> koji se </w:t>
            </w:r>
            <w:proofErr w:type="spellStart"/>
            <w:r w:rsidRPr="00383886">
              <w:rPr>
                <w:rFonts w:cs="Arial"/>
                <w:sz w:val="20"/>
                <w:lang w:val="en-GB"/>
              </w:rPr>
              <w:t>realizuju</w:t>
            </w:r>
            <w:proofErr w:type="spellEnd"/>
            <w:r w:rsidRPr="00383886">
              <w:rPr>
                <w:rFonts w:cs="Arial"/>
                <w:sz w:val="20"/>
                <w:lang w:val="en-GB"/>
              </w:rPr>
              <w:t xml:space="preserve"> da bi se </w:t>
            </w:r>
            <w:proofErr w:type="spellStart"/>
            <w:r w:rsidRPr="00383886">
              <w:rPr>
                <w:rFonts w:cs="Arial"/>
                <w:sz w:val="20"/>
                <w:lang w:val="en-GB"/>
              </w:rPr>
              <w:t>ostvarili</w:t>
            </w:r>
            <w:proofErr w:type="spellEnd"/>
            <w:r w:rsidRPr="00383886">
              <w:rPr>
                <w:rFonts w:cs="Arial"/>
                <w:sz w:val="20"/>
                <w:lang w:val="en-GB"/>
              </w:rPr>
              <w:t xml:space="preserve"> </w:t>
            </w:r>
            <w:proofErr w:type="spellStart"/>
            <w:r w:rsidRPr="00383886">
              <w:rPr>
                <w:rFonts w:cs="Arial"/>
                <w:sz w:val="20"/>
                <w:lang w:val="en-GB"/>
              </w:rPr>
              <w:t>definisani</w:t>
            </w:r>
            <w:proofErr w:type="spellEnd"/>
            <w:r w:rsidRPr="00383886">
              <w:rPr>
                <w:rFonts w:cs="Arial"/>
                <w:sz w:val="20"/>
                <w:lang w:val="en-GB"/>
              </w:rPr>
              <w:t xml:space="preserve"> </w:t>
            </w:r>
            <w:proofErr w:type="spellStart"/>
            <w:r w:rsidRPr="00383886">
              <w:rPr>
                <w:rFonts w:cs="Arial"/>
                <w:sz w:val="20"/>
                <w:lang w:val="en-GB"/>
              </w:rPr>
              <w:t>razvojni</w:t>
            </w:r>
            <w:proofErr w:type="spellEnd"/>
            <w:r w:rsidRPr="00383886">
              <w:rPr>
                <w:rFonts w:cs="Arial"/>
                <w:sz w:val="20"/>
                <w:lang w:val="en-GB"/>
              </w:rPr>
              <w:t xml:space="preserve"> </w:t>
            </w:r>
            <w:proofErr w:type="spellStart"/>
            <w:r w:rsidRPr="00383886">
              <w:rPr>
                <w:rFonts w:cs="Arial"/>
                <w:sz w:val="20"/>
                <w:lang w:val="en-GB"/>
              </w:rPr>
              <w:t>ciljevi</w:t>
            </w:r>
            <w:proofErr w:type="spellEnd"/>
            <w:r w:rsidRPr="00383886">
              <w:rPr>
                <w:rFonts w:cs="Arial"/>
                <w:sz w:val="20"/>
                <w:lang w:val="en-GB"/>
              </w:rPr>
              <w:t xml:space="preserve">, </w:t>
            </w:r>
            <w:proofErr w:type="spellStart"/>
            <w:r w:rsidRPr="00383886">
              <w:rPr>
                <w:rFonts w:cs="Arial"/>
                <w:sz w:val="20"/>
                <w:lang w:val="en-GB"/>
              </w:rPr>
              <w:t>odnosno</w:t>
            </w:r>
            <w:proofErr w:type="spellEnd"/>
            <w:r w:rsidRPr="00383886">
              <w:rPr>
                <w:rFonts w:cs="Arial"/>
                <w:sz w:val="20"/>
                <w:lang w:val="en-GB"/>
              </w:rPr>
              <w:t xml:space="preserve"> </w:t>
            </w:r>
            <w:proofErr w:type="spellStart"/>
            <w:r w:rsidRPr="00383886">
              <w:rPr>
                <w:rFonts w:cs="Arial"/>
                <w:sz w:val="20"/>
                <w:lang w:val="en-GB"/>
              </w:rPr>
              <w:t>eliminisali</w:t>
            </w:r>
            <w:proofErr w:type="spellEnd"/>
            <w:r w:rsidRPr="00383886">
              <w:rPr>
                <w:rFonts w:cs="Arial"/>
                <w:sz w:val="20"/>
                <w:lang w:val="en-GB"/>
              </w:rPr>
              <w:t xml:space="preserve">, </w:t>
            </w:r>
            <w:proofErr w:type="spellStart"/>
            <w:r w:rsidRPr="00383886">
              <w:rPr>
                <w:rFonts w:cs="Arial"/>
                <w:sz w:val="20"/>
                <w:lang w:val="en-GB"/>
              </w:rPr>
              <w:t>eventualni</w:t>
            </w:r>
            <w:proofErr w:type="spellEnd"/>
            <w:r w:rsidRPr="00383886">
              <w:rPr>
                <w:rFonts w:cs="Arial"/>
                <w:sz w:val="20"/>
                <w:lang w:val="en-GB"/>
              </w:rPr>
              <w:t xml:space="preserve">, </w:t>
            </w:r>
            <w:proofErr w:type="spellStart"/>
            <w:r w:rsidRPr="00383886">
              <w:rPr>
                <w:rFonts w:cs="Arial"/>
                <w:sz w:val="20"/>
                <w:lang w:val="en-GB"/>
              </w:rPr>
              <w:t>negativni</w:t>
            </w:r>
            <w:proofErr w:type="spellEnd"/>
            <w:r w:rsidRPr="00383886">
              <w:rPr>
                <w:rFonts w:cs="Arial"/>
                <w:sz w:val="20"/>
                <w:lang w:val="en-GB"/>
              </w:rPr>
              <w:t xml:space="preserve"> </w:t>
            </w:r>
            <w:proofErr w:type="spellStart"/>
            <w:r w:rsidRPr="00383886">
              <w:rPr>
                <w:rFonts w:cs="Arial"/>
                <w:sz w:val="20"/>
                <w:lang w:val="en-GB"/>
              </w:rPr>
              <w:t>efekti</w:t>
            </w:r>
            <w:proofErr w:type="spellEnd"/>
            <w:r w:rsidRPr="00383886">
              <w:rPr>
                <w:rFonts w:cs="Arial"/>
                <w:sz w:val="20"/>
                <w:lang w:val="en-GB"/>
              </w:rPr>
              <w:t>.</w:t>
            </w:r>
          </w:p>
        </w:tc>
      </w:tr>
      <w:tr w:rsidR="00383886" w:rsidRPr="00383886" w14:paraId="2F40CA6E" w14:textId="77777777" w:rsidTr="00FD6B98">
        <w:tc>
          <w:tcPr>
            <w:tcW w:w="447" w:type="dxa"/>
            <w:shd w:val="clear" w:color="auto" w:fill="auto"/>
            <w:vAlign w:val="center"/>
          </w:tcPr>
          <w:p w14:paraId="31241052" w14:textId="77777777" w:rsidR="00383886" w:rsidRPr="00383886" w:rsidRDefault="00383886" w:rsidP="00FD6B98">
            <w:pPr>
              <w:spacing w:before="40" w:after="40"/>
              <w:jc w:val="both"/>
              <w:rPr>
                <w:rFonts w:cs="Arial"/>
                <w:sz w:val="20"/>
              </w:rPr>
            </w:pPr>
            <w:r w:rsidRPr="00383886">
              <w:rPr>
                <w:rFonts w:cs="Arial"/>
                <w:sz w:val="20"/>
              </w:rPr>
              <w:t>5.</w:t>
            </w:r>
          </w:p>
        </w:tc>
        <w:tc>
          <w:tcPr>
            <w:tcW w:w="2151" w:type="dxa"/>
            <w:gridSpan w:val="2"/>
            <w:shd w:val="clear" w:color="auto" w:fill="auto"/>
            <w:vAlign w:val="center"/>
          </w:tcPr>
          <w:p w14:paraId="4F92E1DF" w14:textId="77777777" w:rsidR="00383886" w:rsidRPr="00383886" w:rsidRDefault="00383886" w:rsidP="00FD6B98">
            <w:pPr>
              <w:spacing w:line="276" w:lineRule="auto"/>
              <w:contextualSpacing/>
              <w:jc w:val="both"/>
              <w:rPr>
                <w:rFonts w:cs="Arial"/>
                <w:sz w:val="20"/>
                <w:lang w:val="en-GB"/>
              </w:rPr>
            </w:pPr>
            <w:proofErr w:type="spellStart"/>
            <w:r w:rsidRPr="00383886">
              <w:rPr>
                <w:rFonts w:cs="Arial"/>
                <w:sz w:val="20"/>
                <w:lang w:val="en-GB"/>
              </w:rPr>
              <w:t>Donijeti</w:t>
            </w:r>
            <w:proofErr w:type="spellEnd"/>
            <w:r w:rsidRPr="00383886">
              <w:rPr>
                <w:rFonts w:cs="Arial"/>
                <w:sz w:val="20"/>
                <w:lang w:val="en-GB"/>
              </w:rPr>
              <w:t xml:space="preserve"> </w:t>
            </w:r>
            <w:proofErr w:type="spellStart"/>
            <w:r w:rsidRPr="00383886">
              <w:rPr>
                <w:rFonts w:cs="Arial"/>
                <w:sz w:val="20"/>
                <w:lang w:val="en-GB"/>
              </w:rPr>
              <w:t>Pravce</w:t>
            </w:r>
            <w:proofErr w:type="spellEnd"/>
            <w:r w:rsidRPr="00383886">
              <w:rPr>
                <w:rFonts w:cs="Arial"/>
                <w:sz w:val="20"/>
                <w:lang w:val="en-GB"/>
              </w:rPr>
              <w:t xml:space="preserve"> </w:t>
            </w:r>
            <w:proofErr w:type="spellStart"/>
            <w:r w:rsidRPr="00383886">
              <w:rPr>
                <w:rFonts w:cs="Arial"/>
                <w:sz w:val="20"/>
                <w:lang w:val="en-GB"/>
              </w:rPr>
              <w:t>razvoja</w:t>
            </w:r>
            <w:proofErr w:type="spellEnd"/>
            <w:r w:rsidRPr="00383886">
              <w:rPr>
                <w:rFonts w:cs="Arial"/>
                <w:sz w:val="20"/>
                <w:lang w:val="en-GB"/>
              </w:rPr>
              <w:t xml:space="preserve"> </w:t>
            </w:r>
            <w:proofErr w:type="spellStart"/>
            <w:r w:rsidRPr="00383886">
              <w:rPr>
                <w:rFonts w:cs="Arial"/>
                <w:sz w:val="20"/>
                <w:lang w:val="en-GB"/>
              </w:rPr>
              <w:t>Crne</w:t>
            </w:r>
            <w:proofErr w:type="spellEnd"/>
            <w:r w:rsidRPr="00383886">
              <w:rPr>
                <w:rFonts w:cs="Arial"/>
                <w:sz w:val="20"/>
                <w:lang w:val="en-GB"/>
              </w:rPr>
              <w:t xml:space="preserve"> Gore 2022-2025.</w:t>
            </w:r>
          </w:p>
        </w:tc>
        <w:tc>
          <w:tcPr>
            <w:tcW w:w="2066" w:type="dxa"/>
            <w:shd w:val="clear" w:color="auto" w:fill="auto"/>
            <w:vAlign w:val="center"/>
          </w:tcPr>
          <w:p w14:paraId="50EFF7CF" w14:textId="77777777" w:rsidR="00383886" w:rsidRPr="00383886" w:rsidRDefault="00383886" w:rsidP="00FD6B98">
            <w:pPr>
              <w:spacing w:line="276" w:lineRule="auto"/>
              <w:contextualSpacing/>
              <w:jc w:val="both"/>
              <w:rPr>
                <w:rFonts w:cs="Arial"/>
                <w:sz w:val="20"/>
                <w:lang w:val="en-GB"/>
              </w:rPr>
            </w:pPr>
            <w:proofErr w:type="spellStart"/>
            <w:r w:rsidRPr="00383886">
              <w:rPr>
                <w:rFonts w:cs="Arial"/>
                <w:sz w:val="20"/>
                <w:lang w:val="en-GB"/>
              </w:rPr>
              <w:t>Doneseni</w:t>
            </w:r>
            <w:proofErr w:type="spellEnd"/>
            <w:r w:rsidRPr="00383886">
              <w:rPr>
                <w:rFonts w:cs="Arial"/>
                <w:sz w:val="20"/>
                <w:lang w:val="en-GB"/>
              </w:rPr>
              <w:t xml:space="preserve"> </w:t>
            </w:r>
            <w:proofErr w:type="spellStart"/>
            <w:r w:rsidRPr="00383886">
              <w:rPr>
                <w:rFonts w:cs="Arial"/>
                <w:sz w:val="20"/>
                <w:lang w:val="en-GB"/>
              </w:rPr>
              <w:t>Pravci</w:t>
            </w:r>
            <w:proofErr w:type="spellEnd"/>
            <w:r w:rsidRPr="00383886">
              <w:rPr>
                <w:rFonts w:cs="Arial"/>
                <w:sz w:val="20"/>
                <w:lang w:val="en-GB"/>
              </w:rPr>
              <w:t xml:space="preserve"> </w:t>
            </w:r>
            <w:proofErr w:type="spellStart"/>
            <w:r w:rsidRPr="00383886">
              <w:rPr>
                <w:rFonts w:cs="Arial"/>
                <w:sz w:val="20"/>
                <w:lang w:val="en-GB"/>
              </w:rPr>
              <w:t>razvoja</w:t>
            </w:r>
            <w:proofErr w:type="spellEnd"/>
            <w:r w:rsidRPr="00383886">
              <w:rPr>
                <w:rFonts w:cs="Arial"/>
                <w:sz w:val="20"/>
                <w:lang w:val="en-GB"/>
              </w:rPr>
              <w:t xml:space="preserve"> </w:t>
            </w:r>
            <w:proofErr w:type="spellStart"/>
            <w:r w:rsidRPr="00383886">
              <w:rPr>
                <w:rFonts w:cs="Arial"/>
                <w:sz w:val="20"/>
                <w:lang w:val="en-GB"/>
              </w:rPr>
              <w:t>Crne</w:t>
            </w:r>
            <w:proofErr w:type="spellEnd"/>
            <w:r w:rsidRPr="00383886">
              <w:rPr>
                <w:rFonts w:cs="Arial"/>
                <w:sz w:val="20"/>
                <w:lang w:val="en-GB"/>
              </w:rPr>
              <w:t xml:space="preserve"> Gore 2022-2025.</w:t>
            </w:r>
          </w:p>
          <w:p w14:paraId="2102AB33" w14:textId="77777777" w:rsidR="00383886" w:rsidRPr="00383886" w:rsidRDefault="00383886" w:rsidP="00FD6B98">
            <w:pPr>
              <w:spacing w:line="276" w:lineRule="auto"/>
              <w:contextualSpacing/>
              <w:jc w:val="both"/>
              <w:rPr>
                <w:rFonts w:cs="Arial"/>
                <w:sz w:val="20"/>
                <w:lang w:val="hr-HR"/>
              </w:rPr>
            </w:pPr>
          </w:p>
        </w:tc>
        <w:tc>
          <w:tcPr>
            <w:tcW w:w="1843" w:type="dxa"/>
            <w:shd w:val="clear" w:color="auto" w:fill="auto"/>
            <w:vAlign w:val="center"/>
          </w:tcPr>
          <w:p w14:paraId="7E6E85AF" w14:textId="77777777" w:rsidR="00383886" w:rsidRPr="00383886" w:rsidRDefault="00383886" w:rsidP="00FD6B98">
            <w:pPr>
              <w:spacing w:before="20" w:after="20"/>
              <w:jc w:val="both"/>
              <w:rPr>
                <w:rFonts w:cs="Arial"/>
                <w:bCs/>
                <w:iCs/>
                <w:sz w:val="20"/>
              </w:rPr>
            </w:pPr>
            <w:r w:rsidRPr="00383886">
              <w:rPr>
                <w:rFonts w:cs="Arial"/>
                <w:bCs/>
                <w:iCs/>
                <w:sz w:val="20"/>
              </w:rPr>
              <w:t>NI: MFSS u saradnji sa ostalim nadležnim institucijama</w:t>
            </w:r>
          </w:p>
          <w:p w14:paraId="710B99AF" w14:textId="77777777" w:rsidR="00383886" w:rsidRPr="00383886" w:rsidRDefault="00383886" w:rsidP="00FD6B98">
            <w:pPr>
              <w:spacing w:before="20" w:after="20"/>
              <w:jc w:val="both"/>
              <w:rPr>
                <w:rFonts w:cs="Arial"/>
                <w:bCs/>
                <w:iCs/>
                <w:sz w:val="20"/>
              </w:rPr>
            </w:pPr>
          </w:p>
          <w:p w14:paraId="6513CC60" w14:textId="77777777" w:rsidR="00383886" w:rsidRPr="00383886" w:rsidRDefault="00383886" w:rsidP="00FD6B98">
            <w:pPr>
              <w:spacing w:before="20" w:after="20"/>
              <w:jc w:val="both"/>
              <w:rPr>
                <w:rFonts w:cs="Arial"/>
                <w:bCs/>
                <w:iCs/>
                <w:sz w:val="20"/>
              </w:rPr>
            </w:pPr>
            <w:r w:rsidRPr="00383886">
              <w:rPr>
                <w:rFonts w:cs="Arial"/>
                <w:bCs/>
                <w:iCs/>
                <w:sz w:val="20"/>
              </w:rPr>
              <w:t>NK: KPS, KEPIF</w:t>
            </w:r>
          </w:p>
        </w:tc>
        <w:tc>
          <w:tcPr>
            <w:tcW w:w="2400" w:type="dxa"/>
            <w:shd w:val="clear" w:color="auto" w:fill="auto"/>
            <w:vAlign w:val="center"/>
          </w:tcPr>
          <w:p w14:paraId="43947E2E" w14:textId="77777777" w:rsidR="00383886" w:rsidRPr="00383886" w:rsidRDefault="00383886" w:rsidP="00FD6B98">
            <w:pPr>
              <w:spacing w:before="40" w:after="40"/>
              <w:jc w:val="both"/>
              <w:rPr>
                <w:rFonts w:cs="Arial"/>
                <w:bCs/>
                <w:iCs/>
                <w:sz w:val="20"/>
              </w:rPr>
            </w:pPr>
            <w:r w:rsidRPr="00383886">
              <w:rPr>
                <w:rFonts w:cs="Arial"/>
                <w:bCs/>
                <w:iCs/>
                <w:sz w:val="20"/>
              </w:rPr>
              <w:t>I - III Q 2022.</w:t>
            </w:r>
          </w:p>
        </w:tc>
        <w:tc>
          <w:tcPr>
            <w:tcW w:w="1945" w:type="dxa"/>
            <w:shd w:val="clear" w:color="auto" w:fill="auto"/>
            <w:vAlign w:val="center"/>
          </w:tcPr>
          <w:p w14:paraId="32B9757E" w14:textId="77777777" w:rsidR="00383886" w:rsidRPr="00383886" w:rsidRDefault="00383886" w:rsidP="00FD6B98">
            <w:pPr>
              <w:autoSpaceDE w:val="0"/>
              <w:autoSpaceDN w:val="0"/>
              <w:adjustRightInd w:val="0"/>
              <w:contextualSpacing/>
              <w:jc w:val="both"/>
              <w:rPr>
                <w:rFonts w:cs="Arial"/>
                <w:bCs/>
                <w:sz w:val="20"/>
              </w:rPr>
            </w:pPr>
            <w:r w:rsidRPr="00383886">
              <w:rPr>
                <w:rFonts w:cs="Arial"/>
                <w:bCs/>
                <w:sz w:val="20"/>
              </w:rPr>
              <w:t>Potrebno je izdvajanje finansijskih sredstava za implementaciju projekata i mjera koji će biti planirani Pravcima razvoja.</w:t>
            </w:r>
          </w:p>
          <w:p w14:paraId="0FDD20E4" w14:textId="77777777" w:rsidR="00383886" w:rsidRPr="00383886" w:rsidRDefault="00383886" w:rsidP="00FD6B98">
            <w:pPr>
              <w:autoSpaceDE w:val="0"/>
              <w:autoSpaceDN w:val="0"/>
              <w:adjustRightInd w:val="0"/>
              <w:contextualSpacing/>
              <w:jc w:val="both"/>
              <w:rPr>
                <w:rFonts w:cs="Arial"/>
                <w:sz w:val="20"/>
              </w:rPr>
            </w:pPr>
            <w:r w:rsidRPr="00383886">
              <w:rPr>
                <w:rFonts w:cs="Arial"/>
                <w:sz w:val="20"/>
              </w:rPr>
              <w:lastRenderedPageBreak/>
              <w:t>Dokumentom će biti utvrđene i mjere u pravcu unapređenja poslovnog ambijenta</w:t>
            </w:r>
          </w:p>
          <w:p w14:paraId="3143948F" w14:textId="77777777" w:rsidR="00383886" w:rsidRPr="00383886" w:rsidRDefault="00383886" w:rsidP="00FD6B98">
            <w:pPr>
              <w:spacing w:before="40" w:after="40"/>
              <w:jc w:val="both"/>
              <w:rPr>
                <w:rFonts w:cs="Arial"/>
                <w:sz w:val="20"/>
              </w:rPr>
            </w:pPr>
          </w:p>
        </w:tc>
        <w:tc>
          <w:tcPr>
            <w:tcW w:w="1941" w:type="dxa"/>
            <w:shd w:val="clear" w:color="auto" w:fill="auto"/>
            <w:vAlign w:val="center"/>
          </w:tcPr>
          <w:p w14:paraId="08A7019A" w14:textId="77777777" w:rsidR="00383886" w:rsidRPr="00383886" w:rsidRDefault="00383886" w:rsidP="00FD6B98">
            <w:pPr>
              <w:spacing w:before="40" w:after="40"/>
              <w:jc w:val="both"/>
              <w:rPr>
                <w:rFonts w:cs="Arial"/>
                <w:sz w:val="20"/>
              </w:rPr>
            </w:pPr>
            <w:r w:rsidRPr="00383886">
              <w:rPr>
                <w:rFonts w:cs="Arial"/>
                <w:sz w:val="20"/>
              </w:rPr>
              <w:lastRenderedPageBreak/>
              <w:t>Mjere i projekti koji će se utvrditi PR biće finansirani iz privatnih i javnih izvora (budžet, krediti, donacije i sredstva EU</w:t>
            </w:r>
            <w:r w:rsidRPr="00383886">
              <w:rPr>
                <w:rFonts w:cs="Arial"/>
                <w:b/>
                <w:sz w:val="20"/>
              </w:rPr>
              <w:t>)</w:t>
            </w:r>
          </w:p>
        </w:tc>
        <w:tc>
          <w:tcPr>
            <w:tcW w:w="2093" w:type="dxa"/>
            <w:shd w:val="clear" w:color="auto" w:fill="auto"/>
            <w:vAlign w:val="center"/>
          </w:tcPr>
          <w:p w14:paraId="09F527A6" w14:textId="77777777" w:rsidR="00383886" w:rsidRPr="00383886" w:rsidRDefault="00383886" w:rsidP="00FD6B98">
            <w:pPr>
              <w:spacing w:line="276" w:lineRule="auto"/>
              <w:jc w:val="both"/>
              <w:rPr>
                <w:rFonts w:cs="Arial"/>
                <w:sz w:val="20"/>
                <w:lang w:val="en-GB"/>
              </w:rPr>
            </w:pPr>
            <w:proofErr w:type="spellStart"/>
            <w:r w:rsidRPr="00383886">
              <w:rPr>
                <w:rFonts w:cs="Arial"/>
                <w:sz w:val="20"/>
                <w:lang w:val="en-GB"/>
              </w:rPr>
              <w:t>Crna</w:t>
            </w:r>
            <w:proofErr w:type="spellEnd"/>
            <w:r w:rsidRPr="00383886">
              <w:rPr>
                <w:rFonts w:cs="Arial"/>
                <w:sz w:val="20"/>
                <w:lang w:val="en-GB"/>
              </w:rPr>
              <w:t xml:space="preserve"> Gora, </w:t>
            </w:r>
            <w:proofErr w:type="spellStart"/>
            <w:r w:rsidRPr="00383886">
              <w:rPr>
                <w:rFonts w:cs="Arial"/>
                <w:sz w:val="20"/>
                <w:lang w:val="en-GB"/>
              </w:rPr>
              <w:t>kao</w:t>
            </w:r>
            <w:proofErr w:type="spellEnd"/>
            <w:r w:rsidRPr="00383886">
              <w:rPr>
                <w:rFonts w:cs="Arial"/>
                <w:sz w:val="20"/>
                <w:lang w:val="en-GB"/>
              </w:rPr>
              <w:t xml:space="preserve"> </w:t>
            </w:r>
            <w:proofErr w:type="spellStart"/>
            <w:r w:rsidRPr="00383886">
              <w:rPr>
                <w:rFonts w:cs="Arial"/>
                <w:sz w:val="20"/>
                <w:lang w:val="en-GB"/>
              </w:rPr>
              <w:t>zemlja</w:t>
            </w:r>
            <w:proofErr w:type="spellEnd"/>
            <w:r w:rsidRPr="00383886">
              <w:rPr>
                <w:rFonts w:cs="Arial"/>
                <w:sz w:val="20"/>
                <w:lang w:val="en-GB"/>
              </w:rPr>
              <w:t xml:space="preserve"> </w:t>
            </w:r>
            <w:proofErr w:type="spellStart"/>
            <w:r w:rsidRPr="00383886">
              <w:rPr>
                <w:rFonts w:cs="Arial"/>
                <w:sz w:val="20"/>
                <w:lang w:val="en-GB"/>
              </w:rPr>
              <w:t>kandidat</w:t>
            </w:r>
            <w:proofErr w:type="spellEnd"/>
            <w:r w:rsidRPr="00383886">
              <w:rPr>
                <w:rFonts w:cs="Arial"/>
                <w:sz w:val="20"/>
                <w:lang w:val="en-GB"/>
              </w:rPr>
              <w:t xml:space="preserve"> za </w:t>
            </w:r>
            <w:proofErr w:type="spellStart"/>
            <w:r w:rsidRPr="00383886">
              <w:rPr>
                <w:rFonts w:cs="Arial"/>
                <w:sz w:val="20"/>
                <w:lang w:val="en-GB"/>
              </w:rPr>
              <w:t>članstvo</w:t>
            </w:r>
            <w:proofErr w:type="spellEnd"/>
            <w:r w:rsidRPr="00383886">
              <w:rPr>
                <w:rFonts w:cs="Arial"/>
                <w:sz w:val="20"/>
                <w:lang w:val="en-GB"/>
              </w:rPr>
              <w:t xml:space="preserve"> u EU, </w:t>
            </w:r>
            <w:proofErr w:type="spellStart"/>
            <w:r w:rsidRPr="00383886">
              <w:rPr>
                <w:rFonts w:cs="Arial"/>
                <w:sz w:val="20"/>
                <w:lang w:val="en-GB"/>
              </w:rPr>
              <w:t>ima</w:t>
            </w:r>
            <w:proofErr w:type="spellEnd"/>
            <w:r w:rsidRPr="00383886">
              <w:rPr>
                <w:rFonts w:cs="Arial"/>
                <w:sz w:val="20"/>
                <w:lang w:val="en-GB"/>
              </w:rPr>
              <w:t xml:space="preserve"> </w:t>
            </w:r>
            <w:proofErr w:type="spellStart"/>
            <w:r w:rsidRPr="00383886">
              <w:rPr>
                <w:rFonts w:cs="Arial"/>
                <w:sz w:val="20"/>
                <w:lang w:val="en-GB"/>
              </w:rPr>
              <w:t>obavezu</w:t>
            </w:r>
            <w:proofErr w:type="spellEnd"/>
            <w:r w:rsidRPr="00383886">
              <w:rPr>
                <w:rFonts w:cs="Arial"/>
                <w:sz w:val="20"/>
                <w:lang w:val="en-GB"/>
              </w:rPr>
              <w:t xml:space="preserve"> </w:t>
            </w:r>
            <w:proofErr w:type="spellStart"/>
            <w:r w:rsidRPr="00383886">
              <w:rPr>
                <w:rFonts w:cs="Arial"/>
                <w:sz w:val="20"/>
                <w:lang w:val="en-GB"/>
              </w:rPr>
              <w:t>utvrđivanja</w:t>
            </w:r>
            <w:proofErr w:type="spellEnd"/>
            <w:r w:rsidRPr="00383886">
              <w:rPr>
                <w:rFonts w:cs="Arial"/>
                <w:sz w:val="20"/>
                <w:lang w:val="en-GB"/>
              </w:rPr>
              <w:t xml:space="preserve"> </w:t>
            </w:r>
            <w:proofErr w:type="spellStart"/>
            <w:r w:rsidRPr="00383886">
              <w:rPr>
                <w:rFonts w:cs="Arial"/>
                <w:sz w:val="20"/>
                <w:lang w:val="en-GB"/>
              </w:rPr>
              <w:t>vizije</w:t>
            </w:r>
            <w:proofErr w:type="spellEnd"/>
            <w:r w:rsidRPr="00383886">
              <w:rPr>
                <w:rFonts w:cs="Arial"/>
                <w:sz w:val="20"/>
                <w:lang w:val="en-GB"/>
              </w:rPr>
              <w:t xml:space="preserve"> socio-</w:t>
            </w:r>
            <w:proofErr w:type="spellStart"/>
            <w:r w:rsidRPr="00383886">
              <w:rPr>
                <w:rFonts w:cs="Arial"/>
                <w:sz w:val="20"/>
                <w:lang w:val="en-GB"/>
              </w:rPr>
              <w:t>ekonomskog</w:t>
            </w:r>
            <w:proofErr w:type="spellEnd"/>
            <w:r w:rsidRPr="00383886">
              <w:rPr>
                <w:rFonts w:cs="Arial"/>
                <w:sz w:val="20"/>
                <w:lang w:val="en-GB"/>
              </w:rPr>
              <w:t xml:space="preserve"> </w:t>
            </w:r>
            <w:proofErr w:type="spellStart"/>
            <w:r w:rsidRPr="00383886">
              <w:rPr>
                <w:rFonts w:cs="Arial"/>
                <w:sz w:val="20"/>
                <w:lang w:val="en-GB"/>
              </w:rPr>
              <w:t>razvoja</w:t>
            </w:r>
            <w:proofErr w:type="spellEnd"/>
            <w:r w:rsidRPr="00383886">
              <w:rPr>
                <w:rFonts w:cs="Arial"/>
                <w:sz w:val="20"/>
                <w:lang w:val="en-GB"/>
              </w:rPr>
              <w:t xml:space="preserve">. S </w:t>
            </w:r>
            <w:proofErr w:type="spellStart"/>
            <w:r w:rsidRPr="00383886">
              <w:rPr>
                <w:rFonts w:cs="Arial"/>
                <w:sz w:val="20"/>
                <w:lang w:val="en-GB"/>
              </w:rPr>
              <w:t>tim</w:t>
            </w:r>
            <w:proofErr w:type="spellEnd"/>
            <w:r w:rsidRPr="00383886">
              <w:rPr>
                <w:rFonts w:cs="Arial"/>
                <w:sz w:val="20"/>
                <w:lang w:val="en-GB"/>
              </w:rPr>
              <w:t xml:space="preserve"> u </w:t>
            </w:r>
            <w:proofErr w:type="spellStart"/>
            <w:r w:rsidRPr="00383886">
              <w:rPr>
                <w:rFonts w:cs="Arial"/>
                <w:sz w:val="20"/>
                <w:lang w:val="en-GB"/>
              </w:rPr>
              <w:t>vezi</w:t>
            </w:r>
            <w:proofErr w:type="spellEnd"/>
            <w:r w:rsidRPr="00383886">
              <w:rPr>
                <w:rFonts w:cs="Arial"/>
                <w:sz w:val="20"/>
                <w:lang w:val="en-GB"/>
              </w:rPr>
              <w:t xml:space="preserve">, od 2012. </w:t>
            </w:r>
            <w:proofErr w:type="spellStart"/>
            <w:r w:rsidRPr="00383886">
              <w:rPr>
                <w:rFonts w:cs="Arial"/>
                <w:sz w:val="20"/>
                <w:lang w:val="en-GB"/>
              </w:rPr>
              <w:lastRenderedPageBreak/>
              <w:t>godine</w:t>
            </w:r>
            <w:proofErr w:type="spellEnd"/>
            <w:r w:rsidRPr="00383886">
              <w:rPr>
                <w:rFonts w:cs="Arial"/>
                <w:sz w:val="20"/>
                <w:lang w:val="en-GB"/>
              </w:rPr>
              <w:t xml:space="preserve"> se </w:t>
            </w:r>
            <w:proofErr w:type="spellStart"/>
            <w:r w:rsidRPr="00383886">
              <w:rPr>
                <w:rFonts w:cs="Arial"/>
                <w:sz w:val="20"/>
                <w:lang w:val="en-GB"/>
              </w:rPr>
              <w:t>donose</w:t>
            </w:r>
            <w:proofErr w:type="spellEnd"/>
            <w:r w:rsidRPr="00383886">
              <w:rPr>
                <w:rFonts w:cs="Arial"/>
                <w:sz w:val="20"/>
                <w:lang w:val="en-GB"/>
              </w:rPr>
              <w:t xml:space="preserve"> </w:t>
            </w:r>
            <w:proofErr w:type="spellStart"/>
            <w:r w:rsidRPr="00383886">
              <w:rPr>
                <w:rFonts w:cs="Arial"/>
                <w:sz w:val="20"/>
                <w:lang w:val="en-GB"/>
              </w:rPr>
              <w:t>Pravci</w:t>
            </w:r>
            <w:proofErr w:type="spellEnd"/>
            <w:r w:rsidRPr="00383886">
              <w:rPr>
                <w:rFonts w:cs="Arial"/>
                <w:sz w:val="20"/>
                <w:lang w:val="en-GB"/>
              </w:rPr>
              <w:t xml:space="preserve"> </w:t>
            </w:r>
            <w:proofErr w:type="spellStart"/>
            <w:r w:rsidRPr="00383886">
              <w:rPr>
                <w:rFonts w:cs="Arial"/>
                <w:sz w:val="20"/>
                <w:lang w:val="en-GB"/>
              </w:rPr>
              <w:t>razvoja</w:t>
            </w:r>
            <w:proofErr w:type="spellEnd"/>
            <w:r w:rsidRPr="00383886">
              <w:rPr>
                <w:rFonts w:cs="Arial"/>
                <w:sz w:val="20"/>
                <w:lang w:val="en-GB"/>
              </w:rPr>
              <w:t xml:space="preserve">, koji </w:t>
            </w:r>
            <w:proofErr w:type="spellStart"/>
            <w:r w:rsidRPr="00383886">
              <w:rPr>
                <w:rFonts w:cs="Arial"/>
                <w:sz w:val="20"/>
                <w:lang w:val="en-GB"/>
              </w:rPr>
              <w:t>predstavljaju</w:t>
            </w:r>
            <w:proofErr w:type="spellEnd"/>
            <w:r w:rsidRPr="00383886">
              <w:rPr>
                <w:rFonts w:cs="Arial"/>
                <w:sz w:val="20"/>
                <w:lang w:val="en-GB"/>
              </w:rPr>
              <w:t xml:space="preserve"> </w:t>
            </w:r>
            <w:proofErr w:type="spellStart"/>
            <w:r w:rsidRPr="00383886">
              <w:rPr>
                <w:rFonts w:cs="Arial"/>
                <w:sz w:val="20"/>
                <w:lang w:val="en-GB"/>
              </w:rPr>
              <w:t>krovni</w:t>
            </w:r>
            <w:proofErr w:type="spellEnd"/>
            <w:r w:rsidRPr="00383886">
              <w:rPr>
                <w:rFonts w:cs="Arial"/>
                <w:sz w:val="20"/>
                <w:lang w:val="en-GB"/>
              </w:rPr>
              <w:t xml:space="preserve"> </w:t>
            </w:r>
            <w:proofErr w:type="spellStart"/>
            <w:r w:rsidRPr="00383886">
              <w:rPr>
                <w:rFonts w:cs="Arial"/>
                <w:sz w:val="20"/>
                <w:lang w:val="en-GB"/>
              </w:rPr>
              <w:t>razvojni</w:t>
            </w:r>
            <w:proofErr w:type="spellEnd"/>
            <w:r w:rsidRPr="00383886">
              <w:rPr>
                <w:rFonts w:cs="Arial"/>
                <w:sz w:val="20"/>
                <w:lang w:val="en-GB"/>
              </w:rPr>
              <w:t xml:space="preserve"> </w:t>
            </w:r>
            <w:proofErr w:type="spellStart"/>
            <w:r w:rsidRPr="00383886">
              <w:rPr>
                <w:rFonts w:cs="Arial"/>
                <w:sz w:val="20"/>
                <w:lang w:val="en-GB"/>
              </w:rPr>
              <w:t>implementacioni</w:t>
            </w:r>
            <w:proofErr w:type="spellEnd"/>
            <w:r w:rsidRPr="00383886">
              <w:rPr>
                <w:rFonts w:cs="Arial"/>
                <w:sz w:val="20"/>
                <w:lang w:val="en-GB"/>
              </w:rPr>
              <w:t xml:space="preserve"> </w:t>
            </w:r>
            <w:proofErr w:type="spellStart"/>
            <w:r w:rsidRPr="00383886">
              <w:rPr>
                <w:rFonts w:cs="Arial"/>
                <w:sz w:val="20"/>
                <w:lang w:val="en-GB"/>
              </w:rPr>
              <w:t>dokument</w:t>
            </w:r>
            <w:proofErr w:type="spellEnd"/>
            <w:r w:rsidRPr="00383886">
              <w:rPr>
                <w:rFonts w:cs="Arial"/>
                <w:sz w:val="20"/>
                <w:lang w:val="en-GB"/>
              </w:rPr>
              <w:t xml:space="preserve">. </w:t>
            </w:r>
            <w:proofErr w:type="spellStart"/>
            <w:r w:rsidRPr="00383886">
              <w:rPr>
                <w:rFonts w:cs="Arial"/>
                <w:sz w:val="20"/>
                <w:lang w:val="en-GB"/>
              </w:rPr>
              <w:t>Pravci</w:t>
            </w:r>
            <w:proofErr w:type="spellEnd"/>
            <w:r w:rsidRPr="00383886">
              <w:rPr>
                <w:rFonts w:cs="Arial"/>
                <w:sz w:val="20"/>
                <w:lang w:val="en-GB"/>
              </w:rPr>
              <w:t xml:space="preserve"> </w:t>
            </w:r>
            <w:proofErr w:type="spellStart"/>
            <w:r w:rsidRPr="00383886">
              <w:rPr>
                <w:rFonts w:cs="Arial"/>
                <w:sz w:val="20"/>
                <w:lang w:val="en-GB"/>
              </w:rPr>
              <w:t>razvoja</w:t>
            </w:r>
            <w:proofErr w:type="spellEnd"/>
            <w:r w:rsidRPr="00383886">
              <w:rPr>
                <w:rFonts w:cs="Arial"/>
                <w:sz w:val="20"/>
                <w:lang w:val="en-GB"/>
              </w:rPr>
              <w:t xml:space="preserve">, </w:t>
            </w:r>
            <w:proofErr w:type="spellStart"/>
            <w:r w:rsidRPr="00383886">
              <w:rPr>
                <w:rFonts w:cs="Arial"/>
                <w:sz w:val="20"/>
                <w:lang w:val="en-GB"/>
              </w:rPr>
              <w:t>sa</w:t>
            </w:r>
            <w:proofErr w:type="spellEnd"/>
            <w:r w:rsidRPr="00383886">
              <w:rPr>
                <w:rFonts w:cs="Arial"/>
                <w:sz w:val="20"/>
                <w:lang w:val="en-GB"/>
              </w:rPr>
              <w:t xml:space="preserve"> </w:t>
            </w:r>
            <w:proofErr w:type="spellStart"/>
            <w:r w:rsidRPr="00383886">
              <w:rPr>
                <w:rFonts w:cs="Arial"/>
                <w:sz w:val="20"/>
                <w:lang w:val="en-GB"/>
              </w:rPr>
              <w:t>konkretnim</w:t>
            </w:r>
            <w:proofErr w:type="spellEnd"/>
            <w:r w:rsidRPr="00383886">
              <w:rPr>
                <w:rFonts w:cs="Arial"/>
                <w:sz w:val="20"/>
                <w:lang w:val="en-GB"/>
              </w:rPr>
              <w:t xml:space="preserve"> </w:t>
            </w:r>
            <w:proofErr w:type="spellStart"/>
            <w:r w:rsidRPr="00383886">
              <w:rPr>
                <w:rFonts w:cs="Arial"/>
                <w:sz w:val="20"/>
                <w:lang w:val="en-GB"/>
              </w:rPr>
              <w:t>projektima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finansijskom</w:t>
            </w:r>
            <w:proofErr w:type="spellEnd"/>
            <w:r w:rsidRPr="00383886">
              <w:rPr>
                <w:rFonts w:cs="Arial"/>
                <w:sz w:val="20"/>
                <w:lang w:val="en-GB"/>
              </w:rPr>
              <w:t xml:space="preserve"> </w:t>
            </w:r>
            <w:proofErr w:type="spellStart"/>
            <w:r w:rsidRPr="00383886">
              <w:rPr>
                <w:rFonts w:cs="Arial"/>
                <w:sz w:val="20"/>
                <w:lang w:val="en-GB"/>
              </w:rPr>
              <w:t>strukturom</w:t>
            </w:r>
            <w:proofErr w:type="spellEnd"/>
            <w:r w:rsidRPr="00383886">
              <w:rPr>
                <w:rFonts w:cs="Arial"/>
                <w:sz w:val="20"/>
                <w:lang w:val="en-GB"/>
              </w:rPr>
              <w:t xml:space="preserve">, </w:t>
            </w:r>
            <w:proofErr w:type="spellStart"/>
            <w:r w:rsidRPr="00383886">
              <w:rPr>
                <w:rFonts w:cs="Arial"/>
                <w:sz w:val="20"/>
                <w:lang w:val="en-GB"/>
              </w:rPr>
              <w:t>su</w:t>
            </w:r>
            <w:proofErr w:type="spellEnd"/>
            <w:r w:rsidRPr="00383886">
              <w:rPr>
                <w:rFonts w:cs="Arial"/>
                <w:sz w:val="20"/>
                <w:lang w:val="en-GB"/>
              </w:rPr>
              <w:t xml:space="preserve"> </w:t>
            </w:r>
            <w:proofErr w:type="spellStart"/>
            <w:r w:rsidRPr="00383886">
              <w:rPr>
                <w:rFonts w:cs="Arial"/>
                <w:sz w:val="20"/>
                <w:lang w:val="en-GB"/>
              </w:rPr>
              <w:t>osnova</w:t>
            </w:r>
            <w:proofErr w:type="spellEnd"/>
            <w:r w:rsidRPr="00383886">
              <w:rPr>
                <w:rFonts w:cs="Arial"/>
                <w:sz w:val="20"/>
                <w:lang w:val="en-GB"/>
              </w:rPr>
              <w:t xml:space="preserve"> za </w:t>
            </w:r>
            <w:proofErr w:type="spellStart"/>
            <w:r w:rsidRPr="00383886">
              <w:rPr>
                <w:rFonts w:cs="Arial"/>
                <w:sz w:val="20"/>
                <w:lang w:val="en-GB"/>
              </w:rPr>
              <w:t>programiranje</w:t>
            </w:r>
            <w:proofErr w:type="spellEnd"/>
            <w:r w:rsidRPr="00383886">
              <w:rPr>
                <w:rFonts w:cs="Arial"/>
                <w:sz w:val="20"/>
                <w:lang w:val="en-GB"/>
              </w:rPr>
              <w:t xml:space="preserve"> </w:t>
            </w:r>
            <w:proofErr w:type="spellStart"/>
            <w:r w:rsidRPr="00383886">
              <w:rPr>
                <w:rFonts w:cs="Arial"/>
                <w:sz w:val="20"/>
                <w:lang w:val="en-GB"/>
              </w:rPr>
              <w:t>investicija</w:t>
            </w:r>
            <w:proofErr w:type="spellEnd"/>
            <w:r w:rsidRPr="00383886">
              <w:rPr>
                <w:rFonts w:cs="Arial"/>
                <w:sz w:val="20"/>
                <w:lang w:val="en-GB"/>
              </w:rPr>
              <w:t xml:space="preserve"> </w:t>
            </w:r>
            <w:proofErr w:type="spellStart"/>
            <w:r w:rsidRPr="00383886">
              <w:rPr>
                <w:rFonts w:cs="Arial"/>
                <w:sz w:val="20"/>
                <w:lang w:val="en-GB"/>
              </w:rPr>
              <w:t>na</w:t>
            </w:r>
            <w:proofErr w:type="spellEnd"/>
            <w:r w:rsidRPr="00383886">
              <w:rPr>
                <w:rFonts w:cs="Arial"/>
                <w:sz w:val="20"/>
                <w:lang w:val="en-GB"/>
              </w:rPr>
              <w:t xml:space="preserve"> </w:t>
            </w:r>
            <w:proofErr w:type="spellStart"/>
            <w:r w:rsidRPr="00383886">
              <w:rPr>
                <w:rFonts w:cs="Arial"/>
                <w:sz w:val="20"/>
                <w:lang w:val="en-GB"/>
              </w:rPr>
              <w:t>državnom</w:t>
            </w:r>
            <w:proofErr w:type="spellEnd"/>
            <w:r w:rsidRPr="00383886">
              <w:rPr>
                <w:rFonts w:cs="Arial"/>
                <w:sz w:val="20"/>
                <w:lang w:val="en-GB"/>
              </w:rPr>
              <w:t xml:space="preserve"> </w:t>
            </w:r>
            <w:proofErr w:type="spellStart"/>
            <w:r w:rsidRPr="00383886">
              <w:rPr>
                <w:rFonts w:cs="Arial"/>
                <w:sz w:val="20"/>
                <w:lang w:val="en-GB"/>
              </w:rPr>
              <w:t>nivou</w:t>
            </w:r>
            <w:proofErr w:type="spellEnd"/>
            <w:r w:rsidRPr="00383886">
              <w:rPr>
                <w:rFonts w:cs="Arial"/>
                <w:sz w:val="20"/>
                <w:lang w:val="en-GB"/>
              </w:rPr>
              <w:t xml:space="preserve">, </w:t>
            </w:r>
            <w:proofErr w:type="spellStart"/>
            <w:r w:rsidRPr="00383886">
              <w:rPr>
                <w:rFonts w:cs="Arial"/>
                <w:sz w:val="20"/>
                <w:lang w:val="en-GB"/>
              </w:rPr>
              <w:t>odnosno</w:t>
            </w:r>
            <w:proofErr w:type="spellEnd"/>
            <w:r w:rsidRPr="00383886">
              <w:rPr>
                <w:rFonts w:cs="Arial"/>
                <w:sz w:val="20"/>
                <w:lang w:val="en-GB"/>
              </w:rPr>
              <w:t xml:space="preserve"> za </w:t>
            </w:r>
            <w:proofErr w:type="spellStart"/>
            <w:r w:rsidRPr="00383886">
              <w:rPr>
                <w:rFonts w:cs="Arial"/>
                <w:sz w:val="20"/>
                <w:lang w:val="en-GB"/>
              </w:rPr>
              <w:t>uspostavljanje</w:t>
            </w:r>
            <w:proofErr w:type="spellEnd"/>
            <w:r w:rsidRPr="00383886">
              <w:rPr>
                <w:rFonts w:cs="Arial"/>
                <w:sz w:val="20"/>
                <w:lang w:val="en-GB"/>
              </w:rPr>
              <w:t xml:space="preserve"> </w:t>
            </w:r>
            <w:proofErr w:type="spellStart"/>
            <w:r w:rsidRPr="00383886">
              <w:rPr>
                <w:rFonts w:cs="Arial"/>
                <w:sz w:val="20"/>
                <w:lang w:val="en-GB"/>
              </w:rPr>
              <w:t>direktne</w:t>
            </w:r>
            <w:proofErr w:type="spellEnd"/>
            <w:r w:rsidRPr="00383886">
              <w:rPr>
                <w:rFonts w:cs="Arial"/>
                <w:sz w:val="20"/>
                <w:lang w:val="en-GB"/>
              </w:rPr>
              <w:t xml:space="preserve"> </w:t>
            </w:r>
            <w:proofErr w:type="spellStart"/>
            <w:r w:rsidRPr="00383886">
              <w:rPr>
                <w:rFonts w:cs="Arial"/>
                <w:sz w:val="20"/>
                <w:lang w:val="en-GB"/>
              </w:rPr>
              <w:t>veze</w:t>
            </w:r>
            <w:proofErr w:type="spellEnd"/>
            <w:r w:rsidRPr="00383886">
              <w:rPr>
                <w:rFonts w:cs="Arial"/>
                <w:sz w:val="20"/>
                <w:lang w:val="en-GB"/>
              </w:rPr>
              <w:t xml:space="preserve"> </w:t>
            </w:r>
            <w:proofErr w:type="spellStart"/>
            <w:r w:rsidRPr="00383886">
              <w:rPr>
                <w:rFonts w:cs="Arial"/>
                <w:sz w:val="20"/>
                <w:lang w:val="en-GB"/>
              </w:rPr>
              <w:t>između</w:t>
            </w:r>
            <w:proofErr w:type="spellEnd"/>
            <w:r w:rsidRPr="00383886">
              <w:rPr>
                <w:rFonts w:cs="Arial"/>
                <w:sz w:val="20"/>
                <w:lang w:val="en-GB"/>
              </w:rPr>
              <w:t xml:space="preserve"> </w:t>
            </w:r>
            <w:proofErr w:type="spellStart"/>
            <w:r w:rsidRPr="00383886">
              <w:rPr>
                <w:rFonts w:cs="Arial"/>
                <w:sz w:val="20"/>
                <w:lang w:val="en-GB"/>
              </w:rPr>
              <w:t>sredstava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razvojnih</w:t>
            </w:r>
            <w:proofErr w:type="spellEnd"/>
            <w:r w:rsidRPr="00383886">
              <w:rPr>
                <w:rFonts w:cs="Arial"/>
                <w:sz w:val="20"/>
                <w:lang w:val="en-GB"/>
              </w:rPr>
              <w:t xml:space="preserve"> </w:t>
            </w:r>
            <w:proofErr w:type="spellStart"/>
            <w:r w:rsidRPr="00383886">
              <w:rPr>
                <w:rFonts w:cs="Arial"/>
                <w:sz w:val="20"/>
                <w:lang w:val="en-GB"/>
              </w:rPr>
              <w:t>prioriteta</w:t>
            </w:r>
            <w:proofErr w:type="spellEnd"/>
            <w:r w:rsidRPr="00383886">
              <w:rPr>
                <w:rFonts w:cs="Arial"/>
                <w:sz w:val="20"/>
                <w:lang w:val="en-GB"/>
              </w:rPr>
              <w:t>.</w:t>
            </w:r>
          </w:p>
          <w:p w14:paraId="1CFEAF59" w14:textId="77777777" w:rsidR="00383886" w:rsidRPr="00383886" w:rsidRDefault="00383886" w:rsidP="00FD6B98">
            <w:pPr>
              <w:spacing w:line="276" w:lineRule="auto"/>
              <w:jc w:val="both"/>
              <w:rPr>
                <w:rFonts w:cs="Arial"/>
                <w:sz w:val="20"/>
                <w:lang w:val="en-GB"/>
              </w:rPr>
            </w:pPr>
            <w:proofErr w:type="spellStart"/>
            <w:r w:rsidRPr="00383886">
              <w:rPr>
                <w:rFonts w:cs="Arial"/>
                <w:sz w:val="20"/>
                <w:lang w:val="en-GB"/>
              </w:rPr>
              <w:t>Pravcima</w:t>
            </w:r>
            <w:proofErr w:type="spellEnd"/>
            <w:r w:rsidRPr="00383886">
              <w:rPr>
                <w:rFonts w:cs="Arial"/>
                <w:sz w:val="20"/>
                <w:lang w:val="en-GB"/>
              </w:rPr>
              <w:t xml:space="preserve"> </w:t>
            </w:r>
            <w:proofErr w:type="spellStart"/>
            <w:r w:rsidRPr="00383886">
              <w:rPr>
                <w:rFonts w:cs="Arial"/>
                <w:sz w:val="20"/>
                <w:lang w:val="en-GB"/>
              </w:rPr>
              <w:t>razvoja</w:t>
            </w:r>
            <w:proofErr w:type="spellEnd"/>
            <w:r w:rsidRPr="00383886">
              <w:rPr>
                <w:rFonts w:cs="Arial"/>
                <w:sz w:val="20"/>
                <w:lang w:val="en-GB"/>
              </w:rPr>
              <w:t xml:space="preserve"> </w:t>
            </w:r>
            <w:proofErr w:type="spellStart"/>
            <w:r w:rsidRPr="00383886">
              <w:rPr>
                <w:rFonts w:cs="Arial"/>
                <w:sz w:val="20"/>
                <w:lang w:val="en-GB"/>
              </w:rPr>
              <w:t>Crne</w:t>
            </w:r>
            <w:proofErr w:type="spellEnd"/>
            <w:r w:rsidRPr="00383886">
              <w:rPr>
                <w:rFonts w:cs="Arial"/>
                <w:sz w:val="20"/>
                <w:lang w:val="en-GB"/>
              </w:rPr>
              <w:t xml:space="preserve"> Gore 2022 – 2025. </w:t>
            </w:r>
            <w:proofErr w:type="spellStart"/>
            <w:r w:rsidRPr="00383886">
              <w:rPr>
                <w:rFonts w:cs="Arial"/>
                <w:sz w:val="20"/>
                <w:lang w:val="en-GB"/>
              </w:rPr>
              <w:t>predstaviće</w:t>
            </w:r>
            <w:proofErr w:type="spellEnd"/>
            <w:r w:rsidRPr="00383886">
              <w:rPr>
                <w:rFonts w:cs="Arial"/>
                <w:sz w:val="20"/>
                <w:lang w:val="en-GB"/>
              </w:rPr>
              <w:t xml:space="preserve"> se </w:t>
            </w:r>
            <w:proofErr w:type="spellStart"/>
            <w:r w:rsidRPr="00383886">
              <w:rPr>
                <w:rFonts w:cs="Arial"/>
                <w:sz w:val="20"/>
                <w:lang w:val="en-GB"/>
              </w:rPr>
              <w:t>razvojna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ekonomska</w:t>
            </w:r>
            <w:proofErr w:type="spellEnd"/>
            <w:r w:rsidRPr="00383886">
              <w:rPr>
                <w:rFonts w:cs="Arial"/>
                <w:sz w:val="20"/>
                <w:lang w:val="en-GB"/>
              </w:rPr>
              <w:t xml:space="preserve"> </w:t>
            </w:r>
            <w:proofErr w:type="spellStart"/>
            <w:r w:rsidRPr="00383886">
              <w:rPr>
                <w:rFonts w:cs="Arial"/>
                <w:sz w:val="20"/>
                <w:lang w:val="en-GB"/>
              </w:rPr>
              <w:t>politika</w:t>
            </w:r>
            <w:proofErr w:type="spellEnd"/>
            <w:r w:rsidRPr="00383886">
              <w:rPr>
                <w:rFonts w:cs="Arial"/>
                <w:sz w:val="20"/>
                <w:lang w:val="en-GB"/>
              </w:rPr>
              <w:t xml:space="preserve"> za </w:t>
            </w:r>
            <w:proofErr w:type="spellStart"/>
            <w:r w:rsidRPr="00383886">
              <w:rPr>
                <w:rFonts w:cs="Arial"/>
                <w:sz w:val="20"/>
                <w:lang w:val="en-GB"/>
              </w:rPr>
              <w:t>naredni</w:t>
            </w:r>
            <w:proofErr w:type="spellEnd"/>
            <w:r w:rsidRPr="00383886">
              <w:rPr>
                <w:rFonts w:cs="Arial"/>
                <w:sz w:val="20"/>
                <w:lang w:val="en-GB"/>
              </w:rPr>
              <w:t xml:space="preserve"> </w:t>
            </w:r>
            <w:proofErr w:type="spellStart"/>
            <w:r w:rsidRPr="00383886">
              <w:rPr>
                <w:rFonts w:cs="Arial"/>
                <w:sz w:val="20"/>
                <w:lang w:val="en-GB"/>
              </w:rPr>
              <w:t>četvorogodišnji</w:t>
            </w:r>
            <w:proofErr w:type="spellEnd"/>
            <w:r w:rsidRPr="00383886">
              <w:rPr>
                <w:rFonts w:cs="Arial"/>
                <w:sz w:val="20"/>
                <w:lang w:val="en-GB"/>
              </w:rPr>
              <w:t xml:space="preserve"> period. </w:t>
            </w:r>
            <w:proofErr w:type="spellStart"/>
            <w:r w:rsidRPr="00383886">
              <w:rPr>
                <w:rFonts w:cs="Arial"/>
                <w:sz w:val="20"/>
                <w:lang w:val="en-GB"/>
              </w:rPr>
              <w:t>Pri</w:t>
            </w:r>
            <w:proofErr w:type="spellEnd"/>
            <w:r w:rsidRPr="00383886">
              <w:rPr>
                <w:rFonts w:cs="Arial"/>
                <w:sz w:val="20"/>
                <w:lang w:val="en-GB"/>
              </w:rPr>
              <w:t xml:space="preserve"> tome, </w:t>
            </w:r>
            <w:proofErr w:type="spellStart"/>
            <w:r w:rsidRPr="00383886">
              <w:rPr>
                <w:rFonts w:cs="Arial"/>
                <w:sz w:val="20"/>
                <w:lang w:val="en-GB"/>
              </w:rPr>
              <w:t>izvršiće</w:t>
            </w:r>
            <w:proofErr w:type="spellEnd"/>
            <w:r w:rsidRPr="00383886">
              <w:rPr>
                <w:rFonts w:cs="Arial"/>
                <w:sz w:val="20"/>
                <w:lang w:val="en-GB"/>
              </w:rPr>
              <w:t xml:space="preserve"> se </w:t>
            </w:r>
            <w:proofErr w:type="spellStart"/>
            <w:r w:rsidRPr="00383886">
              <w:rPr>
                <w:rFonts w:cs="Arial"/>
                <w:sz w:val="20"/>
                <w:lang w:val="en-GB"/>
              </w:rPr>
              <w:t>preispitivanje</w:t>
            </w:r>
            <w:proofErr w:type="spellEnd"/>
            <w:r w:rsidRPr="00383886">
              <w:rPr>
                <w:rFonts w:cs="Arial"/>
                <w:sz w:val="20"/>
                <w:lang w:val="en-GB"/>
              </w:rPr>
              <w:t xml:space="preserve"> </w:t>
            </w:r>
            <w:proofErr w:type="spellStart"/>
            <w:r w:rsidRPr="00383886">
              <w:rPr>
                <w:rFonts w:cs="Arial"/>
                <w:sz w:val="20"/>
                <w:lang w:val="en-GB"/>
              </w:rPr>
              <w:t>postojećih</w:t>
            </w:r>
            <w:proofErr w:type="spellEnd"/>
            <w:r w:rsidRPr="00383886">
              <w:rPr>
                <w:rFonts w:cs="Arial"/>
                <w:sz w:val="20"/>
                <w:lang w:val="en-GB"/>
              </w:rPr>
              <w:t xml:space="preserve"> </w:t>
            </w:r>
            <w:proofErr w:type="spellStart"/>
            <w:r w:rsidRPr="00383886">
              <w:rPr>
                <w:rFonts w:cs="Arial"/>
                <w:sz w:val="20"/>
                <w:lang w:val="en-GB"/>
              </w:rPr>
              <w:t>ili</w:t>
            </w:r>
            <w:proofErr w:type="spellEnd"/>
            <w:r w:rsidRPr="00383886">
              <w:rPr>
                <w:rFonts w:cs="Arial"/>
                <w:sz w:val="20"/>
                <w:lang w:val="en-GB"/>
              </w:rPr>
              <w:t xml:space="preserve"> </w:t>
            </w:r>
            <w:proofErr w:type="spellStart"/>
            <w:r w:rsidRPr="00383886">
              <w:rPr>
                <w:rFonts w:cs="Arial"/>
                <w:sz w:val="20"/>
                <w:lang w:val="en-GB"/>
              </w:rPr>
              <w:t>postavljanje</w:t>
            </w:r>
            <w:proofErr w:type="spellEnd"/>
            <w:r w:rsidRPr="00383886">
              <w:rPr>
                <w:rFonts w:cs="Arial"/>
                <w:sz w:val="20"/>
                <w:lang w:val="en-GB"/>
              </w:rPr>
              <w:t xml:space="preserve"> </w:t>
            </w:r>
            <w:proofErr w:type="spellStart"/>
            <w:r w:rsidRPr="00383886">
              <w:rPr>
                <w:rFonts w:cs="Arial"/>
                <w:sz w:val="20"/>
                <w:lang w:val="en-GB"/>
              </w:rPr>
              <w:t>novih</w:t>
            </w:r>
            <w:proofErr w:type="spellEnd"/>
            <w:r w:rsidRPr="00383886">
              <w:rPr>
                <w:rFonts w:cs="Arial"/>
                <w:sz w:val="20"/>
                <w:lang w:val="en-GB"/>
              </w:rPr>
              <w:t xml:space="preserve"> </w:t>
            </w:r>
            <w:proofErr w:type="spellStart"/>
            <w:r w:rsidRPr="00383886">
              <w:rPr>
                <w:rFonts w:cs="Arial"/>
                <w:sz w:val="20"/>
                <w:lang w:val="en-GB"/>
              </w:rPr>
              <w:t>ciljeva</w:t>
            </w:r>
            <w:proofErr w:type="spellEnd"/>
            <w:r w:rsidRPr="00383886">
              <w:rPr>
                <w:rFonts w:cs="Arial"/>
                <w:sz w:val="20"/>
                <w:lang w:val="en-GB"/>
              </w:rPr>
              <w:t xml:space="preserve"> </w:t>
            </w:r>
            <w:proofErr w:type="spellStart"/>
            <w:r w:rsidRPr="00383886">
              <w:rPr>
                <w:rFonts w:cs="Arial"/>
                <w:sz w:val="20"/>
                <w:lang w:val="en-GB"/>
              </w:rPr>
              <w:t>razvoja</w:t>
            </w:r>
            <w:proofErr w:type="spellEnd"/>
            <w:r w:rsidRPr="00383886">
              <w:rPr>
                <w:rFonts w:cs="Arial"/>
                <w:sz w:val="20"/>
                <w:lang w:val="en-GB"/>
              </w:rPr>
              <w:t xml:space="preserve">, </w:t>
            </w:r>
            <w:proofErr w:type="spellStart"/>
            <w:r w:rsidRPr="00383886">
              <w:rPr>
                <w:rFonts w:cs="Arial"/>
                <w:sz w:val="20"/>
                <w:lang w:val="en-GB"/>
              </w:rPr>
              <w:t>prioritetnih</w:t>
            </w:r>
            <w:proofErr w:type="spellEnd"/>
            <w:r w:rsidRPr="00383886">
              <w:rPr>
                <w:rFonts w:cs="Arial"/>
                <w:sz w:val="20"/>
                <w:lang w:val="en-GB"/>
              </w:rPr>
              <w:t xml:space="preserve"> </w:t>
            </w:r>
            <w:proofErr w:type="spellStart"/>
            <w:r w:rsidRPr="00383886">
              <w:rPr>
                <w:rFonts w:cs="Arial"/>
                <w:sz w:val="20"/>
                <w:lang w:val="en-GB"/>
              </w:rPr>
              <w:t>oblasti</w:t>
            </w:r>
            <w:proofErr w:type="spellEnd"/>
            <w:r w:rsidRPr="00383886">
              <w:rPr>
                <w:rFonts w:cs="Arial"/>
                <w:sz w:val="20"/>
                <w:lang w:val="en-GB"/>
              </w:rPr>
              <w:t xml:space="preserve"> </w:t>
            </w:r>
            <w:proofErr w:type="spellStart"/>
            <w:r w:rsidRPr="00383886">
              <w:rPr>
                <w:rFonts w:cs="Arial"/>
                <w:sz w:val="20"/>
                <w:lang w:val="en-GB"/>
              </w:rPr>
              <w:t>razvoja</w:t>
            </w:r>
            <w:proofErr w:type="spellEnd"/>
            <w:r w:rsidRPr="00383886">
              <w:rPr>
                <w:rFonts w:cs="Arial"/>
                <w:sz w:val="20"/>
                <w:lang w:val="en-GB"/>
              </w:rPr>
              <w:t xml:space="preserve">, </w:t>
            </w:r>
            <w:proofErr w:type="spellStart"/>
            <w:r w:rsidRPr="00383886">
              <w:rPr>
                <w:rFonts w:cs="Arial"/>
                <w:sz w:val="20"/>
                <w:lang w:val="en-GB"/>
              </w:rPr>
              <w:t>mjera</w:t>
            </w:r>
            <w:proofErr w:type="spellEnd"/>
            <w:r w:rsidRPr="00383886">
              <w:rPr>
                <w:rFonts w:cs="Arial"/>
                <w:sz w:val="20"/>
                <w:lang w:val="en-GB"/>
              </w:rPr>
              <w:t>/</w:t>
            </w:r>
            <w:proofErr w:type="spellStart"/>
            <w:r w:rsidRPr="00383886">
              <w:rPr>
                <w:rFonts w:cs="Arial"/>
                <w:sz w:val="20"/>
                <w:lang w:val="en-GB"/>
              </w:rPr>
              <w:t>projekata</w:t>
            </w:r>
            <w:proofErr w:type="spellEnd"/>
            <w:r w:rsidRPr="00383886">
              <w:rPr>
                <w:rFonts w:cs="Arial"/>
                <w:sz w:val="20"/>
                <w:lang w:val="en-GB"/>
              </w:rPr>
              <w:t xml:space="preserve">. Za </w:t>
            </w:r>
            <w:proofErr w:type="spellStart"/>
            <w:r w:rsidRPr="00383886">
              <w:rPr>
                <w:rFonts w:cs="Arial"/>
                <w:sz w:val="20"/>
                <w:lang w:val="en-GB"/>
              </w:rPr>
              <w:t>realizaciju</w:t>
            </w:r>
            <w:proofErr w:type="spellEnd"/>
            <w:r w:rsidRPr="00383886">
              <w:rPr>
                <w:rFonts w:cs="Arial"/>
                <w:sz w:val="20"/>
                <w:lang w:val="en-GB"/>
              </w:rPr>
              <w:t xml:space="preserve"> </w:t>
            </w:r>
            <w:proofErr w:type="spellStart"/>
            <w:r w:rsidRPr="00383886">
              <w:rPr>
                <w:rFonts w:cs="Arial"/>
                <w:sz w:val="20"/>
                <w:lang w:val="en-GB"/>
              </w:rPr>
              <w:t>izabranih</w:t>
            </w:r>
            <w:proofErr w:type="spellEnd"/>
            <w:r w:rsidRPr="00383886">
              <w:rPr>
                <w:rFonts w:cs="Arial"/>
                <w:sz w:val="20"/>
                <w:lang w:val="en-GB"/>
              </w:rPr>
              <w:t xml:space="preserve"> </w:t>
            </w:r>
            <w:proofErr w:type="spellStart"/>
            <w:r w:rsidRPr="00383886">
              <w:rPr>
                <w:rFonts w:cs="Arial"/>
                <w:sz w:val="20"/>
                <w:lang w:val="en-GB"/>
              </w:rPr>
              <w:t>mjera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projekata</w:t>
            </w:r>
            <w:proofErr w:type="spellEnd"/>
            <w:r w:rsidRPr="00383886">
              <w:rPr>
                <w:rFonts w:cs="Arial"/>
                <w:sz w:val="20"/>
                <w:lang w:val="en-GB"/>
              </w:rPr>
              <w:t xml:space="preserve"> </w:t>
            </w:r>
            <w:proofErr w:type="spellStart"/>
            <w:r w:rsidRPr="00383886">
              <w:rPr>
                <w:rFonts w:cs="Arial"/>
                <w:sz w:val="20"/>
                <w:lang w:val="en-GB"/>
              </w:rPr>
              <w:t>utvrdiće</w:t>
            </w:r>
            <w:proofErr w:type="spellEnd"/>
            <w:r w:rsidRPr="00383886">
              <w:rPr>
                <w:rFonts w:cs="Arial"/>
                <w:sz w:val="20"/>
                <w:lang w:val="en-GB"/>
              </w:rPr>
              <w:t xml:space="preserve"> se </w:t>
            </w:r>
            <w:proofErr w:type="spellStart"/>
            <w:r w:rsidRPr="00383886">
              <w:rPr>
                <w:rFonts w:cs="Arial"/>
                <w:sz w:val="20"/>
                <w:lang w:val="en-GB"/>
              </w:rPr>
              <w:t>iznos</w:t>
            </w:r>
            <w:proofErr w:type="spellEnd"/>
            <w:r w:rsidRPr="00383886">
              <w:rPr>
                <w:rFonts w:cs="Arial"/>
                <w:sz w:val="20"/>
                <w:lang w:val="en-GB"/>
              </w:rPr>
              <w:t xml:space="preserve"> </w:t>
            </w:r>
            <w:proofErr w:type="spellStart"/>
            <w:r w:rsidRPr="00383886">
              <w:rPr>
                <w:rFonts w:cs="Arial"/>
                <w:sz w:val="20"/>
                <w:lang w:val="en-GB"/>
              </w:rPr>
              <w:t>potrebnih</w:t>
            </w:r>
            <w:proofErr w:type="spellEnd"/>
            <w:r w:rsidRPr="00383886">
              <w:rPr>
                <w:rFonts w:cs="Arial"/>
                <w:sz w:val="20"/>
                <w:lang w:val="en-GB"/>
              </w:rPr>
              <w:t xml:space="preserve"> </w:t>
            </w:r>
            <w:proofErr w:type="spellStart"/>
            <w:r w:rsidRPr="00383886">
              <w:rPr>
                <w:rFonts w:cs="Arial"/>
                <w:sz w:val="20"/>
                <w:lang w:val="en-GB"/>
              </w:rPr>
              <w:t>sredstava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izvor</w:t>
            </w:r>
            <w:proofErr w:type="spellEnd"/>
            <w:r w:rsidRPr="00383886">
              <w:rPr>
                <w:rFonts w:cs="Arial"/>
                <w:sz w:val="20"/>
                <w:lang w:val="en-GB"/>
              </w:rPr>
              <w:t xml:space="preserve"> </w:t>
            </w:r>
            <w:proofErr w:type="spellStart"/>
            <w:r w:rsidRPr="00383886">
              <w:rPr>
                <w:rFonts w:cs="Arial"/>
                <w:sz w:val="20"/>
                <w:lang w:val="en-GB"/>
              </w:rPr>
              <w:t>finansiranja</w:t>
            </w:r>
            <w:proofErr w:type="spellEnd"/>
            <w:r w:rsidRPr="00383886">
              <w:rPr>
                <w:rFonts w:cs="Arial"/>
                <w:sz w:val="20"/>
                <w:lang w:val="en-GB"/>
              </w:rPr>
              <w:t>.</w:t>
            </w:r>
          </w:p>
          <w:p w14:paraId="7199AAF7" w14:textId="77777777" w:rsidR="00383886" w:rsidRPr="00383886" w:rsidRDefault="00383886" w:rsidP="00FD6B98">
            <w:pPr>
              <w:spacing w:line="276" w:lineRule="auto"/>
              <w:jc w:val="both"/>
              <w:rPr>
                <w:rFonts w:cs="Arial"/>
                <w:sz w:val="20"/>
                <w:lang w:val="en-GB"/>
              </w:rPr>
            </w:pPr>
            <w:proofErr w:type="spellStart"/>
            <w:r w:rsidRPr="00383886">
              <w:rPr>
                <w:rFonts w:cs="Arial"/>
                <w:sz w:val="20"/>
                <w:lang w:val="en-GB"/>
              </w:rPr>
              <w:t>Polazište</w:t>
            </w:r>
            <w:proofErr w:type="spellEnd"/>
            <w:r w:rsidRPr="00383886">
              <w:rPr>
                <w:rFonts w:cs="Arial"/>
                <w:sz w:val="20"/>
                <w:lang w:val="en-GB"/>
              </w:rPr>
              <w:t xml:space="preserve"> za </w:t>
            </w:r>
            <w:proofErr w:type="spellStart"/>
            <w:r w:rsidRPr="00383886">
              <w:rPr>
                <w:rFonts w:cs="Arial"/>
                <w:sz w:val="20"/>
                <w:lang w:val="en-GB"/>
              </w:rPr>
              <w:t>izradu</w:t>
            </w:r>
            <w:proofErr w:type="spellEnd"/>
            <w:r w:rsidRPr="00383886">
              <w:rPr>
                <w:rFonts w:cs="Arial"/>
                <w:sz w:val="20"/>
                <w:lang w:val="en-GB"/>
              </w:rPr>
              <w:t>/</w:t>
            </w:r>
            <w:proofErr w:type="spellStart"/>
            <w:r w:rsidRPr="00383886">
              <w:rPr>
                <w:rFonts w:cs="Arial"/>
                <w:sz w:val="20"/>
                <w:lang w:val="en-GB"/>
              </w:rPr>
              <w:t>inoviranje</w:t>
            </w:r>
            <w:proofErr w:type="spellEnd"/>
            <w:r w:rsidRPr="00383886">
              <w:rPr>
                <w:rFonts w:cs="Arial"/>
                <w:sz w:val="20"/>
                <w:lang w:val="en-GB"/>
              </w:rPr>
              <w:t xml:space="preserve"> </w:t>
            </w:r>
            <w:proofErr w:type="spellStart"/>
            <w:r w:rsidRPr="00383886">
              <w:rPr>
                <w:rFonts w:cs="Arial"/>
                <w:sz w:val="20"/>
                <w:lang w:val="en-GB"/>
              </w:rPr>
              <w:t>Pravaca</w:t>
            </w:r>
            <w:proofErr w:type="spellEnd"/>
            <w:r w:rsidRPr="00383886">
              <w:rPr>
                <w:rFonts w:cs="Arial"/>
                <w:sz w:val="20"/>
                <w:lang w:val="en-GB"/>
              </w:rPr>
              <w:t xml:space="preserve"> </w:t>
            </w:r>
            <w:proofErr w:type="spellStart"/>
            <w:r w:rsidRPr="00383886">
              <w:rPr>
                <w:rFonts w:cs="Arial"/>
                <w:sz w:val="20"/>
                <w:lang w:val="en-GB"/>
              </w:rPr>
              <w:t>razvoja</w:t>
            </w:r>
            <w:proofErr w:type="spellEnd"/>
            <w:r w:rsidRPr="00383886">
              <w:rPr>
                <w:rFonts w:cs="Arial"/>
                <w:sz w:val="20"/>
                <w:lang w:val="en-GB"/>
              </w:rPr>
              <w:t xml:space="preserve"> </w:t>
            </w:r>
            <w:proofErr w:type="spellStart"/>
            <w:r w:rsidRPr="00383886">
              <w:rPr>
                <w:rFonts w:cs="Arial"/>
                <w:sz w:val="20"/>
                <w:lang w:val="en-GB"/>
              </w:rPr>
              <w:t>biće</w:t>
            </w:r>
            <w:proofErr w:type="spellEnd"/>
            <w:r w:rsidRPr="00383886">
              <w:rPr>
                <w:rFonts w:cs="Arial"/>
                <w:sz w:val="20"/>
                <w:lang w:val="en-GB"/>
              </w:rPr>
              <w:t xml:space="preserve"> </w:t>
            </w:r>
            <w:proofErr w:type="spellStart"/>
            <w:r w:rsidRPr="00383886">
              <w:rPr>
                <w:rFonts w:cs="Arial"/>
                <w:sz w:val="20"/>
                <w:lang w:val="en-GB"/>
              </w:rPr>
              <w:t>ocjena</w:t>
            </w:r>
            <w:proofErr w:type="spellEnd"/>
            <w:r w:rsidRPr="00383886">
              <w:rPr>
                <w:rFonts w:cs="Arial"/>
                <w:sz w:val="20"/>
                <w:lang w:val="en-GB"/>
              </w:rPr>
              <w:t xml:space="preserve"> </w:t>
            </w:r>
            <w:proofErr w:type="spellStart"/>
            <w:r w:rsidRPr="00383886">
              <w:rPr>
                <w:rFonts w:cs="Arial"/>
                <w:sz w:val="20"/>
                <w:lang w:val="en-GB"/>
              </w:rPr>
              <w:t>realizacije</w:t>
            </w:r>
            <w:proofErr w:type="spellEnd"/>
            <w:r w:rsidRPr="00383886">
              <w:rPr>
                <w:rFonts w:cs="Arial"/>
                <w:sz w:val="20"/>
                <w:lang w:val="en-GB"/>
              </w:rPr>
              <w:t xml:space="preserve"> </w:t>
            </w:r>
            <w:proofErr w:type="spellStart"/>
            <w:r w:rsidRPr="00383886">
              <w:rPr>
                <w:rFonts w:cs="Arial"/>
                <w:sz w:val="20"/>
                <w:lang w:val="en-GB"/>
              </w:rPr>
              <w:t>Pravaca</w:t>
            </w:r>
            <w:proofErr w:type="spellEnd"/>
            <w:r w:rsidRPr="00383886">
              <w:rPr>
                <w:rFonts w:cs="Arial"/>
                <w:sz w:val="20"/>
                <w:lang w:val="en-GB"/>
              </w:rPr>
              <w:t xml:space="preserve"> </w:t>
            </w:r>
            <w:proofErr w:type="spellStart"/>
            <w:r w:rsidRPr="00383886">
              <w:rPr>
                <w:rFonts w:cs="Arial"/>
                <w:sz w:val="20"/>
                <w:lang w:val="en-GB"/>
              </w:rPr>
              <w:t>razvoja</w:t>
            </w:r>
            <w:proofErr w:type="spellEnd"/>
            <w:r w:rsidRPr="00383886">
              <w:rPr>
                <w:rFonts w:cs="Arial"/>
                <w:sz w:val="20"/>
                <w:lang w:val="en-GB"/>
              </w:rPr>
              <w:t xml:space="preserve"> </w:t>
            </w:r>
            <w:proofErr w:type="spellStart"/>
            <w:r w:rsidRPr="00383886">
              <w:rPr>
                <w:rFonts w:cs="Arial"/>
                <w:sz w:val="20"/>
                <w:lang w:val="en-GB"/>
              </w:rPr>
              <w:t>Crne</w:t>
            </w:r>
            <w:proofErr w:type="spellEnd"/>
            <w:r w:rsidRPr="00383886">
              <w:rPr>
                <w:rFonts w:cs="Arial"/>
                <w:sz w:val="20"/>
                <w:lang w:val="en-GB"/>
              </w:rPr>
              <w:t xml:space="preserve"> Gore 2018 – </w:t>
            </w:r>
            <w:r w:rsidRPr="00383886">
              <w:rPr>
                <w:rFonts w:cs="Arial"/>
                <w:sz w:val="20"/>
                <w:lang w:val="en-GB"/>
              </w:rPr>
              <w:lastRenderedPageBreak/>
              <w:t xml:space="preserve">2021. </w:t>
            </w:r>
            <w:proofErr w:type="spellStart"/>
            <w:r w:rsidRPr="00383886">
              <w:rPr>
                <w:rFonts w:cs="Arial"/>
                <w:sz w:val="20"/>
                <w:lang w:val="en-GB"/>
              </w:rPr>
              <w:t>godine</w:t>
            </w:r>
            <w:proofErr w:type="spellEnd"/>
            <w:r w:rsidRPr="00383886">
              <w:rPr>
                <w:rFonts w:cs="Arial"/>
                <w:sz w:val="20"/>
                <w:lang w:val="en-GB"/>
              </w:rPr>
              <w:t xml:space="preserve">, </w:t>
            </w:r>
            <w:proofErr w:type="spellStart"/>
            <w:r w:rsidRPr="00383886">
              <w:rPr>
                <w:rFonts w:cs="Arial"/>
                <w:sz w:val="20"/>
                <w:lang w:val="en-GB"/>
              </w:rPr>
              <w:t>na</w:t>
            </w:r>
            <w:proofErr w:type="spellEnd"/>
            <w:r w:rsidRPr="00383886">
              <w:rPr>
                <w:rFonts w:cs="Arial"/>
                <w:sz w:val="20"/>
                <w:lang w:val="en-GB"/>
              </w:rPr>
              <w:t xml:space="preserve"> </w:t>
            </w:r>
            <w:proofErr w:type="spellStart"/>
            <w:r w:rsidRPr="00383886">
              <w:rPr>
                <w:rFonts w:cs="Arial"/>
                <w:sz w:val="20"/>
                <w:lang w:val="en-GB"/>
              </w:rPr>
              <w:t>osnovu</w:t>
            </w:r>
            <w:proofErr w:type="spellEnd"/>
            <w:r w:rsidRPr="00383886">
              <w:rPr>
                <w:rFonts w:cs="Arial"/>
                <w:sz w:val="20"/>
                <w:lang w:val="en-GB"/>
              </w:rPr>
              <w:t xml:space="preserve"> </w:t>
            </w:r>
            <w:proofErr w:type="spellStart"/>
            <w:r w:rsidRPr="00383886">
              <w:rPr>
                <w:rFonts w:cs="Arial"/>
                <w:sz w:val="20"/>
                <w:lang w:val="en-GB"/>
              </w:rPr>
              <w:t>indikatora</w:t>
            </w:r>
            <w:proofErr w:type="spellEnd"/>
            <w:r w:rsidRPr="00383886">
              <w:rPr>
                <w:rFonts w:cs="Arial"/>
                <w:sz w:val="20"/>
                <w:lang w:val="en-GB"/>
              </w:rPr>
              <w:t xml:space="preserve"> </w:t>
            </w:r>
            <w:proofErr w:type="spellStart"/>
            <w:r w:rsidRPr="00383886">
              <w:rPr>
                <w:rFonts w:cs="Arial"/>
                <w:sz w:val="20"/>
                <w:lang w:val="en-GB"/>
              </w:rPr>
              <w:t>rezultata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indikatora</w:t>
            </w:r>
            <w:proofErr w:type="spellEnd"/>
            <w:r w:rsidRPr="00383886">
              <w:rPr>
                <w:rFonts w:cs="Arial"/>
                <w:sz w:val="20"/>
                <w:lang w:val="en-GB"/>
              </w:rPr>
              <w:t xml:space="preserve"> </w:t>
            </w:r>
            <w:proofErr w:type="spellStart"/>
            <w:r w:rsidRPr="00383886">
              <w:rPr>
                <w:rFonts w:cs="Arial"/>
                <w:sz w:val="20"/>
                <w:lang w:val="en-GB"/>
              </w:rPr>
              <w:t>učinka</w:t>
            </w:r>
            <w:proofErr w:type="spellEnd"/>
            <w:r w:rsidRPr="00383886">
              <w:rPr>
                <w:rFonts w:cs="Arial"/>
                <w:sz w:val="20"/>
                <w:lang w:val="en-GB"/>
              </w:rPr>
              <w:t xml:space="preserve">. </w:t>
            </w:r>
            <w:proofErr w:type="spellStart"/>
            <w:r w:rsidRPr="00383886">
              <w:rPr>
                <w:rFonts w:cs="Arial"/>
                <w:sz w:val="20"/>
                <w:lang w:val="en-GB"/>
              </w:rPr>
              <w:t>Istovremeno</w:t>
            </w:r>
            <w:proofErr w:type="spellEnd"/>
            <w:r w:rsidRPr="00383886">
              <w:rPr>
                <w:rFonts w:cs="Arial"/>
                <w:sz w:val="20"/>
                <w:lang w:val="en-GB"/>
              </w:rPr>
              <w:t xml:space="preserve">, </w:t>
            </w:r>
            <w:proofErr w:type="spellStart"/>
            <w:r w:rsidRPr="00383886">
              <w:rPr>
                <w:rFonts w:cs="Arial"/>
                <w:sz w:val="20"/>
                <w:lang w:val="en-GB"/>
              </w:rPr>
              <w:t>Pravci</w:t>
            </w:r>
            <w:proofErr w:type="spellEnd"/>
            <w:r w:rsidRPr="00383886">
              <w:rPr>
                <w:rFonts w:cs="Arial"/>
                <w:sz w:val="20"/>
                <w:lang w:val="en-GB"/>
              </w:rPr>
              <w:t xml:space="preserve"> </w:t>
            </w:r>
            <w:proofErr w:type="spellStart"/>
            <w:r w:rsidRPr="00383886">
              <w:rPr>
                <w:rFonts w:cs="Arial"/>
                <w:sz w:val="20"/>
                <w:lang w:val="en-GB"/>
              </w:rPr>
              <w:t>razvoja</w:t>
            </w:r>
            <w:proofErr w:type="spellEnd"/>
            <w:r w:rsidRPr="00383886">
              <w:rPr>
                <w:rFonts w:cs="Arial"/>
                <w:sz w:val="20"/>
                <w:lang w:val="en-GB"/>
              </w:rPr>
              <w:t xml:space="preserve"> </w:t>
            </w:r>
            <w:proofErr w:type="spellStart"/>
            <w:r w:rsidRPr="00383886">
              <w:rPr>
                <w:rFonts w:cs="Arial"/>
                <w:sz w:val="20"/>
                <w:lang w:val="en-GB"/>
              </w:rPr>
              <w:t>će</w:t>
            </w:r>
            <w:proofErr w:type="spellEnd"/>
            <w:r w:rsidRPr="00383886">
              <w:rPr>
                <w:rFonts w:cs="Arial"/>
                <w:sz w:val="20"/>
                <w:lang w:val="en-GB"/>
              </w:rPr>
              <w:t xml:space="preserve"> </w:t>
            </w:r>
            <w:proofErr w:type="spellStart"/>
            <w:r w:rsidRPr="00383886">
              <w:rPr>
                <w:rFonts w:cs="Arial"/>
                <w:sz w:val="20"/>
                <w:lang w:val="en-GB"/>
              </w:rPr>
              <w:t>biti</w:t>
            </w:r>
            <w:proofErr w:type="spellEnd"/>
            <w:r w:rsidRPr="00383886">
              <w:rPr>
                <w:rFonts w:cs="Arial"/>
                <w:sz w:val="20"/>
                <w:lang w:val="en-GB"/>
              </w:rPr>
              <w:t xml:space="preserve"> </w:t>
            </w:r>
            <w:proofErr w:type="spellStart"/>
            <w:r w:rsidRPr="00383886">
              <w:rPr>
                <w:rFonts w:cs="Arial"/>
                <w:sz w:val="20"/>
                <w:lang w:val="en-GB"/>
              </w:rPr>
              <w:t>usklađeni</w:t>
            </w:r>
            <w:proofErr w:type="spellEnd"/>
            <w:r w:rsidRPr="00383886">
              <w:rPr>
                <w:rFonts w:cs="Arial"/>
                <w:sz w:val="20"/>
                <w:lang w:val="en-GB"/>
              </w:rPr>
              <w:t xml:space="preserve"> </w:t>
            </w:r>
            <w:proofErr w:type="spellStart"/>
            <w:r w:rsidRPr="00383886">
              <w:rPr>
                <w:rFonts w:cs="Arial"/>
                <w:sz w:val="20"/>
                <w:lang w:val="en-GB"/>
              </w:rPr>
              <w:t>sa</w:t>
            </w:r>
            <w:proofErr w:type="spellEnd"/>
            <w:r w:rsidRPr="00383886">
              <w:rPr>
                <w:rFonts w:cs="Arial"/>
                <w:sz w:val="20"/>
                <w:lang w:val="en-GB"/>
              </w:rPr>
              <w:t xml:space="preserve"> </w:t>
            </w:r>
            <w:proofErr w:type="spellStart"/>
            <w:r w:rsidRPr="00383886">
              <w:rPr>
                <w:rFonts w:cs="Arial"/>
                <w:sz w:val="20"/>
                <w:lang w:val="en-GB"/>
              </w:rPr>
              <w:t>aktuelnim</w:t>
            </w:r>
            <w:proofErr w:type="spellEnd"/>
            <w:r w:rsidRPr="00383886">
              <w:rPr>
                <w:rFonts w:cs="Arial"/>
                <w:sz w:val="20"/>
                <w:lang w:val="en-GB"/>
              </w:rPr>
              <w:t xml:space="preserve"> </w:t>
            </w:r>
            <w:proofErr w:type="spellStart"/>
            <w:r w:rsidRPr="00383886">
              <w:rPr>
                <w:rFonts w:cs="Arial"/>
                <w:sz w:val="20"/>
                <w:lang w:val="en-GB"/>
              </w:rPr>
              <w:t>stanjem</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potrebama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očekivanim</w:t>
            </w:r>
            <w:proofErr w:type="spellEnd"/>
            <w:r w:rsidRPr="00383886">
              <w:rPr>
                <w:rFonts w:cs="Arial"/>
                <w:sz w:val="20"/>
                <w:lang w:val="en-GB"/>
              </w:rPr>
              <w:t xml:space="preserve"> </w:t>
            </w:r>
            <w:proofErr w:type="spellStart"/>
            <w:r w:rsidRPr="00383886">
              <w:rPr>
                <w:rFonts w:cs="Arial"/>
                <w:sz w:val="20"/>
                <w:lang w:val="en-GB"/>
              </w:rPr>
              <w:t>kretanjima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izazovima</w:t>
            </w:r>
            <w:proofErr w:type="spellEnd"/>
            <w:r w:rsidRPr="00383886">
              <w:rPr>
                <w:rFonts w:cs="Arial"/>
                <w:sz w:val="20"/>
                <w:lang w:val="en-GB"/>
              </w:rPr>
              <w:t xml:space="preserve">, </w:t>
            </w:r>
            <w:proofErr w:type="spellStart"/>
            <w:r w:rsidRPr="00383886">
              <w:rPr>
                <w:rFonts w:cs="Arial"/>
                <w:sz w:val="20"/>
                <w:lang w:val="en-GB"/>
              </w:rPr>
              <w:t>na</w:t>
            </w:r>
            <w:proofErr w:type="spellEnd"/>
            <w:r w:rsidRPr="00383886">
              <w:rPr>
                <w:rFonts w:cs="Arial"/>
                <w:sz w:val="20"/>
                <w:lang w:val="en-GB"/>
              </w:rPr>
              <w:t xml:space="preserve"> </w:t>
            </w:r>
            <w:proofErr w:type="spellStart"/>
            <w:r w:rsidRPr="00383886">
              <w:rPr>
                <w:rFonts w:cs="Arial"/>
                <w:sz w:val="20"/>
                <w:lang w:val="en-GB"/>
              </w:rPr>
              <w:t>nacionalnom</w:t>
            </w:r>
            <w:proofErr w:type="spellEnd"/>
            <w:r w:rsidRPr="00383886">
              <w:rPr>
                <w:rFonts w:cs="Arial"/>
                <w:sz w:val="20"/>
                <w:lang w:val="en-GB"/>
              </w:rPr>
              <w:t xml:space="preserve">, </w:t>
            </w:r>
            <w:proofErr w:type="spellStart"/>
            <w:r w:rsidRPr="00383886">
              <w:rPr>
                <w:rFonts w:cs="Arial"/>
                <w:sz w:val="20"/>
                <w:lang w:val="en-GB"/>
              </w:rPr>
              <w:t>regionalnom</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globalnom</w:t>
            </w:r>
            <w:proofErr w:type="spellEnd"/>
            <w:r w:rsidRPr="00383886">
              <w:rPr>
                <w:rFonts w:cs="Arial"/>
                <w:sz w:val="20"/>
                <w:lang w:val="en-GB"/>
              </w:rPr>
              <w:t xml:space="preserve"> </w:t>
            </w:r>
            <w:proofErr w:type="spellStart"/>
            <w:r w:rsidRPr="00383886">
              <w:rPr>
                <w:rFonts w:cs="Arial"/>
                <w:sz w:val="20"/>
                <w:lang w:val="en-GB"/>
              </w:rPr>
              <w:t>nivou</w:t>
            </w:r>
            <w:proofErr w:type="spellEnd"/>
            <w:r w:rsidRPr="00383886">
              <w:rPr>
                <w:rFonts w:cs="Arial"/>
                <w:sz w:val="20"/>
                <w:lang w:val="en-GB"/>
              </w:rPr>
              <w:t xml:space="preserve">, </w:t>
            </w:r>
            <w:proofErr w:type="spellStart"/>
            <w:r w:rsidRPr="00383886">
              <w:rPr>
                <w:rFonts w:cs="Arial"/>
                <w:sz w:val="20"/>
                <w:lang w:val="en-GB"/>
              </w:rPr>
              <w:t>kao</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razvojnim</w:t>
            </w:r>
            <w:proofErr w:type="spellEnd"/>
            <w:r w:rsidRPr="00383886">
              <w:rPr>
                <w:rFonts w:cs="Arial"/>
                <w:sz w:val="20"/>
                <w:lang w:val="en-GB"/>
              </w:rPr>
              <w:t xml:space="preserve"> </w:t>
            </w:r>
            <w:proofErr w:type="spellStart"/>
            <w:r w:rsidRPr="00383886">
              <w:rPr>
                <w:rFonts w:cs="Arial"/>
                <w:sz w:val="20"/>
                <w:lang w:val="en-GB"/>
              </w:rPr>
              <w:t>stremljenjima</w:t>
            </w:r>
            <w:proofErr w:type="spellEnd"/>
            <w:r w:rsidRPr="00383886">
              <w:rPr>
                <w:rFonts w:cs="Arial"/>
                <w:sz w:val="20"/>
                <w:lang w:val="en-GB"/>
              </w:rPr>
              <w:t xml:space="preserve"> EU.</w:t>
            </w:r>
          </w:p>
        </w:tc>
      </w:tr>
      <w:tr w:rsidR="00383886" w:rsidRPr="00383886" w14:paraId="67F7BFDC" w14:textId="77777777" w:rsidTr="00FD6B98">
        <w:tc>
          <w:tcPr>
            <w:tcW w:w="447" w:type="dxa"/>
            <w:shd w:val="clear" w:color="auto" w:fill="auto"/>
            <w:vAlign w:val="center"/>
          </w:tcPr>
          <w:p w14:paraId="63A2ABCF" w14:textId="77777777" w:rsidR="00383886" w:rsidRPr="00383886" w:rsidRDefault="00383886" w:rsidP="00FD6B98">
            <w:pPr>
              <w:spacing w:before="40" w:after="40"/>
              <w:jc w:val="both"/>
              <w:rPr>
                <w:rFonts w:cs="Arial"/>
                <w:sz w:val="20"/>
              </w:rPr>
            </w:pPr>
            <w:r w:rsidRPr="00383886">
              <w:rPr>
                <w:rFonts w:cs="Arial"/>
                <w:sz w:val="20"/>
              </w:rPr>
              <w:lastRenderedPageBreak/>
              <w:t>6.</w:t>
            </w:r>
          </w:p>
        </w:tc>
        <w:tc>
          <w:tcPr>
            <w:tcW w:w="2151" w:type="dxa"/>
            <w:gridSpan w:val="2"/>
            <w:shd w:val="clear" w:color="auto" w:fill="auto"/>
            <w:vAlign w:val="center"/>
          </w:tcPr>
          <w:p w14:paraId="72A619D5" w14:textId="77777777" w:rsidR="00383886" w:rsidRPr="00383886" w:rsidRDefault="00383886" w:rsidP="00FD6B98">
            <w:pPr>
              <w:spacing w:line="276" w:lineRule="auto"/>
              <w:contextualSpacing/>
              <w:jc w:val="both"/>
              <w:rPr>
                <w:rFonts w:eastAsia="Cambria" w:cs="Arial"/>
                <w:sz w:val="20"/>
              </w:rPr>
            </w:pPr>
            <w:r w:rsidRPr="00383886">
              <w:rPr>
                <w:rFonts w:cs="Arial"/>
                <w:color w:val="000000"/>
                <w:sz w:val="20"/>
              </w:rPr>
              <w:t>Utvrditi Predlog zakona o izmjenama i dopunama Zakona o državnoj imovini</w:t>
            </w:r>
          </w:p>
        </w:tc>
        <w:tc>
          <w:tcPr>
            <w:tcW w:w="2066" w:type="dxa"/>
            <w:shd w:val="clear" w:color="auto" w:fill="auto"/>
            <w:vAlign w:val="center"/>
          </w:tcPr>
          <w:p w14:paraId="693A0753" w14:textId="77777777" w:rsidR="00383886" w:rsidRPr="00383886" w:rsidRDefault="00383886" w:rsidP="00FD6B98">
            <w:pPr>
              <w:spacing w:line="276" w:lineRule="auto"/>
              <w:contextualSpacing/>
              <w:jc w:val="both"/>
              <w:rPr>
                <w:rFonts w:eastAsia="Cambria" w:cs="Arial"/>
                <w:sz w:val="20"/>
              </w:rPr>
            </w:pPr>
            <w:r w:rsidRPr="00383886">
              <w:rPr>
                <w:rFonts w:cs="Arial"/>
                <w:color w:val="000000"/>
                <w:sz w:val="20"/>
              </w:rPr>
              <w:t>Utvrđen Predlog zakona o izmjenama i dopunama Zakona o državnoj imovini</w:t>
            </w:r>
          </w:p>
        </w:tc>
        <w:tc>
          <w:tcPr>
            <w:tcW w:w="1843" w:type="dxa"/>
            <w:shd w:val="clear" w:color="auto" w:fill="auto"/>
            <w:vAlign w:val="center"/>
          </w:tcPr>
          <w:p w14:paraId="7237DA3C" w14:textId="77777777" w:rsidR="00383886" w:rsidRPr="00F27DB4" w:rsidRDefault="00383886" w:rsidP="00FD6B98">
            <w:pPr>
              <w:spacing w:before="20" w:after="20"/>
              <w:jc w:val="both"/>
              <w:rPr>
                <w:rFonts w:cs="Arial"/>
                <w:sz w:val="20"/>
              </w:rPr>
            </w:pPr>
            <w:r w:rsidRPr="00F27DB4">
              <w:rPr>
                <w:rFonts w:cs="Arial"/>
                <w:sz w:val="20"/>
              </w:rPr>
              <w:t>NI: MFSS</w:t>
            </w:r>
          </w:p>
          <w:p w14:paraId="63BC1CE4"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42AD42A6" w14:textId="77777777" w:rsidR="00383886" w:rsidRPr="00383886" w:rsidRDefault="00383886" w:rsidP="00FD6B98">
            <w:pPr>
              <w:spacing w:before="40" w:after="40"/>
              <w:jc w:val="both"/>
              <w:rPr>
                <w:rFonts w:cs="Arial"/>
                <w:sz w:val="20"/>
              </w:rPr>
            </w:pPr>
            <w:r w:rsidRPr="00383886">
              <w:rPr>
                <w:rFonts w:cs="Arial"/>
                <w:sz w:val="20"/>
              </w:rPr>
              <w:t>I Q 2022.</w:t>
            </w:r>
          </w:p>
        </w:tc>
        <w:tc>
          <w:tcPr>
            <w:tcW w:w="1945" w:type="dxa"/>
            <w:shd w:val="clear" w:color="auto" w:fill="auto"/>
            <w:vAlign w:val="center"/>
          </w:tcPr>
          <w:p w14:paraId="0BE2C2C2" w14:textId="77777777" w:rsidR="00383886" w:rsidRPr="00383886" w:rsidRDefault="00383886" w:rsidP="00FD6B98">
            <w:pPr>
              <w:jc w:val="both"/>
              <w:rPr>
                <w:rFonts w:eastAsia="Cambria" w:cs="Arial"/>
                <w:sz w:val="20"/>
              </w:rPr>
            </w:pPr>
            <w:r w:rsidRPr="00383886">
              <w:rPr>
                <w:rFonts w:eastAsia="Cambria" w:cs="Arial"/>
                <w:sz w:val="20"/>
              </w:rPr>
              <w:t>Propis će imati uticaja na poslovni ambijent, građane i privredu, zbog čega će u procesu njegove pripreme biti urađena detaljna RIA.</w:t>
            </w:r>
          </w:p>
        </w:tc>
        <w:tc>
          <w:tcPr>
            <w:tcW w:w="1941" w:type="dxa"/>
            <w:shd w:val="clear" w:color="auto" w:fill="auto"/>
            <w:vAlign w:val="center"/>
          </w:tcPr>
          <w:p w14:paraId="155647E6" w14:textId="77777777" w:rsidR="00383886" w:rsidRPr="00383886" w:rsidRDefault="00383886" w:rsidP="00FD6B98">
            <w:pPr>
              <w:spacing w:before="40" w:after="40"/>
              <w:jc w:val="both"/>
              <w:rPr>
                <w:rFonts w:cs="Arial"/>
                <w:sz w:val="20"/>
              </w:rPr>
            </w:pPr>
          </w:p>
        </w:tc>
        <w:tc>
          <w:tcPr>
            <w:tcW w:w="2093" w:type="dxa"/>
            <w:shd w:val="clear" w:color="auto" w:fill="auto"/>
            <w:vAlign w:val="center"/>
          </w:tcPr>
          <w:p w14:paraId="2A10F79B" w14:textId="77777777" w:rsidR="00383886" w:rsidRPr="00383886" w:rsidRDefault="00383886" w:rsidP="00FD6B98">
            <w:pPr>
              <w:jc w:val="both"/>
              <w:rPr>
                <w:rFonts w:eastAsia="Cambria" w:cs="Arial"/>
                <w:sz w:val="20"/>
              </w:rPr>
            </w:pPr>
            <w:r w:rsidRPr="00383886">
              <w:rPr>
                <w:rFonts w:cs="Arial"/>
                <w:sz w:val="20"/>
              </w:rPr>
              <w:t>Ovim zakonom obezbjeđuju se uslovi za stvaranje mogućnosti za davanje na korišćenje prostora i opreme nevladinim organizacijama bez naknade, imajući u vidu odredbe Zakona o nevladinim organizacijama. Dodatne izmjene ogledaju se izmjjenama, koje utiču na povećanje efikasnijeg postupanja, kao i eliminisanju nedostataka koji su primijećeni u dosadašnjoj primjeni ovog Zakona</w:t>
            </w:r>
          </w:p>
        </w:tc>
      </w:tr>
      <w:tr w:rsidR="00383886" w:rsidRPr="00383886" w14:paraId="105BE8D8" w14:textId="77777777" w:rsidTr="00FD6B98">
        <w:tc>
          <w:tcPr>
            <w:tcW w:w="447" w:type="dxa"/>
            <w:shd w:val="clear" w:color="auto" w:fill="auto"/>
            <w:vAlign w:val="center"/>
          </w:tcPr>
          <w:p w14:paraId="268850DC" w14:textId="77777777" w:rsidR="00383886" w:rsidRPr="00383886" w:rsidRDefault="00383886" w:rsidP="00FD6B98">
            <w:pPr>
              <w:spacing w:before="40" w:after="40"/>
              <w:jc w:val="both"/>
              <w:rPr>
                <w:rFonts w:cs="Arial"/>
                <w:sz w:val="20"/>
              </w:rPr>
            </w:pPr>
            <w:r w:rsidRPr="00383886">
              <w:rPr>
                <w:rFonts w:cs="Arial"/>
                <w:sz w:val="20"/>
              </w:rPr>
              <w:t>7.</w:t>
            </w:r>
          </w:p>
        </w:tc>
        <w:tc>
          <w:tcPr>
            <w:tcW w:w="2151" w:type="dxa"/>
            <w:gridSpan w:val="2"/>
            <w:shd w:val="clear" w:color="auto" w:fill="auto"/>
            <w:vAlign w:val="center"/>
          </w:tcPr>
          <w:p w14:paraId="5692DE03" w14:textId="77777777" w:rsidR="00383886" w:rsidRPr="00383886" w:rsidRDefault="00383886" w:rsidP="00FD6B98">
            <w:pPr>
              <w:spacing w:line="276" w:lineRule="auto"/>
              <w:contextualSpacing/>
              <w:jc w:val="both"/>
              <w:rPr>
                <w:rFonts w:eastAsia="Cambria" w:cs="Arial"/>
                <w:sz w:val="20"/>
              </w:rPr>
            </w:pPr>
            <w:r w:rsidRPr="00383886">
              <w:rPr>
                <w:rFonts w:cs="Arial"/>
                <w:color w:val="000000"/>
                <w:sz w:val="20"/>
              </w:rPr>
              <w:t>Utvrditi Predlog zakona o državnom premjeru i katastru</w:t>
            </w:r>
          </w:p>
        </w:tc>
        <w:tc>
          <w:tcPr>
            <w:tcW w:w="2066" w:type="dxa"/>
            <w:shd w:val="clear" w:color="auto" w:fill="auto"/>
            <w:vAlign w:val="center"/>
          </w:tcPr>
          <w:p w14:paraId="5B5C0DFA" w14:textId="77777777" w:rsidR="00383886" w:rsidRPr="00383886" w:rsidRDefault="00383886" w:rsidP="00FD6B98">
            <w:pPr>
              <w:spacing w:line="276" w:lineRule="auto"/>
              <w:contextualSpacing/>
              <w:jc w:val="both"/>
              <w:rPr>
                <w:rFonts w:eastAsia="Cambria" w:cs="Arial"/>
                <w:sz w:val="20"/>
              </w:rPr>
            </w:pPr>
            <w:r w:rsidRPr="00383886">
              <w:rPr>
                <w:rFonts w:cs="Arial"/>
                <w:color w:val="000000"/>
                <w:sz w:val="20"/>
              </w:rPr>
              <w:t>Utvrđen Predlog zakona o državnom premjeru i katastru</w:t>
            </w:r>
          </w:p>
        </w:tc>
        <w:tc>
          <w:tcPr>
            <w:tcW w:w="1843" w:type="dxa"/>
            <w:shd w:val="clear" w:color="auto" w:fill="auto"/>
            <w:vAlign w:val="center"/>
          </w:tcPr>
          <w:p w14:paraId="75911771" w14:textId="77777777" w:rsidR="00383886" w:rsidRPr="00F27DB4" w:rsidRDefault="00383886" w:rsidP="00FD6B98">
            <w:pPr>
              <w:spacing w:before="20" w:after="20"/>
              <w:jc w:val="both"/>
              <w:rPr>
                <w:rFonts w:cs="Arial"/>
                <w:sz w:val="20"/>
              </w:rPr>
            </w:pPr>
            <w:r w:rsidRPr="00F27DB4">
              <w:rPr>
                <w:rFonts w:cs="Arial"/>
                <w:sz w:val="20"/>
              </w:rPr>
              <w:t>NI: MFSS</w:t>
            </w:r>
          </w:p>
          <w:p w14:paraId="5A3D5245"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7D8A0398" w14:textId="77777777" w:rsidR="00383886" w:rsidRPr="00383886" w:rsidRDefault="00383886" w:rsidP="00FD6B98">
            <w:pPr>
              <w:spacing w:before="40" w:after="40"/>
              <w:jc w:val="both"/>
              <w:rPr>
                <w:rFonts w:cs="Arial"/>
                <w:sz w:val="20"/>
              </w:rPr>
            </w:pPr>
            <w:r w:rsidRPr="00383886">
              <w:rPr>
                <w:rFonts w:cs="Arial"/>
                <w:sz w:val="20"/>
              </w:rPr>
              <w:t>I Q 2022.</w:t>
            </w:r>
          </w:p>
        </w:tc>
        <w:tc>
          <w:tcPr>
            <w:tcW w:w="1945" w:type="dxa"/>
            <w:shd w:val="clear" w:color="auto" w:fill="auto"/>
            <w:vAlign w:val="center"/>
          </w:tcPr>
          <w:p w14:paraId="32B8D8F4" w14:textId="77777777" w:rsidR="00383886" w:rsidRPr="00383886" w:rsidRDefault="00383886" w:rsidP="00FD6B98">
            <w:pPr>
              <w:jc w:val="both"/>
              <w:rPr>
                <w:rFonts w:eastAsia="Cambria" w:cs="Arial"/>
                <w:sz w:val="20"/>
              </w:rPr>
            </w:pPr>
            <w:r w:rsidRPr="00383886">
              <w:rPr>
                <w:rFonts w:eastAsia="Cambria" w:cs="Arial"/>
                <w:sz w:val="20"/>
              </w:rPr>
              <w:t>Propis će imati uticaja na poslovni ambijent, građane i privredu, zbog čega će u procesu njegove pripreme biti urađena detaljna RIA.</w:t>
            </w:r>
          </w:p>
        </w:tc>
        <w:tc>
          <w:tcPr>
            <w:tcW w:w="1941" w:type="dxa"/>
            <w:shd w:val="clear" w:color="auto" w:fill="auto"/>
            <w:vAlign w:val="center"/>
          </w:tcPr>
          <w:p w14:paraId="7867D07E" w14:textId="77777777" w:rsidR="00383886" w:rsidRPr="00383886" w:rsidRDefault="00383886" w:rsidP="00FD6B98">
            <w:pPr>
              <w:spacing w:before="40" w:after="40"/>
              <w:jc w:val="both"/>
              <w:rPr>
                <w:rFonts w:cs="Arial"/>
                <w:sz w:val="20"/>
              </w:rPr>
            </w:pPr>
          </w:p>
        </w:tc>
        <w:tc>
          <w:tcPr>
            <w:tcW w:w="2093" w:type="dxa"/>
            <w:shd w:val="clear" w:color="auto" w:fill="auto"/>
            <w:vAlign w:val="center"/>
          </w:tcPr>
          <w:p w14:paraId="41B67965" w14:textId="77777777" w:rsidR="00383886" w:rsidRPr="00383886" w:rsidRDefault="00383886" w:rsidP="00FD6B98">
            <w:pPr>
              <w:jc w:val="both"/>
              <w:rPr>
                <w:rFonts w:eastAsia="Cambria" w:cs="Arial"/>
                <w:sz w:val="20"/>
              </w:rPr>
            </w:pPr>
            <w:r w:rsidRPr="00383886">
              <w:rPr>
                <w:rFonts w:cs="Arial"/>
                <w:sz w:val="20"/>
              </w:rPr>
              <w:t xml:space="preserve">Ovim zakonom obezbjeđuju se uslovi za uvođenje adresnog registra, dok bi se detaljnijom analizom sagledala potreba za izmjenu drugih odredbi u </w:t>
            </w:r>
            <w:r w:rsidRPr="00383886">
              <w:rPr>
                <w:rFonts w:cs="Arial"/>
                <w:sz w:val="20"/>
              </w:rPr>
              <w:lastRenderedPageBreak/>
              <w:t>skladu sa novom organizacionom strukturom Uprave za katastar i državnu imovinu</w:t>
            </w:r>
          </w:p>
        </w:tc>
      </w:tr>
      <w:tr w:rsidR="00383886" w:rsidRPr="00383886" w14:paraId="05180239" w14:textId="77777777" w:rsidTr="00FD6B98">
        <w:tc>
          <w:tcPr>
            <w:tcW w:w="447" w:type="dxa"/>
            <w:shd w:val="clear" w:color="auto" w:fill="auto"/>
            <w:vAlign w:val="center"/>
          </w:tcPr>
          <w:p w14:paraId="31004F15" w14:textId="77777777" w:rsidR="00383886" w:rsidRPr="00383886" w:rsidRDefault="00383886" w:rsidP="00FD6B98">
            <w:pPr>
              <w:spacing w:before="40" w:after="40"/>
              <w:jc w:val="both"/>
              <w:rPr>
                <w:rFonts w:cs="Arial"/>
                <w:sz w:val="20"/>
              </w:rPr>
            </w:pPr>
            <w:r w:rsidRPr="00383886">
              <w:rPr>
                <w:rFonts w:cs="Arial"/>
                <w:sz w:val="20"/>
              </w:rPr>
              <w:t>8.</w:t>
            </w:r>
          </w:p>
        </w:tc>
        <w:tc>
          <w:tcPr>
            <w:tcW w:w="2151" w:type="dxa"/>
            <w:gridSpan w:val="2"/>
            <w:shd w:val="clear" w:color="auto" w:fill="auto"/>
            <w:vAlign w:val="center"/>
          </w:tcPr>
          <w:p w14:paraId="73E69D56" w14:textId="77777777" w:rsidR="00383886" w:rsidRPr="00383886" w:rsidRDefault="00383886" w:rsidP="00FD6B98">
            <w:pPr>
              <w:spacing w:line="276" w:lineRule="auto"/>
              <w:contextualSpacing/>
              <w:jc w:val="both"/>
              <w:rPr>
                <w:rFonts w:cs="Arial"/>
                <w:sz w:val="20"/>
                <w:lang w:val="en-GB"/>
              </w:rPr>
            </w:pPr>
            <w:r w:rsidRPr="00383886">
              <w:rPr>
                <w:rFonts w:eastAsia="Cambria" w:cs="Arial"/>
                <w:sz w:val="20"/>
              </w:rPr>
              <w:t>Utvrditi Predlog zakona o ratifikaciji Konvencije o zajedničkom tranzitu</w:t>
            </w:r>
          </w:p>
        </w:tc>
        <w:tc>
          <w:tcPr>
            <w:tcW w:w="2066" w:type="dxa"/>
            <w:shd w:val="clear" w:color="auto" w:fill="auto"/>
            <w:vAlign w:val="center"/>
          </w:tcPr>
          <w:p w14:paraId="712EDBBC" w14:textId="77777777" w:rsidR="00383886" w:rsidRPr="00383886" w:rsidRDefault="00383886" w:rsidP="00FD6B98">
            <w:pPr>
              <w:spacing w:line="276" w:lineRule="auto"/>
              <w:contextualSpacing/>
              <w:jc w:val="both"/>
              <w:rPr>
                <w:rFonts w:cs="Arial"/>
                <w:sz w:val="20"/>
                <w:lang w:val="hr-HR"/>
              </w:rPr>
            </w:pPr>
            <w:r w:rsidRPr="00383886">
              <w:rPr>
                <w:rFonts w:eastAsia="Cambria" w:cs="Arial"/>
                <w:sz w:val="20"/>
              </w:rPr>
              <w:t>Utvrđen Predlog zakona o ratifikaciji Konvencije o zajedničkom tranzitu</w:t>
            </w:r>
          </w:p>
        </w:tc>
        <w:tc>
          <w:tcPr>
            <w:tcW w:w="1843" w:type="dxa"/>
            <w:shd w:val="clear" w:color="auto" w:fill="auto"/>
            <w:vAlign w:val="center"/>
          </w:tcPr>
          <w:p w14:paraId="2DB09FED" w14:textId="77777777" w:rsidR="00383886" w:rsidRPr="00F27DB4" w:rsidRDefault="00383886" w:rsidP="00FD6B98">
            <w:pPr>
              <w:spacing w:before="20" w:after="20"/>
              <w:jc w:val="both"/>
              <w:rPr>
                <w:rFonts w:cs="Arial"/>
                <w:sz w:val="20"/>
              </w:rPr>
            </w:pPr>
            <w:r w:rsidRPr="00F27DB4">
              <w:rPr>
                <w:rFonts w:cs="Arial"/>
                <w:sz w:val="20"/>
              </w:rPr>
              <w:t>NI: MFSS</w:t>
            </w:r>
          </w:p>
          <w:p w14:paraId="6BF41ED6" w14:textId="77777777" w:rsidR="00383886" w:rsidRPr="00383886" w:rsidRDefault="00383886" w:rsidP="00FD6B98">
            <w:pPr>
              <w:spacing w:before="20" w:after="20"/>
              <w:jc w:val="both"/>
              <w:rPr>
                <w:rFonts w:cs="Arial"/>
                <w:i/>
                <w:sz w:val="20"/>
              </w:rPr>
            </w:pPr>
            <w:r w:rsidRPr="00F27DB4">
              <w:rPr>
                <w:rFonts w:cs="Arial"/>
                <w:sz w:val="20"/>
              </w:rPr>
              <w:t>NK: KPS, KEPIF</w:t>
            </w:r>
          </w:p>
        </w:tc>
        <w:tc>
          <w:tcPr>
            <w:tcW w:w="2400" w:type="dxa"/>
            <w:shd w:val="clear" w:color="auto" w:fill="auto"/>
            <w:vAlign w:val="center"/>
          </w:tcPr>
          <w:p w14:paraId="0F4FEC7C" w14:textId="77777777" w:rsidR="00383886" w:rsidRPr="00383886" w:rsidRDefault="00383886" w:rsidP="00FD6B98">
            <w:pPr>
              <w:spacing w:before="40" w:after="40"/>
              <w:jc w:val="both"/>
              <w:rPr>
                <w:rFonts w:cs="Arial"/>
                <w:sz w:val="20"/>
              </w:rPr>
            </w:pPr>
            <w:r w:rsidRPr="00383886">
              <w:rPr>
                <w:rFonts w:cs="Arial"/>
                <w:sz w:val="20"/>
              </w:rPr>
              <w:t>I - II Q 2022.</w:t>
            </w:r>
          </w:p>
        </w:tc>
        <w:tc>
          <w:tcPr>
            <w:tcW w:w="1945" w:type="dxa"/>
            <w:shd w:val="clear" w:color="auto" w:fill="auto"/>
            <w:vAlign w:val="center"/>
          </w:tcPr>
          <w:p w14:paraId="08300487" w14:textId="77777777" w:rsidR="00383886" w:rsidRPr="00383886" w:rsidRDefault="00383886" w:rsidP="00FD6B98">
            <w:pPr>
              <w:jc w:val="both"/>
              <w:rPr>
                <w:rFonts w:eastAsia="Cambria" w:cs="Arial"/>
                <w:sz w:val="20"/>
              </w:rPr>
            </w:pPr>
            <w:r w:rsidRPr="00383886">
              <w:rPr>
                <w:rFonts w:eastAsia="Cambria" w:cs="Arial"/>
                <w:sz w:val="20"/>
              </w:rPr>
              <w:t>Propis će imati uticaja na poslovni ambijent, građane i privredu, zbog čega će u procesu njegove pripreme biti urađena detaljna RIA.</w:t>
            </w:r>
          </w:p>
        </w:tc>
        <w:tc>
          <w:tcPr>
            <w:tcW w:w="1941" w:type="dxa"/>
            <w:shd w:val="clear" w:color="auto" w:fill="auto"/>
            <w:vAlign w:val="center"/>
          </w:tcPr>
          <w:p w14:paraId="352A5A5A" w14:textId="77777777" w:rsidR="00383886" w:rsidRPr="00383886" w:rsidRDefault="00383886" w:rsidP="00FD6B98">
            <w:pPr>
              <w:spacing w:before="40" w:after="40"/>
              <w:jc w:val="both"/>
              <w:rPr>
                <w:rFonts w:cs="Arial"/>
                <w:sz w:val="20"/>
              </w:rPr>
            </w:pPr>
          </w:p>
        </w:tc>
        <w:tc>
          <w:tcPr>
            <w:tcW w:w="2093" w:type="dxa"/>
            <w:shd w:val="clear" w:color="auto" w:fill="auto"/>
            <w:vAlign w:val="center"/>
          </w:tcPr>
          <w:p w14:paraId="34D90816" w14:textId="77777777" w:rsidR="00383886" w:rsidRPr="00383886" w:rsidRDefault="00383886" w:rsidP="00FD6B98">
            <w:pPr>
              <w:jc w:val="both"/>
              <w:rPr>
                <w:rFonts w:eastAsia="Cambria" w:cs="Arial"/>
                <w:sz w:val="20"/>
              </w:rPr>
            </w:pPr>
            <w:r w:rsidRPr="00383886">
              <w:rPr>
                <w:rFonts w:eastAsia="Cambria" w:cs="Arial"/>
                <w:sz w:val="20"/>
              </w:rPr>
              <w:t>Ovim zakonom će se olakšati</w:t>
            </w:r>
            <w:r w:rsidRPr="00383886">
              <w:rPr>
                <w:rFonts w:eastAsia="Cambria" w:cs="Arial"/>
                <w:color w:val="252525"/>
                <w:sz w:val="20"/>
                <w:shd w:val="clear" w:color="auto" w:fill="FFFFFF"/>
              </w:rPr>
              <w:t xml:space="preserve"> robna razmjena između Crne Gore i njenih ključnih spoljnotrgovinskih partnera, jer će se omogućiti kompletna razmjena podataka u elektronskom obliku, smanjiti potrebna dokumentacija u tranzitnom postupku i vrijeme zadržavanja kamionskih pošiljki na graničnim prelazima, što će u krajnjem uticati i na smanjenje troškova tranzitnog postupka. Pristupanje Crne Gore navedenoj konvenciji jedan je od uslova za pridruživanje EU.</w:t>
            </w:r>
          </w:p>
        </w:tc>
      </w:tr>
      <w:tr w:rsidR="00383886" w:rsidRPr="00383886" w14:paraId="06034240" w14:textId="77777777" w:rsidTr="00FD6B98">
        <w:tc>
          <w:tcPr>
            <w:tcW w:w="447" w:type="dxa"/>
            <w:shd w:val="clear" w:color="auto" w:fill="auto"/>
            <w:vAlign w:val="center"/>
          </w:tcPr>
          <w:p w14:paraId="0519EA1A" w14:textId="77777777" w:rsidR="00383886" w:rsidRPr="00383886" w:rsidRDefault="00383886" w:rsidP="00FD6B98">
            <w:pPr>
              <w:spacing w:before="40" w:after="40"/>
              <w:jc w:val="both"/>
              <w:rPr>
                <w:rFonts w:cs="Arial"/>
                <w:b/>
                <w:sz w:val="20"/>
              </w:rPr>
            </w:pPr>
            <w:r w:rsidRPr="00383886">
              <w:rPr>
                <w:rFonts w:cs="Arial"/>
                <w:sz w:val="20"/>
              </w:rPr>
              <w:t>9</w:t>
            </w:r>
            <w:r w:rsidRPr="00383886">
              <w:rPr>
                <w:rFonts w:cs="Arial"/>
                <w:b/>
                <w:sz w:val="20"/>
              </w:rPr>
              <w:t>.</w:t>
            </w:r>
          </w:p>
        </w:tc>
        <w:tc>
          <w:tcPr>
            <w:tcW w:w="2151" w:type="dxa"/>
            <w:gridSpan w:val="2"/>
            <w:shd w:val="clear" w:color="auto" w:fill="auto"/>
            <w:vAlign w:val="center"/>
          </w:tcPr>
          <w:p w14:paraId="4E368D0F" w14:textId="77777777" w:rsidR="00383886" w:rsidRPr="00383886" w:rsidRDefault="00383886" w:rsidP="00FD6B98">
            <w:pPr>
              <w:jc w:val="both"/>
              <w:rPr>
                <w:rFonts w:eastAsia="Cambria" w:cs="Arial"/>
                <w:sz w:val="20"/>
              </w:rPr>
            </w:pPr>
            <w:r w:rsidRPr="00383886">
              <w:rPr>
                <w:rFonts w:eastAsia="Cambria" w:cs="Arial"/>
                <w:sz w:val="20"/>
              </w:rPr>
              <w:t>Utvrditi Predlog zakona o ratifikaciji Konvencije o olakšicama u trgovini robom</w:t>
            </w:r>
          </w:p>
        </w:tc>
        <w:tc>
          <w:tcPr>
            <w:tcW w:w="2066" w:type="dxa"/>
            <w:shd w:val="clear" w:color="auto" w:fill="auto"/>
            <w:vAlign w:val="center"/>
          </w:tcPr>
          <w:p w14:paraId="1DCE5955" w14:textId="77777777" w:rsidR="00383886" w:rsidRPr="00383886" w:rsidRDefault="00383886" w:rsidP="00FD6B98">
            <w:pPr>
              <w:jc w:val="both"/>
              <w:rPr>
                <w:rFonts w:cs="Arial"/>
                <w:sz w:val="20"/>
                <w:lang w:val="hr-HR"/>
              </w:rPr>
            </w:pPr>
            <w:r w:rsidRPr="00383886">
              <w:rPr>
                <w:rFonts w:eastAsia="Cambria" w:cs="Arial"/>
                <w:sz w:val="20"/>
              </w:rPr>
              <w:t>Utvrđen Predlog zakona o ratifikaciji Konvencije o olakšicama u trgovini robom</w:t>
            </w:r>
          </w:p>
        </w:tc>
        <w:tc>
          <w:tcPr>
            <w:tcW w:w="1843" w:type="dxa"/>
            <w:shd w:val="clear" w:color="auto" w:fill="auto"/>
            <w:vAlign w:val="center"/>
          </w:tcPr>
          <w:p w14:paraId="1045E667" w14:textId="77777777" w:rsidR="00383886" w:rsidRPr="00F27DB4" w:rsidRDefault="00383886" w:rsidP="00FD6B98">
            <w:pPr>
              <w:spacing w:before="20" w:after="20"/>
              <w:jc w:val="both"/>
              <w:rPr>
                <w:rFonts w:cs="Arial"/>
                <w:sz w:val="20"/>
              </w:rPr>
            </w:pPr>
            <w:r w:rsidRPr="00F27DB4">
              <w:rPr>
                <w:rFonts w:cs="Arial"/>
                <w:sz w:val="20"/>
              </w:rPr>
              <w:t>NI: MFSS</w:t>
            </w:r>
          </w:p>
          <w:p w14:paraId="64A4ACB2"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1C821A1C" w14:textId="77777777" w:rsidR="00383886" w:rsidRPr="00383886" w:rsidRDefault="00383886" w:rsidP="00FD6B98">
            <w:pPr>
              <w:spacing w:before="40" w:after="40"/>
              <w:jc w:val="both"/>
              <w:rPr>
                <w:rFonts w:cs="Arial"/>
                <w:sz w:val="20"/>
              </w:rPr>
            </w:pPr>
            <w:r w:rsidRPr="00383886">
              <w:rPr>
                <w:rFonts w:cs="Arial"/>
                <w:sz w:val="20"/>
              </w:rPr>
              <w:t>I-II Q 2022.</w:t>
            </w:r>
          </w:p>
        </w:tc>
        <w:tc>
          <w:tcPr>
            <w:tcW w:w="1945" w:type="dxa"/>
            <w:shd w:val="clear" w:color="auto" w:fill="auto"/>
            <w:vAlign w:val="center"/>
          </w:tcPr>
          <w:p w14:paraId="463057CC" w14:textId="77777777" w:rsidR="00383886" w:rsidRPr="00383886" w:rsidRDefault="00383886" w:rsidP="00FD6B98">
            <w:pPr>
              <w:jc w:val="both"/>
              <w:rPr>
                <w:rFonts w:eastAsia="Cambria" w:cs="Arial"/>
                <w:sz w:val="20"/>
              </w:rPr>
            </w:pPr>
            <w:r w:rsidRPr="00383886">
              <w:rPr>
                <w:rFonts w:eastAsia="Cambria" w:cs="Arial"/>
                <w:sz w:val="20"/>
              </w:rPr>
              <w:t>Propis će imati uticaj na poslovni ambijent, građane i privredu, zbog čega će u procesu njegove pripreme biti urađena detaljna RIA.</w:t>
            </w:r>
          </w:p>
        </w:tc>
        <w:tc>
          <w:tcPr>
            <w:tcW w:w="1941" w:type="dxa"/>
            <w:shd w:val="clear" w:color="auto" w:fill="auto"/>
            <w:vAlign w:val="center"/>
          </w:tcPr>
          <w:p w14:paraId="47A50CB8" w14:textId="77777777" w:rsidR="00383886" w:rsidRPr="00383886" w:rsidRDefault="00383886" w:rsidP="00FD6B98">
            <w:pPr>
              <w:spacing w:before="40" w:after="40"/>
              <w:jc w:val="both"/>
              <w:rPr>
                <w:rFonts w:cs="Arial"/>
                <w:sz w:val="20"/>
              </w:rPr>
            </w:pPr>
          </w:p>
        </w:tc>
        <w:tc>
          <w:tcPr>
            <w:tcW w:w="2093" w:type="dxa"/>
            <w:shd w:val="clear" w:color="auto" w:fill="auto"/>
            <w:vAlign w:val="center"/>
          </w:tcPr>
          <w:p w14:paraId="21E5BFFE" w14:textId="77777777" w:rsidR="00383886" w:rsidRPr="00383886" w:rsidRDefault="00383886" w:rsidP="00FD6B98">
            <w:pPr>
              <w:spacing w:line="276" w:lineRule="auto"/>
              <w:jc w:val="both"/>
              <w:rPr>
                <w:rFonts w:cs="Arial"/>
                <w:sz w:val="20"/>
                <w:lang w:val="en-GB"/>
              </w:rPr>
            </w:pPr>
            <w:r w:rsidRPr="00383886">
              <w:rPr>
                <w:rFonts w:eastAsia="Cambria" w:cs="Arial"/>
                <w:sz w:val="20"/>
              </w:rPr>
              <w:t xml:space="preserve">Ovim zakonom će se omogućiti brži protok robe i efikasnije sprovođenje tranzitnog postupka. </w:t>
            </w:r>
            <w:r w:rsidRPr="00383886">
              <w:rPr>
                <w:rFonts w:eastAsia="Cambria" w:cs="Arial"/>
                <w:color w:val="252525"/>
                <w:sz w:val="20"/>
                <w:shd w:val="clear" w:color="auto" w:fill="FFFFFF"/>
              </w:rPr>
              <w:t>Pristupanje Crne Gore navedenoj konvenciji jedan je od uslova za pridruživanje EU.</w:t>
            </w:r>
          </w:p>
        </w:tc>
      </w:tr>
      <w:tr w:rsidR="00383886" w:rsidRPr="00383886" w14:paraId="465308D7" w14:textId="77777777" w:rsidTr="00FD6B98">
        <w:tc>
          <w:tcPr>
            <w:tcW w:w="447" w:type="dxa"/>
            <w:shd w:val="clear" w:color="auto" w:fill="auto"/>
            <w:vAlign w:val="center"/>
          </w:tcPr>
          <w:p w14:paraId="461155F6" w14:textId="77777777" w:rsidR="00383886" w:rsidRPr="00A80EEE" w:rsidRDefault="00383886" w:rsidP="00FD6B98">
            <w:pPr>
              <w:spacing w:before="40" w:after="40"/>
              <w:jc w:val="both"/>
              <w:rPr>
                <w:rFonts w:cs="Arial"/>
                <w:sz w:val="20"/>
              </w:rPr>
            </w:pPr>
            <w:r w:rsidRPr="00A80EEE">
              <w:rPr>
                <w:rFonts w:cs="Arial"/>
                <w:sz w:val="20"/>
              </w:rPr>
              <w:t>10.</w:t>
            </w:r>
          </w:p>
        </w:tc>
        <w:tc>
          <w:tcPr>
            <w:tcW w:w="2151" w:type="dxa"/>
            <w:gridSpan w:val="2"/>
            <w:shd w:val="clear" w:color="auto" w:fill="auto"/>
            <w:vAlign w:val="center"/>
          </w:tcPr>
          <w:p w14:paraId="221B8780" w14:textId="77777777" w:rsidR="00383886" w:rsidRPr="00383886" w:rsidRDefault="00383886" w:rsidP="00FD6B98">
            <w:pPr>
              <w:jc w:val="both"/>
              <w:rPr>
                <w:rFonts w:eastAsia="Cambria" w:cs="Arial"/>
                <w:sz w:val="20"/>
              </w:rPr>
            </w:pPr>
            <w:r w:rsidRPr="00383886">
              <w:rPr>
                <w:rFonts w:eastAsia="Cambria" w:cs="Arial"/>
                <w:sz w:val="20"/>
              </w:rPr>
              <w:t>Donijeti Uredbu o upravljanju kapitalnim investicijama</w:t>
            </w:r>
          </w:p>
        </w:tc>
        <w:tc>
          <w:tcPr>
            <w:tcW w:w="2066" w:type="dxa"/>
            <w:shd w:val="clear" w:color="auto" w:fill="auto"/>
            <w:vAlign w:val="center"/>
          </w:tcPr>
          <w:p w14:paraId="1529F7C5" w14:textId="77777777" w:rsidR="00383886" w:rsidRPr="00383886" w:rsidRDefault="00383886" w:rsidP="00FD6B98">
            <w:pPr>
              <w:jc w:val="both"/>
              <w:rPr>
                <w:rFonts w:eastAsia="Cambria" w:cs="Arial"/>
                <w:sz w:val="20"/>
              </w:rPr>
            </w:pPr>
            <w:r w:rsidRPr="00383886">
              <w:rPr>
                <w:rFonts w:eastAsia="Cambria" w:cs="Arial"/>
                <w:sz w:val="20"/>
              </w:rPr>
              <w:t>Donesena Uredba o upravljanju kapitalnim investicijama</w:t>
            </w:r>
          </w:p>
        </w:tc>
        <w:tc>
          <w:tcPr>
            <w:tcW w:w="1843" w:type="dxa"/>
            <w:shd w:val="clear" w:color="auto" w:fill="auto"/>
            <w:vAlign w:val="center"/>
          </w:tcPr>
          <w:p w14:paraId="0612F1E0" w14:textId="77777777" w:rsidR="00383886" w:rsidRPr="00F27DB4" w:rsidRDefault="00383886" w:rsidP="00FD6B98">
            <w:pPr>
              <w:spacing w:before="20" w:after="20"/>
              <w:jc w:val="both"/>
              <w:rPr>
                <w:rFonts w:cs="Arial"/>
                <w:sz w:val="20"/>
              </w:rPr>
            </w:pPr>
            <w:r w:rsidRPr="00F27DB4">
              <w:rPr>
                <w:rFonts w:cs="Arial"/>
                <w:sz w:val="20"/>
              </w:rPr>
              <w:t>NI: MFSS</w:t>
            </w:r>
          </w:p>
          <w:p w14:paraId="1FD5BF6C"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661D49AE" w14:textId="77777777" w:rsidR="00383886" w:rsidRPr="00383886" w:rsidRDefault="00383886" w:rsidP="00FD6B98">
            <w:pPr>
              <w:spacing w:before="40" w:after="40"/>
              <w:jc w:val="both"/>
              <w:rPr>
                <w:rFonts w:cs="Arial"/>
                <w:sz w:val="20"/>
              </w:rPr>
            </w:pPr>
            <w:r w:rsidRPr="00383886">
              <w:rPr>
                <w:rFonts w:cs="Arial"/>
                <w:sz w:val="20"/>
              </w:rPr>
              <w:t>II Q 2022.</w:t>
            </w:r>
          </w:p>
        </w:tc>
        <w:tc>
          <w:tcPr>
            <w:tcW w:w="1945" w:type="dxa"/>
            <w:shd w:val="clear" w:color="auto" w:fill="auto"/>
            <w:vAlign w:val="center"/>
          </w:tcPr>
          <w:p w14:paraId="0CA081F0" w14:textId="77777777" w:rsidR="00383886" w:rsidRPr="00383886" w:rsidRDefault="00383886" w:rsidP="00FD6B98">
            <w:pPr>
              <w:jc w:val="both"/>
              <w:rPr>
                <w:rFonts w:eastAsia="Cambria" w:cs="Arial"/>
                <w:sz w:val="20"/>
              </w:rPr>
            </w:pPr>
            <w:r w:rsidRPr="00383886">
              <w:rPr>
                <w:rFonts w:eastAsia="Cambria" w:cs="Arial"/>
                <w:sz w:val="20"/>
              </w:rPr>
              <w:t>Propis će imati uticaj na poslovni ambijent, I u procesu njegove pripreme biti urađena detaljna RIA.</w:t>
            </w:r>
          </w:p>
        </w:tc>
        <w:tc>
          <w:tcPr>
            <w:tcW w:w="1941" w:type="dxa"/>
            <w:shd w:val="clear" w:color="auto" w:fill="auto"/>
            <w:vAlign w:val="center"/>
          </w:tcPr>
          <w:p w14:paraId="04A592FB" w14:textId="77777777" w:rsidR="00383886" w:rsidRPr="00383886" w:rsidRDefault="00383886" w:rsidP="00FD6B98">
            <w:pPr>
              <w:spacing w:before="40" w:after="40"/>
              <w:jc w:val="both"/>
              <w:rPr>
                <w:rFonts w:cs="Arial"/>
                <w:sz w:val="20"/>
              </w:rPr>
            </w:pPr>
          </w:p>
        </w:tc>
        <w:tc>
          <w:tcPr>
            <w:tcW w:w="2093" w:type="dxa"/>
            <w:shd w:val="clear" w:color="auto" w:fill="auto"/>
            <w:vAlign w:val="center"/>
          </w:tcPr>
          <w:p w14:paraId="5F0462E6" w14:textId="77777777" w:rsidR="00383886" w:rsidRPr="00383886" w:rsidRDefault="00383886" w:rsidP="00FD6B98">
            <w:pPr>
              <w:spacing w:after="160" w:line="259" w:lineRule="auto"/>
              <w:jc w:val="both"/>
              <w:rPr>
                <w:rFonts w:cs="Arial"/>
                <w:sz w:val="20"/>
              </w:rPr>
            </w:pPr>
            <w:r w:rsidRPr="00383886">
              <w:rPr>
                <w:rFonts w:eastAsia="Cambria" w:cs="Arial"/>
                <w:sz w:val="20"/>
              </w:rPr>
              <w:t xml:space="preserve">Uredbom će se unaprijediti i omogućiti proces upravljanja javnim investicijama. </w:t>
            </w:r>
            <w:r w:rsidRPr="00383886">
              <w:rPr>
                <w:rFonts w:eastAsia="Cambria" w:cs="Arial"/>
                <w:sz w:val="20"/>
              </w:rPr>
              <w:lastRenderedPageBreak/>
              <w:t>Istovremeno,</w:t>
            </w:r>
            <w:r w:rsidRPr="00383886">
              <w:rPr>
                <w:rFonts w:cs="Arial"/>
                <w:sz w:val="20"/>
              </w:rPr>
              <w:t xml:space="preserve"> definisaće se: sadržina, način pripreme, ocjena i odabir kapitalnih projekata, praćenje sprovođenja kao i izvještavanje o implementaciji kapitalnih projekata.</w:t>
            </w:r>
          </w:p>
        </w:tc>
      </w:tr>
      <w:tr w:rsidR="00383886" w:rsidRPr="00383886" w14:paraId="41D5178E" w14:textId="77777777" w:rsidTr="00FD6B98">
        <w:tc>
          <w:tcPr>
            <w:tcW w:w="447" w:type="dxa"/>
            <w:shd w:val="clear" w:color="auto" w:fill="auto"/>
            <w:vAlign w:val="center"/>
          </w:tcPr>
          <w:p w14:paraId="7A870089" w14:textId="77777777" w:rsidR="00383886" w:rsidRPr="00383886" w:rsidRDefault="00383886" w:rsidP="00FD6B98">
            <w:pPr>
              <w:spacing w:before="40" w:after="40"/>
              <w:jc w:val="both"/>
              <w:rPr>
                <w:rFonts w:cs="Arial"/>
                <w:sz w:val="20"/>
              </w:rPr>
            </w:pPr>
            <w:r w:rsidRPr="00383886">
              <w:rPr>
                <w:rFonts w:cs="Arial"/>
                <w:sz w:val="20"/>
              </w:rPr>
              <w:t>11.</w:t>
            </w:r>
          </w:p>
        </w:tc>
        <w:tc>
          <w:tcPr>
            <w:tcW w:w="2151" w:type="dxa"/>
            <w:gridSpan w:val="2"/>
            <w:shd w:val="clear" w:color="auto" w:fill="auto"/>
            <w:vAlign w:val="center"/>
          </w:tcPr>
          <w:p w14:paraId="282C7F35" w14:textId="77777777" w:rsidR="00383886" w:rsidRPr="00383886" w:rsidRDefault="00383886" w:rsidP="00FD6B98">
            <w:pPr>
              <w:jc w:val="both"/>
              <w:rPr>
                <w:rFonts w:cs="Arial"/>
                <w:sz w:val="20"/>
              </w:rPr>
            </w:pPr>
            <w:r w:rsidRPr="00383886">
              <w:rPr>
                <w:rFonts w:cs="Arial"/>
                <w:sz w:val="20"/>
              </w:rPr>
              <w:t>Utvrditi Predlog zakona o osiguranju</w:t>
            </w:r>
          </w:p>
        </w:tc>
        <w:tc>
          <w:tcPr>
            <w:tcW w:w="2066" w:type="dxa"/>
            <w:shd w:val="clear" w:color="auto" w:fill="auto"/>
            <w:vAlign w:val="center"/>
          </w:tcPr>
          <w:p w14:paraId="4E18DC69" w14:textId="77777777" w:rsidR="00383886" w:rsidRPr="00383886" w:rsidRDefault="00383886" w:rsidP="00FD6B98">
            <w:pPr>
              <w:jc w:val="both"/>
              <w:rPr>
                <w:rFonts w:cs="Arial"/>
                <w:sz w:val="20"/>
              </w:rPr>
            </w:pPr>
            <w:r w:rsidRPr="00383886">
              <w:rPr>
                <w:rFonts w:cs="Arial"/>
                <w:sz w:val="20"/>
              </w:rPr>
              <w:t>Utvrđen Predlog zakona o osiguranju</w:t>
            </w:r>
          </w:p>
        </w:tc>
        <w:tc>
          <w:tcPr>
            <w:tcW w:w="1843" w:type="dxa"/>
            <w:shd w:val="clear" w:color="auto" w:fill="auto"/>
            <w:vAlign w:val="center"/>
          </w:tcPr>
          <w:p w14:paraId="2ACC7EEA" w14:textId="77777777" w:rsidR="00383886" w:rsidRPr="00F27DB4" w:rsidRDefault="00383886" w:rsidP="00FD6B98">
            <w:pPr>
              <w:spacing w:before="20" w:after="20"/>
              <w:jc w:val="both"/>
              <w:rPr>
                <w:rFonts w:cs="Arial"/>
                <w:sz w:val="20"/>
              </w:rPr>
            </w:pPr>
            <w:r w:rsidRPr="00F27DB4">
              <w:rPr>
                <w:rFonts w:cs="Arial"/>
                <w:sz w:val="20"/>
              </w:rPr>
              <w:t>NI: MFSS</w:t>
            </w:r>
          </w:p>
          <w:p w14:paraId="022D9786" w14:textId="77777777" w:rsidR="00383886" w:rsidRPr="00383886" w:rsidRDefault="00383886" w:rsidP="00FD6B98">
            <w:pPr>
              <w:spacing w:before="20" w:after="20"/>
              <w:jc w:val="both"/>
              <w:rPr>
                <w:rFonts w:cs="Arial"/>
                <w:i/>
                <w:sz w:val="20"/>
              </w:rPr>
            </w:pPr>
            <w:r w:rsidRPr="00F27DB4">
              <w:rPr>
                <w:rFonts w:cs="Arial"/>
                <w:sz w:val="20"/>
              </w:rPr>
              <w:t>NK: KPS, KEPIF</w:t>
            </w:r>
          </w:p>
        </w:tc>
        <w:tc>
          <w:tcPr>
            <w:tcW w:w="2400" w:type="dxa"/>
            <w:shd w:val="clear" w:color="auto" w:fill="auto"/>
            <w:vAlign w:val="center"/>
          </w:tcPr>
          <w:p w14:paraId="2A1AB238" w14:textId="77777777" w:rsidR="00383886" w:rsidRPr="00383886" w:rsidRDefault="00383886" w:rsidP="00FD6B98">
            <w:pPr>
              <w:spacing w:before="40" w:after="40"/>
              <w:jc w:val="both"/>
              <w:rPr>
                <w:rFonts w:cs="Arial"/>
                <w:sz w:val="20"/>
              </w:rPr>
            </w:pPr>
            <w:r w:rsidRPr="00383886">
              <w:rPr>
                <w:rFonts w:cs="Arial"/>
                <w:sz w:val="20"/>
              </w:rPr>
              <w:t>I - IV Q 2022.</w:t>
            </w:r>
          </w:p>
        </w:tc>
        <w:tc>
          <w:tcPr>
            <w:tcW w:w="1945" w:type="dxa"/>
            <w:shd w:val="clear" w:color="auto" w:fill="auto"/>
            <w:vAlign w:val="center"/>
          </w:tcPr>
          <w:p w14:paraId="5D33CD36" w14:textId="77777777" w:rsidR="00383886" w:rsidRPr="00383886" w:rsidRDefault="00383886" w:rsidP="00FD6B98">
            <w:pPr>
              <w:autoSpaceDE w:val="0"/>
              <w:autoSpaceDN w:val="0"/>
              <w:adjustRightInd w:val="0"/>
              <w:contextualSpacing/>
              <w:jc w:val="both"/>
              <w:rPr>
                <w:rFonts w:cs="Arial"/>
                <w:sz w:val="20"/>
              </w:rPr>
            </w:pPr>
            <w:r w:rsidRPr="00383886">
              <w:rPr>
                <w:rFonts w:cs="Arial"/>
                <w:sz w:val="20"/>
              </w:rPr>
              <w:t>Propis neće imati uticaja na budžet Crne Gore, ali će njegovo donošenje uticati na poslovni ambijent zbog čega će u procesu njegove pripreme biti urađena detaljna RIA.</w:t>
            </w:r>
          </w:p>
        </w:tc>
        <w:tc>
          <w:tcPr>
            <w:tcW w:w="1941" w:type="dxa"/>
            <w:shd w:val="clear" w:color="auto" w:fill="auto"/>
            <w:vAlign w:val="center"/>
          </w:tcPr>
          <w:p w14:paraId="27546A4F" w14:textId="77777777" w:rsidR="00383886" w:rsidRPr="00383886" w:rsidRDefault="00383886" w:rsidP="00FD6B98">
            <w:pPr>
              <w:spacing w:before="40" w:after="40"/>
              <w:jc w:val="both"/>
              <w:rPr>
                <w:rFonts w:cs="Arial"/>
                <w:sz w:val="20"/>
              </w:rPr>
            </w:pPr>
          </w:p>
        </w:tc>
        <w:tc>
          <w:tcPr>
            <w:tcW w:w="2093" w:type="dxa"/>
            <w:shd w:val="clear" w:color="auto" w:fill="auto"/>
            <w:vAlign w:val="center"/>
          </w:tcPr>
          <w:p w14:paraId="6C7F1C6F" w14:textId="77777777" w:rsidR="00383886" w:rsidRPr="00383886" w:rsidRDefault="00383886" w:rsidP="00FD6B98">
            <w:pPr>
              <w:jc w:val="both"/>
              <w:rPr>
                <w:rFonts w:cs="Arial"/>
                <w:sz w:val="20"/>
              </w:rPr>
            </w:pPr>
            <w:r w:rsidRPr="00383886">
              <w:rPr>
                <w:rFonts w:cs="Arial"/>
                <w:sz w:val="20"/>
              </w:rPr>
              <w:t xml:space="preserve">Ovim zakonom će se postići usklađenost sa regulatornim okvirom Solventnost II, koji će donijeti novi pristup u upravljanju društvima za osiguranje (uspostavljanje obaveznih ključnih funkcija, složen sistem upravljanja rizicima, obavezu sačinjavanja strategija, politika i drugih dokumenata koji opisuju način funkcionisanja društva za osiguranje), te novine u načinu obračuna kapitalnih zahtjeva, tehničkih rezervi, vrednovanja imovine i obaveza, ali i novi pristup u načinu obavljanja nadzorne funkcije Agencije – prospektivnost, koji podrazumijeva sprovođenje nadzora zasnovano na budućim događajima i rizicima poslovanja pojedinog društva za osiguranje. </w:t>
            </w:r>
            <w:r w:rsidRPr="00383886">
              <w:rPr>
                <w:rFonts w:cs="Arial"/>
                <w:sz w:val="20"/>
              </w:rPr>
              <w:lastRenderedPageBreak/>
              <w:t xml:space="preserve">Takođe, u Predlog zakona se prenosi i </w:t>
            </w:r>
            <w:r w:rsidRPr="00383886">
              <w:rPr>
                <w:rFonts w:cs="Arial"/>
                <w:bCs/>
                <w:sz w:val="20"/>
              </w:rPr>
              <w:t>Direktiva o distribuciji osiguranja EC 2016/97 (IDD), čijom će se primjenom znatno pooštriti zahtjevi koji se postavljaju pred sve distributere osiguranja (kako za prodaju u društvima za osiguranje, tako i za spoljnju prodaju - posrednike i zastupnike).</w:t>
            </w:r>
          </w:p>
          <w:p w14:paraId="6372AFF4" w14:textId="77777777" w:rsidR="00383886" w:rsidRPr="00383886" w:rsidRDefault="00383886" w:rsidP="00FD6B98">
            <w:pPr>
              <w:jc w:val="both"/>
              <w:rPr>
                <w:rFonts w:cs="Arial"/>
                <w:sz w:val="20"/>
              </w:rPr>
            </w:pPr>
          </w:p>
        </w:tc>
      </w:tr>
      <w:tr w:rsidR="00383886" w:rsidRPr="00383886" w14:paraId="294DE752" w14:textId="77777777" w:rsidTr="00FD6B98">
        <w:tc>
          <w:tcPr>
            <w:tcW w:w="2598" w:type="dxa"/>
            <w:gridSpan w:val="3"/>
            <w:shd w:val="clear" w:color="auto" w:fill="D5DCE4" w:themeFill="text2" w:themeFillTint="33"/>
          </w:tcPr>
          <w:p w14:paraId="26F57C5A" w14:textId="77777777" w:rsidR="00383886" w:rsidRPr="00383886" w:rsidRDefault="00383886" w:rsidP="00FD6B98">
            <w:pPr>
              <w:spacing w:before="40" w:after="40"/>
              <w:jc w:val="both"/>
              <w:rPr>
                <w:rFonts w:cs="Arial"/>
                <w:b/>
                <w:sz w:val="20"/>
              </w:rPr>
            </w:pPr>
            <w:bookmarkStart w:id="13" w:name="_Hlk89629118"/>
          </w:p>
          <w:p w14:paraId="32B05366" w14:textId="77777777" w:rsidR="00383886" w:rsidRPr="00383886" w:rsidRDefault="00383886" w:rsidP="00A80EEE">
            <w:pPr>
              <w:spacing w:before="40" w:after="40"/>
              <w:jc w:val="center"/>
              <w:rPr>
                <w:rFonts w:cs="Arial"/>
                <w:b/>
                <w:sz w:val="20"/>
              </w:rPr>
            </w:pPr>
            <w:r w:rsidRPr="00383886">
              <w:rPr>
                <w:rFonts w:cs="Arial"/>
                <w:b/>
                <w:sz w:val="20"/>
              </w:rPr>
              <w:t>Cilj 2</w:t>
            </w:r>
            <w:r w:rsidR="005D3BC5">
              <w:rPr>
                <w:rFonts w:cs="Arial"/>
                <w:b/>
                <w:sz w:val="20"/>
              </w:rPr>
              <w:t>.2.</w:t>
            </w:r>
          </w:p>
        </w:tc>
        <w:tc>
          <w:tcPr>
            <w:tcW w:w="12288" w:type="dxa"/>
            <w:gridSpan w:val="6"/>
            <w:shd w:val="clear" w:color="auto" w:fill="D5DCE4" w:themeFill="text2" w:themeFillTint="33"/>
          </w:tcPr>
          <w:p w14:paraId="317C4D91" w14:textId="77777777" w:rsidR="00383886" w:rsidRPr="00383886" w:rsidRDefault="00383886" w:rsidP="00FD6B98">
            <w:pPr>
              <w:spacing w:before="40" w:after="40"/>
              <w:jc w:val="both"/>
              <w:rPr>
                <w:rFonts w:cs="Arial"/>
                <w:b/>
                <w:sz w:val="20"/>
                <w:lang w:val="sr-Latn-RS"/>
              </w:rPr>
            </w:pPr>
          </w:p>
          <w:p w14:paraId="08B88188" w14:textId="77777777" w:rsidR="00383886" w:rsidRPr="00383886" w:rsidRDefault="00383886" w:rsidP="00FD6B98">
            <w:pPr>
              <w:spacing w:before="40" w:after="40"/>
              <w:jc w:val="both"/>
              <w:rPr>
                <w:rFonts w:cs="Arial"/>
                <w:b/>
                <w:sz w:val="20"/>
              </w:rPr>
            </w:pPr>
            <w:r w:rsidRPr="00383886">
              <w:rPr>
                <w:rFonts w:cs="Arial"/>
                <w:b/>
                <w:sz w:val="20"/>
                <w:lang w:val="sr-Latn-RS"/>
              </w:rPr>
              <w:t>Unapređenje fiskalne održivosti</w:t>
            </w:r>
          </w:p>
        </w:tc>
      </w:tr>
      <w:tr w:rsidR="00383886" w:rsidRPr="00383886" w14:paraId="19BBAD5E" w14:textId="77777777" w:rsidTr="00FD6B98">
        <w:tc>
          <w:tcPr>
            <w:tcW w:w="2598" w:type="dxa"/>
            <w:gridSpan w:val="3"/>
            <w:shd w:val="clear" w:color="auto" w:fill="DAF2F6"/>
            <w:vAlign w:val="center"/>
          </w:tcPr>
          <w:p w14:paraId="2CAFEF03" w14:textId="77777777" w:rsidR="00383886" w:rsidRPr="00383886" w:rsidRDefault="00383886" w:rsidP="00FD6B98">
            <w:pPr>
              <w:spacing w:before="40" w:after="40"/>
              <w:jc w:val="both"/>
              <w:rPr>
                <w:rFonts w:cs="Arial"/>
                <w:b/>
                <w:color w:val="000000"/>
                <w:sz w:val="20"/>
                <w:lang w:val="sr-Latn-RS"/>
              </w:rPr>
            </w:pPr>
            <w:r w:rsidRPr="00383886">
              <w:rPr>
                <w:rFonts w:cs="Arial"/>
                <w:b/>
                <w:sz w:val="20"/>
              </w:rPr>
              <w:t>Indikator učinka</w:t>
            </w:r>
          </w:p>
        </w:tc>
        <w:tc>
          <w:tcPr>
            <w:tcW w:w="2066" w:type="dxa"/>
            <w:shd w:val="clear" w:color="auto" w:fill="DAF2F6"/>
            <w:vAlign w:val="center"/>
          </w:tcPr>
          <w:p w14:paraId="7470FEBC" w14:textId="77777777" w:rsidR="00383886" w:rsidRPr="00383886" w:rsidRDefault="00383886" w:rsidP="00FD6B98">
            <w:pPr>
              <w:spacing w:before="40" w:after="40"/>
              <w:jc w:val="center"/>
              <w:rPr>
                <w:rFonts w:cs="Arial"/>
                <w:sz w:val="20"/>
              </w:rPr>
            </w:pPr>
            <w:r w:rsidRPr="00383886">
              <w:rPr>
                <w:rFonts w:cs="Arial"/>
                <w:b/>
                <w:sz w:val="20"/>
              </w:rPr>
              <w:t>Polazna vrijednost – 2021.</w:t>
            </w:r>
          </w:p>
        </w:tc>
        <w:tc>
          <w:tcPr>
            <w:tcW w:w="1843" w:type="dxa"/>
            <w:shd w:val="clear" w:color="auto" w:fill="DAF2F6"/>
            <w:vAlign w:val="center"/>
          </w:tcPr>
          <w:p w14:paraId="2DE9586D" w14:textId="77777777" w:rsidR="00383886" w:rsidRPr="00383886" w:rsidRDefault="00383886" w:rsidP="00FD6B98">
            <w:pPr>
              <w:spacing w:before="40" w:after="40"/>
              <w:jc w:val="center"/>
              <w:rPr>
                <w:rFonts w:cs="Arial"/>
                <w:sz w:val="20"/>
              </w:rPr>
            </w:pPr>
            <w:r w:rsidRPr="00383886">
              <w:rPr>
                <w:rFonts w:cs="Arial"/>
                <w:b/>
                <w:sz w:val="20"/>
              </w:rPr>
              <w:t>Prelazna vrijednost – 2022.</w:t>
            </w:r>
          </w:p>
        </w:tc>
        <w:tc>
          <w:tcPr>
            <w:tcW w:w="2400" w:type="dxa"/>
            <w:tcBorders>
              <w:bottom w:val="single" w:sz="4" w:space="0" w:color="FFFFFF" w:themeColor="background1"/>
            </w:tcBorders>
            <w:shd w:val="clear" w:color="auto" w:fill="DAF2F6"/>
            <w:vAlign w:val="center"/>
          </w:tcPr>
          <w:p w14:paraId="6BF21740" w14:textId="77777777" w:rsidR="00383886" w:rsidRPr="00383886" w:rsidRDefault="00383886" w:rsidP="00FD6B98">
            <w:pPr>
              <w:spacing w:before="40" w:after="40"/>
              <w:jc w:val="center"/>
              <w:rPr>
                <w:rFonts w:cs="Arial"/>
                <w:b/>
                <w:sz w:val="20"/>
              </w:rPr>
            </w:pPr>
            <w:r w:rsidRPr="00383886">
              <w:rPr>
                <w:rFonts w:cs="Arial"/>
                <w:b/>
                <w:sz w:val="20"/>
              </w:rPr>
              <w:t>Prelazna vrijednost –</w:t>
            </w:r>
          </w:p>
          <w:p w14:paraId="4172E14B" w14:textId="77777777" w:rsidR="00383886" w:rsidRPr="00383886" w:rsidRDefault="00383886" w:rsidP="00FD6B98">
            <w:pPr>
              <w:spacing w:before="40" w:after="40"/>
              <w:jc w:val="center"/>
              <w:rPr>
                <w:rFonts w:cs="Arial"/>
                <w:sz w:val="20"/>
              </w:rPr>
            </w:pPr>
            <w:r w:rsidRPr="00383886">
              <w:rPr>
                <w:rFonts w:cs="Arial"/>
                <w:b/>
                <w:sz w:val="20"/>
              </w:rPr>
              <w:t>2023.</w:t>
            </w:r>
          </w:p>
        </w:tc>
        <w:tc>
          <w:tcPr>
            <w:tcW w:w="5979" w:type="dxa"/>
            <w:gridSpan w:val="3"/>
            <w:tcBorders>
              <w:bottom w:val="single" w:sz="4" w:space="0" w:color="FFFFFF" w:themeColor="background1"/>
            </w:tcBorders>
            <w:shd w:val="clear" w:color="auto" w:fill="DAF2F6"/>
            <w:vAlign w:val="center"/>
          </w:tcPr>
          <w:p w14:paraId="6F39DB93" w14:textId="77777777" w:rsidR="00383886" w:rsidRPr="00383886" w:rsidRDefault="00383886" w:rsidP="00FD6B98">
            <w:pPr>
              <w:spacing w:before="40" w:after="40"/>
              <w:jc w:val="center"/>
              <w:rPr>
                <w:rFonts w:cs="Arial"/>
                <w:b/>
                <w:sz w:val="20"/>
              </w:rPr>
            </w:pPr>
            <w:r w:rsidRPr="00383886">
              <w:rPr>
                <w:rFonts w:cs="Arial"/>
                <w:b/>
                <w:sz w:val="20"/>
              </w:rPr>
              <w:t>Ciljna vrijednost –</w:t>
            </w:r>
          </w:p>
          <w:p w14:paraId="19A994BC" w14:textId="77777777" w:rsidR="00383886" w:rsidRPr="00383886" w:rsidRDefault="00383886" w:rsidP="00FD6B98">
            <w:pPr>
              <w:spacing w:before="40" w:after="40"/>
              <w:jc w:val="center"/>
              <w:rPr>
                <w:rFonts w:cs="Arial"/>
                <w:sz w:val="20"/>
              </w:rPr>
            </w:pPr>
            <w:r w:rsidRPr="00383886">
              <w:rPr>
                <w:rFonts w:cs="Arial"/>
                <w:b/>
                <w:sz w:val="20"/>
              </w:rPr>
              <w:t>2024.</w:t>
            </w:r>
          </w:p>
        </w:tc>
      </w:tr>
      <w:tr w:rsidR="00383886" w:rsidRPr="00383886" w14:paraId="0C74FA5B" w14:textId="77777777" w:rsidTr="00FD6B98">
        <w:tc>
          <w:tcPr>
            <w:tcW w:w="2598" w:type="dxa"/>
            <w:gridSpan w:val="3"/>
            <w:shd w:val="clear" w:color="auto" w:fill="DAF2F6"/>
          </w:tcPr>
          <w:p w14:paraId="4FF6A40C" w14:textId="77777777" w:rsidR="00383886" w:rsidRPr="00A80EEE" w:rsidRDefault="00383886" w:rsidP="00FD6B98">
            <w:pPr>
              <w:spacing w:before="40" w:after="40"/>
              <w:jc w:val="both"/>
              <w:rPr>
                <w:rFonts w:cs="Arial"/>
                <w:sz w:val="20"/>
              </w:rPr>
            </w:pPr>
            <w:r w:rsidRPr="00A80EEE">
              <w:rPr>
                <w:rFonts w:cs="Arial"/>
                <w:color w:val="000000"/>
                <w:sz w:val="20"/>
                <w:lang w:val="sr-Latn-RS"/>
              </w:rPr>
              <w:t>Budžetski deficit/suficit (u mil.€)</w:t>
            </w:r>
          </w:p>
        </w:tc>
        <w:tc>
          <w:tcPr>
            <w:tcW w:w="2066" w:type="dxa"/>
            <w:shd w:val="clear" w:color="auto" w:fill="DAF2F6"/>
            <w:vAlign w:val="center"/>
          </w:tcPr>
          <w:p w14:paraId="44004357" w14:textId="77777777" w:rsidR="00383886" w:rsidRPr="00A80EEE" w:rsidRDefault="00383886" w:rsidP="00FD6B98">
            <w:pPr>
              <w:spacing w:before="40" w:after="40"/>
              <w:jc w:val="center"/>
              <w:rPr>
                <w:rFonts w:cs="Arial"/>
                <w:sz w:val="20"/>
              </w:rPr>
            </w:pPr>
            <w:r w:rsidRPr="00A80EEE">
              <w:rPr>
                <w:rFonts w:cs="Arial"/>
                <w:sz w:val="20"/>
              </w:rPr>
              <w:t>-175,3</w:t>
            </w:r>
          </w:p>
        </w:tc>
        <w:tc>
          <w:tcPr>
            <w:tcW w:w="1843" w:type="dxa"/>
            <w:shd w:val="clear" w:color="auto" w:fill="DAF2F6"/>
            <w:vAlign w:val="center"/>
          </w:tcPr>
          <w:p w14:paraId="5924386C" w14:textId="77777777" w:rsidR="00383886" w:rsidRPr="00A80EEE" w:rsidRDefault="00383886" w:rsidP="00FD6B98">
            <w:pPr>
              <w:spacing w:before="40" w:after="40"/>
              <w:jc w:val="center"/>
              <w:rPr>
                <w:rFonts w:cs="Arial"/>
                <w:sz w:val="20"/>
              </w:rPr>
            </w:pPr>
            <w:r w:rsidRPr="00A80EEE">
              <w:rPr>
                <w:rFonts w:cs="Arial"/>
                <w:sz w:val="20"/>
              </w:rPr>
              <w:t>-205,1</w:t>
            </w:r>
          </w:p>
        </w:tc>
        <w:tc>
          <w:tcPr>
            <w:tcW w:w="2400" w:type="dxa"/>
            <w:shd w:val="clear" w:color="auto" w:fill="DAF2F6"/>
            <w:vAlign w:val="center"/>
          </w:tcPr>
          <w:p w14:paraId="5D955C94" w14:textId="77777777" w:rsidR="00383886" w:rsidRPr="00A80EEE" w:rsidRDefault="00383886" w:rsidP="00FD6B98">
            <w:pPr>
              <w:spacing w:before="40" w:after="40"/>
              <w:jc w:val="center"/>
              <w:rPr>
                <w:rFonts w:cs="Arial"/>
                <w:sz w:val="20"/>
              </w:rPr>
            </w:pPr>
            <w:r w:rsidRPr="00A80EEE">
              <w:rPr>
                <w:rFonts w:cs="Arial"/>
                <w:sz w:val="20"/>
              </w:rPr>
              <w:t>-59,7</w:t>
            </w:r>
          </w:p>
        </w:tc>
        <w:tc>
          <w:tcPr>
            <w:tcW w:w="5979" w:type="dxa"/>
            <w:gridSpan w:val="3"/>
            <w:shd w:val="clear" w:color="auto" w:fill="DAF2F6"/>
            <w:vAlign w:val="center"/>
          </w:tcPr>
          <w:p w14:paraId="460D6F55" w14:textId="77777777" w:rsidR="00383886" w:rsidRPr="00A80EEE" w:rsidRDefault="00383886" w:rsidP="00FD6B98">
            <w:pPr>
              <w:spacing w:before="40" w:after="40"/>
              <w:jc w:val="center"/>
              <w:rPr>
                <w:rFonts w:cs="Arial"/>
                <w:sz w:val="20"/>
              </w:rPr>
            </w:pPr>
            <w:r w:rsidRPr="00A80EEE">
              <w:rPr>
                <w:rFonts w:cs="Arial"/>
                <w:sz w:val="20"/>
              </w:rPr>
              <w:t>1,2</w:t>
            </w:r>
          </w:p>
        </w:tc>
      </w:tr>
      <w:tr w:rsidR="00383886" w:rsidRPr="00383886" w14:paraId="2D064DB5" w14:textId="77777777" w:rsidTr="00FD6B98">
        <w:tc>
          <w:tcPr>
            <w:tcW w:w="2598" w:type="dxa"/>
            <w:gridSpan w:val="3"/>
            <w:shd w:val="clear" w:color="auto" w:fill="DAF2F6"/>
          </w:tcPr>
          <w:p w14:paraId="7EB52CCD" w14:textId="77777777" w:rsidR="00383886" w:rsidRPr="00A80EEE" w:rsidRDefault="00383886" w:rsidP="00FD6B98">
            <w:pPr>
              <w:spacing w:before="40" w:after="40"/>
              <w:jc w:val="both"/>
              <w:rPr>
                <w:rFonts w:cs="Arial"/>
                <w:color w:val="000000"/>
                <w:sz w:val="20"/>
                <w:lang w:val="sr-Latn-RS"/>
              </w:rPr>
            </w:pPr>
            <w:r w:rsidRPr="00A80EEE">
              <w:rPr>
                <w:rFonts w:cs="Arial"/>
                <w:color w:val="000000"/>
                <w:sz w:val="20"/>
                <w:lang w:val="sr-Latn-RS"/>
              </w:rPr>
              <w:t>Učešće javnog duga u BDP-u (%)</w:t>
            </w:r>
            <w:r w:rsidRPr="00A80EEE">
              <w:rPr>
                <w:rStyle w:val="FootnoteReference"/>
                <w:rFonts w:cs="Arial"/>
                <w:color w:val="000000"/>
                <w:sz w:val="20"/>
                <w:lang w:val="sr-Latn-RS"/>
              </w:rPr>
              <w:footnoteReference w:id="12"/>
            </w:r>
          </w:p>
        </w:tc>
        <w:tc>
          <w:tcPr>
            <w:tcW w:w="2066" w:type="dxa"/>
            <w:shd w:val="clear" w:color="auto" w:fill="DAF2F6"/>
            <w:vAlign w:val="center"/>
          </w:tcPr>
          <w:p w14:paraId="0784BA13" w14:textId="77777777" w:rsidR="00383886" w:rsidRPr="00A80EEE" w:rsidRDefault="00383886" w:rsidP="00FD6B98">
            <w:pPr>
              <w:spacing w:before="40" w:after="40"/>
              <w:jc w:val="center"/>
              <w:rPr>
                <w:rFonts w:cs="Arial"/>
                <w:sz w:val="20"/>
              </w:rPr>
            </w:pPr>
            <w:r w:rsidRPr="00A80EEE">
              <w:rPr>
                <w:rFonts w:cs="Arial"/>
                <w:sz w:val="20"/>
              </w:rPr>
              <w:t>85,5</w:t>
            </w:r>
          </w:p>
        </w:tc>
        <w:tc>
          <w:tcPr>
            <w:tcW w:w="1843" w:type="dxa"/>
            <w:shd w:val="clear" w:color="auto" w:fill="DAF2F6"/>
            <w:vAlign w:val="center"/>
          </w:tcPr>
          <w:p w14:paraId="09E31949" w14:textId="77777777" w:rsidR="00383886" w:rsidRPr="00A80EEE" w:rsidRDefault="00383886" w:rsidP="00FD6B98">
            <w:pPr>
              <w:spacing w:before="40" w:after="40"/>
              <w:jc w:val="center"/>
              <w:rPr>
                <w:rFonts w:cs="Arial"/>
                <w:sz w:val="20"/>
              </w:rPr>
            </w:pPr>
            <w:r w:rsidRPr="00A80EEE">
              <w:rPr>
                <w:rFonts w:cs="Arial"/>
                <w:sz w:val="20"/>
              </w:rPr>
              <w:t>75,3</w:t>
            </w:r>
          </w:p>
        </w:tc>
        <w:tc>
          <w:tcPr>
            <w:tcW w:w="2400" w:type="dxa"/>
            <w:shd w:val="clear" w:color="auto" w:fill="DAF2F6"/>
            <w:vAlign w:val="center"/>
          </w:tcPr>
          <w:p w14:paraId="684DC9B4" w14:textId="77777777" w:rsidR="00383886" w:rsidRPr="00A80EEE" w:rsidRDefault="00383886" w:rsidP="00FD6B98">
            <w:pPr>
              <w:spacing w:before="40" w:after="40"/>
              <w:jc w:val="center"/>
              <w:rPr>
                <w:rFonts w:cs="Arial"/>
                <w:sz w:val="20"/>
              </w:rPr>
            </w:pPr>
            <w:r w:rsidRPr="00A80EEE">
              <w:rPr>
                <w:rFonts w:cs="Arial"/>
                <w:sz w:val="20"/>
              </w:rPr>
              <w:t>71,7</w:t>
            </w:r>
          </w:p>
        </w:tc>
        <w:tc>
          <w:tcPr>
            <w:tcW w:w="5979" w:type="dxa"/>
            <w:gridSpan w:val="3"/>
            <w:shd w:val="clear" w:color="auto" w:fill="DAF2F6"/>
            <w:vAlign w:val="center"/>
          </w:tcPr>
          <w:p w14:paraId="0B3FE379" w14:textId="77777777" w:rsidR="00383886" w:rsidRPr="00A80EEE" w:rsidRDefault="00383886" w:rsidP="00FD6B98">
            <w:pPr>
              <w:spacing w:before="40" w:after="40"/>
              <w:jc w:val="center"/>
              <w:rPr>
                <w:rFonts w:cs="Arial"/>
                <w:sz w:val="20"/>
              </w:rPr>
            </w:pPr>
            <w:r w:rsidRPr="00A80EEE">
              <w:rPr>
                <w:rFonts w:cs="Arial"/>
                <w:sz w:val="20"/>
              </w:rPr>
              <w:t>67,6</w:t>
            </w:r>
          </w:p>
        </w:tc>
      </w:tr>
      <w:bookmarkEnd w:id="13"/>
      <w:tr w:rsidR="00383886" w:rsidRPr="00383886" w14:paraId="1C3122F6" w14:textId="77777777" w:rsidTr="00FD6B98">
        <w:tc>
          <w:tcPr>
            <w:tcW w:w="2598" w:type="dxa"/>
            <w:gridSpan w:val="3"/>
            <w:shd w:val="clear" w:color="auto" w:fill="FFF2CC" w:themeFill="accent4" w:themeFillTint="33"/>
            <w:vAlign w:val="center"/>
          </w:tcPr>
          <w:p w14:paraId="65DFEDCC" w14:textId="77777777" w:rsidR="00383886" w:rsidRPr="00383886" w:rsidRDefault="00383886" w:rsidP="00FD6B98">
            <w:pPr>
              <w:spacing w:before="20" w:after="20"/>
              <w:jc w:val="both"/>
              <w:rPr>
                <w:rFonts w:cs="Arial"/>
                <w:b/>
                <w:sz w:val="20"/>
              </w:rPr>
            </w:pPr>
            <w:r w:rsidRPr="00383886">
              <w:rPr>
                <w:rFonts w:cs="Arial"/>
                <w:b/>
                <w:sz w:val="20"/>
              </w:rPr>
              <w:t>Aktivnosti</w:t>
            </w:r>
          </w:p>
        </w:tc>
        <w:tc>
          <w:tcPr>
            <w:tcW w:w="2066" w:type="dxa"/>
            <w:shd w:val="clear" w:color="auto" w:fill="FFF2CC" w:themeFill="accent4" w:themeFillTint="33"/>
            <w:vAlign w:val="center"/>
          </w:tcPr>
          <w:p w14:paraId="5AB28B2B" w14:textId="77777777" w:rsidR="00383886" w:rsidRPr="00383886" w:rsidRDefault="00383886" w:rsidP="00FD6B98">
            <w:pPr>
              <w:spacing w:before="20" w:after="20"/>
              <w:jc w:val="both"/>
              <w:rPr>
                <w:rFonts w:cs="Arial"/>
                <w:b/>
                <w:sz w:val="20"/>
              </w:rPr>
            </w:pPr>
            <w:r w:rsidRPr="00383886">
              <w:rPr>
                <w:rFonts w:cs="Arial"/>
                <w:b/>
                <w:sz w:val="20"/>
              </w:rPr>
              <w:t>Indikator rezultata</w:t>
            </w:r>
          </w:p>
        </w:tc>
        <w:tc>
          <w:tcPr>
            <w:tcW w:w="1843" w:type="dxa"/>
            <w:shd w:val="clear" w:color="auto" w:fill="FFF2CC" w:themeFill="accent4" w:themeFillTint="33"/>
            <w:vAlign w:val="center"/>
          </w:tcPr>
          <w:p w14:paraId="0E91C538" w14:textId="77777777" w:rsidR="00383886" w:rsidRPr="00383886" w:rsidRDefault="00383886" w:rsidP="00FD6B98">
            <w:pPr>
              <w:spacing w:before="20" w:after="20"/>
              <w:jc w:val="both"/>
              <w:rPr>
                <w:rFonts w:cs="Arial"/>
                <w:b/>
                <w:sz w:val="20"/>
              </w:rPr>
            </w:pPr>
            <w:r w:rsidRPr="00383886">
              <w:rPr>
                <w:rFonts w:cs="Arial"/>
                <w:b/>
                <w:sz w:val="20"/>
              </w:rPr>
              <w:t>Nadležne institucije i nadležna komisija</w:t>
            </w:r>
          </w:p>
        </w:tc>
        <w:tc>
          <w:tcPr>
            <w:tcW w:w="2400" w:type="dxa"/>
            <w:shd w:val="clear" w:color="auto" w:fill="FFF2CC" w:themeFill="accent4" w:themeFillTint="33"/>
            <w:vAlign w:val="center"/>
          </w:tcPr>
          <w:p w14:paraId="0947AB98" w14:textId="77777777" w:rsidR="00383886" w:rsidRPr="00383886" w:rsidRDefault="00383886" w:rsidP="00FD6B98">
            <w:pPr>
              <w:spacing w:before="20" w:after="20"/>
              <w:jc w:val="both"/>
              <w:rPr>
                <w:rFonts w:cs="Arial"/>
                <w:b/>
                <w:sz w:val="20"/>
              </w:rPr>
            </w:pPr>
            <w:r w:rsidRPr="00383886">
              <w:rPr>
                <w:rFonts w:cs="Arial"/>
                <w:b/>
                <w:sz w:val="20"/>
              </w:rPr>
              <w:t>Planirani početak i završetak aktivnosti</w:t>
            </w:r>
          </w:p>
        </w:tc>
        <w:tc>
          <w:tcPr>
            <w:tcW w:w="1945" w:type="dxa"/>
            <w:shd w:val="clear" w:color="auto" w:fill="FFF2CC" w:themeFill="accent4" w:themeFillTint="33"/>
            <w:vAlign w:val="center"/>
          </w:tcPr>
          <w:p w14:paraId="1D8EAD2E" w14:textId="77777777" w:rsidR="00383886" w:rsidRPr="00383886" w:rsidRDefault="00383886" w:rsidP="00FD6B98">
            <w:pPr>
              <w:spacing w:before="20" w:after="20"/>
              <w:jc w:val="both"/>
              <w:rPr>
                <w:rFonts w:cs="Arial"/>
                <w:b/>
                <w:sz w:val="20"/>
              </w:rPr>
            </w:pPr>
            <w:r w:rsidRPr="00383886">
              <w:rPr>
                <w:rFonts w:cs="Arial"/>
                <w:b/>
                <w:sz w:val="20"/>
              </w:rPr>
              <w:t>Sredstva za realizaciju  i informacija o izradi RIA</w:t>
            </w:r>
          </w:p>
        </w:tc>
        <w:tc>
          <w:tcPr>
            <w:tcW w:w="1941" w:type="dxa"/>
            <w:shd w:val="clear" w:color="auto" w:fill="FFF2CC" w:themeFill="accent4" w:themeFillTint="33"/>
            <w:vAlign w:val="center"/>
          </w:tcPr>
          <w:p w14:paraId="059671B7" w14:textId="77777777" w:rsidR="00383886" w:rsidRPr="00383886" w:rsidRDefault="00383886" w:rsidP="00FD6B98">
            <w:pPr>
              <w:spacing w:before="20" w:after="20"/>
              <w:jc w:val="both"/>
              <w:rPr>
                <w:rFonts w:cs="Arial"/>
                <w:b/>
                <w:sz w:val="20"/>
              </w:rPr>
            </w:pPr>
            <w:r w:rsidRPr="00383886">
              <w:rPr>
                <w:rFonts w:cs="Arial"/>
                <w:b/>
                <w:sz w:val="20"/>
              </w:rPr>
              <w:t>Izvor finansiranja</w:t>
            </w:r>
          </w:p>
        </w:tc>
        <w:tc>
          <w:tcPr>
            <w:tcW w:w="2093" w:type="dxa"/>
            <w:shd w:val="clear" w:color="auto" w:fill="FFF2CC" w:themeFill="accent4" w:themeFillTint="33"/>
            <w:vAlign w:val="center"/>
          </w:tcPr>
          <w:p w14:paraId="77952F33" w14:textId="77777777" w:rsidR="00383886" w:rsidRPr="00383886" w:rsidRDefault="00383886" w:rsidP="00FD6B98">
            <w:pPr>
              <w:spacing w:before="20" w:after="20"/>
              <w:jc w:val="both"/>
              <w:rPr>
                <w:rFonts w:cs="Arial"/>
                <w:b/>
                <w:sz w:val="20"/>
              </w:rPr>
            </w:pPr>
          </w:p>
          <w:p w14:paraId="3140C0CC" w14:textId="77777777" w:rsidR="00383886" w:rsidRPr="00383886" w:rsidRDefault="00383886" w:rsidP="00FD6B98">
            <w:pPr>
              <w:spacing w:before="20" w:after="20"/>
              <w:jc w:val="both"/>
              <w:rPr>
                <w:rFonts w:cs="Arial"/>
                <w:b/>
                <w:sz w:val="20"/>
              </w:rPr>
            </w:pPr>
            <w:r w:rsidRPr="00383886">
              <w:rPr>
                <w:rFonts w:cs="Arial"/>
                <w:b/>
                <w:sz w:val="20"/>
              </w:rPr>
              <w:t>Obrazloženje</w:t>
            </w:r>
          </w:p>
        </w:tc>
      </w:tr>
      <w:tr w:rsidR="00383886" w:rsidRPr="00383886" w14:paraId="06BC41EC" w14:textId="77777777" w:rsidTr="00FD6B98">
        <w:tc>
          <w:tcPr>
            <w:tcW w:w="586" w:type="dxa"/>
            <w:gridSpan w:val="2"/>
            <w:vAlign w:val="center"/>
          </w:tcPr>
          <w:p w14:paraId="2416EA78" w14:textId="77777777" w:rsidR="00383886" w:rsidRPr="00383886" w:rsidRDefault="00383886" w:rsidP="00FD6B98">
            <w:pPr>
              <w:spacing w:before="20" w:after="20"/>
              <w:jc w:val="both"/>
              <w:rPr>
                <w:rFonts w:cs="Arial"/>
                <w:sz w:val="20"/>
              </w:rPr>
            </w:pPr>
            <w:r w:rsidRPr="00383886">
              <w:rPr>
                <w:rFonts w:cs="Arial"/>
                <w:sz w:val="20"/>
              </w:rPr>
              <w:t>1.</w:t>
            </w:r>
          </w:p>
        </w:tc>
        <w:tc>
          <w:tcPr>
            <w:tcW w:w="2012" w:type="dxa"/>
            <w:vAlign w:val="center"/>
          </w:tcPr>
          <w:p w14:paraId="1E2DD2CA" w14:textId="77777777" w:rsidR="00383886" w:rsidRPr="00383886" w:rsidRDefault="00383886" w:rsidP="00FD6B98">
            <w:pPr>
              <w:spacing w:before="20" w:after="20"/>
              <w:jc w:val="both"/>
              <w:rPr>
                <w:rFonts w:cs="Arial"/>
                <w:i/>
                <w:sz w:val="20"/>
              </w:rPr>
            </w:pPr>
            <w:r w:rsidRPr="00383886">
              <w:rPr>
                <w:rFonts w:cs="Arial"/>
                <w:sz w:val="20"/>
              </w:rPr>
              <w:t>Pripremiti Izvještaj o stanju javnog duga Crne Gore</w:t>
            </w:r>
            <w:r w:rsidRPr="00383886">
              <w:rPr>
                <w:rFonts w:eastAsia="Times New Roman" w:cs="Arial"/>
                <w:sz w:val="20"/>
              </w:rPr>
              <w:t xml:space="preserve"> na dan 31.12.2021. godine.</w:t>
            </w:r>
          </w:p>
        </w:tc>
        <w:tc>
          <w:tcPr>
            <w:tcW w:w="2066" w:type="dxa"/>
            <w:vAlign w:val="center"/>
          </w:tcPr>
          <w:p w14:paraId="5EFC5703" w14:textId="77777777" w:rsidR="00383886" w:rsidRPr="00383886" w:rsidRDefault="00383886" w:rsidP="00FD6B98">
            <w:pPr>
              <w:spacing w:before="20" w:after="20"/>
              <w:jc w:val="both"/>
              <w:rPr>
                <w:rFonts w:cs="Arial"/>
                <w:i/>
                <w:sz w:val="20"/>
              </w:rPr>
            </w:pPr>
            <w:r w:rsidRPr="00383886">
              <w:rPr>
                <w:rFonts w:cs="Arial"/>
                <w:sz w:val="20"/>
              </w:rPr>
              <w:t>Usvojen Izvještaj o stanju javnog duga Crne Gore</w:t>
            </w:r>
            <w:r w:rsidRPr="00383886">
              <w:rPr>
                <w:rFonts w:eastAsia="Times New Roman" w:cs="Arial"/>
                <w:sz w:val="20"/>
              </w:rPr>
              <w:t xml:space="preserve"> na dan 31.12.2021. godine.</w:t>
            </w:r>
          </w:p>
        </w:tc>
        <w:tc>
          <w:tcPr>
            <w:tcW w:w="1843" w:type="dxa"/>
            <w:shd w:val="clear" w:color="auto" w:fill="auto"/>
            <w:vAlign w:val="center"/>
          </w:tcPr>
          <w:p w14:paraId="11A300CF" w14:textId="77777777" w:rsidR="00383886" w:rsidRPr="00F27DB4" w:rsidRDefault="00383886" w:rsidP="00FD6B98">
            <w:pPr>
              <w:spacing w:before="20" w:after="20"/>
              <w:jc w:val="both"/>
              <w:rPr>
                <w:rFonts w:cs="Arial"/>
                <w:sz w:val="20"/>
              </w:rPr>
            </w:pPr>
            <w:r w:rsidRPr="00F27DB4">
              <w:rPr>
                <w:rFonts w:cs="Arial"/>
                <w:sz w:val="20"/>
              </w:rPr>
              <w:t>NI: MFSS</w:t>
            </w:r>
          </w:p>
          <w:p w14:paraId="3562BC33" w14:textId="77777777" w:rsidR="00383886" w:rsidRPr="00383886" w:rsidRDefault="00383886" w:rsidP="00FD6B98">
            <w:pPr>
              <w:spacing w:before="20" w:after="20"/>
              <w:jc w:val="both"/>
              <w:rPr>
                <w:rFonts w:cs="Arial"/>
                <w:i/>
                <w:sz w:val="20"/>
              </w:rPr>
            </w:pPr>
            <w:r w:rsidRPr="00F27DB4">
              <w:rPr>
                <w:rFonts w:cs="Arial"/>
                <w:sz w:val="20"/>
              </w:rPr>
              <w:t>NK: KPS, KEPIF</w:t>
            </w:r>
          </w:p>
        </w:tc>
        <w:tc>
          <w:tcPr>
            <w:tcW w:w="2400" w:type="dxa"/>
            <w:shd w:val="clear" w:color="auto" w:fill="auto"/>
            <w:vAlign w:val="center"/>
          </w:tcPr>
          <w:p w14:paraId="27DAB071" w14:textId="77777777" w:rsidR="00383886" w:rsidRPr="00383886" w:rsidRDefault="00383886" w:rsidP="00FD6B98">
            <w:pPr>
              <w:spacing w:before="20" w:after="20"/>
              <w:jc w:val="both"/>
              <w:rPr>
                <w:rFonts w:cs="Arial"/>
                <w:sz w:val="20"/>
              </w:rPr>
            </w:pPr>
            <w:r w:rsidRPr="00383886">
              <w:rPr>
                <w:rFonts w:cs="Arial"/>
                <w:sz w:val="20"/>
              </w:rPr>
              <w:t>I Q 2022.</w:t>
            </w:r>
          </w:p>
        </w:tc>
        <w:tc>
          <w:tcPr>
            <w:tcW w:w="1945" w:type="dxa"/>
            <w:vAlign w:val="center"/>
          </w:tcPr>
          <w:p w14:paraId="0BAFB692" w14:textId="77777777" w:rsidR="00383886" w:rsidRPr="00383886" w:rsidRDefault="00383886" w:rsidP="00FD6B98">
            <w:pPr>
              <w:spacing w:before="20" w:after="20"/>
              <w:jc w:val="both"/>
              <w:rPr>
                <w:rFonts w:cs="Arial"/>
                <w:b/>
                <w:sz w:val="20"/>
              </w:rPr>
            </w:pPr>
            <w:r w:rsidRPr="00383886">
              <w:rPr>
                <w:rFonts w:cs="Arial"/>
                <w:sz w:val="20"/>
              </w:rPr>
              <w:t>Izvještaj neće imati uticaja na budžet i poslovni ambijent, tako da se u procesu njegove pripreme neće raditi procjena uticaja - RIA.</w:t>
            </w:r>
          </w:p>
        </w:tc>
        <w:tc>
          <w:tcPr>
            <w:tcW w:w="1941" w:type="dxa"/>
            <w:vAlign w:val="center"/>
          </w:tcPr>
          <w:p w14:paraId="6EFBB882" w14:textId="77777777" w:rsidR="00383886" w:rsidRPr="00383886" w:rsidRDefault="00383886" w:rsidP="00FD6B98">
            <w:pPr>
              <w:spacing w:before="20" w:after="20"/>
              <w:jc w:val="both"/>
              <w:rPr>
                <w:rFonts w:cs="Arial"/>
                <w:b/>
                <w:i/>
                <w:sz w:val="20"/>
              </w:rPr>
            </w:pPr>
            <w:r w:rsidRPr="00383886">
              <w:rPr>
                <w:rFonts w:cs="Arial"/>
                <w:b/>
                <w:i/>
                <w:sz w:val="20"/>
              </w:rPr>
              <w:t>-</w:t>
            </w:r>
          </w:p>
        </w:tc>
        <w:tc>
          <w:tcPr>
            <w:tcW w:w="2093" w:type="dxa"/>
            <w:vAlign w:val="center"/>
          </w:tcPr>
          <w:p w14:paraId="49E23947" w14:textId="77777777" w:rsidR="00383886" w:rsidRPr="00383886" w:rsidRDefault="00383886" w:rsidP="00FD6B98">
            <w:pPr>
              <w:jc w:val="both"/>
              <w:rPr>
                <w:rFonts w:eastAsia="Times New Roman" w:cs="Arial"/>
                <w:sz w:val="20"/>
              </w:rPr>
            </w:pPr>
            <w:r w:rsidRPr="00383886">
              <w:rPr>
                <w:rFonts w:eastAsia="Times New Roman" w:cs="Arial"/>
                <w:sz w:val="20"/>
              </w:rPr>
              <w:t xml:space="preserve">Izvještajem će se prezentirati stanje domaćeg i ino duga po kreditorima, stanje duga lokalne samouprave, kao i stanje javnog duga, učešće državnog, duga lokalne samouprave i javnog duga u BDP, valutna struktura duga, izdate garancije, kretanje duga u odnosu na glavne </w:t>
            </w:r>
            <w:r w:rsidRPr="00383886">
              <w:rPr>
                <w:rFonts w:eastAsia="Times New Roman" w:cs="Arial"/>
                <w:sz w:val="20"/>
              </w:rPr>
              <w:lastRenderedPageBreak/>
              <w:t>makroekonomske pokazatelje, pregled zaključenih aranžmana, kao i otplata duga i kamata u 2021. godini.</w:t>
            </w:r>
          </w:p>
        </w:tc>
      </w:tr>
      <w:tr w:rsidR="00383886" w:rsidRPr="00383886" w14:paraId="55DDD78F" w14:textId="77777777" w:rsidTr="00FD6B98">
        <w:tc>
          <w:tcPr>
            <w:tcW w:w="586" w:type="dxa"/>
            <w:gridSpan w:val="2"/>
            <w:vAlign w:val="center"/>
          </w:tcPr>
          <w:p w14:paraId="7F39A823" w14:textId="77777777" w:rsidR="00383886" w:rsidRPr="00383886" w:rsidRDefault="00383886" w:rsidP="00FD6B98">
            <w:pPr>
              <w:spacing w:before="20" w:after="20"/>
              <w:jc w:val="both"/>
              <w:rPr>
                <w:rFonts w:cs="Arial"/>
                <w:sz w:val="20"/>
              </w:rPr>
            </w:pPr>
            <w:r w:rsidRPr="00383886">
              <w:rPr>
                <w:rFonts w:cs="Arial"/>
                <w:sz w:val="20"/>
              </w:rPr>
              <w:t>2.</w:t>
            </w:r>
          </w:p>
        </w:tc>
        <w:tc>
          <w:tcPr>
            <w:tcW w:w="2012" w:type="dxa"/>
            <w:vAlign w:val="center"/>
          </w:tcPr>
          <w:p w14:paraId="61F449C3" w14:textId="77777777" w:rsidR="00383886" w:rsidRPr="00383886" w:rsidRDefault="00383886" w:rsidP="00FD6B98">
            <w:pPr>
              <w:spacing w:before="20" w:after="20"/>
              <w:jc w:val="both"/>
              <w:rPr>
                <w:rFonts w:cs="Arial"/>
                <w:sz w:val="20"/>
              </w:rPr>
            </w:pPr>
            <w:r w:rsidRPr="00383886">
              <w:rPr>
                <w:rFonts w:cs="Arial"/>
                <w:iCs/>
                <w:sz w:val="20"/>
              </w:rPr>
              <w:t>Donijeti Srednjoročnu strategiju upravljanja dugom 2023-2025</w:t>
            </w:r>
          </w:p>
        </w:tc>
        <w:tc>
          <w:tcPr>
            <w:tcW w:w="2066" w:type="dxa"/>
            <w:vAlign w:val="center"/>
          </w:tcPr>
          <w:p w14:paraId="73BEB233" w14:textId="77777777" w:rsidR="00383886" w:rsidRPr="00383886" w:rsidRDefault="00383886" w:rsidP="00FD6B98">
            <w:pPr>
              <w:spacing w:before="20" w:after="20"/>
              <w:jc w:val="both"/>
              <w:rPr>
                <w:rFonts w:cs="Arial"/>
                <w:sz w:val="20"/>
              </w:rPr>
            </w:pPr>
            <w:r w:rsidRPr="00383886">
              <w:rPr>
                <w:rFonts w:cs="Arial"/>
                <w:iCs/>
                <w:sz w:val="20"/>
              </w:rPr>
              <w:t>Donesena Srednjoročna strategija upravljanja dugom 2023-2025</w:t>
            </w:r>
          </w:p>
        </w:tc>
        <w:tc>
          <w:tcPr>
            <w:tcW w:w="1843" w:type="dxa"/>
            <w:shd w:val="clear" w:color="auto" w:fill="auto"/>
            <w:vAlign w:val="center"/>
          </w:tcPr>
          <w:p w14:paraId="75C75219" w14:textId="77777777" w:rsidR="00383886" w:rsidRPr="00F27DB4" w:rsidRDefault="00383886" w:rsidP="00FD6B98">
            <w:pPr>
              <w:spacing w:before="20" w:after="20"/>
              <w:jc w:val="both"/>
              <w:rPr>
                <w:rFonts w:cs="Arial"/>
                <w:sz w:val="20"/>
              </w:rPr>
            </w:pPr>
            <w:r w:rsidRPr="00F27DB4">
              <w:rPr>
                <w:rFonts w:cs="Arial"/>
                <w:sz w:val="20"/>
              </w:rPr>
              <w:t>NI: MFSS</w:t>
            </w:r>
          </w:p>
          <w:p w14:paraId="7AA587C8" w14:textId="77777777" w:rsidR="00383886" w:rsidRPr="00383886" w:rsidRDefault="00383886" w:rsidP="00FD6B98">
            <w:pPr>
              <w:spacing w:before="20" w:after="20"/>
              <w:jc w:val="both"/>
              <w:rPr>
                <w:rFonts w:cs="Arial"/>
                <w:i/>
                <w:sz w:val="20"/>
              </w:rPr>
            </w:pPr>
            <w:r w:rsidRPr="00F27DB4">
              <w:rPr>
                <w:rFonts w:cs="Arial"/>
                <w:sz w:val="20"/>
              </w:rPr>
              <w:t>NK: KPS, KEPIF</w:t>
            </w:r>
          </w:p>
        </w:tc>
        <w:tc>
          <w:tcPr>
            <w:tcW w:w="2400" w:type="dxa"/>
            <w:shd w:val="clear" w:color="auto" w:fill="auto"/>
            <w:vAlign w:val="center"/>
          </w:tcPr>
          <w:p w14:paraId="3B5709DA" w14:textId="77777777" w:rsidR="00383886" w:rsidRPr="00383886" w:rsidRDefault="00383886" w:rsidP="00FD6B98">
            <w:pPr>
              <w:spacing w:before="20" w:after="20"/>
              <w:jc w:val="both"/>
              <w:rPr>
                <w:rFonts w:cs="Arial"/>
                <w:sz w:val="20"/>
              </w:rPr>
            </w:pPr>
            <w:r w:rsidRPr="00383886">
              <w:rPr>
                <w:rFonts w:cs="Arial"/>
                <w:sz w:val="20"/>
              </w:rPr>
              <w:t>I - II Q 2022.</w:t>
            </w:r>
          </w:p>
        </w:tc>
        <w:tc>
          <w:tcPr>
            <w:tcW w:w="1945" w:type="dxa"/>
            <w:vAlign w:val="center"/>
          </w:tcPr>
          <w:p w14:paraId="1521D653" w14:textId="77777777" w:rsidR="00383886" w:rsidRPr="00383886" w:rsidRDefault="00383886" w:rsidP="00FD6B98">
            <w:pPr>
              <w:spacing w:before="20" w:after="20"/>
              <w:jc w:val="both"/>
              <w:rPr>
                <w:rFonts w:cs="Arial"/>
                <w:sz w:val="20"/>
              </w:rPr>
            </w:pPr>
            <w:r w:rsidRPr="00383886">
              <w:rPr>
                <w:rFonts w:cs="Arial"/>
                <w:sz w:val="20"/>
              </w:rPr>
              <w:t>Strategija neće imati uticaja na budžet i poslovni ambijent, tako da se u procesu njegove pripreme neće raditi procjena uticaja - RIA.</w:t>
            </w:r>
          </w:p>
        </w:tc>
        <w:tc>
          <w:tcPr>
            <w:tcW w:w="1941" w:type="dxa"/>
            <w:vAlign w:val="center"/>
          </w:tcPr>
          <w:p w14:paraId="4E27F7BB" w14:textId="77777777" w:rsidR="00383886" w:rsidRPr="00383886" w:rsidRDefault="00383886" w:rsidP="00FD6B98">
            <w:pPr>
              <w:spacing w:before="20" w:after="20"/>
              <w:jc w:val="both"/>
              <w:rPr>
                <w:rFonts w:cs="Arial"/>
                <w:b/>
                <w:i/>
                <w:sz w:val="20"/>
              </w:rPr>
            </w:pPr>
          </w:p>
        </w:tc>
        <w:tc>
          <w:tcPr>
            <w:tcW w:w="2093" w:type="dxa"/>
            <w:vAlign w:val="center"/>
          </w:tcPr>
          <w:p w14:paraId="6E57A902" w14:textId="77777777" w:rsidR="00383886" w:rsidRPr="00383886" w:rsidRDefault="00383886" w:rsidP="00FD6B98">
            <w:pPr>
              <w:jc w:val="both"/>
              <w:rPr>
                <w:rFonts w:cs="Arial"/>
                <w:iCs/>
                <w:sz w:val="20"/>
              </w:rPr>
            </w:pPr>
            <w:r w:rsidRPr="00383886">
              <w:rPr>
                <w:rFonts w:cs="Arial"/>
                <w:iCs/>
                <w:sz w:val="20"/>
              </w:rPr>
              <w:t>Strategijom će biti obuhvaćene smjernice za efikasno upravljanje dugom u srednjem roku i to sa aspekta unapređenja kvaliteta duga u pogledu ročnosti i cijene, kao i profila otplate koji obezbjeđuje najmanje godišnje opterećenje budžeta po pitanju otplate duga. Istovremeno, Strategijom će biti analizirani ključni rizici vezano za upravljanje dugom i u skladu sa tim definisaće se koraci za otklanjanje identifikovanih rizika, sa jedne strane, kao i pronalaženja alternativnih i povoljnijih izvora finansiranja, u cilju kvalitetnije diversifikacije potencijalnih kreditora i obezbjeđenja finansiranja pod najpovoljnijim uslovima.</w:t>
            </w:r>
          </w:p>
          <w:p w14:paraId="33FB9708" w14:textId="77777777" w:rsidR="00383886" w:rsidRPr="00383886" w:rsidRDefault="00383886" w:rsidP="00FD6B98">
            <w:pPr>
              <w:jc w:val="both"/>
              <w:rPr>
                <w:rFonts w:eastAsia="Times New Roman" w:cs="Arial"/>
                <w:sz w:val="20"/>
              </w:rPr>
            </w:pPr>
          </w:p>
        </w:tc>
      </w:tr>
      <w:tr w:rsidR="00383886" w:rsidRPr="00383886" w14:paraId="65D7BEA3" w14:textId="77777777" w:rsidTr="00FD6B98">
        <w:tc>
          <w:tcPr>
            <w:tcW w:w="586" w:type="dxa"/>
            <w:gridSpan w:val="2"/>
            <w:vAlign w:val="center"/>
          </w:tcPr>
          <w:p w14:paraId="3AA377FE" w14:textId="77777777" w:rsidR="00383886" w:rsidRPr="00383886" w:rsidRDefault="00383886" w:rsidP="00FD6B98">
            <w:pPr>
              <w:spacing w:before="20" w:after="20"/>
              <w:jc w:val="both"/>
              <w:rPr>
                <w:rFonts w:cs="Arial"/>
                <w:sz w:val="20"/>
              </w:rPr>
            </w:pPr>
            <w:r w:rsidRPr="00383886">
              <w:rPr>
                <w:rFonts w:cs="Arial"/>
                <w:sz w:val="20"/>
              </w:rPr>
              <w:t>3.</w:t>
            </w:r>
          </w:p>
        </w:tc>
        <w:tc>
          <w:tcPr>
            <w:tcW w:w="2012" w:type="dxa"/>
            <w:vAlign w:val="center"/>
          </w:tcPr>
          <w:p w14:paraId="2C3F2C75" w14:textId="77777777" w:rsidR="00383886" w:rsidRPr="00383886" w:rsidRDefault="00383886" w:rsidP="00FD6B98">
            <w:pPr>
              <w:autoSpaceDE w:val="0"/>
              <w:autoSpaceDN w:val="0"/>
              <w:adjustRightInd w:val="0"/>
              <w:spacing w:line="276" w:lineRule="auto"/>
              <w:jc w:val="both"/>
              <w:rPr>
                <w:rFonts w:eastAsiaTheme="minorEastAsia" w:cs="Arial"/>
                <w:color w:val="000000" w:themeColor="text1"/>
                <w:sz w:val="20"/>
                <w:lang w:val="sr-Latn-CS" w:eastAsia="sr-Latn-CS"/>
              </w:rPr>
            </w:pPr>
            <w:r w:rsidRPr="00383886">
              <w:rPr>
                <w:rFonts w:eastAsiaTheme="minorEastAsia" w:cs="Arial"/>
                <w:color w:val="000000" w:themeColor="text1"/>
                <w:sz w:val="20"/>
                <w:lang w:val="sr-Latn-CS" w:eastAsia="sr-Latn-CS"/>
              </w:rPr>
              <w:t>Pripremiti Godišnji izvještaj o javnim nabavkama za 2021. godinu</w:t>
            </w:r>
          </w:p>
        </w:tc>
        <w:tc>
          <w:tcPr>
            <w:tcW w:w="2066" w:type="dxa"/>
            <w:vAlign w:val="center"/>
          </w:tcPr>
          <w:p w14:paraId="0E994E89" w14:textId="77777777" w:rsidR="00383886" w:rsidRPr="00383886" w:rsidRDefault="00383886" w:rsidP="00FD6B98">
            <w:pPr>
              <w:spacing w:before="20" w:after="20"/>
              <w:jc w:val="both"/>
              <w:rPr>
                <w:rFonts w:cs="Arial"/>
                <w:iCs/>
                <w:sz w:val="20"/>
              </w:rPr>
            </w:pPr>
            <w:r w:rsidRPr="00383886">
              <w:rPr>
                <w:rFonts w:eastAsiaTheme="minorEastAsia" w:cs="Arial"/>
                <w:color w:val="000000" w:themeColor="text1"/>
                <w:sz w:val="20"/>
                <w:lang w:val="sr-Latn-CS" w:eastAsia="sr-Latn-CS"/>
              </w:rPr>
              <w:t>Usvojen Godišnji izvještaj o javnim nabavkama za 2021. godinu</w:t>
            </w:r>
          </w:p>
        </w:tc>
        <w:tc>
          <w:tcPr>
            <w:tcW w:w="1843" w:type="dxa"/>
            <w:shd w:val="clear" w:color="auto" w:fill="auto"/>
            <w:vAlign w:val="center"/>
          </w:tcPr>
          <w:p w14:paraId="2A66A2EE" w14:textId="77777777" w:rsidR="00383886" w:rsidRPr="00F27DB4" w:rsidRDefault="00383886" w:rsidP="00FD6B98">
            <w:pPr>
              <w:spacing w:before="20" w:after="20"/>
              <w:jc w:val="both"/>
              <w:rPr>
                <w:rFonts w:cs="Arial"/>
                <w:sz w:val="20"/>
              </w:rPr>
            </w:pPr>
            <w:r w:rsidRPr="00F27DB4">
              <w:rPr>
                <w:rFonts w:cs="Arial"/>
                <w:sz w:val="20"/>
              </w:rPr>
              <w:t>NI: MFSS</w:t>
            </w:r>
          </w:p>
          <w:p w14:paraId="3E85510A" w14:textId="77777777" w:rsidR="00383886" w:rsidRPr="00383886" w:rsidRDefault="00383886" w:rsidP="00FD6B98">
            <w:pPr>
              <w:spacing w:before="20" w:after="20"/>
              <w:jc w:val="both"/>
              <w:rPr>
                <w:rFonts w:cs="Arial"/>
                <w:i/>
                <w:sz w:val="20"/>
              </w:rPr>
            </w:pPr>
            <w:r w:rsidRPr="00F27DB4">
              <w:rPr>
                <w:rFonts w:cs="Arial"/>
                <w:sz w:val="20"/>
              </w:rPr>
              <w:t>NK: KPS, KEPIF</w:t>
            </w:r>
          </w:p>
        </w:tc>
        <w:tc>
          <w:tcPr>
            <w:tcW w:w="2400" w:type="dxa"/>
            <w:shd w:val="clear" w:color="auto" w:fill="auto"/>
            <w:vAlign w:val="center"/>
          </w:tcPr>
          <w:p w14:paraId="1B82B88A" w14:textId="77777777" w:rsidR="00383886" w:rsidRPr="00383886" w:rsidRDefault="00383886" w:rsidP="00FD6B98">
            <w:pPr>
              <w:spacing w:before="20" w:after="20"/>
              <w:jc w:val="both"/>
              <w:rPr>
                <w:rFonts w:cs="Arial"/>
                <w:sz w:val="20"/>
              </w:rPr>
            </w:pPr>
            <w:r w:rsidRPr="00383886">
              <w:rPr>
                <w:rFonts w:cs="Arial"/>
                <w:sz w:val="20"/>
              </w:rPr>
              <w:t>II Q 2022.</w:t>
            </w:r>
          </w:p>
        </w:tc>
        <w:tc>
          <w:tcPr>
            <w:tcW w:w="1945" w:type="dxa"/>
            <w:vAlign w:val="center"/>
          </w:tcPr>
          <w:p w14:paraId="00EE39B0" w14:textId="77777777" w:rsidR="00383886" w:rsidRPr="00383886" w:rsidRDefault="00383886" w:rsidP="00FD6B98">
            <w:pPr>
              <w:spacing w:before="20" w:after="20"/>
              <w:jc w:val="both"/>
              <w:rPr>
                <w:rFonts w:cs="Arial"/>
                <w:sz w:val="20"/>
              </w:rPr>
            </w:pPr>
            <w:r w:rsidRPr="00383886">
              <w:rPr>
                <w:rFonts w:cs="Arial"/>
                <w:sz w:val="20"/>
              </w:rPr>
              <w:t>Izvještaj neće imati uticaja na budžet i poslovni ambijent, tako da se u procesu njegove pripreme neće raditi procjena uticaja - RIA.</w:t>
            </w:r>
          </w:p>
        </w:tc>
        <w:tc>
          <w:tcPr>
            <w:tcW w:w="1941" w:type="dxa"/>
            <w:vAlign w:val="center"/>
          </w:tcPr>
          <w:p w14:paraId="4E27C737" w14:textId="77777777" w:rsidR="00383886" w:rsidRPr="00383886" w:rsidRDefault="00383886" w:rsidP="00FD6B98">
            <w:pPr>
              <w:spacing w:before="20" w:after="20"/>
              <w:jc w:val="both"/>
              <w:rPr>
                <w:rFonts w:cs="Arial"/>
                <w:b/>
                <w:i/>
                <w:sz w:val="20"/>
              </w:rPr>
            </w:pPr>
          </w:p>
        </w:tc>
        <w:tc>
          <w:tcPr>
            <w:tcW w:w="2093" w:type="dxa"/>
            <w:vAlign w:val="center"/>
          </w:tcPr>
          <w:p w14:paraId="67125E3F" w14:textId="77777777" w:rsidR="00383886" w:rsidRPr="00383886" w:rsidRDefault="00383886" w:rsidP="00FD6B98">
            <w:pPr>
              <w:autoSpaceDE w:val="0"/>
              <w:autoSpaceDN w:val="0"/>
              <w:adjustRightInd w:val="0"/>
              <w:jc w:val="both"/>
              <w:rPr>
                <w:rFonts w:cs="Arial"/>
                <w:color w:val="000000" w:themeColor="text1"/>
                <w:sz w:val="20"/>
                <w:lang w:val="en-GB"/>
              </w:rPr>
            </w:pPr>
            <w:proofErr w:type="spellStart"/>
            <w:r w:rsidRPr="00383886">
              <w:rPr>
                <w:rFonts w:cs="Arial"/>
                <w:sz w:val="20"/>
                <w:lang w:val="en-GB"/>
              </w:rPr>
              <w:t>Izvještaj</w:t>
            </w:r>
            <w:proofErr w:type="spellEnd"/>
            <w:r w:rsidRPr="00383886">
              <w:rPr>
                <w:rFonts w:cs="Arial"/>
                <w:sz w:val="20"/>
                <w:lang w:val="en-GB"/>
              </w:rPr>
              <w:t xml:space="preserve"> se </w:t>
            </w:r>
            <w:proofErr w:type="spellStart"/>
            <w:r w:rsidRPr="00383886">
              <w:rPr>
                <w:rFonts w:cs="Arial"/>
                <w:sz w:val="20"/>
                <w:lang w:val="en-GB"/>
              </w:rPr>
              <w:t>priprema</w:t>
            </w:r>
            <w:proofErr w:type="spellEnd"/>
            <w:r w:rsidRPr="00383886">
              <w:rPr>
                <w:rFonts w:cs="Arial"/>
                <w:sz w:val="20"/>
                <w:lang w:val="en-GB"/>
              </w:rPr>
              <w:t xml:space="preserve"> u </w:t>
            </w:r>
            <w:proofErr w:type="spellStart"/>
            <w:r w:rsidRPr="00383886">
              <w:rPr>
                <w:rFonts w:cs="Arial"/>
                <w:sz w:val="20"/>
                <w:lang w:val="en-GB"/>
              </w:rPr>
              <w:t>skladu</w:t>
            </w:r>
            <w:proofErr w:type="spellEnd"/>
            <w:r w:rsidRPr="00383886">
              <w:rPr>
                <w:rFonts w:cs="Arial"/>
                <w:sz w:val="20"/>
                <w:lang w:val="en-GB"/>
              </w:rPr>
              <w:t xml:space="preserve"> </w:t>
            </w:r>
            <w:proofErr w:type="spellStart"/>
            <w:r w:rsidRPr="00383886">
              <w:rPr>
                <w:rFonts w:cs="Arial"/>
                <w:sz w:val="20"/>
                <w:lang w:val="en-GB"/>
              </w:rPr>
              <w:t>sa</w:t>
            </w:r>
            <w:proofErr w:type="spellEnd"/>
            <w:r w:rsidRPr="00383886">
              <w:rPr>
                <w:rFonts w:cs="Arial"/>
                <w:sz w:val="20"/>
                <w:lang w:val="en-GB"/>
              </w:rPr>
              <w:t xml:space="preserve"> </w:t>
            </w:r>
            <w:proofErr w:type="spellStart"/>
            <w:r w:rsidRPr="00383886">
              <w:rPr>
                <w:rFonts w:cs="Arial"/>
                <w:sz w:val="20"/>
                <w:lang w:val="en-GB"/>
              </w:rPr>
              <w:t>Zakonom</w:t>
            </w:r>
            <w:proofErr w:type="spellEnd"/>
            <w:r w:rsidRPr="00383886">
              <w:rPr>
                <w:rFonts w:cs="Arial"/>
                <w:sz w:val="20"/>
                <w:lang w:val="en-GB"/>
              </w:rPr>
              <w:t xml:space="preserve"> o </w:t>
            </w:r>
            <w:proofErr w:type="spellStart"/>
            <w:r w:rsidRPr="00383886">
              <w:rPr>
                <w:rFonts w:cs="Arial"/>
                <w:sz w:val="20"/>
                <w:lang w:val="en-GB"/>
              </w:rPr>
              <w:t>javnim</w:t>
            </w:r>
            <w:proofErr w:type="spellEnd"/>
            <w:r w:rsidRPr="00383886">
              <w:rPr>
                <w:rFonts w:cs="Arial"/>
                <w:sz w:val="20"/>
                <w:lang w:val="en-GB"/>
              </w:rPr>
              <w:t xml:space="preserve"> </w:t>
            </w:r>
            <w:proofErr w:type="spellStart"/>
            <w:r w:rsidRPr="00383886">
              <w:rPr>
                <w:rFonts w:cs="Arial"/>
                <w:sz w:val="20"/>
                <w:lang w:val="en-GB"/>
              </w:rPr>
              <w:t>nabavkama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sadrži</w:t>
            </w:r>
            <w:proofErr w:type="spellEnd"/>
            <w:r w:rsidRPr="00383886">
              <w:rPr>
                <w:rFonts w:cs="Arial"/>
                <w:sz w:val="20"/>
                <w:lang w:val="en-GB"/>
              </w:rPr>
              <w:t xml:space="preserve"> </w:t>
            </w:r>
            <w:proofErr w:type="spellStart"/>
            <w:r w:rsidRPr="00383886">
              <w:rPr>
                <w:rFonts w:cs="Arial"/>
                <w:sz w:val="20"/>
                <w:lang w:val="en-GB"/>
              </w:rPr>
              <w:t>informacije</w:t>
            </w:r>
            <w:proofErr w:type="spellEnd"/>
            <w:r w:rsidRPr="00383886">
              <w:rPr>
                <w:rFonts w:cs="Arial"/>
                <w:sz w:val="20"/>
                <w:lang w:val="en-GB"/>
              </w:rPr>
              <w:t xml:space="preserve"> </w:t>
            </w:r>
            <w:r w:rsidRPr="00383886">
              <w:rPr>
                <w:rFonts w:cs="Arial"/>
                <w:sz w:val="20"/>
              </w:rPr>
              <w:t xml:space="preserve">o sprovedenim postupcima javnih nabavki i zaključenim ugovorima o </w:t>
            </w:r>
            <w:r w:rsidRPr="00383886">
              <w:rPr>
                <w:rFonts w:cs="Arial"/>
                <w:sz w:val="20"/>
              </w:rPr>
              <w:lastRenderedPageBreak/>
              <w:t>javnim nabavkama, sprovedenim nabavkama i zaključenim ugovorima/računima za jednostavne nabavke</w:t>
            </w:r>
            <w:r w:rsidRPr="00383886">
              <w:rPr>
                <w:rFonts w:cs="Arial"/>
                <w:sz w:val="20"/>
                <w:lang w:val="en-GB"/>
              </w:rPr>
              <w:t xml:space="preserve">. </w:t>
            </w:r>
            <w:proofErr w:type="spellStart"/>
            <w:r w:rsidRPr="00383886">
              <w:rPr>
                <w:rFonts w:cs="Arial"/>
                <w:sz w:val="20"/>
                <w:lang w:val="en-GB"/>
              </w:rPr>
              <w:t>Izvještajem</w:t>
            </w:r>
            <w:proofErr w:type="spellEnd"/>
            <w:r w:rsidRPr="00383886">
              <w:rPr>
                <w:rFonts w:cs="Arial"/>
                <w:sz w:val="20"/>
                <w:lang w:val="en-GB"/>
              </w:rPr>
              <w:t xml:space="preserve"> </w:t>
            </w:r>
            <w:proofErr w:type="spellStart"/>
            <w:r w:rsidRPr="00383886">
              <w:rPr>
                <w:rFonts w:cs="Arial"/>
                <w:sz w:val="20"/>
                <w:lang w:val="en-GB"/>
              </w:rPr>
              <w:t>su</w:t>
            </w:r>
            <w:proofErr w:type="spellEnd"/>
            <w:r w:rsidRPr="00383886">
              <w:rPr>
                <w:rFonts w:cs="Arial"/>
                <w:sz w:val="20"/>
                <w:lang w:val="en-GB"/>
              </w:rPr>
              <w:t xml:space="preserve"> </w:t>
            </w:r>
            <w:proofErr w:type="spellStart"/>
            <w:r w:rsidRPr="00383886">
              <w:rPr>
                <w:rFonts w:cs="Arial"/>
                <w:sz w:val="20"/>
                <w:lang w:val="en-GB"/>
              </w:rPr>
              <w:t>obuhvaćeni</w:t>
            </w:r>
            <w:proofErr w:type="spellEnd"/>
            <w:r w:rsidRPr="00383886">
              <w:rPr>
                <w:rFonts w:cs="Arial"/>
                <w:sz w:val="20"/>
                <w:lang w:val="en-GB"/>
              </w:rPr>
              <w:t xml:space="preserve"> </w:t>
            </w:r>
            <w:proofErr w:type="spellStart"/>
            <w:r w:rsidRPr="00383886">
              <w:rPr>
                <w:rFonts w:cs="Arial"/>
                <w:sz w:val="20"/>
                <w:lang w:val="en-GB"/>
              </w:rPr>
              <w:t>podaci</w:t>
            </w:r>
            <w:proofErr w:type="spellEnd"/>
            <w:r w:rsidRPr="00383886">
              <w:rPr>
                <w:rFonts w:cs="Arial"/>
                <w:sz w:val="20"/>
                <w:lang w:val="en-GB"/>
              </w:rPr>
              <w:t xml:space="preserve"> </w:t>
            </w:r>
            <w:proofErr w:type="spellStart"/>
            <w:r w:rsidRPr="00383886">
              <w:rPr>
                <w:rFonts w:cs="Arial"/>
                <w:sz w:val="20"/>
                <w:lang w:val="en-GB"/>
              </w:rPr>
              <w:t>iz</w:t>
            </w:r>
            <w:proofErr w:type="spellEnd"/>
            <w:r w:rsidRPr="00383886">
              <w:rPr>
                <w:rFonts w:cs="Arial"/>
                <w:sz w:val="20"/>
                <w:lang w:val="en-GB"/>
              </w:rPr>
              <w:t xml:space="preserve"> </w:t>
            </w:r>
            <w:proofErr w:type="spellStart"/>
            <w:r w:rsidRPr="00383886">
              <w:rPr>
                <w:rFonts w:cs="Arial"/>
                <w:sz w:val="20"/>
                <w:lang w:val="en-GB"/>
              </w:rPr>
              <w:t>pojedničanih</w:t>
            </w:r>
            <w:proofErr w:type="spellEnd"/>
            <w:r w:rsidRPr="00383886">
              <w:rPr>
                <w:rFonts w:cs="Arial"/>
                <w:sz w:val="20"/>
                <w:lang w:val="en-GB"/>
              </w:rPr>
              <w:t xml:space="preserve"> </w:t>
            </w:r>
            <w:proofErr w:type="spellStart"/>
            <w:r w:rsidRPr="00383886">
              <w:rPr>
                <w:rFonts w:cs="Arial"/>
                <w:sz w:val="20"/>
                <w:lang w:val="en-GB"/>
              </w:rPr>
              <w:t>izvještaja</w:t>
            </w:r>
            <w:proofErr w:type="spellEnd"/>
            <w:r w:rsidRPr="00383886">
              <w:rPr>
                <w:rFonts w:cs="Arial"/>
                <w:sz w:val="20"/>
                <w:lang w:val="en-GB"/>
              </w:rPr>
              <w:t xml:space="preserve"> koji se MFSS </w:t>
            </w:r>
            <w:proofErr w:type="spellStart"/>
            <w:r w:rsidRPr="00383886">
              <w:rPr>
                <w:rFonts w:cs="Arial"/>
                <w:sz w:val="20"/>
                <w:lang w:val="en-GB"/>
              </w:rPr>
              <w:t>dostavljaju</w:t>
            </w:r>
            <w:proofErr w:type="spellEnd"/>
            <w:r w:rsidRPr="00383886">
              <w:rPr>
                <w:rFonts w:cs="Arial"/>
                <w:sz w:val="20"/>
                <w:lang w:val="en-GB"/>
              </w:rPr>
              <w:t xml:space="preserve"> </w:t>
            </w:r>
            <w:proofErr w:type="spellStart"/>
            <w:r w:rsidRPr="00383886">
              <w:rPr>
                <w:rFonts w:cs="Arial"/>
                <w:sz w:val="20"/>
                <w:lang w:val="en-GB"/>
              </w:rPr>
              <w:t>od</w:t>
            </w:r>
            <w:proofErr w:type="spellEnd"/>
            <w:r w:rsidRPr="00383886">
              <w:rPr>
                <w:rFonts w:cs="Arial"/>
                <w:sz w:val="20"/>
                <w:lang w:val="en-GB"/>
              </w:rPr>
              <w:t xml:space="preserve"> </w:t>
            </w:r>
            <w:proofErr w:type="spellStart"/>
            <w:r w:rsidRPr="00383886">
              <w:rPr>
                <w:rFonts w:cs="Arial"/>
                <w:sz w:val="20"/>
                <w:lang w:val="en-GB"/>
              </w:rPr>
              <w:t>strane</w:t>
            </w:r>
            <w:proofErr w:type="spellEnd"/>
            <w:r w:rsidRPr="00383886">
              <w:rPr>
                <w:rFonts w:cs="Arial"/>
                <w:sz w:val="20"/>
                <w:lang w:val="en-GB"/>
              </w:rPr>
              <w:t xml:space="preserve"> </w:t>
            </w:r>
            <w:proofErr w:type="spellStart"/>
            <w:r w:rsidRPr="00383886">
              <w:rPr>
                <w:rFonts w:cs="Arial"/>
                <w:sz w:val="20"/>
                <w:lang w:val="en-GB"/>
              </w:rPr>
              <w:t>svih</w:t>
            </w:r>
            <w:proofErr w:type="spellEnd"/>
            <w:r w:rsidRPr="00383886">
              <w:rPr>
                <w:rFonts w:cs="Arial"/>
                <w:sz w:val="20"/>
                <w:lang w:val="en-GB"/>
              </w:rPr>
              <w:t xml:space="preserve"> </w:t>
            </w:r>
            <w:proofErr w:type="spellStart"/>
            <w:r w:rsidRPr="00383886">
              <w:rPr>
                <w:rFonts w:cs="Arial"/>
                <w:sz w:val="20"/>
                <w:lang w:val="en-GB"/>
              </w:rPr>
              <w:t>naručilaca</w:t>
            </w:r>
            <w:proofErr w:type="spellEnd"/>
            <w:r w:rsidRPr="00383886">
              <w:rPr>
                <w:rFonts w:cs="Arial"/>
                <w:sz w:val="20"/>
                <w:lang w:val="en-GB"/>
              </w:rPr>
              <w:t xml:space="preserve">. </w:t>
            </w:r>
            <w:proofErr w:type="spellStart"/>
            <w:r w:rsidRPr="00383886">
              <w:rPr>
                <w:rFonts w:cs="Arial"/>
                <w:sz w:val="20"/>
                <w:lang w:val="en-GB"/>
              </w:rPr>
              <w:t>Cilj</w:t>
            </w:r>
            <w:proofErr w:type="spellEnd"/>
            <w:r w:rsidRPr="00383886">
              <w:rPr>
                <w:rFonts w:cs="Arial"/>
                <w:sz w:val="20"/>
                <w:lang w:val="en-GB"/>
              </w:rPr>
              <w:t xml:space="preserve"> </w:t>
            </w:r>
            <w:proofErr w:type="spellStart"/>
            <w:r w:rsidRPr="00383886">
              <w:rPr>
                <w:rFonts w:cs="Arial"/>
                <w:sz w:val="20"/>
                <w:lang w:val="en-GB"/>
              </w:rPr>
              <w:t>pripreme</w:t>
            </w:r>
            <w:proofErr w:type="spellEnd"/>
            <w:r w:rsidRPr="00383886">
              <w:rPr>
                <w:rFonts w:cs="Arial"/>
                <w:sz w:val="20"/>
                <w:lang w:val="en-GB"/>
              </w:rPr>
              <w:t xml:space="preserve"> </w:t>
            </w:r>
            <w:proofErr w:type="spellStart"/>
            <w:r w:rsidRPr="00383886">
              <w:rPr>
                <w:rFonts w:cs="Arial"/>
                <w:sz w:val="20"/>
                <w:lang w:val="en-GB"/>
              </w:rPr>
              <w:t>ovog</w:t>
            </w:r>
            <w:proofErr w:type="spellEnd"/>
            <w:r w:rsidRPr="00383886">
              <w:rPr>
                <w:rFonts w:cs="Arial"/>
                <w:sz w:val="20"/>
                <w:lang w:val="en-GB"/>
              </w:rPr>
              <w:t xml:space="preserve"> </w:t>
            </w:r>
            <w:proofErr w:type="spellStart"/>
            <w:r w:rsidRPr="00383886">
              <w:rPr>
                <w:rFonts w:cs="Arial"/>
                <w:sz w:val="20"/>
                <w:lang w:val="en-GB"/>
              </w:rPr>
              <w:t>izvještaja</w:t>
            </w:r>
            <w:proofErr w:type="spellEnd"/>
            <w:r w:rsidRPr="00383886">
              <w:rPr>
                <w:rFonts w:cs="Arial"/>
                <w:sz w:val="20"/>
                <w:lang w:val="en-GB"/>
              </w:rPr>
              <w:t xml:space="preserve"> je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povećanje</w:t>
            </w:r>
            <w:proofErr w:type="spellEnd"/>
            <w:r w:rsidRPr="00383886">
              <w:rPr>
                <w:rFonts w:cs="Arial"/>
                <w:sz w:val="20"/>
                <w:lang w:val="en-GB"/>
              </w:rPr>
              <w:t xml:space="preserve"> </w:t>
            </w:r>
            <w:proofErr w:type="spellStart"/>
            <w:r w:rsidRPr="00383886">
              <w:rPr>
                <w:rFonts w:cs="Arial"/>
                <w:sz w:val="20"/>
                <w:lang w:val="en-GB"/>
              </w:rPr>
              <w:t>transparentnosti</w:t>
            </w:r>
            <w:proofErr w:type="spellEnd"/>
            <w:r w:rsidRPr="00383886">
              <w:rPr>
                <w:rFonts w:cs="Arial"/>
                <w:sz w:val="20"/>
                <w:lang w:val="en-GB"/>
              </w:rPr>
              <w:t xml:space="preserve"> </w:t>
            </w:r>
            <w:proofErr w:type="spellStart"/>
            <w:r w:rsidRPr="00383886">
              <w:rPr>
                <w:rFonts w:cs="Arial"/>
                <w:sz w:val="20"/>
                <w:lang w:val="en-GB"/>
              </w:rPr>
              <w:t>kroz</w:t>
            </w:r>
            <w:proofErr w:type="spellEnd"/>
            <w:r w:rsidRPr="00383886">
              <w:rPr>
                <w:rFonts w:cs="Arial"/>
                <w:sz w:val="20"/>
                <w:lang w:val="en-GB"/>
              </w:rPr>
              <w:t xml:space="preserve"> </w:t>
            </w:r>
            <w:proofErr w:type="spellStart"/>
            <w:r w:rsidRPr="00383886">
              <w:rPr>
                <w:rFonts w:cs="Arial"/>
                <w:sz w:val="20"/>
                <w:lang w:val="en-GB"/>
              </w:rPr>
              <w:t>prikazivanje</w:t>
            </w:r>
            <w:proofErr w:type="spellEnd"/>
            <w:r w:rsidRPr="00383886">
              <w:rPr>
                <w:rFonts w:cs="Arial"/>
                <w:sz w:val="20"/>
                <w:lang w:val="en-GB"/>
              </w:rPr>
              <w:t xml:space="preserve"> </w:t>
            </w:r>
            <w:proofErr w:type="spellStart"/>
            <w:r w:rsidRPr="00383886">
              <w:rPr>
                <w:rFonts w:cs="Arial"/>
                <w:sz w:val="20"/>
                <w:lang w:val="en-GB"/>
              </w:rPr>
              <w:t>podataka</w:t>
            </w:r>
            <w:proofErr w:type="spellEnd"/>
            <w:r w:rsidRPr="00383886">
              <w:rPr>
                <w:rFonts w:cs="Arial"/>
                <w:sz w:val="20"/>
                <w:lang w:val="en-GB"/>
              </w:rPr>
              <w:t xml:space="preserve"> </w:t>
            </w:r>
            <w:proofErr w:type="spellStart"/>
            <w:r w:rsidRPr="00383886">
              <w:rPr>
                <w:rFonts w:cs="Arial"/>
                <w:sz w:val="20"/>
                <w:lang w:val="en-GB"/>
              </w:rPr>
              <w:t>od</w:t>
            </w:r>
            <w:proofErr w:type="spellEnd"/>
            <w:r w:rsidRPr="00383886">
              <w:rPr>
                <w:rFonts w:cs="Arial"/>
                <w:sz w:val="20"/>
                <w:lang w:val="en-GB"/>
              </w:rPr>
              <w:t xml:space="preserve"> </w:t>
            </w:r>
            <w:proofErr w:type="spellStart"/>
            <w:r w:rsidRPr="00383886">
              <w:rPr>
                <w:rFonts w:cs="Arial"/>
                <w:sz w:val="20"/>
                <w:lang w:val="en-GB"/>
              </w:rPr>
              <w:t>značaja</w:t>
            </w:r>
            <w:proofErr w:type="spellEnd"/>
            <w:r w:rsidRPr="00383886">
              <w:rPr>
                <w:rFonts w:cs="Arial"/>
                <w:sz w:val="20"/>
                <w:lang w:val="en-GB"/>
              </w:rPr>
              <w:t xml:space="preserve"> za </w:t>
            </w:r>
            <w:proofErr w:type="spellStart"/>
            <w:r w:rsidRPr="00383886">
              <w:rPr>
                <w:rFonts w:cs="Arial"/>
                <w:sz w:val="20"/>
                <w:lang w:val="en-GB"/>
              </w:rPr>
              <w:t>sistem</w:t>
            </w:r>
            <w:proofErr w:type="spellEnd"/>
            <w:r w:rsidRPr="00383886">
              <w:rPr>
                <w:rFonts w:cs="Arial"/>
                <w:sz w:val="20"/>
                <w:lang w:val="en-GB"/>
              </w:rPr>
              <w:t xml:space="preserve"> </w:t>
            </w:r>
            <w:proofErr w:type="spellStart"/>
            <w:r w:rsidRPr="00383886">
              <w:rPr>
                <w:rFonts w:cs="Arial"/>
                <w:sz w:val="20"/>
                <w:lang w:val="en-GB"/>
              </w:rPr>
              <w:t>javnih</w:t>
            </w:r>
            <w:proofErr w:type="spellEnd"/>
            <w:r w:rsidRPr="00383886">
              <w:rPr>
                <w:rFonts w:cs="Arial"/>
                <w:sz w:val="20"/>
                <w:lang w:val="en-GB"/>
              </w:rPr>
              <w:t xml:space="preserve"> </w:t>
            </w:r>
            <w:proofErr w:type="spellStart"/>
            <w:r w:rsidRPr="00383886">
              <w:rPr>
                <w:rFonts w:cs="Arial"/>
                <w:sz w:val="20"/>
                <w:lang w:val="en-GB"/>
              </w:rPr>
              <w:t>nabavki</w:t>
            </w:r>
            <w:proofErr w:type="spellEnd"/>
            <w:r w:rsidRPr="00383886">
              <w:rPr>
                <w:rFonts w:cs="Arial"/>
                <w:sz w:val="20"/>
                <w:lang w:val="en-GB"/>
              </w:rPr>
              <w:t xml:space="preserve">, </w:t>
            </w:r>
            <w:proofErr w:type="spellStart"/>
            <w:r w:rsidRPr="00383886">
              <w:rPr>
                <w:rFonts w:cs="Arial"/>
                <w:sz w:val="20"/>
                <w:lang w:val="en-GB"/>
              </w:rPr>
              <w:t>kao</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upoznavanje</w:t>
            </w:r>
            <w:proofErr w:type="spellEnd"/>
            <w:r w:rsidRPr="00383886">
              <w:rPr>
                <w:rFonts w:cs="Arial"/>
                <w:sz w:val="20"/>
                <w:lang w:val="en-GB"/>
              </w:rPr>
              <w:t xml:space="preserve"> </w:t>
            </w:r>
            <w:proofErr w:type="spellStart"/>
            <w:r w:rsidRPr="00383886">
              <w:rPr>
                <w:rFonts w:cs="Arial"/>
                <w:sz w:val="20"/>
                <w:lang w:val="en-GB"/>
              </w:rPr>
              <w:t>stručne</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poslovne</w:t>
            </w:r>
            <w:proofErr w:type="spellEnd"/>
            <w:r w:rsidRPr="00383886">
              <w:rPr>
                <w:rFonts w:cs="Arial"/>
                <w:sz w:val="20"/>
                <w:lang w:val="en-GB"/>
              </w:rPr>
              <w:t xml:space="preserve"> </w:t>
            </w:r>
            <w:proofErr w:type="spellStart"/>
            <w:r w:rsidRPr="00383886">
              <w:rPr>
                <w:rFonts w:cs="Arial"/>
                <w:sz w:val="20"/>
                <w:lang w:val="en-GB"/>
              </w:rPr>
              <w:t>javnosti</w:t>
            </w:r>
            <w:proofErr w:type="spellEnd"/>
            <w:r w:rsidRPr="00383886">
              <w:rPr>
                <w:rFonts w:cs="Arial"/>
                <w:sz w:val="20"/>
                <w:lang w:val="en-GB"/>
              </w:rPr>
              <w:t xml:space="preserve"> </w:t>
            </w:r>
            <w:proofErr w:type="spellStart"/>
            <w:r w:rsidRPr="00383886">
              <w:rPr>
                <w:rFonts w:cs="Arial"/>
                <w:sz w:val="20"/>
                <w:lang w:val="en-GB"/>
              </w:rPr>
              <w:t>sa</w:t>
            </w:r>
            <w:proofErr w:type="spellEnd"/>
            <w:r w:rsidRPr="00383886">
              <w:rPr>
                <w:rFonts w:cs="Arial"/>
                <w:sz w:val="20"/>
                <w:lang w:val="en-GB"/>
              </w:rPr>
              <w:t xml:space="preserve"> </w:t>
            </w:r>
            <w:proofErr w:type="spellStart"/>
            <w:r w:rsidRPr="00383886">
              <w:rPr>
                <w:rFonts w:cs="Arial"/>
                <w:sz w:val="20"/>
                <w:lang w:val="en-GB"/>
              </w:rPr>
              <w:t>istim</w:t>
            </w:r>
            <w:proofErr w:type="spellEnd"/>
            <w:r w:rsidRPr="00383886">
              <w:rPr>
                <w:rFonts w:cs="Arial"/>
                <w:sz w:val="20"/>
                <w:lang w:val="en-GB"/>
              </w:rPr>
              <w:t xml:space="preserve">. </w:t>
            </w:r>
            <w:proofErr w:type="spellStart"/>
            <w:r w:rsidRPr="00383886">
              <w:rPr>
                <w:rFonts w:cs="Arial"/>
                <w:sz w:val="20"/>
                <w:lang w:val="en-GB"/>
              </w:rPr>
              <w:t>Ministarstvo</w:t>
            </w:r>
            <w:proofErr w:type="spellEnd"/>
            <w:r w:rsidRPr="00383886">
              <w:rPr>
                <w:rFonts w:cs="Arial"/>
                <w:sz w:val="20"/>
                <w:lang w:val="en-GB"/>
              </w:rPr>
              <w:t xml:space="preserve"> </w:t>
            </w:r>
            <w:proofErr w:type="spellStart"/>
            <w:r w:rsidRPr="00383886">
              <w:rPr>
                <w:rFonts w:cs="Arial"/>
                <w:sz w:val="20"/>
                <w:lang w:val="en-GB"/>
              </w:rPr>
              <w:t>pripremom</w:t>
            </w:r>
            <w:proofErr w:type="spellEnd"/>
            <w:r w:rsidRPr="00383886">
              <w:rPr>
                <w:rFonts w:cs="Arial"/>
                <w:sz w:val="20"/>
                <w:lang w:val="en-GB"/>
              </w:rPr>
              <w:t xml:space="preserve"> </w:t>
            </w:r>
            <w:proofErr w:type="spellStart"/>
            <w:r w:rsidRPr="00383886">
              <w:rPr>
                <w:rFonts w:cs="Arial"/>
                <w:sz w:val="20"/>
                <w:lang w:val="en-GB"/>
              </w:rPr>
              <w:t>izvještaja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analizom</w:t>
            </w:r>
            <w:proofErr w:type="spellEnd"/>
            <w:r w:rsidRPr="00383886">
              <w:rPr>
                <w:rFonts w:cs="Arial"/>
                <w:sz w:val="20"/>
                <w:lang w:val="en-GB"/>
              </w:rPr>
              <w:t xml:space="preserve"> </w:t>
            </w:r>
            <w:proofErr w:type="spellStart"/>
            <w:r w:rsidRPr="00383886">
              <w:rPr>
                <w:rFonts w:cs="Arial"/>
                <w:sz w:val="20"/>
                <w:lang w:val="en-GB"/>
              </w:rPr>
              <w:t>pokazatelja</w:t>
            </w:r>
            <w:proofErr w:type="spellEnd"/>
            <w:r w:rsidRPr="00383886">
              <w:rPr>
                <w:rFonts w:cs="Arial"/>
                <w:sz w:val="20"/>
                <w:lang w:val="en-GB"/>
              </w:rPr>
              <w:t xml:space="preserve">, </w:t>
            </w:r>
            <w:proofErr w:type="spellStart"/>
            <w:r w:rsidRPr="00383886">
              <w:rPr>
                <w:rFonts w:cs="Arial"/>
                <w:sz w:val="20"/>
                <w:lang w:val="en-GB"/>
              </w:rPr>
              <w:t>istovremeno</w:t>
            </w:r>
            <w:proofErr w:type="spellEnd"/>
            <w:r w:rsidRPr="00383886">
              <w:rPr>
                <w:rFonts w:cs="Arial"/>
                <w:sz w:val="20"/>
                <w:lang w:val="en-GB"/>
              </w:rPr>
              <w:t xml:space="preserve">, </w:t>
            </w:r>
            <w:proofErr w:type="spellStart"/>
            <w:r w:rsidRPr="00383886">
              <w:rPr>
                <w:rFonts w:cs="Arial"/>
                <w:sz w:val="20"/>
                <w:lang w:val="en-GB"/>
              </w:rPr>
              <w:t>izvršava</w:t>
            </w:r>
            <w:proofErr w:type="spellEnd"/>
            <w:r w:rsidRPr="00383886">
              <w:rPr>
                <w:rFonts w:cs="Arial"/>
                <w:sz w:val="20"/>
                <w:lang w:val="en-GB"/>
              </w:rPr>
              <w:t xml:space="preserve"> </w:t>
            </w:r>
            <w:proofErr w:type="spellStart"/>
            <w:r w:rsidRPr="00383886">
              <w:rPr>
                <w:rFonts w:cs="Arial"/>
                <w:sz w:val="20"/>
                <w:lang w:val="en-GB"/>
              </w:rPr>
              <w:t>sveobuhvatnu</w:t>
            </w:r>
            <w:proofErr w:type="spellEnd"/>
            <w:r w:rsidRPr="00383886">
              <w:rPr>
                <w:rFonts w:cs="Arial"/>
                <w:sz w:val="20"/>
                <w:lang w:val="en-GB"/>
              </w:rPr>
              <w:t xml:space="preserve"> </w:t>
            </w:r>
            <w:proofErr w:type="spellStart"/>
            <w:r w:rsidRPr="00383886">
              <w:rPr>
                <w:rFonts w:cs="Arial"/>
                <w:sz w:val="20"/>
                <w:lang w:val="en-GB"/>
              </w:rPr>
              <w:t>procjenu</w:t>
            </w:r>
            <w:proofErr w:type="spellEnd"/>
            <w:r w:rsidRPr="00383886">
              <w:rPr>
                <w:rFonts w:cs="Arial"/>
                <w:sz w:val="20"/>
                <w:lang w:val="en-GB"/>
              </w:rPr>
              <w:t xml:space="preserve"> </w:t>
            </w:r>
            <w:proofErr w:type="spellStart"/>
            <w:r w:rsidRPr="00383886">
              <w:rPr>
                <w:rFonts w:cs="Arial"/>
                <w:sz w:val="20"/>
                <w:lang w:val="en-GB"/>
              </w:rPr>
              <w:t>sistema</w:t>
            </w:r>
            <w:proofErr w:type="spellEnd"/>
            <w:r w:rsidRPr="00383886">
              <w:rPr>
                <w:rFonts w:cs="Arial"/>
                <w:sz w:val="20"/>
                <w:lang w:val="en-GB"/>
              </w:rPr>
              <w:t xml:space="preserve"> </w:t>
            </w:r>
            <w:proofErr w:type="spellStart"/>
            <w:r w:rsidRPr="00383886">
              <w:rPr>
                <w:rFonts w:cs="Arial"/>
                <w:sz w:val="20"/>
                <w:lang w:val="en-GB"/>
              </w:rPr>
              <w:t>javnih</w:t>
            </w:r>
            <w:proofErr w:type="spellEnd"/>
            <w:r w:rsidRPr="00383886">
              <w:rPr>
                <w:rFonts w:cs="Arial"/>
                <w:sz w:val="20"/>
                <w:lang w:val="en-GB"/>
              </w:rPr>
              <w:t xml:space="preserve"> </w:t>
            </w:r>
            <w:proofErr w:type="spellStart"/>
            <w:r w:rsidRPr="00383886">
              <w:rPr>
                <w:rFonts w:cs="Arial"/>
                <w:sz w:val="20"/>
                <w:lang w:val="en-GB"/>
              </w:rPr>
              <w:t>nabavki</w:t>
            </w:r>
            <w:proofErr w:type="spellEnd"/>
            <w:r w:rsidRPr="00383886">
              <w:rPr>
                <w:rFonts w:cs="Arial"/>
                <w:sz w:val="20"/>
                <w:lang w:val="en-GB"/>
              </w:rPr>
              <w:t xml:space="preserve">. </w:t>
            </w:r>
            <w:proofErr w:type="spellStart"/>
            <w:r w:rsidRPr="00383886">
              <w:rPr>
                <w:rFonts w:cs="Arial"/>
                <w:sz w:val="20"/>
                <w:lang w:val="en-GB"/>
              </w:rPr>
              <w:t>Izvještaj</w:t>
            </w:r>
            <w:proofErr w:type="spellEnd"/>
            <w:r w:rsidRPr="00383886">
              <w:rPr>
                <w:rFonts w:cs="Arial"/>
                <w:sz w:val="20"/>
                <w:lang w:val="en-GB"/>
              </w:rPr>
              <w:t xml:space="preserve"> o </w:t>
            </w:r>
            <w:proofErr w:type="spellStart"/>
            <w:r w:rsidRPr="00383886">
              <w:rPr>
                <w:rFonts w:cs="Arial"/>
                <w:sz w:val="20"/>
                <w:lang w:val="en-GB"/>
              </w:rPr>
              <w:t>javnim</w:t>
            </w:r>
            <w:proofErr w:type="spellEnd"/>
            <w:r w:rsidRPr="00383886">
              <w:rPr>
                <w:rFonts w:cs="Arial"/>
                <w:sz w:val="20"/>
                <w:lang w:val="en-GB"/>
              </w:rPr>
              <w:t xml:space="preserve"> </w:t>
            </w:r>
            <w:proofErr w:type="spellStart"/>
            <w:r w:rsidRPr="00383886">
              <w:rPr>
                <w:rFonts w:cs="Arial"/>
                <w:sz w:val="20"/>
                <w:lang w:val="en-GB"/>
              </w:rPr>
              <w:t>nabavkama</w:t>
            </w:r>
            <w:proofErr w:type="spellEnd"/>
            <w:r w:rsidRPr="00383886">
              <w:rPr>
                <w:rFonts w:cs="Arial"/>
                <w:sz w:val="20"/>
                <w:lang w:val="en-GB"/>
              </w:rPr>
              <w:t xml:space="preserve"> </w:t>
            </w:r>
            <w:proofErr w:type="spellStart"/>
            <w:r w:rsidRPr="00383886">
              <w:rPr>
                <w:rFonts w:cs="Arial"/>
                <w:sz w:val="20"/>
                <w:lang w:val="en-GB"/>
              </w:rPr>
              <w:t>će</w:t>
            </w:r>
            <w:proofErr w:type="spellEnd"/>
            <w:r w:rsidRPr="00383886">
              <w:rPr>
                <w:rFonts w:cs="Arial"/>
                <w:sz w:val="20"/>
                <w:lang w:val="en-GB"/>
              </w:rPr>
              <w:t xml:space="preserve"> </w:t>
            </w:r>
            <w:proofErr w:type="spellStart"/>
            <w:r w:rsidRPr="00383886">
              <w:rPr>
                <w:rFonts w:cs="Arial"/>
                <w:sz w:val="20"/>
                <w:lang w:val="en-GB"/>
              </w:rPr>
              <w:t>biti</w:t>
            </w:r>
            <w:proofErr w:type="spellEnd"/>
            <w:r w:rsidRPr="00383886">
              <w:rPr>
                <w:rFonts w:cs="Arial"/>
                <w:sz w:val="20"/>
                <w:lang w:val="en-GB"/>
              </w:rPr>
              <w:t xml:space="preserve"> </w:t>
            </w:r>
            <w:proofErr w:type="spellStart"/>
            <w:r w:rsidRPr="00383886">
              <w:rPr>
                <w:rFonts w:cs="Arial"/>
                <w:sz w:val="20"/>
                <w:lang w:val="en-GB"/>
              </w:rPr>
              <w:t>koncipiran</w:t>
            </w:r>
            <w:proofErr w:type="spellEnd"/>
            <w:r w:rsidRPr="00383886">
              <w:rPr>
                <w:rFonts w:cs="Arial"/>
                <w:sz w:val="20"/>
                <w:lang w:val="en-GB"/>
              </w:rPr>
              <w:t xml:space="preserve"> </w:t>
            </w:r>
            <w:proofErr w:type="spellStart"/>
            <w:r w:rsidRPr="00383886">
              <w:rPr>
                <w:rFonts w:cs="Arial"/>
                <w:sz w:val="20"/>
                <w:lang w:val="en-GB"/>
              </w:rPr>
              <w:t>tako</w:t>
            </w:r>
            <w:proofErr w:type="spellEnd"/>
            <w:r w:rsidRPr="00383886">
              <w:rPr>
                <w:rFonts w:cs="Arial"/>
                <w:sz w:val="20"/>
                <w:lang w:val="en-GB"/>
              </w:rPr>
              <w:t xml:space="preserve"> da </w:t>
            </w:r>
            <w:proofErr w:type="spellStart"/>
            <w:r w:rsidRPr="00383886">
              <w:rPr>
                <w:rFonts w:cs="Arial"/>
                <w:sz w:val="20"/>
                <w:lang w:val="en-GB"/>
              </w:rPr>
              <w:t>daje</w:t>
            </w:r>
            <w:proofErr w:type="spellEnd"/>
            <w:r w:rsidRPr="00383886">
              <w:rPr>
                <w:rFonts w:cs="Arial"/>
                <w:sz w:val="20"/>
                <w:lang w:val="en-GB"/>
              </w:rPr>
              <w:t xml:space="preserve"> </w:t>
            </w:r>
            <w:proofErr w:type="spellStart"/>
            <w:r w:rsidRPr="00383886">
              <w:rPr>
                <w:rFonts w:cs="Arial"/>
                <w:sz w:val="20"/>
                <w:lang w:val="en-GB"/>
              </w:rPr>
              <w:t>jasan</w:t>
            </w:r>
            <w:proofErr w:type="spellEnd"/>
            <w:r w:rsidRPr="00383886">
              <w:rPr>
                <w:rFonts w:cs="Arial"/>
                <w:sz w:val="20"/>
                <w:lang w:val="en-GB"/>
              </w:rPr>
              <w:t xml:space="preserve"> </w:t>
            </w:r>
            <w:proofErr w:type="spellStart"/>
            <w:r w:rsidRPr="00383886">
              <w:rPr>
                <w:rFonts w:cs="Arial"/>
                <w:sz w:val="20"/>
                <w:lang w:val="en-GB"/>
              </w:rPr>
              <w:t>pregled</w:t>
            </w:r>
            <w:proofErr w:type="spellEnd"/>
            <w:r w:rsidRPr="00383886">
              <w:rPr>
                <w:rFonts w:cs="Arial"/>
                <w:sz w:val="20"/>
                <w:lang w:val="en-GB"/>
              </w:rPr>
              <w:t xml:space="preserve"> </w:t>
            </w:r>
            <w:proofErr w:type="spellStart"/>
            <w:r w:rsidRPr="00383886">
              <w:rPr>
                <w:rFonts w:cs="Arial"/>
                <w:sz w:val="20"/>
                <w:lang w:val="en-GB"/>
              </w:rPr>
              <w:t>ciljeva</w:t>
            </w:r>
            <w:proofErr w:type="spellEnd"/>
            <w:r w:rsidRPr="00383886">
              <w:rPr>
                <w:rFonts w:cs="Arial"/>
                <w:sz w:val="20"/>
                <w:lang w:val="en-GB"/>
              </w:rPr>
              <w:t xml:space="preserve"> </w:t>
            </w:r>
            <w:proofErr w:type="spellStart"/>
            <w:r w:rsidRPr="00383886">
              <w:rPr>
                <w:rFonts w:cs="Arial"/>
                <w:sz w:val="20"/>
                <w:lang w:val="en-GB"/>
              </w:rPr>
              <w:t>politike</w:t>
            </w:r>
            <w:proofErr w:type="spellEnd"/>
            <w:r w:rsidRPr="00383886">
              <w:rPr>
                <w:rFonts w:cs="Arial"/>
                <w:sz w:val="20"/>
                <w:lang w:val="en-GB"/>
              </w:rPr>
              <w:t xml:space="preserve"> </w:t>
            </w:r>
            <w:proofErr w:type="spellStart"/>
            <w:r w:rsidRPr="00383886">
              <w:rPr>
                <w:rFonts w:cs="Arial"/>
                <w:sz w:val="20"/>
                <w:lang w:val="en-GB"/>
              </w:rPr>
              <w:t>javnih</w:t>
            </w:r>
            <w:proofErr w:type="spellEnd"/>
            <w:r w:rsidRPr="00383886">
              <w:rPr>
                <w:rFonts w:cs="Arial"/>
                <w:sz w:val="20"/>
                <w:lang w:val="en-GB"/>
              </w:rPr>
              <w:t xml:space="preserve"> </w:t>
            </w:r>
            <w:proofErr w:type="spellStart"/>
            <w:r w:rsidRPr="00383886">
              <w:rPr>
                <w:rFonts w:cs="Arial"/>
                <w:sz w:val="20"/>
                <w:lang w:val="en-GB"/>
              </w:rPr>
              <w:t>nabavki</w:t>
            </w:r>
            <w:proofErr w:type="spellEnd"/>
            <w:r w:rsidRPr="00383886">
              <w:rPr>
                <w:rFonts w:cs="Arial"/>
                <w:sz w:val="20"/>
                <w:lang w:val="en-GB"/>
              </w:rPr>
              <w:t xml:space="preserve">, </w:t>
            </w:r>
            <w:proofErr w:type="spellStart"/>
            <w:r w:rsidRPr="00383886">
              <w:rPr>
                <w:rFonts w:cs="Arial"/>
                <w:sz w:val="20"/>
                <w:lang w:val="en-GB"/>
              </w:rPr>
              <w:t>zakonodavnog</w:t>
            </w:r>
            <w:proofErr w:type="spellEnd"/>
            <w:r w:rsidRPr="00383886">
              <w:rPr>
                <w:rFonts w:cs="Arial"/>
                <w:sz w:val="20"/>
                <w:lang w:val="en-GB"/>
              </w:rPr>
              <w:t xml:space="preserve"> </w:t>
            </w:r>
            <w:proofErr w:type="spellStart"/>
            <w:r w:rsidRPr="00383886">
              <w:rPr>
                <w:rFonts w:cs="Arial"/>
                <w:sz w:val="20"/>
                <w:lang w:val="en-GB"/>
              </w:rPr>
              <w:t>okvira</w:t>
            </w:r>
            <w:proofErr w:type="spellEnd"/>
            <w:r w:rsidRPr="00383886">
              <w:rPr>
                <w:rFonts w:cs="Arial"/>
                <w:sz w:val="20"/>
                <w:lang w:val="en-GB"/>
              </w:rPr>
              <w:t xml:space="preserve">, </w:t>
            </w:r>
            <w:proofErr w:type="spellStart"/>
            <w:r w:rsidRPr="00383886">
              <w:rPr>
                <w:rFonts w:cs="Arial"/>
                <w:sz w:val="20"/>
                <w:lang w:val="en-GB"/>
              </w:rPr>
              <w:t>prikaza</w:t>
            </w:r>
            <w:proofErr w:type="spellEnd"/>
            <w:r w:rsidRPr="00383886">
              <w:rPr>
                <w:rFonts w:cs="Arial"/>
                <w:sz w:val="20"/>
                <w:lang w:val="en-GB"/>
              </w:rPr>
              <w:t xml:space="preserve"> </w:t>
            </w:r>
            <w:proofErr w:type="spellStart"/>
            <w:r w:rsidRPr="00383886">
              <w:rPr>
                <w:rFonts w:cs="Arial"/>
                <w:sz w:val="20"/>
                <w:lang w:val="en-GB"/>
              </w:rPr>
              <w:t>podataka</w:t>
            </w:r>
            <w:proofErr w:type="spellEnd"/>
            <w:r w:rsidRPr="00383886">
              <w:rPr>
                <w:rFonts w:cs="Arial"/>
                <w:sz w:val="20"/>
                <w:lang w:val="en-GB"/>
              </w:rPr>
              <w:t xml:space="preserve"> o </w:t>
            </w:r>
            <w:proofErr w:type="spellStart"/>
            <w:r w:rsidRPr="00383886">
              <w:rPr>
                <w:rFonts w:cs="Arial"/>
                <w:sz w:val="20"/>
                <w:lang w:val="en-GB"/>
              </w:rPr>
              <w:t>sprovedenim</w:t>
            </w:r>
            <w:proofErr w:type="spellEnd"/>
            <w:r w:rsidRPr="00383886">
              <w:rPr>
                <w:rFonts w:cs="Arial"/>
                <w:sz w:val="20"/>
                <w:lang w:val="en-GB"/>
              </w:rPr>
              <w:t xml:space="preserve"> </w:t>
            </w:r>
            <w:proofErr w:type="spellStart"/>
            <w:r w:rsidRPr="00383886">
              <w:rPr>
                <w:rFonts w:cs="Arial"/>
                <w:sz w:val="20"/>
                <w:lang w:val="en-GB"/>
              </w:rPr>
              <w:t>javnim</w:t>
            </w:r>
            <w:proofErr w:type="spellEnd"/>
            <w:r w:rsidRPr="00383886">
              <w:rPr>
                <w:rFonts w:cs="Arial"/>
                <w:sz w:val="20"/>
                <w:lang w:val="en-GB"/>
              </w:rPr>
              <w:t xml:space="preserve"> </w:t>
            </w:r>
            <w:proofErr w:type="spellStart"/>
            <w:r w:rsidRPr="00383886">
              <w:rPr>
                <w:rFonts w:cs="Arial"/>
                <w:sz w:val="20"/>
                <w:lang w:val="en-GB"/>
              </w:rPr>
              <w:t>nabavkama</w:t>
            </w:r>
            <w:proofErr w:type="spellEnd"/>
            <w:r w:rsidRPr="00383886">
              <w:rPr>
                <w:rFonts w:cs="Arial"/>
                <w:sz w:val="20"/>
                <w:lang w:val="en-GB"/>
              </w:rPr>
              <w:t xml:space="preserve"> u 2021. </w:t>
            </w:r>
            <w:proofErr w:type="spellStart"/>
            <w:r w:rsidRPr="00383886">
              <w:rPr>
                <w:rFonts w:cs="Arial"/>
                <w:sz w:val="20"/>
                <w:lang w:val="en-GB"/>
              </w:rPr>
              <w:t>godini</w:t>
            </w:r>
            <w:proofErr w:type="spellEnd"/>
            <w:r w:rsidRPr="00383886">
              <w:rPr>
                <w:rFonts w:cs="Arial"/>
                <w:sz w:val="20"/>
                <w:lang w:val="en-GB"/>
              </w:rPr>
              <w:t xml:space="preserve"> </w:t>
            </w:r>
            <w:proofErr w:type="spellStart"/>
            <w:r w:rsidRPr="00383886">
              <w:rPr>
                <w:rFonts w:cs="Arial"/>
                <w:sz w:val="20"/>
                <w:lang w:val="en-GB"/>
              </w:rPr>
              <w:t>kao</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aktivnosti</w:t>
            </w:r>
            <w:proofErr w:type="spellEnd"/>
            <w:r w:rsidRPr="00383886">
              <w:rPr>
                <w:rFonts w:cs="Arial"/>
                <w:sz w:val="20"/>
                <w:lang w:val="en-GB"/>
              </w:rPr>
              <w:t xml:space="preserve"> u </w:t>
            </w:r>
            <w:proofErr w:type="spellStart"/>
            <w:r w:rsidRPr="00383886">
              <w:rPr>
                <w:rFonts w:cs="Arial"/>
                <w:sz w:val="20"/>
                <w:lang w:val="en-GB"/>
              </w:rPr>
              <w:t>procesu</w:t>
            </w:r>
            <w:proofErr w:type="spellEnd"/>
            <w:r w:rsidRPr="00383886">
              <w:rPr>
                <w:rFonts w:cs="Arial"/>
                <w:sz w:val="20"/>
                <w:lang w:val="en-GB"/>
              </w:rPr>
              <w:t xml:space="preserve"> </w:t>
            </w:r>
            <w:proofErr w:type="spellStart"/>
            <w:r w:rsidRPr="00383886">
              <w:rPr>
                <w:rFonts w:cs="Arial"/>
                <w:sz w:val="20"/>
                <w:lang w:val="en-GB"/>
              </w:rPr>
              <w:t>pridruživanja</w:t>
            </w:r>
            <w:proofErr w:type="spellEnd"/>
            <w:r w:rsidRPr="00383886">
              <w:rPr>
                <w:rFonts w:cs="Arial"/>
                <w:sz w:val="20"/>
                <w:lang w:val="en-GB"/>
              </w:rPr>
              <w:t xml:space="preserve"> </w:t>
            </w:r>
            <w:proofErr w:type="spellStart"/>
            <w:r w:rsidRPr="00383886">
              <w:rPr>
                <w:rFonts w:cs="Arial"/>
                <w:sz w:val="20"/>
                <w:lang w:val="en-GB"/>
              </w:rPr>
              <w:t>Evropskoj</w:t>
            </w:r>
            <w:proofErr w:type="spellEnd"/>
            <w:r w:rsidRPr="00383886">
              <w:rPr>
                <w:rFonts w:cs="Arial"/>
                <w:sz w:val="20"/>
                <w:lang w:val="en-GB"/>
              </w:rPr>
              <w:t xml:space="preserve"> </w:t>
            </w:r>
            <w:proofErr w:type="spellStart"/>
            <w:r w:rsidRPr="00383886">
              <w:rPr>
                <w:rFonts w:cs="Arial"/>
                <w:sz w:val="20"/>
                <w:lang w:val="en-GB"/>
              </w:rPr>
              <w:t>uniji</w:t>
            </w:r>
            <w:proofErr w:type="spellEnd"/>
            <w:r w:rsidRPr="00383886">
              <w:rPr>
                <w:rFonts w:cs="Arial"/>
                <w:sz w:val="20"/>
                <w:lang w:val="en-GB"/>
              </w:rPr>
              <w:t>.</w:t>
            </w:r>
          </w:p>
          <w:p w14:paraId="46B69750" w14:textId="77777777" w:rsidR="00383886" w:rsidRPr="00383886" w:rsidRDefault="00383886" w:rsidP="00FD6B98">
            <w:pPr>
              <w:jc w:val="both"/>
              <w:rPr>
                <w:rFonts w:cs="Arial"/>
                <w:iCs/>
                <w:sz w:val="20"/>
              </w:rPr>
            </w:pPr>
          </w:p>
        </w:tc>
      </w:tr>
      <w:tr w:rsidR="00383886" w:rsidRPr="00383886" w14:paraId="7E22327A" w14:textId="77777777" w:rsidTr="00FD6B98">
        <w:tc>
          <w:tcPr>
            <w:tcW w:w="586" w:type="dxa"/>
            <w:gridSpan w:val="2"/>
            <w:vAlign w:val="center"/>
          </w:tcPr>
          <w:p w14:paraId="20B9669B" w14:textId="77777777" w:rsidR="00383886" w:rsidRPr="00383886" w:rsidRDefault="00383886" w:rsidP="00FD6B98">
            <w:pPr>
              <w:spacing w:before="20" w:after="20"/>
              <w:jc w:val="both"/>
              <w:rPr>
                <w:rFonts w:cs="Arial"/>
                <w:sz w:val="20"/>
              </w:rPr>
            </w:pPr>
            <w:r w:rsidRPr="00383886">
              <w:rPr>
                <w:rFonts w:cs="Arial"/>
                <w:sz w:val="20"/>
              </w:rPr>
              <w:t>4.</w:t>
            </w:r>
          </w:p>
        </w:tc>
        <w:tc>
          <w:tcPr>
            <w:tcW w:w="2012" w:type="dxa"/>
            <w:vAlign w:val="center"/>
          </w:tcPr>
          <w:p w14:paraId="03A217A9" w14:textId="77777777" w:rsidR="00383886" w:rsidRPr="00383886" w:rsidRDefault="00383886" w:rsidP="00FD6B98">
            <w:pPr>
              <w:spacing w:line="276" w:lineRule="auto"/>
              <w:jc w:val="both"/>
              <w:rPr>
                <w:rFonts w:cs="Arial"/>
                <w:sz w:val="20"/>
              </w:rPr>
            </w:pPr>
            <w:r w:rsidRPr="00383886">
              <w:rPr>
                <w:rFonts w:cs="Arial"/>
                <w:sz w:val="20"/>
              </w:rPr>
              <w:t xml:space="preserve">Pripremiti Godišnji izvještaj o realizaciji Akcionog plana za implementaciju </w:t>
            </w:r>
            <w:r w:rsidRPr="00383886">
              <w:rPr>
                <w:rFonts w:cs="Arial"/>
                <w:sz w:val="20"/>
              </w:rPr>
              <w:lastRenderedPageBreak/>
              <w:t>aktivnsoti iz Programa reforme upravljanja javnim finansijama za 2021. godinu</w:t>
            </w:r>
          </w:p>
        </w:tc>
        <w:tc>
          <w:tcPr>
            <w:tcW w:w="2066" w:type="dxa"/>
            <w:vAlign w:val="center"/>
          </w:tcPr>
          <w:p w14:paraId="7C726F94" w14:textId="77777777" w:rsidR="00383886" w:rsidRPr="00383886" w:rsidRDefault="00383886" w:rsidP="00FD6B98">
            <w:pPr>
              <w:spacing w:line="276" w:lineRule="auto"/>
              <w:jc w:val="both"/>
              <w:rPr>
                <w:rFonts w:cs="Arial"/>
                <w:sz w:val="20"/>
              </w:rPr>
            </w:pPr>
            <w:r w:rsidRPr="00383886">
              <w:rPr>
                <w:rFonts w:cs="Arial"/>
                <w:sz w:val="20"/>
              </w:rPr>
              <w:lastRenderedPageBreak/>
              <w:t xml:space="preserve">Usvojen Godišnji izvještaj o realizaciji Akcionog plana za implementaciju aktivnsoti iz Programa </w:t>
            </w:r>
            <w:r w:rsidRPr="00383886">
              <w:rPr>
                <w:rFonts w:cs="Arial"/>
                <w:sz w:val="20"/>
              </w:rPr>
              <w:lastRenderedPageBreak/>
              <w:t>reforme upravljanja javnim finansijama za 2021. godinu</w:t>
            </w:r>
          </w:p>
        </w:tc>
        <w:tc>
          <w:tcPr>
            <w:tcW w:w="1843" w:type="dxa"/>
            <w:shd w:val="clear" w:color="auto" w:fill="auto"/>
            <w:vAlign w:val="center"/>
          </w:tcPr>
          <w:p w14:paraId="4D2F8204" w14:textId="77777777" w:rsidR="00383886" w:rsidRPr="00F27DB4" w:rsidRDefault="00383886" w:rsidP="00FD6B98">
            <w:pPr>
              <w:spacing w:before="20" w:after="20"/>
              <w:jc w:val="both"/>
              <w:rPr>
                <w:rFonts w:cs="Arial"/>
                <w:sz w:val="20"/>
              </w:rPr>
            </w:pPr>
            <w:r w:rsidRPr="00F27DB4">
              <w:rPr>
                <w:rFonts w:cs="Arial"/>
                <w:sz w:val="20"/>
              </w:rPr>
              <w:lastRenderedPageBreak/>
              <w:t>NI: MFSS</w:t>
            </w:r>
          </w:p>
          <w:p w14:paraId="329BBA08" w14:textId="77777777" w:rsidR="00383886" w:rsidRPr="00383886" w:rsidRDefault="00383886" w:rsidP="00FD6B98">
            <w:pPr>
              <w:spacing w:before="20" w:after="20"/>
              <w:jc w:val="both"/>
              <w:rPr>
                <w:rFonts w:cs="Arial"/>
                <w:i/>
                <w:sz w:val="20"/>
              </w:rPr>
            </w:pPr>
            <w:r w:rsidRPr="00F27DB4">
              <w:rPr>
                <w:rFonts w:cs="Arial"/>
                <w:sz w:val="20"/>
              </w:rPr>
              <w:t>NK: KPS, KEPIF</w:t>
            </w:r>
          </w:p>
        </w:tc>
        <w:tc>
          <w:tcPr>
            <w:tcW w:w="2400" w:type="dxa"/>
            <w:shd w:val="clear" w:color="auto" w:fill="auto"/>
            <w:vAlign w:val="center"/>
          </w:tcPr>
          <w:p w14:paraId="1B3C91EF" w14:textId="77777777" w:rsidR="00383886" w:rsidRPr="00383886" w:rsidRDefault="00383886" w:rsidP="00FD6B98">
            <w:pPr>
              <w:spacing w:before="20" w:after="20"/>
              <w:jc w:val="both"/>
              <w:rPr>
                <w:rFonts w:cs="Arial"/>
                <w:sz w:val="20"/>
              </w:rPr>
            </w:pPr>
            <w:r w:rsidRPr="00383886">
              <w:rPr>
                <w:rFonts w:cs="Arial"/>
                <w:sz w:val="20"/>
              </w:rPr>
              <w:t>II Q 2022.</w:t>
            </w:r>
          </w:p>
        </w:tc>
        <w:tc>
          <w:tcPr>
            <w:tcW w:w="1945" w:type="dxa"/>
            <w:vAlign w:val="center"/>
          </w:tcPr>
          <w:p w14:paraId="7DB74D2B" w14:textId="77777777" w:rsidR="00383886" w:rsidRPr="00383886" w:rsidRDefault="00383886" w:rsidP="00FD6B98">
            <w:pPr>
              <w:spacing w:before="20" w:after="20"/>
              <w:jc w:val="both"/>
              <w:rPr>
                <w:rFonts w:cs="Arial"/>
                <w:sz w:val="20"/>
              </w:rPr>
            </w:pPr>
            <w:r w:rsidRPr="00383886">
              <w:rPr>
                <w:rFonts w:cs="Arial"/>
                <w:sz w:val="20"/>
              </w:rPr>
              <w:t xml:space="preserve">Izvještaj neće imati uticaja na budžet i poslovni ambijent, tako da se u procesu </w:t>
            </w:r>
            <w:r w:rsidRPr="00383886">
              <w:rPr>
                <w:rFonts w:cs="Arial"/>
                <w:sz w:val="20"/>
              </w:rPr>
              <w:lastRenderedPageBreak/>
              <w:t>njegove pripreme neće raditi procjena uticaja - RIA.</w:t>
            </w:r>
          </w:p>
        </w:tc>
        <w:tc>
          <w:tcPr>
            <w:tcW w:w="1941" w:type="dxa"/>
            <w:vAlign w:val="center"/>
          </w:tcPr>
          <w:p w14:paraId="7C187888" w14:textId="77777777" w:rsidR="00383886" w:rsidRPr="00383886" w:rsidRDefault="00383886" w:rsidP="00FD6B98">
            <w:pPr>
              <w:spacing w:before="20" w:after="20"/>
              <w:jc w:val="both"/>
              <w:rPr>
                <w:rFonts w:cs="Arial"/>
                <w:b/>
                <w:i/>
                <w:color w:val="FF0000"/>
                <w:sz w:val="20"/>
              </w:rPr>
            </w:pPr>
          </w:p>
        </w:tc>
        <w:tc>
          <w:tcPr>
            <w:tcW w:w="2093" w:type="dxa"/>
            <w:vAlign w:val="center"/>
          </w:tcPr>
          <w:p w14:paraId="51D4FACF" w14:textId="77777777" w:rsidR="00383886" w:rsidRPr="00383886" w:rsidRDefault="00383886" w:rsidP="00FD6B98">
            <w:pPr>
              <w:jc w:val="both"/>
              <w:rPr>
                <w:rFonts w:cs="Arial"/>
                <w:sz w:val="20"/>
              </w:rPr>
            </w:pPr>
            <w:r w:rsidRPr="00383886">
              <w:rPr>
                <w:rFonts w:cs="Arial"/>
                <w:sz w:val="20"/>
              </w:rPr>
              <w:t xml:space="preserve">Usvojen je Završni izvještaj o realizaciji Programa reforme upravljanja javnim </w:t>
            </w:r>
            <w:r w:rsidRPr="00383886">
              <w:rPr>
                <w:rFonts w:cs="Arial"/>
                <w:sz w:val="20"/>
              </w:rPr>
              <w:lastRenderedPageBreak/>
              <w:t>finansijama za period 2016-2020. Istim je donesen Akcioni plan za 2021. godinu koji obuhvata nastavak realizacije aktivnosti koje nisu finalizovane u periodu 2016-2020. Izvještaj o realizaciji ovog akcinog plana ima za cilj da prikaže stepen realizacije aktivnosti po pojedinačnim ciljevima.</w:t>
            </w:r>
          </w:p>
          <w:p w14:paraId="72A6A559" w14:textId="77777777" w:rsidR="00383886" w:rsidRPr="00383886" w:rsidRDefault="00383886" w:rsidP="00FD6B98">
            <w:pPr>
              <w:autoSpaceDE w:val="0"/>
              <w:autoSpaceDN w:val="0"/>
              <w:adjustRightInd w:val="0"/>
              <w:jc w:val="both"/>
              <w:rPr>
                <w:rFonts w:cs="Arial"/>
                <w:sz w:val="20"/>
                <w:lang w:val="en-GB"/>
              </w:rPr>
            </w:pPr>
          </w:p>
        </w:tc>
      </w:tr>
      <w:tr w:rsidR="00383886" w:rsidRPr="00383886" w14:paraId="7240D8DC" w14:textId="77777777" w:rsidTr="00FD6B98">
        <w:tc>
          <w:tcPr>
            <w:tcW w:w="586" w:type="dxa"/>
            <w:gridSpan w:val="2"/>
            <w:vAlign w:val="center"/>
          </w:tcPr>
          <w:p w14:paraId="00F768F0" w14:textId="77777777" w:rsidR="00383886" w:rsidRPr="00383886" w:rsidRDefault="00383886" w:rsidP="00FD6B98">
            <w:pPr>
              <w:spacing w:before="20" w:after="20"/>
              <w:jc w:val="both"/>
              <w:rPr>
                <w:rFonts w:cs="Arial"/>
                <w:sz w:val="20"/>
              </w:rPr>
            </w:pPr>
            <w:r w:rsidRPr="00383886">
              <w:rPr>
                <w:rFonts w:cs="Arial"/>
                <w:sz w:val="20"/>
              </w:rPr>
              <w:t>5.</w:t>
            </w:r>
          </w:p>
        </w:tc>
        <w:tc>
          <w:tcPr>
            <w:tcW w:w="2012" w:type="dxa"/>
            <w:vAlign w:val="center"/>
          </w:tcPr>
          <w:p w14:paraId="2E8160FB" w14:textId="77777777" w:rsidR="00383886" w:rsidRPr="00383886" w:rsidRDefault="00383886" w:rsidP="00FD6B98">
            <w:pPr>
              <w:spacing w:before="20" w:after="20"/>
              <w:jc w:val="both"/>
              <w:rPr>
                <w:rFonts w:cs="Arial"/>
                <w:iCs/>
                <w:sz w:val="20"/>
              </w:rPr>
            </w:pPr>
            <w:r w:rsidRPr="00383886">
              <w:rPr>
                <w:rFonts w:cs="Arial"/>
                <w:iCs/>
                <w:sz w:val="20"/>
              </w:rPr>
              <w:t xml:space="preserve">Pripremiti </w:t>
            </w:r>
            <w:r w:rsidRPr="00383886">
              <w:rPr>
                <w:rFonts w:cs="Arial"/>
                <w:sz w:val="20"/>
              </w:rPr>
              <w:t>Konsolidovani izvještaj o upravljanju i unutrašnjim kontrolama u javnom sektoru za 2021. godinu</w:t>
            </w:r>
          </w:p>
        </w:tc>
        <w:tc>
          <w:tcPr>
            <w:tcW w:w="2066" w:type="dxa"/>
            <w:vAlign w:val="center"/>
          </w:tcPr>
          <w:p w14:paraId="347253F4" w14:textId="77777777" w:rsidR="00383886" w:rsidRPr="00383886" w:rsidRDefault="00383886" w:rsidP="00FD6B98">
            <w:pPr>
              <w:spacing w:before="20" w:after="20"/>
              <w:jc w:val="both"/>
              <w:rPr>
                <w:rFonts w:cs="Arial"/>
                <w:iCs/>
                <w:sz w:val="20"/>
              </w:rPr>
            </w:pPr>
            <w:r w:rsidRPr="00383886">
              <w:rPr>
                <w:rFonts w:cs="Arial"/>
                <w:iCs/>
                <w:sz w:val="20"/>
              </w:rPr>
              <w:t>Usvojen</w:t>
            </w:r>
            <w:r w:rsidRPr="00383886">
              <w:rPr>
                <w:rFonts w:cs="Arial"/>
                <w:sz w:val="20"/>
              </w:rPr>
              <w:t xml:space="preserve"> Konsolidovani izvještaj o upravljanju i unutrašnjim kontrolama u javnom sektoru za 2021. godinu</w:t>
            </w:r>
          </w:p>
        </w:tc>
        <w:tc>
          <w:tcPr>
            <w:tcW w:w="1843" w:type="dxa"/>
            <w:shd w:val="clear" w:color="auto" w:fill="auto"/>
            <w:vAlign w:val="center"/>
          </w:tcPr>
          <w:p w14:paraId="210B83A8" w14:textId="77777777" w:rsidR="00383886" w:rsidRPr="00383886" w:rsidRDefault="00383886" w:rsidP="00FD6B98">
            <w:pPr>
              <w:spacing w:before="20" w:after="20"/>
              <w:jc w:val="both"/>
              <w:rPr>
                <w:rFonts w:cs="Arial"/>
                <w:i/>
                <w:sz w:val="20"/>
              </w:rPr>
            </w:pPr>
            <w:r w:rsidRPr="00383886">
              <w:rPr>
                <w:rFonts w:cs="Arial"/>
                <w:i/>
                <w:sz w:val="20"/>
              </w:rPr>
              <w:t>NI: MFSS</w:t>
            </w:r>
          </w:p>
          <w:p w14:paraId="51C69537" w14:textId="77777777" w:rsidR="00383886" w:rsidRPr="00383886" w:rsidRDefault="00383886" w:rsidP="00FD6B98">
            <w:pPr>
              <w:spacing w:before="20" w:after="20"/>
              <w:jc w:val="both"/>
              <w:rPr>
                <w:rFonts w:cs="Arial"/>
                <w:i/>
                <w:sz w:val="20"/>
              </w:rPr>
            </w:pPr>
            <w:r w:rsidRPr="00383886">
              <w:rPr>
                <w:rFonts w:cs="Arial"/>
                <w:i/>
                <w:sz w:val="20"/>
              </w:rPr>
              <w:t>NK: KPS, KEPIF</w:t>
            </w:r>
          </w:p>
        </w:tc>
        <w:tc>
          <w:tcPr>
            <w:tcW w:w="2400" w:type="dxa"/>
            <w:shd w:val="clear" w:color="auto" w:fill="auto"/>
            <w:vAlign w:val="center"/>
          </w:tcPr>
          <w:p w14:paraId="4A57449F" w14:textId="77777777" w:rsidR="00383886" w:rsidRPr="00383886" w:rsidRDefault="00383886" w:rsidP="00FD6B98">
            <w:pPr>
              <w:spacing w:before="20" w:after="20"/>
              <w:jc w:val="both"/>
              <w:rPr>
                <w:rFonts w:cs="Arial"/>
                <w:sz w:val="20"/>
              </w:rPr>
            </w:pPr>
            <w:r w:rsidRPr="00383886">
              <w:rPr>
                <w:rFonts w:cs="Arial"/>
                <w:sz w:val="20"/>
              </w:rPr>
              <w:t>III Q 2022.</w:t>
            </w:r>
          </w:p>
        </w:tc>
        <w:tc>
          <w:tcPr>
            <w:tcW w:w="1945" w:type="dxa"/>
            <w:vAlign w:val="center"/>
          </w:tcPr>
          <w:p w14:paraId="10F05DA2" w14:textId="77777777" w:rsidR="00383886" w:rsidRPr="00383886" w:rsidRDefault="00383886" w:rsidP="00FD6B98">
            <w:pPr>
              <w:spacing w:before="20" w:after="20"/>
              <w:jc w:val="both"/>
              <w:rPr>
                <w:rFonts w:cs="Arial"/>
                <w:sz w:val="20"/>
              </w:rPr>
            </w:pPr>
            <w:r w:rsidRPr="00383886">
              <w:rPr>
                <w:rFonts w:cs="Arial"/>
                <w:sz w:val="20"/>
              </w:rPr>
              <w:t>Izvještaj neće imati uticaja na budžet i poslovni ambijent, tako da se u procesu njegove pripreme neće raditi procjena uticaja - RIA.</w:t>
            </w:r>
          </w:p>
        </w:tc>
        <w:tc>
          <w:tcPr>
            <w:tcW w:w="1941" w:type="dxa"/>
            <w:vAlign w:val="center"/>
          </w:tcPr>
          <w:p w14:paraId="7044C978" w14:textId="77777777" w:rsidR="00383886" w:rsidRPr="00383886" w:rsidRDefault="00383886" w:rsidP="00FD6B98">
            <w:pPr>
              <w:spacing w:before="20" w:after="20"/>
              <w:jc w:val="both"/>
              <w:rPr>
                <w:rFonts w:cs="Arial"/>
                <w:b/>
                <w:i/>
                <w:color w:val="FF0000"/>
                <w:sz w:val="20"/>
              </w:rPr>
            </w:pPr>
            <w:r w:rsidRPr="00383886">
              <w:rPr>
                <w:rFonts w:cs="Arial"/>
                <w:b/>
                <w:i/>
                <w:color w:val="FF0000"/>
                <w:sz w:val="20"/>
              </w:rPr>
              <w:t>--</w:t>
            </w:r>
          </w:p>
        </w:tc>
        <w:tc>
          <w:tcPr>
            <w:tcW w:w="2093" w:type="dxa"/>
            <w:vAlign w:val="center"/>
          </w:tcPr>
          <w:p w14:paraId="19F1F496" w14:textId="77777777" w:rsidR="00383886" w:rsidRPr="00383886" w:rsidRDefault="00383886" w:rsidP="00FD6B98">
            <w:pPr>
              <w:jc w:val="both"/>
              <w:rPr>
                <w:rFonts w:cs="Arial"/>
                <w:iCs/>
                <w:sz w:val="20"/>
              </w:rPr>
            </w:pPr>
            <w:r w:rsidRPr="00383886">
              <w:rPr>
                <w:rFonts w:cs="Arial"/>
                <w:sz w:val="20"/>
              </w:rPr>
              <w:t>U skladu sa čl. 51 Zakona o upravljanju i unutrašnjim kontrolama u javnom sektoru, biće pripremljen Konsolidovani izvještaj o upravljanju i unutrašnjim kontrolama u javnom sektoru, na osnovu dostavljenih godišnjih izvještaja subjekata javnog sektora o sprovođenju i unapređenju upravljanja i kontrola i izvještaja o radu unutrašnje revizije i izvršenju godišnjeg plana unutrašnje revizije u javnom sektoru Crne Gore</w:t>
            </w:r>
          </w:p>
        </w:tc>
      </w:tr>
      <w:tr w:rsidR="00383886" w:rsidRPr="00383886" w14:paraId="6C8B33AD" w14:textId="77777777" w:rsidTr="00FD6B98">
        <w:tc>
          <w:tcPr>
            <w:tcW w:w="586" w:type="dxa"/>
            <w:gridSpan w:val="2"/>
            <w:vAlign w:val="center"/>
          </w:tcPr>
          <w:p w14:paraId="3CCC5CDE" w14:textId="77777777" w:rsidR="00383886" w:rsidRPr="00383886" w:rsidRDefault="00383886" w:rsidP="00FD6B98">
            <w:pPr>
              <w:spacing w:before="20" w:after="20"/>
              <w:jc w:val="both"/>
              <w:rPr>
                <w:rFonts w:cs="Arial"/>
                <w:sz w:val="20"/>
              </w:rPr>
            </w:pPr>
            <w:r w:rsidRPr="00383886">
              <w:rPr>
                <w:rFonts w:cs="Arial"/>
                <w:sz w:val="20"/>
              </w:rPr>
              <w:t>6.</w:t>
            </w:r>
          </w:p>
        </w:tc>
        <w:tc>
          <w:tcPr>
            <w:tcW w:w="2012" w:type="dxa"/>
            <w:vAlign w:val="center"/>
          </w:tcPr>
          <w:p w14:paraId="07138EB0" w14:textId="77777777" w:rsidR="00383886" w:rsidRPr="00383886" w:rsidRDefault="00383886" w:rsidP="00FD6B98">
            <w:pPr>
              <w:autoSpaceDE w:val="0"/>
              <w:autoSpaceDN w:val="0"/>
              <w:adjustRightInd w:val="0"/>
              <w:spacing w:line="276" w:lineRule="auto"/>
              <w:jc w:val="both"/>
              <w:rPr>
                <w:rFonts w:eastAsiaTheme="minorEastAsia" w:cs="Arial"/>
                <w:color w:val="000000" w:themeColor="text1"/>
                <w:sz w:val="20"/>
                <w:lang w:val="sr-Latn-CS" w:eastAsia="sr-Latn-CS"/>
              </w:rPr>
            </w:pPr>
            <w:r w:rsidRPr="00383886">
              <w:rPr>
                <w:rFonts w:eastAsiaTheme="minorEastAsia" w:cs="Arial"/>
                <w:color w:val="000000" w:themeColor="text1"/>
                <w:sz w:val="20"/>
                <w:lang w:val="sr-Latn-CS" w:eastAsia="sr-Latn-CS"/>
              </w:rPr>
              <w:t>Pripremiti Polugodišnji izvještaj o javnim nabavkama za 2022. godinu</w:t>
            </w:r>
          </w:p>
        </w:tc>
        <w:tc>
          <w:tcPr>
            <w:tcW w:w="2066" w:type="dxa"/>
            <w:vAlign w:val="center"/>
          </w:tcPr>
          <w:p w14:paraId="1455A7D8" w14:textId="77777777" w:rsidR="00383886" w:rsidRPr="00383886" w:rsidRDefault="00383886" w:rsidP="00FD6B98">
            <w:pPr>
              <w:spacing w:before="20" w:after="20"/>
              <w:jc w:val="both"/>
              <w:rPr>
                <w:rFonts w:cs="Arial"/>
                <w:sz w:val="20"/>
              </w:rPr>
            </w:pPr>
            <w:r w:rsidRPr="00383886">
              <w:rPr>
                <w:rFonts w:cs="Arial"/>
                <w:color w:val="000000" w:themeColor="text1"/>
                <w:sz w:val="20"/>
              </w:rPr>
              <w:t>Usvojen Polugodišnji izvještaj o javnim nabavkama za 2022. godinu</w:t>
            </w:r>
          </w:p>
        </w:tc>
        <w:tc>
          <w:tcPr>
            <w:tcW w:w="1843" w:type="dxa"/>
            <w:shd w:val="clear" w:color="auto" w:fill="auto"/>
            <w:vAlign w:val="center"/>
          </w:tcPr>
          <w:p w14:paraId="3514BBE6" w14:textId="77777777" w:rsidR="00383886" w:rsidRPr="00383886" w:rsidRDefault="00383886" w:rsidP="00FD6B98">
            <w:pPr>
              <w:spacing w:before="20" w:after="20"/>
              <w:jc w:val="both"/>
              <w:rPr>
                <w:rFonts w:cs="Arial"/>
                <w:i/>
                <w:sz w:val="20"/>
              </w:rPr>
            </w:pPr>
            <w:r w:rsidRPr="00383886">
              <w:rPr>
                <w:rFonts w:cs="Arial"/>
                <w:i/>
                <w:sz w:val="20"/>
              </w:rPr>
              <w:t>NI: MFSS</w:t>
            </w:r>
          </w:p>
          <w:p w14:paraId="77792365" w14:textId="77777777" w:rsidR="00383886" w:rsidRPr="00383886" w:rsidRDefault="00383886" w:rsidP="00FD6B98">
            <w:pPr>
              <w:spacing w:before="20" w:after="20"/>
              <w:jc w:val="both"/>
              <w:rPr>
                <w:rFonts w:cs="Arial"/>
                <w:sz w:val="20"/>
              </w:rPr>
            </w:pPr>
            <w:r w:rsidRPr="00383886">
              <w:rPr>
                <w:rFonts w:cs="Arial"/>
                <w:i/>
                <w:sz w:val="20"/>
              </w:rPr>
              <w:t>NK: KPS, KEPIF</w:t>
            </w:r>
          </w:p>
        </w:tc>
        <w:tc>
          <w:tcPr>
            <w:tcW w:w="2400" w:type="dxa"/>
            <w:shd w:val="clear" w:color="auto" w:fill="auto"/>
            <w:vAlign w:val="center"/>
          </w:tcPr>
          <w:p w14:paraId="7D4FC669" w14:textId="77777777" w:rsidR="00383886" w:rsidRPr="00383886" w:rsidRDefault="00383886" w:rsidP="00FD6B98">
            <w:pPr>
              <w:spacing w:before="20" w:after="20"/>
              <w:jc w:val="both"/>
              <w:rPr>
                <w:rFonts w:cs="Arial"/>
                <w:sz w:val="20"/>
              </w:rPr>
            </w:pPr>
            <w:r w:rsidRPr="00383886">
              <w:rPr>
                <w:rFonts w:cs="Arial"/>
                <w:sz w:val="20"/>
              </w:rPr>
              <w:t>III Q 2022.</w:t>
            </w:r>
          </w:p>
        </w:tc>
        <w:tc>
          <w:tcPr>
            <w:tcW w:w="1945" w:type="dxa"/>
            <w:vAlign w:val="center"/>
          </w:tcPr>
          <w:p w14:paraId="787B998F" w14:textId="77777777" w:rsidR="00383886" w:rsidRPr="00383886" w:rsidRDefault="00383886" w:rsidP="00FD6B98">
            <w:pPr>
              <w:spacing w:before="20" w:after="20"/>
              <w:jc w:val="both"/>
              <w:rPr>
                <w:rFonts w:cs="Arial"/>
                <w:sz w:val="20"/>
              </w:rPr>
            </w:pPr>
            <w:r w:rsidRPr="00383886">
              <w:rPr>
                <w:rFonts w:cs="Arial"/>
                <w:sz w:val="20"/>
              </w:rPr>
              <w:t>Izvještaj neće imati uticaja na budžet i poslovni ambijent, tako da se u procesu njegove pripreme neće raditi procjena uticaja - RIA.</w:t>
            </w:r>
          </w:p>
        </w:tc>
        <w:tc>
          <w:tcPr>
            <w:tcW w:w="1941" w:type="dxa"/>
          </w:tcPr>
          <w:p w14:paraId="38BF070C" w14:textId="77777777" w:rsidR="00383886" w:rsidRPr="00383886" w:rsidRDefault="00383886" w:rsidP="00FD6B98">
            <w:pPr>
              <w:spacing w:before="20" w:after="20"/>
              <w:jc w:val="both"/>
              <w:rPr>
                <w:rFonts w:cs="Arial"/>
                <w:sz w:val="20"/>
              </w:rPr>
            </w:pPr>
          </w:p>
        </w:tc>
        <w:tc>
          <w:tcPr>
            <w:tcW w:w="2093" w:type="dxa"/>
          </w:tcPr>
          <w:p w14:paraId="137E3A31" w14:textId="77777777" w:rsidR="00383886" w:rsidRPr="00383886" w:rsidRDefault="00383886" w:rsidP="00FD6B98">
            <w:pPr>
              <w:autoSpaceDE w:val="0"/>
              <w:autoSpaceDN w:val="0"/>
              <w:adjustRightInd w:val="0"/>
              <w:jc w:val="both"/>
              <w:rPr>
                <w:rFonts w:cs="Arial"/>
                <w:color w:val="000000" w:themeColor="text1"/>
                <w:sz w:val="20"/>
                <w:lang w:val="en-GB"/>
              </w:rPr>
            </w:pPr>
            <w:proofErr w:type="spellStart"/>
            <w:r w:rsidRPr="00383886">
              <w:rPr>
                <w:rFonts w:cs="Arial"/>
                <w:sz w:val="20"/>
                <w:lang w:val="en-GB"/>
              </w:rPr>
              <w:t>Izvještaj</w:t>
            </w:r>
            <w:proofErr w:type="spellEnd"/>
            <w:r w:rsidRPr="00383886">
              <w:rPr>
                <w:rFonts w:cs="Arial"/>
                <w:sz w:val="20"/>
                <w:lang w:val="en-GB"/>
              </w:rPr>
              <w:t xml:space="preserve"> se </w:t>
            </w:r>
            <w:proofErr w:type="spellStart"/>
            <w:r w:rsidRPr="00383886">
              <w:rPr>
                <w:rFonts w:cs="Arial"/>
                <w:sz w:val="20"/>
                <w:lang w:val="en-GB"/>
              </w:rPr>
              <w:t>priprema</w:t>
            </w:r>
            <w:proofErr w:type="spellEnd"/>
            <w:r w:rsidRPr="00383886">
              <w:rPr>
                <w:rFonts w:cs="Arial"/>
                <w:sz w:val="20"/>
                <w:lang w:val="en-GB"/>
              </w:rPr>
              <w:t xml:space="preserve"> u </w:t>
            </w:r>
            <w:proofErr w:type="spellStart"/>
            <w:r w:rsidRPr="00383886">
              <w:rPr>
                <w:rFonts w:cs="Arial"/>
                <w:sz w:val="20"/>
                <w:lang w:val="en-GB"/>
              </w:rPr>
              <w:t>skladu</w:t>
            </w:r>
            <w:proofErr w:type="spellEnd"/>
            <w:r w:rsidRPr="00383886">
              <w:rPr>
                <w:rFonts w:cs="Arial"/>
                <w:sz w:val="20"/>
                <w:lang w:val="en-GB"/>
              </w:rPr>
              <w:t xml:space="preserve"> </w:t>
            </w:r>
            <w:proofErr w:type="spellStart"/>
            <w:r w:rsidRPr="00383886">
              <w:rPr>
                <w:rFonts w:cs="Arial"/>
                <w:sz w:val="20"/>
                <w:lang w:val="en-GB"/>
              </w:rPr>
              <w:t>sa</w:t>
            </w:r>
            <w:proofErr w:type="spellEnd"/>
            <w:r w:rsidRPr="00383886">
              <w:rPr>
                <w:rFonts w:cs="Arial"/>
                <w:sz w:val="20"/>
                <w:lang w:val="en-GB"/>
              </w:rPr>
              <w:t xml:space="preserve"> </w:t>
            </w:r>
            <w:proofErr w:type="spellStart"/>
            <w:r w:rsidRPr="00383886">
              <w:rPr>
                <w:rFonts w:cs="Arial"/>
                <w:sz w:val="20"/>
                <w:lang w:val="en-GB"/>
              </w:rPr>
              <w:t>Zakonom</w:t>
            </w:r>
            <w:proofErr w:type="spellEnd"/>
            <w:r w:rsidRPr="00383886">
              <w:rPr>
                <w:rFonts w:cs="Arial"/>
                <w:sz w:val="20"/>
                <w:lang w:val="en-GB"/>
              </w:rPr>
              <w:t xml:space="preserve"> o </w:t>
            </w:r>
            <w:proofErr w:type="spellStart"/>
            <w:r w:rsidRPr="00383886">
              <w:rPr>
                <w:rFonts w:cs="Arial"/>
                <w:sz w:val="20"/>
                <w:lang w:val="en-GB"/>
              </w:rPr>
              <w:t>javnim</w:t>
            </w:r>
            <w:proofErr w:type="spellEnd"/>
            <w:r w:rsidRPr="00383886">
              <w:rPr>
                <w:rFonts w:cs="Arial"/>
                <w:sz w:val="20"/>
                <w:lang w:val="en-GB"/>
              </w:rPr>
              <w:t xml:space="preserve"> </w:t>
            </w:r>
            <w:proofErr w:type="spellStart"/>
            <w:r w:rsidRPr="00383886">
              <w:rPr>
                <w:rFonts w:cs="Arial"/>
                <w:sz w:val="20"/>
                <w:lang w:val="en-GB"/>
              </w:rPr>
              <w:t>nabavkama</w:t>
            </w:r>
            <w:proofErr w:type="spellEnd"/>
            <w:r w:rsidRPr="00383886">
              <w:rPr>
                <w:rFonts w:cs="Arial"/>
                <w:sz w:val="20"/>
                <w:lang w:val="en-GB"/>
              </w:rPr>
              <w:t xml:space="preserve">. </w:t>
            </w:r>
            <w:proofErr w:type="spellStart"/>
            <w:r w:rsidRPr="00383886">
              <w:rPr>
                <w:rFonts w:cs="Arial"/>
                <w:sz w:val="20"/>
                <w:lang w:val="en-GB"/>
              </w:rPr>
              <w:t>Izvještaj</w:t>
            </w:r>
            <w:proofErr w:type="spellEnd"/>
            <w:r w:rsidRPr="00383886">
              <w:rPr>
                <w:rFonts w:cs="Arial"/>
                <w:sz w:val="20"/>
                <w:lang w:val="en-GB"/>
              </w:rPr>
              <w:t xml:space="preserve"> </w:t>
            </w:r>
            <w:proofErr w:type="spellStart"/>
            <w:r w:rsidRPr="00383886">
              <w:rPr>
                <w:rFonts w:cs="Arial"/>
                <w:sz w:val="20"/>
                <w:lang w:val="en-GB"/>
              </w:rPr>
              <w:t>sadrži</w:t>
            </w:r>
            <w:proofErr w:type="spellEnd"/>
            <w:r w:rsidRPr="00383886">
              <w:rPr>
                <w:rFonts w:cs="Arial"/>
                <w:sz w:val="20"/>
                <w:lang w:val="en-GB"/>
              </w:rPr>
              <w:t xml:space="preserve"> </w:t>
            </w:r>
            <w:proofErr w:type="spellStart"/>
            <w:r w:rsidRPr="00383886">
              <w:rPr>
                <w:rFonts w:cs="Arial"/>
                <w:sz w:val="20"/>
                <w:lang w:val="en-GB"/>
              </w:rPr>
              <w:t>podatke</w:t>
            </w:r>
            <w:proofErr w:type="spellEnd"/>
            <w:r w:rsidRPr="00383886">
              <w:rPr>
                <w:rFonts w:cs="Arial"/>
                <w:sz w:val="20"/>
                <w:lang w:val="en-GB"/>
              </w:rPr>
              <w:t xml:space="preserve"> </w:t>
            </w:r>
            <w:r w:rsidRPr="00383886">
              <w:rPr>
                <w:rFonts w:cs="Arial"/>
                <w:sz w:val="20"/>
              </w:rPr>
              <w:t xml:space="preserve">o sprovedenim postupcima javnih nabavki i zaključenim ugovorima o </w:t>
            </w:r>
            <w:r w:rsidRPr="00383886">
              <w:rPr>
                <w:rFonts w:cs="Arial"/>
                <w:sz w:val="20"/>
              </w:rPr>
              <w:lastRenderedPageBreak/>
              <w:t>javnim nabavkama, sprovedenim nabavkama i zaključenim ugovorima/računima za jednostavne nabavke</w:t>
            </w:r>
            <w:r w:rsidRPr="00383886">
              <w:rPr>
                <w:rFonts w:cs="Arial"/>
                <w:sz w:val="20"/>
                <w:lang w:val="en-GB"/>
              </w:rPr>
              <w:t xml:space="preserve">. </w:t>
            </w:r>
            <w:proofErr w:type="spellStart"/>
            <w:r w:rsidRPr="00383886">
              <w:rPr>
                <w:rFonts w:cs="Arial"/>
                <w:sz w:val="20"/>
                <w:lang w:val="en-GB"/>
              </w:rPr>
              <w:t>Izvještajem</w:t>
            </w:r>
            <w:proofErr w:type="spellEnd"/>
            <w:r w:rsidRPr="00383886">
              <w:rPr>
                <w:rFonts w:cs="Arial"/>
                <w:sz w:val="20"/>
                <w:lang w:val="en-GB"/>
              </w:rPr>
              <w:t xml:space="preserve"> </w:t>
            </w:r>
            <w:proofErr w:type="spellStart"/>
            <w:r w:rsidRPr="00383886">
              <w:rPr>
                <w:rFonts w:cs="Arial"/>
                <w:sz w:val="20"/>
                <w:lang w:val="en-GB"/>
              </w:rPr>
              <w:t>su</w:t>
            </w:r>
            <w:proofErr w:type="spellEnd"/>
            <w:r w:rsidRPr="00383886">
              <w:rPr>
                <w:rFonts w:cs="Arial"/>
                <w:sz w:val="20"/>
                <w:lang w:val="en-GB"/>
              </w:rPr>
              <w:t xml:space="preserve"> </w:t>
            </w:r>
            <w:proofErr w:type="spellStart"/>
            <w:r w:rsidRPr="00383886">
              <w:rPr>
                <w:rFonts w:cs="Arial"/>
                <w:sz w:val="20"/>
                <w:lang w:val="en-GB"/>
              </w:rPr>
              <w:t>obuhvaćeni</w:t>
            </w:r>
            <w:proofErr w:type="spellEnd"/>
            <w:r w:rsidRPr="00383886">
              <w:rPr>
                <w:rFonts w:cs="Arial"/>
                <w:sz w:val="20"/>
                <w:lang w:val="en-GB"/>
              </w:rPr>
              <w:t xml:space="preserve"> </w:t>
            </w:r>
            <w:proofErr w:type="spellStart"/>
            <w:r w:rsidRPr="00383886">
              <w:rPr>
                <w:rFonts w:cs="Arial"/>
                <w:sz w:val="20"/>
                <w:lang w:val="en-GB"/>
              </w:rPr>
              <w:t>podaci</w:t>
            </w:r>
            <w:proofErr w:type="spellEnd"/>
            <w:r w:rsidRPr="00383886">
              <w:rPr>
                <w:rFonts w:cs="Arial"/>
                <w:sz w:val="20"/>
                <w:lang w:val="en-GB"/>
              </w:rPr>
              <w:t xml:space="preserve"> </w:t>
            </w:r>
            <w:proofErr w:type="spellStart"/>
            <w:r w:rsidRPr="00383886">
              <w:rPr>
                <w:rFonts w:cs="Arial"/>
                <w:sz w:val="20"/>
                <w:lang w:val="en-GB"/>
              </w:rPr>
              <w:t>iz</w:t>
            </w:r>
            <w:proofErr w:type="spellEnd"/>
            <w:r w:rsidRPr="00383886">
              <w:rPr>
                <w:rFonts w:cs="Arial"/>
                <w:sz w:val="20"/>
                <w:lang w:val="en-GB"/>
              </w:rPr>
              <w:t xml:space="preserve"> </w:t>
            </w:r>
            <w:proofErr w:type="spellStart"/>
            <w:r w:rsidRPr="00383886">
              <w:rPr>
                <w:rFonts w:cs="Arial"/>
                <w:sz w:val="20"/>
                <w:lang w:val="en-GB"/>
              </w:rPr>
              <w:t>pojedničanih</w:t>
            </w:r>
            <w:proofErr w:type="spellEnd"/>
            <w:r w:rsidRPr="00383886">
              <w:rPr>
                <w:rFonts w:cs="Arial"/>
                <w:sz w:val="20"/>
                <w:lang w:val="en-GB"/>
              </w:rPr>
              <w:t xml:space="preserve"> </w:t>
            </w:r>
            <w:proofErr w:type="spellStart"/>
            <w:r w:rsidRPr="00383886">
              <w:rPr>
                <w:rFonts w:cs="Arial"/>
                <w:sz w:val="20"/>
                <w:lang w:val="en-GB"/>
              </w:rPr>
              <w:t>izvještaja</w:t>
            </w:r>
            <w:proofErr w:type="spellEnd"/>
            <w:r w:rsidRPr="00383886">
              <w:rPr>
                <w:rFonts w:cs="Arial"/>
                <w:sz w:val="20"/>
                <w:lang w:val="en-GB"/>
              </w:rPr>
              <w:t xml:space="preserve"> koji se MFSS, </w:t>
            </w:r>
            <w:proofErr w:type="spellStart"/>
            <w:r w:rsidRPr="00383886">
              <w:rPr>
                <w:rFonts w:cs="Arial"/>
                <w:sz w:val="20"/>
                <w:lang w:val="en-GB"/>
              </w:rPr>
              <w:t>dostavljaju</w:t>
            </w:r>
            <w:proofErr w:type="spellEnd"/>
            <w:r w:rsidRPr="00383886">
              <w:rPr>
                <w:rFonts w:cs="Arial"/>
                <w:sz w:val="20"/>
                <w:lang w:val="en-GB"/>
              </w:rPr>
              <w:t xml:space="preserve"> od </w:t>
            </w:r>
            <w:proofErr w:type="spellStart"/>
            <w:r w:rsidRPr="00383886">
              <w:rPr>
                <w:rFonts w:cs="Arial"/>
                <w:sz w:val="20"/>
                <w:lang w:val="en-GB"/>
              </w:rPr>
              <w:t>strane</w:t>
            </w:r>
            <w:proofErr w:type="spellEnd"/>
            <w:r w:rsidRPr="00383886">
              <w:rPr>
                <w:rFonts w:cs="Arial"/>
                <w:sz w:val="20"/>
                <w:lang w:val="en-GB"/>
              </w:rPr>
              <w:t xml:space="preserve"> </w:t>
            </w:r>
            <w:proofErr w:type="spellStart"/>
            <w:r w:rsidRPr="00383886">
              <w:rPr>
                <w:rFonts w:cs="Arial"/>
                <w:sz w:val="20"/>
                <w:lang w:val="en-GB"/>
              </w:rPr>
              <w:t>svih</w:t>
            </w:r>
            <w:proofErr w:type="spellEnd"/>
            <w:r w:rsidRPr="00383886">
              <w:rPr>
                <w:rFonts w:cs="Arial"/>
                <w:sz w:val="20"/>
                <w:lang w:val="en-GB"/>
              </w:rPr>
              <w:t xml:space="preserve"> </w:t>
            </w:r>
            <w:proofErr w:type="spellStart"/>
            <w:r w:rsidRPr="00383886">
              <w:rPr>
                <w:rFonts w:cs="Arial"/>
                <w:sz w:val="20"/>
                <w:lang w:val="en-GB"/>
              </w:rPr>
              <w:t>naručilaca</w:t>
            </w:r>
            <w:proofErr w:type="spellEnd"/>
            <w:r w:rsidRPr="00383886">
              <w:rPr>
                <w:rFonts w:cs="Arial"/>
                <w:sz w:val="20"/>
                <w:lang w:val="en-GB"/>
              </w:rPr>
              <w:t xml:space="preserve">. </w:t>
            </w:r>
            <w:proofErr w:type="spellStart"/>
            <w:r w:rsidRPr="00383886">
              <w:rPr>
                <w:rFonts w:cs="Arial"/>
                <w:sz w:val="20"/>
                <w:lang w:val="en-GB"/>
              </w:rPr>
              <w:t>Uz</w:t>
            </w:r>
            <w:proofErr w:type="spellEnd"/>
            <w:r w:rsidRPr="00383886">
              <w:rPr>
                <w:rFonts w:cs="Arial"/>
                <w:sz w:val="20"/>
                <w:lang w:val="en-GB"/>
              </w:rPr>
              <w:t xml:space="preserve"> </w:t>
            </w:r>
            <w:proofErr w:type="spellStart"/>
            <w:r w:rsidRPr="00383886">
              <w:rPr>
                <w:rFonts w:cs="Arial"/>
                <w:sz w:val="20"/>
                <w:lang w:val="en-GB"/>
              </w:rPr>
              <w:t>navedenu</w:t>
            </w:r>
            <w:proofErr w:type="spellEnd"/>
            <w:r w:rsidRPr="00383886">
              <w:rPr>
                <w:rFonts w:cs="Arial"/>
                <w:sz w:val="20"/>
                <w:lang w:val="en-GB"/>
              </w:rPr>
              <w:t xml:space="preserve"> </w:t>
            </w:r>
            <w:proofErr w:type="spellStart"/>
            <w:r w:rsidRPr="00383886">
              <w:rPr>
                <w:rFonts w:cs="Arial"/>
                <w:sz w:val="20"/>
                <w:lang w:val="en-GB"/>
              </w:rPr>
              <w:t>zakonsku</w:t>
            </w:r>
            <w:proofErr w:type="spellEnd"/>
            <w:r w:rsidRPr="00383886">
              <w:rPr>
                <w:rFonts w:cs="Arial"/>
                <w:sz w:val="20"/>
                <w:lang w:val="en-GB"/>
              </w:rPr>
              <w:t xml:space="preserve"> </w:t>
            </w:r>
            <w:proofErr w:type="spellStart"/>
            <w:r w:rsidRPr="00383886">
              <w:rPr>
                <w:rFonts w:cs="Arial"/>
                <w:sz w:val="20"/>
                <w:lang w:val="en-GB"/>
              </w:rPr>
              <w:t>obavezu</w:t>
            </w:r>
            <w:proofErr w:type="spellEnd"/>
            <w:r w:rsidRPr="00383886">
              <w:rPr>
                <w:rFonts w:cs="Arial"/>
                <w:sz w:val="20"/>
                <w:lang w:val="en-GB"/>
              </w:rPr>
              <w:t xml:space="preserve"> </w:t>
            </w:r>
            <w:proofErr w:type="spellStart"/>
            <w:r w:rsidRPr="00383886">
              <w:rPr>
                <w:rFonts w:cs="Arial"/>
                <w:sz w:val="20"/>
                <w:lang w:val="en-GB"/>
              </w:rPr>
              <w:t>podnošenja</w:t>
            </w:r>
            <w:proofErr w:type="spellEnd"/>
            <w:r w:rsidRPr="00383886">
              <w:rPr>
                <w:rFonts w:cs="Arial"/>
                <w:sz w:val="20"/>
                <w:lang w:val="en-GB"/>
              </w:rPr>
              <w:t xml:space="preserve"> </w:t>
            </w:r>
            <w:proofErr w:type="spellStart"/>
            <w:r w:rsidRPr="00383886">
              <w:rPr>
                <w:rFonts w:cs="Arial"/>
                <w:sz w:val="20"/>
                <w:lang w:val="en-GB"/>
              </w:rPr>
              <w:t>izvještaja</w:t>
            </w:r>
            <w:proofErr w:type="spellEnd"/>
            <w:r w:rsidRPr="00383886">
              <w:rPr>
                <w:rFonts w:cs="Arial"/>
                <w:sz w:val="20"/>
                <w:lang w:val="en-GB"/>
              </w:rPr>
              <w:t xml:space="preserve">, </w:t>
            </w:r>
            <w:proofErr w:type="spellStart"/>
            <w:r w:rsidRPr="00383886">
              <w:rPr>
                <w:rFonts w:cs="Arial"/>
                <w:sz w:val="20"/>
                <w:lang w:val="en-GB"/>
              </w:rPr>
              <w:t>cilj</w:t>
            </w:r>
            <w:proofErr w:type="spellEnd"/>
            <w:r w:rsidRPr="00383886">
              <w:rPr>
                <w:rFonts w:cs="Arial"/>
                <w:sz w:val="20"/>
                <w:lang w:val="en-GB"/>
              </w:rPr>
              <w:t xml:space="preserve"> </w:t>
            </w:r>
            <w:proofErr w:type="spellStart"/>
            <w:r w:rsidRPr="00383886">
              <w:rPr>
                <w:rFonts w:cs="Arial"/>
                <w:sz w:val="20"/>
                <w:lang w:val="en-GB"/>
              </w:rPr>
              <w:t>ovog</w:t>
            </w:r>
            <w:proofErr w:type="spellEnd"/>
            <w:r w:rsidRPr="00383886">
              <w:rPr>
                <w:rFonts w:cs="Arial"/>
                <w:sz w:val="20"/>
                <w:lang w:val="en-GB"/>
              </w:rPr>
              <w:t xml:space="preserve"> </w:t>
            </w:r>
            <w:proofErr w:type="spellStart"/>
            <w:r w:rsidRPr="00383886">
              <w:rPr>
                <w:rFonts w:cs="Arial"/>
                <w:sz w:val="20"/>
                <w:lang w:val="en-GB"/>
              </w:rPr>
              <w:t>izvještaja</w:t>
            </w:r>
            <w:proofErr w:type="spellEnd"/>
            <w:r w:rsidRPr="00383886">
              <w:rPr>
                <w:rFonts w:cs="Arial"/>
                <w:sz w:val="20"/>
                <w:lang w:val="en-GB"/>
              </w:rPr>
              <w:t xml:space="preserve"> je </w:t>
            </w:r>
            <w:proofErr w:type="spellStart"/>
            <w:r w:rsidRPr="00383886">
              <w:rPr>
                <w:rFonts w:cs="Arial"/>
                <w:sz w:val="20"/>
                <w:lang w:val="en-GB"/>
              </w:rPr>
              <w:t>povećanje</w:t>
            </w:r>
            <w:proofErr w:type="spellEnd"/>
            <w:r w:rsidRPr="00383886">
              <w:rPr>
                <w:rFonts w:cs="Arial"/>
                <w:sz w:val="20"/>
                <w:lang w:val="en-GB"/>
              </w:rPr>
              <w:t xml:space="preserve"> </w:t>
            </w:r>
            <w:proofErr w:type="spellStart"/>
            <w:r w:rsidRPr="00383886">
              <w:rPr>
                <w:rFonts w:cs="Arial"/>
                <w:sz w:val="20"/>
                <w:lang w:val="en-GB"/>
              </w:rPr>
              <w:t>transparentnosti</w:t>
            </w:r>
            <w:proofErr w:type="spellEnd"/>
            <w:r w:rsidRPr="00383886">
              <w:rPr>
                <w:rFonts w:cs="Arial"/>
                <w:sz w:val="20"/>
                <w:lang w:val="en-GB"/>
              </w:rPr>
              <w:t xml:space="preserve"> </w:t>
            </w:r>
            <w:proofErr w:type="spellStart"/>
            <w:r w:rsidRPr="00383886">
              <w:rPr>
                <w:rFonts w:cs="Arial"/>
                <w:sz w:val="20"/>
                <w:lang w:val="en-GB"/>
              </w:rPr>
              <w:t>kroz</w:t>
            </w:r>
            <w:proofErr w:type="spellEnd"/>
            <w:r w:rsidRPr="00383886">
              <w:rPr>
                <w:rFonts w:cs="Arial"/>
                <w:sz w:val="20"/>
                <w:lang w:val="en-GB"/>
              </w:rPr>
              <w:t xml:space="preserve"> </w:t>
            </w:r>
            <w:proofErr w:type="spellStart"/>
            <w:r w:rsidRPr="00383886">
              <w:rPr>
                <w:rFonts w:cs="Arial"/>
                <w:sz w:val="20"/>
                <w:lang w:val="en-GB"/>
              </w:rPr>
              <w:t>prikazivanje</w:t>
            </w:r>
            <w:proofErr w:type="spellEnd"/>
            <w:r w:rsidRPr="00383886">
              <w:rPr>
                <w:rFonts w:cs="Arial"/>
                <w:sz w:val="20"/>
                <w:lang w:val="en-GB"/>
              </w:rPr>
              <w:t xml:space="preserve"> </w:t>
            </w:r>
            <w:proofErr w:type="spellStart"/>
            <w:r w:rsidRPr="00383886">
              <w:rPr>
                <w:rFonts w:cs="Arial"/>
                <w:sz w:val="20"/>
                <w:lang w:val="en-GB"/>
              </w:rPr>
              <w:t>podataka</w:t>
            </w:r>
            <w:proofErr w:type="spellEnd"/>
            <w:r w:rsidRPr="00383886">
              <w:rPr>
                <w:rFonts w:cs="Arial"/>
                <w:sz w:val="20"/>
                <w:lang w:val="en-GB"/>
              </w:rPr>
              <w:t xml:space="preserve"> </w:t>
            </w:r>
            <w:proofErr w:type="spellStart"/>
            <w:r w:rsidRPr="00383886">
              <w:rPr>
                <w:rFonts w:cs="Arial"/>
                <w:sz w:val="20"/>
                <w:lang w:val="en-GB"/>
              </w:rPr>
              <w:t>od</w:t>
            </w:r>
            <w:proofErr w:type="spellEnd"/>
            <w:r w:rsidRPr="00383886">
              <w:rPr>
                <w:rFonts w:cs="Arial"/>
                <w:sz w:val="20"/>
                <w:lang w:val="en-GB"/>
              </w:rPr>
              <w:t xml:space="preserve"> </w:t>
            </w:r>
            <w:proofErr w:type="spellStart"/>
            <w:r w:rsidRPr="00383886">
              <w:rPr>
                <w:rFonts w:cs="Arial"/>
                <w:sz w:val="20"/>
                <w:lang w:val="en-GB"/>
              </w:rPr>
              <w:t>značaja</w:t>
            </w:r>
            <w:proofErr w:type="spellEnd"/>
            <w:r w:rsidRPr="00383886">
              <w:rPr>
                <w:rFonts w:cs="Arial"/>
                <w:sz w:val="20"/>
                <w:lang w:val="en-GB"/>
              </w:rPr>
              <w:t xml:space="preserve"> za </w:t>
            </w:r>
            <w:proofErr w:type="spellStart"/>
            <w:r w:rsidRPr="00383886">
              <w:rPr>
                <w:rFonts w:cs="Arial"/>
                <w:sz w:val="20"/>
                <w:lang w:val="en-GB"/>
              </w:rPr>
              <w:t>sistem</w:t>
            </w:r>
            <w:proofErr w:type="spellEnd"/>
            <w:r w:rsidRPr="00383886">
              <w:rPr>
                <w:rFonts w:cs="Arial"/>
                <w:sz w:val="20"/>
                <w:lang w:val="en-GB"/>
              </w:rPr>
              <w:t xml:space="preserve"> </w:t>
            </w:r>
            <w:proofErr w:type="spellStart"/>
            <w:r w:rsidRPr="00383886">
              <w:rPr>
                <w:rFonts w:cs="Arial"/>
                <w:sz w:val="20"/>
                <w:lang w:val="en-GB"/>
              </w:rPr>
              <w:t>javnih</w:t>
            </w:r>
            <w:proofErr w:type="spellEnd"/>
            <w:r w:rsidRPr="00383886">
              <w:rPr>
                <w:rFonts w:cs="Arial"/>
                <w:sz w:val="20"/>
                <w:lang w:val="en-GB"/>
              </w:rPr>
              <w:t xml:space="preserve"> </w:t>
            </w:r>
            <w:proofErr w:type="spellStart"/>
            <w:r w:rsidRPr="00383886">
              <w:rPr>
                <w:rFonts w:cs="Arial"/>
                <w:sz w:val="20"/>
                <w:lang w:val="en-GB"/>
              </w:rPr>
              <w:t>nabavki</w:t>
            </w:r>
            <w:proofErr w:type="spellEnd"/>
            <w:r w:rsidRPr="00383886">
              <w:rPr>
                <w:rFonts w:cs="Arial"/>
                <w:sz w:val="20"/>
                <w:lang w:val="en-GB"/>
              </w:rPr>
              <w:t xml:space="preserve">, </w:t>
            </w:r>
            <w:proofErr w:type="spellStart"/>
            <w:r w:rsidRPr="00383886">
              <w:rPr>
                <w:rFonts w:cs="Arial"/>
                <w:sz w:val="20"/>
                <w:lang w:val="en-GB"/>
              </w:rPr>
              <w:t>kao</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upoznavanje</w:t>
            </w:r>
            <w:proofErr w:type="spellEnd"/>
            <w:r w:rsidRPr="00383886">
              <w:rPr>
                <w:rFonts w:cs="Arial"/>
                <w:sz w:val="20"/>
                <w:lang w:val="en-GB"/>
              </w:rPr>
              <w:t xml:space="preserve"> </w:t>
            </w:r>
            <w:proofErr w:type="spellStart"/>
            <w:r w:rsidRPr="00383886">
              <w:rPr>
                <w:rFonts w:cs="Arial"/>
                <w:sz w:val="20"/>
                <w:lang w:val="en-GB"/>
              </w:rPr>
              <w:t>stručne</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poslovne</w:t>
            </w:r>
            <w:proofErr w:type="spellEnd"/>
            <w:r w:rsidRPr="00383886">
              <w:rPr>
                <w:rFonts w:cs="Arial"/>
                <w:sz w:val="20"/>
                <w:lang w:val="en-GB"/>
              </w:rPr>
              <w:t xml:space="preserve"> </w:t>
            </w:r>
            <w:proofErr w:type="spellStart"/>
            <w:r w:rsidRPr="00383886">
              <w:rPr>
                <w:rFonts w:cs="Arial"/>
                <w:sz w:val="20"/>
                <w:lang w:val="en-GB"/>
              </w:rPr>
              <w:t>javnosti</w:t>
            </w:r>
            <w:proofErr w:type="spellEnd"/>
            <w:r w:rsidRPr="00383886">
              <w:rPr>
                <w:rFonts w:cs="Arial"/>
                <w:sz w:val="20"/>
                <w:lang w:val="en-GB"/>
              </w:rPr>
              <w:t xml:space="preserve"> </w:t>
            </w:r>
            <w:proofErr w:type="spellStart"/>
            <w:r w:rsidRPr="00383886">
              <w:rPr>
                <w:rFonts w:cs="Arial"/>
                <w:sz w:val="20"/>
                <w:lang w:val="en-GB"/>
              </w:rPr>
              <w:t>sa</w:t>
            </w:r>
            <w:proofErr w:type="spellEnd"/>
            <w:r w:rsidRPr="00383886">
              <w:rPr>
                <w:rFonts w:cs="Arial"/>
                <w:sz w:val="20"/>
                <w:lang w:val="en-GB"/>
              </w:rPr>
              <w:t xml:space="preserve"> </w:t>
            </w:r>
            <w:proofErr w:type="spellStart"/>
            <w:r w:rsidRPr="00383886">
              <w:rPr>
                <w:rFonts w:cs="Arial"/>
                <w:sz w:val="20"/>
                <w:lang w:val="en-GB"/>
              </w:rPr>
              <w:t>istim</w:t>
            </w:r>
            <w:proofErr w:type="spellEnd"/>
            <w:r w:rsidRPr="00383886">
              <w:rPr>
                <w:rFonts w:cs="Arial"/>
                <w:sz w:val="20"/>
                <w:lang w:val="en-GB"/>
              </w:rPr>
              <w:t xml:space="preserve">. </w:t>
            </w:r>
            <w:proofErr w:type="spellStart"/>
            <w:r w:rsidRPr="00383886">
              <w:rPr>
                <w:rFonts w:cs="Arial"/>
                <w:sz w:val="20"/>
                <w:lang w:val="en-GB"/>
              </w:rPr>
              <w:t>Ministarstvo</w:t>
            </w:r>
            <w:proofErr w:type="spellEnd"/>
            <w:r w:rsidRPr="00383886">
              <w:rPr>
                <w:rFonts w:cs="Arial"/>
                <w:sz w:val="20"/>
                <w:lang w:val="en-GB"/>
              </w:rPr>
              <w:t xml:space="preserve"> </w:t>
            </w:r>
            <w:proofErr w:type="spellStart"/>
            <w:r w:rsidRPr="00383886">
              <w:rPr>
                <w:rFonts w:cs="Arial"/>
                <w:sz w:val="20"/>
                <w:lang w:val="en-GB"/>
              </w:rPr>
              <w:t>pripremom</w:t>
            </w:r>
            <w:proofErr w:type="spellEnd"/>
            <w:r w:rsidRPr="00383886">
              <w:rPr>
                <w:rFonts w:cs="Arial"/>
                <w:sz w:val="20"/>
                <w:lang w:val="en-GB"/>
              </w:rPr>
              <w:t xml:space="preserve"> </w:t>
            </w:r>
            <w:proofErr w:type="spellStart"/>
            <w:r w:rsidRPr="00383886">
              <w:rPr>
                <w:rFonts w:cs="Arial"/>
                <w:sz w:val="20"/>
                <w:lang w:val="en-GB"/>
              </w:rPr>
              <w:t>izvještaja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analizom</w:t>
            </w:r>
            <w:proofErr w:type="spellEnd"/>
            <w:r w:rsidRPr="00383886">
              <w:rPr>
                <w:rFonts w:cs="Arial"/>
                <w:sz w:val="20"/>
                <w:lang w:val="en-GB"/>
              </w:rPr>
              <w:t xml:space="preserve"> </w:t>
            </w:r>
            <w:proofErr w:type="spellStart"/>
            <w:r w:rsidRPr="00383886">
              <w:rPr>
                <w:rFonts w:cs="Arial"/>
                <w:sz w:val="20"/>
                <w:lang w:val="en-GB"/>
              </w:rPr>
              <w:t>pokazatelja</w:t>
            </w:r>
            <w:proofErr w:type="spellEnd"/>
            <w:r w:rsidRPr="00383886">
              <w:rPr>
                <w:rFonts w:cs="Arial"/>
                <w:sz w:val="20"/>
                <w:lang w:val="en-GB"/>
              </w:rPr>
              <w:t xml:space="preserve">, </w:t>
            </w:r>
            <w:proofErr w:type="spellStart"/>
            <w:r w:rsidRPr="00383886">
              <w:rPr>
                <w:rFonts w:cs="Arial"/>
                <w:sz w:val="20"/>
                <w:lang w:val="en-GB"/>
              </w:rPr>
              <w:t>istovremeno</w:t>
            </w:r>
            <w:proofErr w:type="spellEnd"/>
            <w:r w:rsidRPr="00383886">
              <w:rPr>
                <w:rFonts w:cs="Arial"/>
                <w:sz w:val="20"/>
                <w:lang w:val="en-GB"/>
              </w:rPr>
              <w:t xml:space="preserve">, </w:t>
            </w:r>
            <w:proofErr w:type="spellStart"/>
            <w:r w:rsidRPr="00383886">
              <w:rPr>
                <w:rFonts w:cs="Arial"/>
                <w:sz w:val="20"/>
                <w:lang w:val="en-GB"/>
              </w:rPr>
              <w:t>izvršava</w:t>
            </w:r>
            <w:proofErr w:type="spellEnd"/>
            <w:r w:rsidRPr="00383886">
              <w:rPr>
                <w:rFonts w:cs="Arial"/>
                <w:sz w:val="20"/>
                <w:lang w:val="en-GB"/>
              </w:rPr>
              <w:t xml:space="preserve"> </w:t>
            </w:r>
            <w:proofErr w:type="spellStart"/>
            <w:r w:rsidRPr="00383886">
              <w:rPr>
                <w:rFonts w:cs="Arial"/>
                <w:sz w:val="20"/>
                <w:lang w:val="en-GB"/>
              </w:rPr>
              <w:t>sveobuhvatnu</w:t>
            </w:r>
            <w:proofErr w:type="spellEnd"/>
            <w:r w:rsidRPr="00383886">
              <w:rPr>
                <w:rFonts w:cs="Arial"/>
                <w:sz w:val="20"/>
                <w:lang w:val="en-GB"/>
              </w:rPr>
              <w:t xml:space="preserve"> </w:t>
            </w:r>
            <w:proofErr w:type="spellStart"/>
            <w:r w:rsidRPr="00383886">
              <w:rPr>
                <w:rFonts w:cs="Arial"/>
                <w:sz w:val="20"/>
                <w:lang w:val="en-GB"/>
              </w:rPr>
              <w:t>procjenu</w:t>
            </w:r>
            <w:proofErr w:type="spellEnd"/>
            <w:r w:rsidRPr="00383886">
              <w:rPr>
                <w:rFonts w:cs="Arial"/>
                <w:sz w:val="20"/>
                <w:lang w:val="en-GB"/>
              </w:rPr>
              <w:t xml:space="preserve"> </w:t>
            </w:r>
            <w:proofErr w:type="spellStart"/>
            <w:r w:rsidRPr="00383886">
              <w:rPr>
                <w:rFonts w:cs="Arial"/>
                <w:sz w:val="20"/>
                <w:lang w:val="en-GB"/>
              </w:rPr>
              <w:t>sistema</w:t>
            </w:r>
            <w:proofErr w:type="spellEnd"/>
            <w:r w:rsidRPr="00383886">
              <w:rPr>
                <w:rFonts w:cs="Arial"/>
                <w:sz w:val="20"/>
                <w:lang w:val="en-GB"/>
              </w:rPr>
              <w:t xml:space="preserve"> </w:t>
            </w:r>
            <w:proofErr w:type="spellStart"/>
            <w:r w:rsidRPr="00383886">
              <w:rPr>
                <w:rFonts w:cs="Arial"/>
                <w:sz w:val="20"/>
                <w:lang w:val="en-GB"/>
              </w:rPr>
              <w:t>javnih</w:t>
            </w:r>
            <w:proofErr w:type="spellEnd"/>
            <w:r w:rsidRPr="00383886">
              <w:rPr>
                <w:rFonts w:cs="Arial"/>
                <w:sz w:val="20"/>
                <w:lang w:val="en-GB"/>
              </w:rPr>
              <w:t xml:space="preserve"> </w:t>
            </w:r>
            <w:proofErr w:type="spellStart"/>
            <w:r w:rsidRPr="00383886">
              <w:rPr>
                <w:rFonts w:cs="Arial"/>
                <w:sz w:val="20"/>
                <w:lang w:val="en-GB"/>
              </w:rPr>
              <w:t>nabavki</w:t>
            </w:r>
            <w:proofErr w:type="spellEnd"/>
            <w:r w:rsidRPr="00383886">
              <w:rPr>
                <w:rFonts w:cs="Arial"/>
                <w:sz w:val="20"/>
                <w:lang w:val="en-GB"/>
              </w:rPr>
              <w:t xml:space="preserve">. </w:t>
            </w:r>
            <w:proofErr w:type="spellStart"/>
            <w:r w:rsidRPr="00383886">
              <w:rPr>
                <w:rFonts w:cs="Arial"/>
                <w:sz w:val="20"/>
                <w:lang w:val="en-GB"/>
              </w:rPr>
              <w:t>Izvještaj</w:t>
            </w:r>
            <w:proofErr w:type="spellEnd"/>
            <w:r w:rsidRPr="00383886">
              <w:rPr>
                <w:rFonts w:cs="Arial"/>
                <w:sz w:val="20"/>
                <w:lang w:val="en-GB"/>
              </w:rPr>
              <w:t xml:space="preserve"> o </w:t>
            </w:r>
            <w:proofErr w:type="spellStart"/>
            <w:r w:rsidRPr="00383886">
              <w:rPr>
                <w:rFonts w:cs="Arial"/>
                <w:sz w:val="20"/>
                <w:lang w:val="en-GB"/>
              </w:rPr>
              <w:t>javnim</w:t>
            </w:r>
            <w:proofErr w:type="spellEnd"/>
            <w:r w:rsidRPr="00383886">
              <w:rPr>
                <w:rFonts w:cs="Arial"/>
                <w:sz w:val="20"/>
                <w:lang w:val="en-GB"/>
              </w:rPr>
              <w:t xml:space="preserve"> </w:t>
            </w:r>
            <w:proofErr w:type="spellStart"/>
            <w:r w:rsidRPr="00383886">
              <w:rPr>
                <w:rFonts w:cs="Arial"/>
                <w:sz w:val="20"/>
                <w:lang w:val="en-GB"/>
              </w:rPr>
              <w:t>nabavkama</w:t>
            </w:r>
            <w:proofErr w:type="spellEnd"/>
            <w:r w:rsidRPr="00383886">
              <w:rPr>
                <w:rFonts w:cs="Arial"/>
                <w:sz w:val="20"/>
                <w:lang w:val="en-GB"/>
              </w:rPr>
              <w:t xml:space="preserve"> </w:t>
            </w:r>
            <w:proofErr w:type="spellStart"/>
            <w:r w:rsidRPr="00383886">
              <w:rPr>
                <w:rFonts w:cs="Arial"/>
                <w:sz w:val="20"/>
                <w:lang w:val="en-GB"/>
              </w:rPr>
              <w:t>će</w:t>
            </w:r>
            <w:proofErr w:type="spellEnd"/>
            <w:r w:rsidRPr="00383886">
              <w:rPr>
                <w:rFonts w:cs="Arial"/>
                <w:sz w:val="20"/>
                <w:lang w:val="en-GB"/>
              </w:rPr>
              <w:t xml:space="preserve"> </w:t>
            </w:r>
            <w:proofErr w:type="spellStart"/>
            <w:r w:rsidRPr="00383886">
              <w:rPr>
                <w:rFonts w:cs="Arial"/>
                <w:sz w:val="20"/>
                <w:lang w:val="en-GB"/>
              </w:rPr>
              <w:t>biti</w:t>
            </w:r>
            <w:proofErr w:type="spellEnd"/>
            <w:r w:rsidRPr="00383886">
              <w:rPr>
                <w:rFonts w:cs="Arial"/>
                <w:sz w:val="20"/>
                <w:lang w:val="en-GB"/>
              </w:rPr>
              <w:t xml:space="preserve"> </w:t>
            </w:r>
            <w:proofErr w:type="spellStart"/>
            <w:r w:rsidRPr="00383886">
              <w:rPr>
                <w:rFonts w:cs="Arial"/>
                <w:sz w:val="20"/>
                <w:lang w:val="en-GB"/>
              </w:rPr>
              <w:t>koncipiran</w:t>
            </w:r>
            <w:proofErr w:type="spellEnd"/>
            <w:r w:rsidRPr="00383886">
              <w:rPr>
                <w:rFonts w:cs="Arial"/>
                <w:sz w:val="20"/>
                <w:lang w:val="en-GB"/>
              </w:rPr>
              <w:t xml:space="preserve"> </w:t>
            </w:r>
            <w:proofErr w:type="spellStart"/>
            <w:r w:rsidRPr="00383886">
              <w:rPr>
                <w:rFonts w:cs="Arial"/>
                <w:sz w:val="20"/>
                <w:lang w:val="en-GB"/>
              </w:rPr>
              <w:t>tako</w:t>
            </w:r>
            <w:proofErr w:type="spellEnd"/>
            <w:r w:rsidRPr="00383886">
              <w:rPr>
                <w:rFonts w:cs="Arial"/>
                <w:sz w:val="20"/>
                <w:lang w:val="en-GB"/>
              </w:rPr>
              <w:t xml:space="preserve"> da </w:t>
            </w:r>
            <w:proofErr w:type="spellStart"/>
            <w:r w:rsidRPr="00383886">
              <w:rPr>
                <w:rFonts w:cs="Arial"/>
                <w:sz w:val="20"/>
                <w:lang w:val="en-GB"/>
              </w:rPr>
              <w:t>daje</w:t>
            </w:r>
            <w:proofErr w:type="spellEnd"/>
            <w:r w:rsidRPr="00383886">
              <w:rPr>
                <w:rFonts w:cs="Arial"/>
                <w:sz w:val="20"/>
                <w:lang w:val="en-GB"/>
              </w:rPr>
              <w:t xml:space="preserve"> </w:t>
            </w:r>
            <w:proofErr w:type="spellStart"/>
            <w:r w:rsidRPr="00383886">
              <w:rPr>
                <w:rFonts w:cs="Arial"/>
                <w:sz w:val="20"/>
                <w:lang w:val="en-GB"/>
              </w:rPr>
              <w:t>jasan</w:t>
            </w:r>
            <w:proofErr w:type="spellEnd"/>
            <w:r w:rsidRPr="00383886">
              <w:rPr>
                <w:rFonts w:cs="Arial"/>
                <w:sz w:val="20"/>
                <w:lang w:val="en-GB"/>
              </w:rPr>
              <w:t xml:space="preserve"> </w:t>
            </w:r>
            <w:proofErr w:type="spellStart"/>
            <w:r w:rsidRPr="00383886">
              <w:rPr>
                <w:rFonts w:cs="Arial"/>
                <w:sz w:val="20"/>
                <w:lang w:val="en-GB"/>
              </w:rPr>
              <w:t>pregled</w:t>
            </w:r>
            <w:proofErr w:type="spellEnd"/>
            <w:r w:rsidRPr="00383886">
              <w:rPr>
                <w:rFonts w:cs="Arial"/>
                <w:sz w:val="20"/>
                <w:lang w:val="en-GB"/>
              </w:rPr>
              <w:t xml:space="preserve"> </w:t>
            </w:r>
            <w:proofErr w:type="spellStart"/>
            <w:r w:rsidRPr="00383886">
              <w:rPr>
                <w:rFonts w:cs="Arial"/>
                <w:sz w:val="20"/>
                <w:lang w:val="en-GB"/>
              </w:rPr>
              <w:t>ciljeva</w:t>
            </w:r>
            <w:proofErr w:type="spellEnd"/>
            <w:r w:rsidRPr="00383886">
              <w:rPr>
                <w:rFonts w:cs="Arial"/>
                <w:sz w:val="20"/>
                <w:lang w:val="en-GB"/>
              </w:rPr>
              <w:t xml:space="preserve"> </w:t>
            </w:r>
            <w:proofErr w:type="spellStart"/>
            <w:r w:rsidRPr="00383886">
              <w:rPr>
                <w:rFonts w:cs="Arial"/>
                <w:sz w:val="20"/>
                <w:lang w:val="en-GB"/>
              </w:rPr>
              <w:t>politike</w:t>
            </w:r>
            <w:proofErr w:type="spellEnd"/>
            <w:r w:rsidRPr="00383886">
              <w:rPr>
                <w:rFonts w:cs="Arial"/>
                <w:sz w:val="20"/>
                <w:lang w:val="en-GB"/>
              </w:rPr>
              <w:t xml:space="preserve"> </w:t>
            </w:r>
            <w:proofErr w:type="spellStart"/>
            <w:r w:rsidRPr="00383886">
              <w:rPr>
                <w:rFonts w:cs="Arial"/>
                <w:sz w:val="20"/>
                <w:lang w:val="en-GB"/>
              </w:rPr>
              <w:t>javnih</w:t>
            </w:r>
            <w:proofErr w:type="spellEnd"/>
            <w:r w:rsidRPr="00383886">
              <w:rPr>
                <w:rFonts w:cs="Arial"/>
                <w:sz w:val="20"/>
                <w:lang w:val="en-GB"/>
              </w:rPr>
              <w:t xml:space="preserve"> </w:t>
            </w:r>
            <w:proofErr w:type="spellStart"/>
            <w:r w:rsidRPr="00383886">
              <w:rPr>
                <w:rFonts w:cs="Arial"/>
                <w:sz w:val="20"/>
                <w:lang w:val="en-GB"/>
              </w:rPr>
              <w:t>nabavki</w:t>
            </w:r>
            <w:proofErr w:type="spellEnd"/>
            <w:r w:rsidRPr="00383886">
              <w:rPr>
                <w:rFonts w:cs="Arial"/>
                <w:sz w:val="20"/>
                <w:lang w:val="en-GB"/>
              </w:rPr>
              <w:t xml:space="preserve">, </w:t>
            </w:r>
            <w:proofErr w:type="spellStart"/>
            <w:r w:rsidRPr="00383886">
              <w:rPr>
                <w:rFonts w:cs="Arial"/>
                <w:sz w:val="20"/>
                <w:lang w:val="en-GB"/>
              </w:rPr>
              <w:t>zakonodavnog</w:t>
            </w:r>
            <w:proofErr w:type="spellEnd"/>
            <w:r w:rsidRPr="00383886">
              <w:rPr>
                <w:rFonts w:cs="Arial"/>
                <w:sz w:val="20"/>
                <w:lang w:val="en-GB"/>
              </w:rPr>
              <w:t xml:space="preserve"> </w:t>
            </w:r>
            <w:proofErr w:type="spellStart"/>
            <w:r w:rsidRPr="00383886">
              <w:rPr>
                <w:rFonts w:cs="Arial"/>
                <w:sz w:val="20"/>
                <w:lang w:val="en-GB"/>
              </w:rPr>
              <w:t>okvira</w:t>
            </w:r>
            <w:proofErr w:type="spellEnd"/>
            <w:r w:rsidRPr="00383886">
              <w:rPr>
                <w:rFonts w:cs="Arial"/>
                <w:sz w:val="20"/>
                <w:lang w:val="en-GB"/>
              </w:rPr>
              <w:t xml:space="preserve">, </w:t>
            </w:r>
            <w:proofErr w:type="spellStart"/>
            <w:r w:rsidRPr="00383886">
              <w:rPr>
                <w:rFonts w:cs="Arial"/>
                <w:sz w:val="20"/>
                <w:lang w:val="en-GB"/>
              </w:rPr>
              <w:t>prikaza</w:t>
            </w:r>
            <w:proofErr w:type="spellEnd"/>
            <w:r w:rsidRPr="00383886">
              <w:rPr>
                <w:rFonts w:cs="Arial"/>
                <w:sz w:val="20"/>
                <w:lang w:val="en-GB"/>
              </w:rPr>
              <w:t xml:space="preserve"> </w:t>
            </w:r>
            <w:proofErr w:type="spellStart"/>
            <w:r w:rsidRPr="00383886">
              <w:rPr>
                <w:rFonts w:cs="Arial"/>
                <w:sz w:val="20"/>
                <w:lang w:val="en-GB"/>
              </w:rPr>
              <w:t>podataka</w:t>
            </w:r>
            <w:proofErr w:type="spellEnd"/>
            <w:r w:rsidRPr="00383886">
              <w:rPr>
                <w:rFonts w:cs="Arial"/>
                <w:sz w:val="20"/>
                <w:lang w:val="en-GB"/>
              </w:rPr>
              <w:t xml:space="preserve"> o </w:t>
            </w:r>
            <w:proofErr w:type="spellStart"/>
            <w:r w:rsidRPr="00383886">
              <w:rPr>
                <w:rFonts w:cs="Arial"/>
                <w:sz w:val="20"/>
                <w:lang w:val="en-GB"/>
              </w:rPr>
              <w:t>sprovedenim</w:t>
            </w:r>
            <w:proofErr w:type="spellEnd"/>
            <w:r w:rsidRPr="00383886">
              <w:rPr>
                <w:rFonts w:cs="Arial"/>
                <w:sz w:val="20"/>
                <w:lang w:val="en-GB"/>
              </w:rPr>
              <w:t xml:space="preserve"> </w:t>
            </w:r>
            <w:proofErr w:type="spellStart"/>
            <w:r w:rsidRPr="00383886">
              <w:rPr>
                <w:rFonts w:cs="Arial"/>
                <w:sz w:val="20"/>
                <w:lang w:val="en-GB"/>
              </w:rPr>
              <w:t>javnim</w:t>
            </w:r>
            <w:proofErr w:type="spellEnd"/>
            <w:r w:rsidRPr="00383886">
              <w:rPr>
                <w:rFonts w:cs="Arial"/>
                <w:sz w:val="20"/>
                <w:lang w:val="en-GB"/>
              </w:rPr>
              <w:t xml:space="preserve"> </w:t>
            </w:r>
            <w:proofErr w:type="spellStart"/>
            <w:r w:rsidRPr="00383886">
              <w:rPr>
                <w:rFonts w:cs="Arial"/>
                <w:sz w:val="20"/>
                <w:lang w:val="en-GB"/>
              </w:rPr>
              <w:t>nabavkama</w:t>
            </w:r>
            <w:proofErr w:type="spellEnd"/>
            <w:r w:rsidRPr="00383886">
              <w:rPr>
                <w:rFonts w:cs="Arial"/>
                <w:sz w:val="20"/>
                <w:lang w:val="en-GB"/>
              </w:rPr>
              <w:t xml:space="preserve"> u </w:t>
            </w:r>
            <w:proofErr w:type="spellStart"/>
            <w:r w:rsidRPr="00383886">
              <w:rPr>
                <w:rFonts w:cs="Arial"/>
                <w:sz w:val="20"/>
                <w:lang w:val="en-GB"/>
              </w:rPr>
              <w:t>prvoj</w:t>
            </w:r>
            <w:proofErr w:type="spellEnd"/>
            <w:r w:rsidRPr="00383886">
              <w:rPr>
                <w:rFonts w:cs="Arial"/>
                <w:sz w:val="20"/>
                <w:lang w:val="en-GB"/>
              </w:rPr>
              <w:t xml:space="preserve"> </w:t>
            </w:r>
            <w:proofErr w:type="spellStart"/>
            <w:r w:rsidRPr="00383886">
              <w:rPr>
                <w:rFonts w:cs="Arial"/>
                <w:sz w:val="20"/>
                <w:lang w:val="en-GB"/>
              </w:rPr>
              <w:t>polovini</w:t>
            </w:r>
            <w:proofErr w:type="spellEnd"/>
            <w:r w:rsidRPr="00383886">
              <w:rPr>
                <w:rFonts w:cs="Arial"/>
                <w:sz w:val="20"/>
                <w:lang w:val="en-GB"/>
              </w:rPr>
              <w:t xml:space="preserve"> 2021. </w:t>
            </w:r>
            <w:proofErr w:type="spellStart"/>
            <w:r w:rsidRPr="00383886">
              <w:rPr>
                <w:rFonts w:cs="Arial"/>
                <w:sz w:val="20"/>
                <w:lang w:val="en-GB"/>
              </w:rPr>
              <w:t>godine</w:t>
            </w:r>
            <w:proofErr w:type="spellEnd"/>
            <w:r w:rsidRPr="00383886">
              <w:rPr>
                <w:rFonts w:cs="Arial"/>
                <w:sz w:val="20"/>
                <w:lang w:val="en-GB"/>
              </w:rPr>
              <w:t xml:space="preserve"> </w:t>
            </w:r>
            <w:proofErr w:type="spellStart"/>
            <w:r w:rsidRPr="00383886">
              <w:rPr>
                <w:rFonts w:cs="Arial"/>
                <w:sz w:val="20"/>
                <w:lang w:val="en-GB"/>
              </w:rPr>
              <w:t>kao</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aktivnosti</w:t>
            </w:r>
            <w:proofErr w:type="spellEnd"/>
            <w:r w:rsidRPr="00383886">
              <w:rPr>
                <w:rFonts w:cs="Arial"/>
                <w:sz w:val="20"/>
                <w:lang w:val="en-GB"/>
              </w:rPr>
              <w:t xml:space="preserve"> u </w:t>
            </w:r>
            <w:proofErr w:type="spellStart"/>
            <w:r w:rsidRPr="00383886">
              <w:rPr>
                <w:rFonts w:cs="Arial"/>
                <w:sz w:val="20"/>
                <w:lang w:val="en-GB"/>
              </w:rPr>
              <w:t>procesu</w:t>
            </w:r>
            <w:proofErr w:type="spellEnd"/>
            <w:r w:rsidRPr="00383886">
              <w:rPr>
                <w:rFonts w:cs="Arial"/>
                <w:sz w:val="20"/>
                <w:lang w:val="en-GB"/>
              </w:rPr>
              <w:t xml:space="preserve"> </w:t>
            </w:r>
            <w:proofErr w:type="spellStart"/>
            <w:r w:rsidRPr="00383886">
              <w:rPr>
                <w:rFonts w:cs="Arial"/>
                <w:sz w:val="20"/>
                <w:lang w:val="en-GB"/>
              </w:rPr>
              <w:t>pridruživanja</w:t>
            </w:r>
            <w:proofErr w:type="spellEnd"/>
            <w:r w:rsidRPr="00383886">
              <w:rPr>
                <w:rFonts w:cs="Arial"/>
                <w:sz w:val="20"/>
                <w:lang w:val="en-GB"/>
              </w:rPr>
              <w:t xml:space="preserve"> </w:t>
            </w:r>
            <w:proofErr w:type="spellStart"/>
            <w:r w:rsidRPr="00383886">
              <w:rPr>
                <w:rFonts w:cs="Arial"/>
                <w:sz w:val="20"/>
                <w:lang w:val="en-GB"/>
              </w:rPr>
              <w:t>Evropskoj</w:t>
            </w:r>
            <w:proofErr w:type="spellEnd"/>
            <w:r w:rsidRPr="00383886">
              <w:rPr>
                <w:rFonts w:cs="Arial"/>
                <w:sz w:val="20"/>
                <w:lang w:val="en-GB"/>
              </w:rPr>
              <w:t xml:space="preserve"> </w:t>
            </w:r>
            <w:proofErr w:type="spellStart"/>
            <w:r w:rsidRPr="00383886">
              <w:rPr>
                <w:rFonts w:cs="Arial"/>
                <w:sz w:val="20"/>
                <w:lang w:val="en-GB"/>
              </w:rPr>
              <w:t>uniji</w:t>
            </w:r>
            <w:proofErr w:type="spellEnd"/>
            <w:r w:rsidRPr="00383886">
              <w:rPr>
                <w:rFonts w:cs="Arial"/>
                <w:sz w:val="20"/>
                <w:lang w:val="en-GB"/>
              </w:rPr>
              <w:t>.</w:t>
            </w:r>
          </w:p>
        </w:tc>
      </w:tr>
      <w:tr w:rsidR="00383886" w:rsidRPr="00383886" w14:paraId="3B60CF80" w14:textId="77777777" w:rsidTr="00FD6B98">
        <w:tc>
          <w:tcPr>
            <w:tcW w:w="586" w:type="dxa"/>
            <w:gridSpan w:val="2"/>
            <w:vAlign w:val="center"/>
          </w:tcPr>
          <w:p w14:paraId="334A77CC" w14:textId="77777777" w:rsidR="00383886" w:rsidRPr="00383886" w:rsidRDefault="00383886" w:rsidP="00FD6B98">
            <w:pPr>
              <w:spacing w:before="20" w:after="20"/>
              <w:jc w:val="both"/>
              <w:rPr>
                <w:rFonts w:cs="Arial"/>
                <w:sz w:val="20"/>
              </w:rPr>
            </w:pPr>
            <w:r w:rsidRPr="00383886">
              <w:rPr>
                <w:rFonts w:cs="Arial"/>
                <w:sz w:val="20"/>
              </w:rPr>
              <w:t>7.</w:t>
            </w:r>
          </w:p>
        </w:tc>
        <w:tc>
          <w:tcPr>
            <w:tcW w:w="2012" w:type="dxa"/>
            <w:vAlign w:val="center"/>
          </w:tcPr>
          <w:p w14:paraId="4AE2A201" w14:textId="77777777" w:rsidR="00383886" w:rsidRPr="00383886" w:rsidRDefault="00383886" w:rsidP="00FD6B98">
            <w:pPr>
              <w:jc w:val="both"/>
              <w:rPr>
                <w:rFonts w:cs="Arial"/>
                <w:sz w:val="20"/>
                <w:lang w:val="en-GB"/>
              </w:rPr>
            </w:pPr>
            <w:r w:rsidRPr="00383886">
              <w:rPr>
                <w:rFonts w:cs="Arial"/>
                <w:sz w:val="20"/>
              </w:rPr>
              <w:t xml:space="preserve">Donijeti Odluku o obračunskoj vrijednosti </w:t>
            </w:r>
            <w:r w:rsidRPr="00383886">
              <w:rPr>
                <w:rFonts w:cs="Arial"/>
                <w:sz w:val="20"/>
              </w:rPr>
              <w:lastRenderedPageBreak/>
              <w:t>koeficijenta za zaposlene u javnom sektoru za fiskalnu 2022. godinu</w:t>
            </w:r>
          </w:p>
        </w:tc>
        <w:tc>
          <w:tcPr>
            <w:tcW w:w="2066" w:type="dxa"/>
            <w:vAlign w:val="center"/>
          </w:tcPr>
          <w:p w14:paraId="736DD27B" w14:textId="77777777" w:rsidR="00383886" w:rsidRPr="00383886" w:rsidRDefault="00383886" w:rsidP="00FD6B98">
            <w:pPr>
              <w:jc w:val="both"/>
              <w:rPr>
                <w:rFonts w:cs="Arial"/>
                <w:sz w:val="20"/>
                <w:lang w:val="en-GB"/>
              </w:rPr>
            </w:pPr>
            <w:r w:rsidRPr="00383886">
              <w:rPr>
                <w:rFonts w:cs="Arial"/>
                <w:sz w:val="20"/>
              </w:rPr>
              <w:lastRenderedPageBreak/>
              <w:t xml:space="preserve">Donesena Odluka o obračunskoj vrijednosti </w:t>
            </w:r>
            <w:r w:rsidRPr="00383886">
              <w:rPr>
                <w:rFonts w:cs="Arial"/>
                <w:sz w:val="20"/>
              </w:rPr>
              <w:lastRenderedPageBreak/>
              <w:t>koeficijenta za zaposlene u javnom sektoru za fiskalnu   2022. godinu</w:t>
            </w:r>
          </w:p>
        </w:tc>
        <w:tc>
          <w:tcPr>
            <w:tcW w:w="1843" w:type="dxa"/>
            <w:shd w:val="clear" w:color="auto" w:fill="auto"/>
            <w:vAlign w:val="center"/>
          </w:tcPr>
          <w:p w14:paraId="5730BBE2" w14:textId="77777777" w:rsidR="00383886" w:rsidRPr="00383886" w:rsidRDefault="00383886" w:rsidP="00FD6B98">
            <w:pPr>
              <w:spacing w:before="20" w:after="20"/>
              <w:jc w:val="both"/>
              <w:rPr>
                <w:rFonts w:cs="Arial"/>
                <w:i/>
                <w:sz w:val="20"/>
              </w:rPr>
            </w:pPr>
            <w:r w:rsidRPr="00383886">
              <w:rPr>
                <w:rFonts w:cs="Arial"/>
                <w:i/>
                <w:sz w:val="20"/>
              </w:rPr>
              <w:lastRenderedPageBreak/>
              <w:t>NI: MFSS</w:t>
            </w:r>
          </w:p>
          <w:p w14:paraId="03A4A90B" w14:textId="77777777" w:rsidR="00383886" w:rsidRPr="00383886" w:rsidRDefault="00383886" w:rsidP="00FD6B98">
            <w:pPr>
              <w:spacing w:before="20" w:after="20"/>
              <w:jc w:val="both"/>
              <w:rPr>
                <w:rFonts w:cs="Arial"/>
                <w:i/>
                <w:sz w:val="20"/>
              </w:rPr>
            </w:pPr>
            <w:r w:rsidRPr="00383886">
              <w:rPr>
                <w:rFonts w:cs="Arial"/>
                <w:i/>
                <w:sz w:val="20"/>
              </w:rPr>
              <w:t>NK: KPS, KEPIF</w:t>
            </w:r>
          </w:p>
        </w:tc>
        <w:tc>
          <w:tcPr>
            <w:tcW w:w="2400" w:type="dxa"/>
            <w:shd w:val="clear" w:color="auto" w:fill="auto"/>
            <w:vAlign w:val="center"/>
          </w:tcPr>
          <w:p w14:paraId="5EF5B99A" w14:textId="77777777" w:rsidR="00383886" w:rsidRPr="00383886" w:rsidRDefault="00383886" w:rsidP="00FD6B98">
            <w:pPr>
              <w:spacing w:before="20" w:after="20"/>
              <w:jc w:val="both"/>
              <w:rPr>
                <w:rFonts w:cs="Arial"/>
                <w:sz w:val="20"/>
                <w:highlight w:val="yellow"/>
              </w:rPr>
            </w:pPr>
            <w:r w:rsidRPr="00383886">
              <w:rPr>
                <w:rFonts w:cs="Arial"/>
                <w:sz w:val="20"/>
              </w:rPr>
              <w:t>I Q 2022.</w:t>
            </w:r>
          </w:p>
        </w:tc>
        <w:tc>
          <w:tcPr>
            <w:tcW w:w="1945" w:type="dxa"/>
            <w:vAlign w:val="center"/>
          </w:tcPr>
          <w:p w14:paraId="13DE220A" w14:textId="77777777" w:rsidR="00383886" w:rsidRPr="00383886" w:rsidRDefault="00383886" w:rsidP="00FD6B98">
            <w:pPr>
              <w:spacing w:before="20" w:after="20"/>
              <w:jc w:val="both"/>
              <w:rPr>
                <w:rFonts w:eastAsia="Cambria" w:cs="Arial"/>
                <w:sz w:val="20"/>
              </w:rPr>
            </w:pPr>
            <w:r w:rsidRPr="00383886">
              <w:rPr>
                <w:rFonts w:cs="Arial"/>
                <w:sz w:val="20"/>
              </w:rPr>
              <w:t xml:space="preserve">Propis neće imati uticaja na budžet i </w:t>
            </w:r>
            <w:r w:rsidRPr="00383886">
              <w:rPr>
                <w:rFonts w:cs="Arial"/>
                <w:sz w:val="20"/>
              </w:rPr>
              <w:lastRenderedPageBreak/>
              <w:t>poslovni ambijent, tako da se u procesu njegove pripreme neće raditi procjena uticaja - RIA.</w:t>
            </w:r>
          </w:p>
        </w:tc>
        <w:tc>
          <w:tcPr>
            <w:tcW w:w="1941" w:type="dxa"/>
            <w:vAlign w:val="center"/>
          </w:tcPr>
          <w:p w14:paraId="4BCC8BFC" w14:textId="77777777" w:rsidR="00383886" w:rsidRPr="00383886" w:rsidRDefault="00383886" w:rsidP="00FD6B98">
            <w:pPr>
              <w:spacing w:before="20" w:after="20"/>
              <w:jc w:val="both"/>
              <w:rPr>
                <w:rFonts w:cs="Arial"/>
                <w:sz w:val="20"/>
              </w:rPr>
            </w:pPr>
          </w:p>
        </w:tc>
        <w:tc>
          <w:tcPr>
            <w:tcW w:w="2093" w:type="dxa"/>
            <w:vAlign w:val="center"/>
          </w:tcPr>
          <w:p w14:paraId="01231ECA" w14:textId="77777777" w:rsidR="00383886" w:rsidRPr="00383886" w:rsidRDefault="00383886" w:rsidP="00FD6B98">
            <w:pPr>
              <w:jc w:val="both"/>
              <w:rPr>
                <w:rFonts w:cs="Arial"/>
                <w:bCs/>
                <w:color w:val="000000" w:themeColor="text1"/>
                <w:sz w:val="20"/>
                <w:lang w:val="en-GB"/>
              </w:rPr>
            </w:pPr>
            <w:r w:rsidRPr="00383886">
              <w:rPr>
                <w:rFonts w:cs="Arial"/>
                <w:sz w:val="20"/>
              </w:rPr>
              <w:t xml:space="preserve">Zakonom o zaradama zaposlenih u javnom </w:t>
            </w:r>
            <w:r w:rsidRPr="00383886">
              <w:rPr>
                <w:rFonts w:cs="Arial"/>
                <w:sz w:val="20"/>
              </w:rPr>
              <w:lastRenderedPageBreak/>
              <w:t>sektoru predviđeno je donošenje ovog podzakonskog akta za svaku fiskalnu godinu.</w:t>
            </w:r>
          </w:p>
        </w:tc>
      </w:tr>
      <w:tr w:rsidR="00383886" w:rsidRPr="00383886" w14:paraId="6CF377BF" w14:textId="77777777" w:rsidTr="00FD6B98">
        <w:tc>
          <w:tcPr>
            <w:tcW w:w="586" w:type="dxa"/>
            <w:gridSpan w:val="2"/>
            <w:vAlign w:val="center"/>
          </w:tcPr>
          <w:p w14:paraId="0C052A1C" w14:textId="77777777" w:rsidR="00383886" w:rsidRPr="00383886" w:rsidRDefault="00383886" w:rsidP="00FD6B98">
            <w:pPr>
              <w:spacing w:before="20" w:after="20"/>
              <w:jc w:val="both"/>
              <w:rPr>
                <w:rFonts w:cs="Arial"/>
                <w:sz w:val="20"/>
              </w:rPr>
            </w:pPr>
            <w:r w:rsidRPr="00383886">
              <w:rPr>
                <w:rFonts w:cs="Arial"/>
                <w:sz w:val="20"/>
              </w:rPr>
              <w:t>8.</w:t>
            </w:r>
          </w:p>
        </w:tc>
        <w:tc>
          <w:tcPr>
            <w:tcW w:w="2012" w:type="dxa"/>
            <w:vAlign w:val="center"/>
          </w:tcPr>
          <w:p w14:paraId="3D2D337D" w14:textId="77777777" w:rsidR="00383886" w:rsidRPr="00383886" w:rsidRDefault="00383886" w:rsidP="00FD6B98">
            <w:pPr>
              <w:jc w:val="both"/>
              <w:rPr>
                <w:rFonts w:cs="Arial"/>
                <w:sz w:val="20"/>
                <w:lang w:val="en-GB"/>
              </w:rPr>
            </w:pPr>
            <w:proofErr w:type="spellStart"/>
            <w:r w:rsidRPr="00383886">
              <w:rPr>
                <w:rFonts w:cs="Arial"/>
                <w:sz w:val="20"/>
                <w:lang w:val="en-GB"/>
              </w:rPr>
              <w:t>Utvrditi</w:t>
            </w:r>
            <w:proofErr w:type="spellEnd"/>
            <w:r w:rsidRPr="00383886">
              <w:rPr>
                <w:rFonts w:cs="Arial"/>
                <w:sz w:val="20"/>
                <w:lang w:val="en-GB"/>
              </w:rPr>
              <w:t xml:space="preserve"> </w:t>
            </w:r>
            <w:proofErr w:type="spellStart"/>
            <w:r w:rsidRPr="00383886">
              <w:rPr>
                <w:rFonts w:cs="Arial"/>
                <w:sz w:val="20"/>
                <w:lang w:val="en-GB"/>
              </w:rPr>
              <w:t>Predlog</w:t>
            </w:r>
            <w:proofErr w:type="spellEnd"/>
            <w:r w:rsidRPr="00383886">
              <w:rPr>
                <w:rFonts w:cs="Arial"/>
                <w:sz w:val="20"/>
                <w:lang w:val="en-GB"/>
              </w:rPr>
              <w:t xml:space="preserve"> </w:t>
            </w:r>
            <w:proofErr w:type="spellStart"/>
            <w:r w:rsidRPr="00383886">
              <w:rPr>
                <w:rFonts w:cs="Arial"/>
                <w:sz w:val="20"/>
                <w:lang w:val="en-GB"/>
              </w:rPr>
              <w:t>izmjena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dopuna</w:t>
            </w:r>
            <w:proofErr w:type="spellEnd"/>
            <w:r w:rsidRPr="00383886">
              <w:rPr>
                <w:rFonts w:cs="Arial"/>
                <w:sz w:val="20"/>
                <w:lang w:val="en-GB"/>
              </w:rPr>
              <w:t xml:space="preserve"> </w:t>
            </w:r>
            <w:proofErr w:type="spellStart"/>
            <w:r w:rsidRPr="00383886">
              <w:rPr>
                <w:rFonts w:cs="Arial"/>
                <w:sz w:val="20"/>
                <w:lang w:val="en-GB"/>
              </w:rPr>
              <w:t>Zakona</w:t>
            </w:r>
            <w:proofErr w:type="spellEnd"/>
            <w:r w:rsidRPr="00383886">
              <w:rPr>
                <w:rFonts w:cs="Arial"/>
                <w:sz w:val="20"/>
                <w:lang w:val="en-GB"/>
              </w:rPr>
              <w:t xml:space="preserve"> o </w:t>
            </w:r>
            <w:proofErr w:type="spellStart"/>
            <w:r w:rsidRPr="00383886">
              <w:rPr>
                <w:rFonts w:cs="Arial"/>
                <w:sz w:val="20"/>
                <w:lang w:val="en-GB"/>
              </w:rPr>
              <w:t>javnim</w:t>
            </w:r>
            <w:proofErr w:type="spellEnd"/>
            <w:r w:rsidRPr="00383886">
              <w:rPr>
                <w:rFonts w:cs="Arial"/>
                <w:sz w:val="20"/>
                <w:lang w:val="en-GB"/>
              </w:rPr>
              <w:t xml:space="preserve"> </w:t>
            </w:r>
            <w:proofErr w:type="spellStart"/>
            <w:r w:rsidRPr="00383886">
              <w:rPr>
                <w:rFonts w:cs="Arial"/>
                <w:sz w:val="20"/>
                <w:lang w:val="en-GB"/>
              </w:rPr>
              <w:t>nabavkama</w:t>
            </w:r>
            <w:proofErr w:type="spellEnd"/>
          </w:p>
        </w:tc>
        <w:tc>
          <w:tcPr>
            <w:tcW w:w="2066" w:type="dxa"/>
            <w:vAlign w:val="center"/>
          </w:tcPr>
          <w:p w14:paraId="0A1D088C" w14:textId="77777777" w:rsidR="00383886" w:rsidRPr="00383886" w:rsidRDefault="00383886" w:rsidP="00FD6B98">
            <w:pPr>
              <w:jc w:val="both"/>
              <w:rPr>
                <w:rFonts w:cs="Arial"/>
                <w:sz w:val="20"/>
                <w:lang w:val="en-GB"/>
              </w:rPr>
            </w:pPr>
            <w:proofErr w:type="spellStart"/>
            <w:r w:rsidRPr="00383886">
              <w:rPr>
                <w:rFonts w:cs="Arial"/>
                <w:sz w:val="20"/>
                <w:lang w:val="en-GB"/>
              </w:rPr>
              <w:t>Utvrđen</w:t>
            </w:r>
            <w:proofErr w:type="spellEnd"/>
            <w:r w:rsidRPr="00383886">
              <w:rPr>
                <w:rFonts w:cs="Arial"/>
                <w:sz w:val="20"/>
                <w:lang w:val="en-GB"/>
              </w:rPr>
              <w:t xml:space="preserve"> </w:t>
            </w:r>
            <w:proofErr w:type="spellStart"/>
            <w:r w:rsidRPr="00383886">
              <w:rPr>
                <w:rFonts w:cs="Arial"/>
                <w:sz w:val="20"/>
                <w:lang w:val="en-GB"/>
              </w:rPr>
              <w:t>Predlog</w:t>
            </w:r>
            <w:proofErr w:type="spellEnd"/>
            <w:r w:rsidRPr="00383886">
              <w:rPr>
                <w:rFonts w:cs="Arial"/>
                <w:sz w:val="20"/>
                <w:lang w:val="en-GB"/>
              </w:rPr>
              <w:t xml:space="preserve"> </w:t>
            </w:r>
            <w:proofErr w:type="spellStart"/>
            <w:r w:rsidRPr="00383886">
              <w:rPr>
                <w:rFonts w:cs="Arial"/>
                <w:sz w:val="20"/>
                <w:lang w:val="en-GB"/>
              </w:rPr>
              <w:t>izmjena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dopuna</w:t>
            </w:r>
            <w:proofErr w:type="spellEnd"/>
            <w:r w:rsidRPr="00383886">
              <w:rPr>
                <w:rFonts w:cs="Arial"/>
                <w:sz w:val="20"/>
                <w:lang w:val="en-GB"/>
              </w:rPr>
              <w:t xml:space="preserve"> </w:t>
            </w:r>
            <w:proofErr w:type="spellStart"/>
            <w:r w:rsidRPr="00383886">
              <w:rPr>
                <w:rFonts w:cs="Arial"/>
                <w:sz w:val="20"/>
                <w:lang w:val="en-GB"/>
              </w:rPr>
              <w:t>Zakona</w:t>
            </w:r>
            <w:proofErr w:type="spellEnd"/>
            <w:r w:rsidRPr="00383886">
              <w:rPr>
                <w:rFonts w:cs="Arial"/>
                <w:sz w:val="20"/>
                <w:lang w:val="en-GB"/>
              </w:rPr>
              <w:t xml:space="preserve"> o </w:t>
            </w:r>
            <w:proofErr w:type="spellStart"/>
            <w:r w:rsidRPr="00383886">
              <w:rPr>
                <w:rFonts w:cs="Arial"/>
                <w:sz w:val="20"/>
                <w:lang w:val="en-GB"/>
              </w:rPr>
              <w:t>javnim</w:t>
            </w:r>
            <w:proofErr w:type="spellEnd"/>
            <w:r w:rsidRPr="00383886">
              <w:rPr>
                <w:rFonts w:cs="Arial"/>
                <w:sz w:val="20"/>
                <w:lang w:val="en-GB"/>
              </w:rPr>
              <w:t xml:space="preserve"> </w:t>
            </w:r>
            <w:proofErr w:type="spellStart"/>
            <w:r w:rsidRPr="00383886">
              <w:rPr>
                <w:rFonts w:cs="Arial"/>
                <w:sz w:val="20"/>
                <w:lang w:val="en-GB"/>
              </w:rPr>
              <w:t>nabavkama</w:t>
            </w:r>
            <w:proofErr w:type="spellEnd"/>
          </w:p>
        </w:tc>
        <w:tc>
          <w:tcPr>
            <w:tcW w:w="1843" w:type="dxa"/>
            <w:shd w:val="clear" w:color="auto" w:fill="auto"/>
            <w:vAlign w:val="center"/>
          </w:tcPr>
          <w:p w14:paraId="16DD96F0" w14:textId="77777777" w:rsidR="00383886" w:rsidRPr="00383886" w:rsidRDefault="00383886" w:rsidP="00FD6B98">
            <w:pPr>
              <w:spacing w:before="20" w:after="20"/>
              <w:jc w:val="both"/>
              <w:rPr>
                <w:rFonts w:cs="Arial"/>
                <w:i/>
                <w:sz w:val="20"/>
              </w:rPr>
            </w:pPr>
            <w:r w:rsidRPr="00383886">
              <w:rPr>
                <w:rFonts w:cs="Arial"/>
                <w:i/>
                <w:sz w:val="20"/>
              </w:rPr>
              <w:t>NI: MFSS</w:t>
            </w:r>
          </w:p>
          <w:p w14:paraId="4DF431E1" w14:textId="77777777" w:rsidR="00383886" w:rsidRPr="00383886" w:rsidRDefault="00383886" w:rsidP="00FD6B98">
            <w:pPr>
              <w:spacing w:before="20" w:after="20"/>
              <w:jc w:val="both"/>
              <w:rPr>
                <w:rFonts w:cs="Arial"/>
                <w:sz w:val="20"/>
              </w:rPr>
            </w:pPr>
            <w:r w:rsidRPr="00383886">
              <w:rPr>
                <w:rFonts w:cs="Arial"/>
                <w:i/>
                <w:sz w:val="20"/>
              </w:rPr>
              <w:t>NK: KPS, KEPIF</w:t>
            </w:r>
          </w:p>
        </w:tc>
        <w:tc>
          <w:tcPr>
            <w:tcW w:w="2400" w:type="dxa"/>
            <w:shd w:val="clear" w:color="auto" w:fill="auto"/>
            <w:vAlign w:val="center"/>
          </w:tcPr>
          <w:p w14:paraId="2C2A6386" w14:textId="77777777" w:rsidR="00383886" w:rsidRPr="00383886" w:rsidRDefault="00383886" w:rsidP="00FD6B98">
            <w:pPr>
              <w:spacing w:before="20" w:after="20"/>
              <w:jc w:val="both"/>
              <w:rPr>
                <w:rFonts w:cs="Arial"/>
                <w:sz w:val="20"/>
              </w:rPr>
            </w:pPr>
            <w:r w:rsidRPr="00383886">
              <w:rPr>
                <w:rFonts w:cs="Arial"/>
                <w:sz w:val="20"/>
              </w:rPr>
              <w:t>II Q 2022.</w:t>
            </w:r>
          </w:p>
        </w:tc>
        <w:tc>
          <w:tcPr>
            <w:tcW w:w="1945" w:type="dxa"/>
            <w:vAlign w:val="center"/>
          </w:tcPr>
          <w:p w14:paraId="7138DCE6" w14:textId="77777777" w:rsidR="00383886" w:rsidRPr="00383886" w:rsidRDefault="00383886" w:rsidP="00FD6B98">
            <w:pPr>
              <w:spacing w:before="20" w:after="20"/>
              <w:jc w:val="both"/>
              <w:rPr>
                <w:rFonts w:cs="Arial"/>
                <w:sz w:val="20"/>
              </w:rPr>
            </w:pPr>
            <w:r w:rsidRPr="00383886">
              <w:rPr>
                <w:rFonts w:eastAsia="Cambria" w:cs="Arial"/>
                <w:sz w:val="20"/>
              </w:rPr>
              <w:t>Propis će imati uticaj na poslovni ambijent, zbog čega će u procesu njegove pripreme biti urađena detaljna RIA.</w:t>
            </w:r>
          </w:p>
        </w:tc>
        <w:tc>
          <w:tcPr>
            <w:tcW w:w="1941" w:type="dxa"/>
            <w:vAlign w:val="center"/>
          </w:tcPr>
          <w:p w14:paraId="2D7F5FDD" w14:textId="77777777" w:rsidR="00383886" w:rsidRPr="00383886" w:rsidRDefault="00383886" w:rsidP="00FD6B98">
            <w:pPr>
              <w:spacing w:before="20" w:after="20"/>
              <w:jc w:val="both"/>
              <w:rPr>
                <w:rFonts w:cs="Arial"/>
                <w:sz w:val="20"/>
              </w:rPr>
            </w:pPr>
          </w:p>
        </w:tc>
        <w:tc>
          <w:tcPr>
            <w:tcW w:w="2093" w:type="dxa"/>
            <w:vAlign w:val="center"/>
          </w:tcPr>
          <w:p w14:paraId="0A8D61F4" w14:textId="77777777" w:rsidR="00383886" w:rsidRPr="00383886" w:rsidRDefault="00383886" w:rsidP="00FD6B98">
            <w:pPr>
              <w:jc w:val="both"/>
              <w:rPr>
                <w:rFonts w:cs="Arial"/>
                <w:color w:val="000000" w:themeColor="text1"/>
                <w:sz w:val="20"/>
                <w:lang w:val="en-GB"/>
              </w:rPr>
            </w:pPr>
            <w:proofErr w:type="spellStart"/>
            <w:r w:rsidRPr="00383886">
              <w:rPr>
                <w:rFonts w:cs="Arial"/>
                <w:bCs/>
                <w:color w:val="000000" w:themeColor="text1"/>
                <w:sz w:val="20"/>
                <w:lang w:val="en-GB"/>
              </w:rPr>
              <w:t>Donošenje</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ovoga</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zakona</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ima</w:t>
            </w:r>
            <w:proofErr w:type="spellEnd"/>
            <w:r w:rsidRPr="00383886">
              <w:rPr>
                <w:rFonts w:cs="Arial"/>
                <w:bCs/>
                <w:color w:val="000000" w:themeColor="text1"/>
                <w:sz w:val="20"/>
                <w:lang w:val="en-GB"/>
              </w:rPr>
              <w:t xml:space="preserve"> za </w:t>
            </w:r>
            <w:proofErr w:type="spellStart"/>
            <w:r w:rsidRPr="00383886">
              <w:rPr>
                <w:rFonts w:cs="Arial"/>
                <w:bCs/>
                <w:color w:val="000000" w:themeColor="text1"/>
                <w:sz w:val="20"/>
                <w:lang w:val="en-GB"/>
              </w:rPr>
              <w:t>cilj</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smanjenje</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formalizma</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i</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skraćenja</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trajanja</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postupaka</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javnih</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nabavki</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prilikom</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sprovođenja</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kao</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i</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precizno</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normiranje</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pojedinih</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odredbi</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Zakona</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koje</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su</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rezultirale</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određenim</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nejasnoćama</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i</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pogrešnoj</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primjeni</w:t>
            </w:r>
            <w:proofErr w:type="spellEnd"/>
            <w:r w:rsidRPr="00383886">
              <w:rPr>
                <w:rFonts w:cs="Arial"/>
                <w:bCs/>
                <w:color w:val="000000" w:themeColor="text1"/>
                <w:sz w:val="20"/>
                <w:lang w:val="en-GB"/>
              </w:rPr>
              <w:t xml:space="preserve"> </w:t>
            </w:r>
            <w:proofErr w:type="spellStart"/>
            <w:r w:rsidRPr="00383886">
              <w:rPr>
                <w:rFonts w:cs="Arial"/>
                <w:bCs/>
                <w:color w:val="000000" w:themeColor="text1"/>
                <w:sz w:val="20"/>
                <w:lang w:val="en-GB"/>
              </w:rPr>
              <w:t>Zakona</w:t>
            </w:r>
            <w:proofErr w:type="spellEnd"/>
            <w:r w:rsidRPr="00383886">
              <w:rPr>
                <w:rFonts w:cs="Arial"/>
                <w:bCs/>
                <w:color w:val="000000" w:themeColor="text1"/>
                <w:sz w:val="20"/>
                <w:lang w:val="en-GB"/>
              </w:rPr>
              <w:t>.</w:t>
            </w:r>
          </w:p>
        </w:tc>
      </w:tr>
      <w:tr w:rsidR="00383886" w:rsidRPr="00383886" w14:paraId="08936D15" w14:textId="77777777" w:rsidTr="00FD6B98">
        <w:tc>
          <w:tcPr>
            <w:tcW w:w="586" w:type="dxa"/>
            <w:gridSpan w:val="2"/>
            <w:vAlign w:val="center"/>
          </w:tcPr>
          <w:p w14:paraId="5345DDBC" w14:textId="77777777" w:rsidR="00383886" w:rsidRPr="00383886" w:rsidRDefault="00383886" w:rsidP="00FD6B98">
            <w:pPr>
              <w:spacing w:before="20" w:after="20"/>
              <w:jc w:val="both"/>
              <w:rPr>
                <w:rFonts w:cs="Arial"/>
                <w:sz w:val="20"/>
              </w:rPr>
            </w:pPr>
            <w:bookmarkStart w:id="14" w:name="_Hlk87306794"/>
            <w:r w:rsidRPr="00383886">
              <w:rPr>
                <w:rFonts w:cs="Arial"/>
                <w:sz w:val="20"/>
              </w:rPr>
              <w:t>9.</w:t>
            </w:r>
          </w:p>
        </w:tc>
        <w:tc>
          <w:tcPr>
            <w:tcW w:w="2012" w:type="dxa"/>
            <w:vAlign w:val="center"/>
          </w:tcPr>
          <w:p w14:paraId="3A585F2C" w14:textId="77777777" w:rsidR="00383886" w:rsidRPr="00383886" w:rsidRDefault="00383886" w:rsidP="00FD6B98">
            <w:pPr>
              <w:pStyle w:val="Default"/>
              <w:jc w:val="both"/>
              <w:rPr>
                <w:rFonts w:ascii="Arial Narrow" w:hAnsi="Arial Narrow"/>
                <w:sz w:val="20"/>
                <w:szCs w:val="20"/>
              </w:rPr>
            </w:pPr>
            <w:proofErr w:type="spellStart"/>
            <w:r w:rsidRPr="00383886">
              <w:rPr>
                <w:rFonts w:ascii="Arial Narrow" w:hAnsi="Arial Narrow"/>
                <w:sz w:val="20"/>
                <w:szCs w:val="20"/>
                <w:lang w:val="en-GB"/>
              </w:rPr>
              <w:t>Utvrditi</w:t>
            </w:r>
            <w:proofErr w:type="spellEnd"/>
            <w:r w:rsidRPr="00383886">
              <w:rPr>
                <w:rFonts w:ascii="Arial Narrow" w:hAnsi="Arial Narrow"/>
                <w:sz w:val="20"/>
                <w:szCs w:val="20"/>
                <w:lang w:val="en-GB"/>
              </w:rPr>
              <w:t xml:space="preserve"> </w:t>
            </w:r>
            <w:proofErr w:type="spellStart"/>
            <w:r w:rsidRPr="00383886">
              <w:rPr>
                <w:rFonts w:ascii="Arial Narrow" w:hAnsi="Arial Narrow"/>
                <w:sz w:val="20"/>
                <w:szCs w:val="20"/>
                <w:lang w:val="en-GB"/>
              </w:rPr>
              <w:t>Predlog</w:t>
            </w:r>
            <w:proofErr w:type="spellEnd"/>
            <w:r w:rsidRPr="00383886">
              <w:rPr>
                <w:rFonts w:ascii="Arial Narrow" w:hAnsi="Arial Narrow"/>
                <w:sz w:val="20"/>
                <w:szCs w:val="20"/>
                <w:lang w:val="en-GB"/>
              </w:rPr>
              <w:t xml:space="preserve"> </w:t>
            </w:r>
            <w:proofErr w:type="spellStart"/>
            <w:r w:rsidRPr="00383886">
              <w:rPr>
                <w:rFonts w:ascii="Arial Narrow" w:hAnsi="Arial Narrow"/>
                <w:sz w:val="20"/>
                <w:szCs w:val="20"/>
                <w:lang w:val="en-GB"/>
              </w:rPr>
              <w:t>izmjena</w:t>
            </w:r>
            <w:proofErr w:type="spellEnd"/>
            <w:r w:rsidRPr="00383886">
              <w:rPr>
                <w:rFonts w:ascii="Arial Narrow" w:hAnsi="Arial Narrow"/>
                <w:sz w:val="20"/>
                <w:szCs w:val="20"/>
                <w:lang w:val="en-GB"/>
              </w:rPr>
              <w:t xml:space="preserve"> </w:t>
            </w:r>
            <w:proofErr w:type="spellStart"/>
            <w:r w:rsidRPr="00383886">
              <w:rPr>
                <w:rFonts w:ascii="Arial Narrow" w:hAnsi="Arial Narrow"/>
                <w:sz w:val="20"/>
                <w:szCs w:val="20"/>
                <w:lang w:val="en-GB"/>
              </w:rPr>
              <w:t>i</w:t>
            </w:r>
            <w:proofErr w:type="spellEnd"/>
            <w:r w:rsidRPr="00383886">
              <w:rPr>
                <w:rFonts w:ascii="Arial Narrow" w:hAnsi="Arial Narrow"/>
                <w:sz w:val="20"/>
                <w:szCs w:val="20"/>
                <w:lang w:val="en-GB"/>
              </w:rPr>
              <w:t xml:space="preserve"> </w:t>
            </w:r>
            <w:proofErr w:type="spellStart"/>
            <w:r w:rsidRPr="00383886">
              <w:rPr>
                <w:rFonts w:ascii="Arial Narrow" w:hAnsi="Arial Narrow"/>
                <w:sz w:val="20"/>
                <w:szCs w:val="20"/>
                <w:lang w:val="en-GB"/>
              </w:rPr>
              <w:t>dopuna</w:t>
            </w:r>
            <w:proofErr w:type="spellEnd"/>
            <w:r w:rsidRPr="00383886">
              <w:rPr>
                <w:rFonts w:ascii="Arial Narrow" w:hAnsi="Arial Narrow"/>
                <w:sz w:val="20"/>
                <w:szCs w:val="20"/>
                <w:lang w:val="en-GB"/>
              </w:rPr>
              <w:t xml:space="preserve"> </w:t>
            </w:r>
            <w:proofErr w:type="spellStart"/>
            <w:r w:rsidRPr="00383886">
              <w:rPr>
                <w:rFonts w:ascii="Arial Narrow" w:hAnsi="Arial Narrow"/>
                <w:sz w:val="20"/>
                <w:szCs w:val="20"/>
                <w:lang w:val="en-GB"/>
              </w:rPr>
              <w:t>Zakona</w:t>
            </w:r>
            <w:proofErr w:type="spellEnd"/>
            <w:r w:rsidRPr="00383886">
              <w:rPr>
                <w:rFonts w:ascii="Arial Narrow" w:hAnsi="Arial Narrow"/>
                <w:sz w:val="20"/>
                <w:szCs w:val="20"/>
                <w:lang w:val="en-GB"/>
              </w:rPr>
              <w:t xml:space="preserve"> o </w:t>
            </w:r>
            <w:r w:rsidRPr="00383886">
              <w:rPr>
                <w:rFonts w:ascii="Arial Narrow" w:hAnsi="Arial Narrow"/>
                <w:bCs/>
                <w:sz w:val="20"/>
                <w:szCs w:val="20"/>
              </w:rPr>
              <w:t>zvaničnoj statistici i sistemu zvanične statistike</w:t>
            </w:r>
          </w:p>
        </w:tc>
        <w:tc>
          <w:tcPr>
            <w:tcW w:w="2066" w:type="dxa"/>
            <w:vAlign w:val="center"/>
          </w:tcPr>
          <w:p w14:paraId="6B47E7B5" w14:textId="77777777" w:rsidR="00383886" w:rsidRPr="00383886" w:rsidRDefault="00383886" w:rsidP="00FD6B98">
            <w:pPr>
              <w:spacing w:before="20" w:after="20"/>
              <w:jc w:val="both"/>
              <w:rPr>
                <w:rFonts w:cs="Arial"/>
                <w:sz w:val="20"/>
              </w:rPr>
            </w:pPr>
            <w:proofErr w:type="spellStart"/>
            <w:r w:rsidRPr="00383886">
              <w:rPr>
                <w:rFonts w:cs="Arial"/>
                <w:sz w:val="20"/>
                <w:lang w:val="en-GB"/>
              </w:rPr>
              <w:t>Utvrđen</w:t>
            </w:r>
            <w:proofErr w:type="spellEnd"/>
            <w:r w:rsidRPr="00383886">
              <w:rPr>
                <w:rFonts w:cs="Arial"/>
                <w:sz w:val="20"/>
                <w:lang w:val="en-GB"/>
              </w:rPr>
              <w:t xml:space="preserve"> </w:t>
            </w:r>
            <w:proofErr w:type="spellStart"/>
            <w:r w:rsidRPr="00383886">
              <w:rPr>
                <w:rFonts w:cs="Arial"/>
                <w:sz w:val="20"/>
                <w:lang w:val="en-GB"/>
              </w:rPr>
              <w:t>Predlog</w:t>
            </w:r>
            <w:proofErr w:type="spellEnd"/>
            <w:r w:rsidRPr="00383886">
              <w:rPr>
                <w:rFonts w:cs="Arial"/>
                <w:sz w:val="20"/>
                <w:lang w:val="en-GB"/>
              </w:rPr>
              <w:t xml:space="preserve"> </w:t>
            </w:r>
            <w:proofErr w:type="spellStart"/>
            <w:r w:rsidRPr="00383886">
              <w:rPr>
                <w:rFonts w:cs="Arial"/>
                <w:sz w:val="20"/>
                <w:lang w:val="en-GB"/>
              </w:rPr>
              <w:t>izmjena</w:t>
            </w:r>
            <w:proofErr w:type="spellEnd"/>
            <w:r w:rsidRPr="00383886">
              <w:rPr>
                <w:rFonts w:cs="Arial"/>
                <w:sz w:val="20"/>
                <w:lang w:val="en-GB"/>
              </w:rPr>
              <w:t xml:space="preserve"> </w:t>
            </w:r>
            <w:proofErr w:type="spellStart"/>
            <w:r w:rsidRPr="00383886">
              <w:rPr>
                <w:rFonts w:cs="Arial"/>
                <w:sz w:val="20"/>
                <w:lang w:val="en-GB"/>
              </w:rPr>
              <w:t>i</w:t>
            </w:r>
            <w:proofErr w:type="spellEnd"/>
            <w:r w:rsidRPr="00383886">
              <w:rPr>
                <w:rFonts w:cs="Arial"/>
                <w:sz w:val="20"/>
                <w:lang w:val="en-GB"/>
              </w:rPr>
              <w:t xml:space="preserve"> </w:t>
            </w:r>
            <w:proofErr w:type="spellStart"/>
            <w:r w:rsidRPr="00383886">
              <w:rPr>
                <w:rFonts w:cs="Arial"/>
                <w:sz w:val="20"/>
                <w:lang w:val="en-GB"/>
              </w:rPr>
              <w:t>dopuna</w:t>
            </w:r>
            <w:proofErr w:type="spellEnd"/>
            <w:r w:rsidRPr="00383886">
              <w:rPr>
                <w:rFonts w:cs="Arial"/>
                <w:sz w:val="20"/>
                <w:lang w:val="en-GB"/>
              </w:rPr>
              <w:t xml:space="preserve"> </w:t>
            </w:r>
            <w:proofErr w:type="spellStart"/>
            <w:r w:rsidRPr="00383886">
              <w:rPr>
                <w:rFonts w:cs="Arial"/>
                <w:sz w:val="20"/>
                <w:lang w:val="en-GB"/>
              </w:rPr>
              <w:t>Zakona</w:t>
            </w:r>
            <w:proofErr w:type="spellEnd"/>
            <w:r w:rsidRPr="00383886">
              <w:rPr>
                <w:rFonts w:cs="Arial"/>
                <w:sz w:val="20"/>
                <w:lang w:val="en-GB"/>
              </w:rPr>
              <w:t xml:space="preserve"> o </w:t>
            </w:r>
            <w:r w:rsidRPr="00383886">
              <w:rPr>
                <w:rFonts w:cs="Arial"/>
                <w:bCs/>
                <w:sz w:val="20"/>
              </w:rPr>
              <w:t>zvaničnoj statistici i sistemu zvanične statistike</w:t>
            </w:r>
          </w:p>
        </w:tc>
        <w:tc>
          <w:tcPr>
            <w:tcW w:w="1843" w:type="dxa"/>
            <w:shd w:val="clear" w:color="auto" w:fill="auto"/>
            <w:vAlign w:val="center"/>
          </w:tcPr>
          <w:p w14:paraId="40910AF5" w14:textId="77777777" w:rsidR="00383886" w:rsidRPr="00F27DB4" w:rsidRDefault="00383886" w:rsidP="00FD6B98">
            <w:pPr>
              <w:spacing w:before="20" w:after="20"/>
              <w:jc w:val="both"/>
              <w:rPr>
                <w:rFonts w:cs="Arial"/>
                <w:sz w:val="20"/>
              </w:rPr>
            </w:pPr>
            <w:r w:rsidRPr="00F27DB4">
              <w:rPr>
                <w:rFonts w:cs="Arial"/>
                <w:sz w:val="20"/>
              </w:rPr>
              <w:t>NI: MFSS</w:t>
            </w:r>
          </w:p>
          <w:p w14:paraId="175E2AC1"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129AE81C" w14:textId="77777777" w:rsidR="00383886" w:rsidRPr="00383886" w:rsidRDefault="00383886" w:rsidP="00FD6B98">
            <w:pPr>
              <w:spacing w:before="20" w:after="20"/>
              <w:jc w:val="both"/>
              <w:rPr>
                <w:rFonts w:cs="Arial"/>
                <w:sz w:val="20"/>
              </w:rPr>
            </w:pPr>
            <w:r w:rsidRPr="00383886">
              <w:rPr>
                <w:rFonts w:cs="Arial"/>
                <w:sz w:val="20"/>
              </w:rPr>
              <w:t>II Q 2022.</w:t>
            </w:r>
          </w:p>
        </w:tc>
        <w:tc>
          <w:tcPr>
            <w:tcW w:w="1945" w:type="dxa"/>
            <w:vAlign w:val="center"/>
          </w:tcPr>
          <w:p w14:paraId="5BC74446" w14:textId="77777777" w:rsidR="00383886" w:rsidRPr="00383886" w:rsidRDefault="00383886" w:rsidP="00FD6B98">
            <w:pPr>
              <w:spacing w:before="20" w:after="20"/>
              <w:jc w:val="both"/>
              <w:rPr>
                <w:rFonts w:cs="Arial"/>
                <w:sz w:val="20"/>
              </w:rPr>
            </w:pPr>
            <w:r w:rsidRPr="00383886">
              <w:rPr>
                <w:rFonts w:cs="Arial"/>
                <w:sz w:val="20"/>
              </w:rPr>
              <w:t>Propis će imati uticaja na budžet i poslovni ambijent, tako da će se u procesu njegove pripreme raditi procjena uticaja - RIA.</w:t>
            </w:r>
          </w:p>
        </w:tc>
        <w:tc>
          <w:tcPr>
            <w:tcW w:w="1941" w:type="dxa"/>
            <w:vAlign w:val="center"/>
          </w:tcPr>
          <w:p w14:paraId="069323ED" w14:textId="77777777" w:rsidR="00383886" w:rsidRPr="00383886" w:rsidRDefault="00383886" w:rsidP="00FD6B98">
            <w:pPr>
              <w:spacing w:before="20" w:after="20"/>
              <w:jc w:val="both"/>
              <w:rPr>
                <w:rFonts w:cs="Arial"/>
                <w:sz w:val="20"/>
              </w:rPr>
            </w:pPr>
          </w:p>
        </w:tc>
        <w:tc>
          <w:tcPr>
            <w:tcW w:w="2093" w:type="dxa"/>
            <w:vAlign w:val="center"/>
          </w:tcPr>
          <w:p w14:paraId="55D5DD30" w14:textId="77777777" w:rsidR="00383886" w:rsidRPr="00383886" w:rsidRDefault="00383886" w:rsidP="00FD6B98">
            <w:pPr>
              <w:ind w:left="16"/>
              <w:contextualSpacing/>
              <w:jc w:val="both"/>
              <w:rPr>
                <w:rFonts w:cs="Arial"/>
                <w:sz w:val="20"/>
              </w:rPr>
            </w:pPr>
            <w:r w:rsidRPr="00383886">
              <w:rPr>
                <w:rFonts w:cs="Arial"/>
                <w:sz w:val="20"/>
              </w:rPr>
              <w:t>Ovim zakonom će se stvoriti uslovi za unapređenje sistema zvanične statistike u Crnoj Gori i obezbijediti uslovi za ispunjavanje završnih mjerila za poglavlja 17 i 18 u okviru procesa pregovora CG za članstvo u EU.</w:t>
            </w:r>
          </w:p>
        </w:tc>
      </w:tr>
      <w:bookmarkEnd w:id="14"/>
      <w:tr w:rsidR="00383886" w:rsidRPr="00383886" w14:paraId="349C55FE" w14:textId="77777777" w:rsidTr="00FD6B98">
        <w:tc>
          <w:tcPr>
            <w:tcW w:w="586" w:type="dxa"/>
            <w:gridSpan w:val="2"/>
            <w:vAlign w:val="center"/>
          </w:tcPr>
          <w:p w14:paraId="1ACC6EA9" w14:textId="77777777" w:rsidR="00383886" w:rsidRPr="00383886" w:rsidRDefault="00383886" w:rsidP="00FD6B98">
            <w:pPr>
              <w:spacing w:before="20" w:after="20"/>
              <w:jc w:val="both"/>
              <w:rPr>
                <w:rFonts w:cs="Arial"/>
                <w:sz w:val="20"/>
              </w:rPr>
            </w:pPr>
            <w:r w:rsidRPr="00383886">
              <w:rPr>
                <w:rFonts w:cs="Arial"/>
                <w:sz w:val="20"/>
              </w:rPr>
              <w:t>10.</w:t>
            </w:r>
          </w:p>
        </w:tc>
        <w:tc>
          <w:tcPr>
            <w:tcW w:w="2012" w:type="dxa"/>
            <w:vAlign w:val="center"/>
          </w:tcPr>
          <w:p w14:paraId="2FBE0D6E" w14:textId="77777777" w:rsidR="00383886" w:rsidRPr="00383886" w:rsidRDefault="00383886" w:rsidP="00FD6B98">
            <w:pPr>
              <w:jc w:val="both"/>
              <w:rPr>
                <w:rFonts w:cs="Arial"/>
                <w:bCs/>
                <w:sz w:val="20"/>
              </w:rPr>
            </w:pPr>
            <w:r w:rsidRPr="00383886">
              <w:rPr>
                <w:rFonts w:cs="Arial"/>
                <w:bCs/>
                <w:sz w:val="20"/>
              </w:rPr>
              <w:t>Utvrditi Predlog zakona o završnom računu budžeta Crne Gore za 2021. godinu</w:t>
            </w:r>
          </w:p>
        </w:tc>
        <w:tc>
          <w:tcPr>
            <w:tcW w:w="2066" w:type="dxa"/>
            <w:vAlign w:val="center"/>
          </w:tcPr>
          <w:p w14:paraId="29160C1B" w14:textId="77777777" w:rsidR="00383886" w:rsidRPr="00383886" w:rsidRDefault="00383886" w:rsidP="00FD6B98">
            <w:pPr>
              <w:spacing w:before="20" w:after="20"/>
              <w:jc w:val="both"/>
              <w:rPr>
                <w:rFonts w:cs="Arial"/>
                <w:sz w:val="20"/>
              </w:rPr>
            </w:pPr>
            <w:r w:rsidRPr="00383886">
              <w:rPr>
                <w:rFonts w:cs="Arial"/>
                <w:bCs/>
                <w:sz w:val="20"/>
              </w:rPr>
              <w:t>Utvrđen Predlog zakona o završnom računu budžeta Crne Gore za 2021. godinu</w:t>
            </w:r>
          </w:p>
        </w:tc>
        <w:tc>
          <w:tcPr>
            <w:tcW w:w="1843" w:type="dxa"/>
            <w:shd w:val="clear" w:color="auto" w:fill="auto"/>
            <w:vAlign w:val="center"/>
          </w:tcPr>
          <w:p w14:paraId="4DDB24CD" w14:textId="77777777" w:rsidR="00383886" w:rsidRPr="00F27DB4" w:rsidRDefault="00383886" w:rsidP="00FD6B98">
            <w:pPr>
              <w:spacing w:before="20" w:after="20"/>
              <w:jc w:val="both"/>
              <w:rPr>
                <w:rFonts w:cs="Arial"/>
                <w:sz w:val="20"/>
              </w:rPr>
            </w:pPr>
            <w:r w:rsidRPr="00F27DB4">
              <w:rPr>
                <w:rFonts w:cs="Arial"/>
                <w:sz w:val="20"/>
              </w:rPr>
              <w:t>NI: MFSS</w:t>
            </w:r>
          </w:p>
          <w:p w14:paraId="6B1FA0C4"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3767664E" w14:textId="77777777" w:rsidR="00383886" w:rsidRPr="00383886" w:rsidRDefault="00383886" w:rsidP="00FD6B98">
            <w:pPr>
              <w:spacing w:before="20" w:after="20"/>
              <w:jc w:val="both"/>
              <w:rPr>
                <w:rFonts w:cs="Arial"/>
                <w:sz w:val="20"/>
              </w:rPr>
            </w:pPr>
            <w:r w:rsidRPr="00383886">
              <w:rPr>
                <w:rFonts w:cs="Arial"/>
                <w:sz w:val="20"/>
              </w:rPr>
              <w:t xml:space="preserve">I -II Q 2022. </w:t>
            </w:r>
          </w:p>
        </w:tc>
        <w:tc>
          <w:tcPr>
            <w:tcW w:w="1945" w:type="dxa"/>
            <w:vAlign w:val="center"/>
          </w:tcPr>
          <w:p w14:paraId="14CC95C8" w14:textId="77777777" w:rsidR="00383886" w:rsidRPr="00383886" w:rsidRDefault="00383886" w:rsidP="00FD6B98">
            <w:pPr>
              <w:spacing w:before="20" w:after="20"/>
              <w:jc w:val="both"/>
              <w:rPr>
                <w:rFonts w:cs="Arial"/>
                <w:sz w:val="20"/>
              </w:rPr>
            </w:pPr>
            <w:r w:rsidRPr="00383886">
              <w:rPr>
                <w:rFonts w:cs="Arial"/>
                <w:sz w:val="20"/>
              </w:rPr>
              <w:t>Propis neće imati uticaja na budžet i poslovni ambijent, tako da se u procesu njegove pripreme neće raditi procjena uticaja - RIA.</w:t>
            </w:r>
          </w:p>
        </w:tc>
        <w:tc>
          <w:tcPr>
            <w:tcW w:w="1941" w:type="dxa"/>
            <w:vAlign w:val="center"/>
          </w:tcPr>
          <w:p w14:paraId="079ACC29" w14:textId="77777777" w:rsidR="00383886" w:rsidRPr="00383886" w:rsidRDefault="00383886" w:rsidP="00FD6B98">
            <w:pPr>
              <w:spacing w:before="20" w:after="20"/>
              <w:jc w:val="both"/>
              <w:rPr>
                <w:rFonts w:cs="Arial"/>
                <w:sz w:val="20"/>
              </w:rPr>
            </w:pPr>
          </w:p>
        </w:tc>
        <w:tc>
          <w:tcPr>
            <w:tcW w:w="2093" w:type="dxa"/>
            <w:vAlign w:val="center"/>
          </w:tcPr>
          <w:p w14:paraId="589704B4" w14:textId="77777777" w:rsidR="00383886" w:rsidRPr="00383886" w:rsidRDefault="00383886" w:rsidP="00FD6B98">
            <w:pPr>
              <w:spacing w:before="20" w:after="20"/>
              <w:jc w:val="both"/>
              <w:rPr>
                <w:rFonts w:cs="Arial"/>
                <w:sz w:val="20"/>
              </w:rPr>
            </w:pPr>
            <w:r w:rsidRPr="00383886">
              <w:rPr>
                <w:rFonts w:cs="Arial"/>
                <w:sz w:val="20"/>
                <w:lang w:val="sl-SI"/>
              </w:rPr>
              <w:t>U skladu sa Zakonom o budžetu i fiskalnoj odgovornosti priprema se završni račun budžeta države.</w:t>
            </w:r>
          </w:p>
        </w:tc>
      </w:tr>
      <w:tr w:rsidR="00383886" w:rsidRPr="00383886" w14:paraId="11D0E0E8" w14:textId="77777777" w:rsidTr="00FD6B98">
        <w:tc>
          <w:tcPr>
            <w:tcW w:w="586" w:type="dxa"/>
            <w:gridSpan w:val="2"/>
            <w:vAlign w:val="center"/>
          </w:tcPr>
          <w:p w14:paraId="6C9BBAA0" w14:textId="77777777" w:rsidR="00383886" w:rsidRPr="00383886" w:rsidRDefault="00383886" w:rsidP="00FD6B98">
            <w:pPr>
              <w:spacing w:before="20" w:after="20"/>
              <w:jc w:val="both"/>
              <w:rPr>
                <w:rFonts w:cs="Arial"/>
                <w:sz w:val="20"/>
              </w:rPr>
            </w:pPr>
            <w:r w:rsidRPr="00383886">
              <w:rPr>
                <w:rFonts w:cs="Arial"/>
                <w:sz w:val="20"/>
              </w:rPr>
              <w:t>11.</w:t>
            </w:r>
          </w:p>
        </w:tc>
        <w:tc>
          <w:tcPr>
            <w:tcW w:w="2012" w:type="dxa"/>
            <w:vAlign w:val="center"/>
          </w:tcPr>
          <w:p w14:paraId="2D5385A9" w14:textId="77777777" w:rsidR="00383886" w:rsidRPr="00383886" w:rsidRDefault="00383886" w:rsidP="00FD6B98">
            <w:pPr>
              <w:spacing w:line="276" w:lineRule="auto"/>
              <w:jc w:val="both"/>
              <w:rPr>
                <w:rFonts w:cs="Arial"/>
                <w:sz w:val="20"/>
              </w:rPr>
            </w:pPr>
            <w:r w:rsidRPr="00383886">
              <w:rPr>
                <w:rFonts w:cs="Arial"/>
                <w:sz w:val="20"/>
              </w:rPr>
              <w:t>Utvrditi Predlog zakona o izmjenama i dopunama Zakona o budžetu i fiskalnoj odgovornosti</w:t>
            </w:r>
          </w:p>
        </w:tc>
        <w:tc>
          <w:tcPr>
            <w:tcW w:w="2066" w:type="dxa"/>
            <w:vAlign w:val="center"/>
          </w:tcPr>
          <w:p w14:paraId="783B6FD8" w14:textId="77777777" w:rsidR="00383886" w:rsidRPr="00383886" w:rsidRDefault="00383886" w:rsidP="00FD6B98">
            <w:pPr>
              <w:spacing w:line="276" w:lineRule="auto"/>
              <w:jc w:val="both"/>
              <w:rPr>
                <w:rFonts w:cs="Arial"/>
                <w:sz w:val="20"/>
              </w:rPr>
            </w:pPr>
            <w:r w:rsidRPr="00383886">
              <w:rPr>
                <w:rFonts w:cs="Arial"/>
                <w:sz w:val="20"/>
              </w:rPr>
              <w:t>Utvrđen Predlog zakona o izmjenama i dopunama Zakona o budžetu I fiskalnoj odgovornosti</w:t>
            </w:r>
          </w:p>
        </w:tc>
        <w:tc>
          <w:tcPr>
            <w:tcW w:w="1843" w:type="dxa"/>
            <w:shd w:val="clear" w:color="auto" w:fill="auto"/>
            <w:vAlign w:val="center"/>
          </w:tcPr>
          <w:p w14:paraId="1B3EAE4D" w14:textId="77777777" w:rsidR="00383886" w:rsidRPr="00F27DB4" w:rsidRDefault="00383886" w:rsidP="00FD6B98">
            <w:pPr>
              <w:spacing w:before="20" w:after="20"/>
              <w:jc w:val="both"/>
              <w:rPr>
                <w:rFonts w:cs="Arial"/>
                <w:sz w:val="20"/>
              </w:rPr>
            </w:pPr>
            <w:r w:rsidRPr="00F27DB4">
              <w:rPr>
                <w:rFonts w:cs="Arial"/>
                <w:sz w:val="20"/>
              </w:rPr>
              <w:t>NI: MFSS</w:t>
            </w:r>
          </w:p>
          <w:p w14:paraId="4EB18B20"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0C332B96" w14:textId="77777777" w:rsidR="00383886" w:rsidRPr="00383886" w:rsidRDefault="00383886" w:rsidP="00FD6B98">
            <w:pPr>
              <w:spacing w:before="20" w:after="20"/>
              <w:jc w:val="both"/>
              <w:rPr>
                <w:rFonts w:cs="Arial"/>
                <w:sz w:val="20"/>
              </w:rPr>
            </w:pPr>
            <w:r w:rsidRPr="00383886">
              <w:rPr>
                <w:rFonts w:cs="Arial"/>
                <w:sz w:val="20"/>
              </w:rPr>
              <w:t>I - II Q 2022.</w:t>
            </w:r>
          </w:p>
        </w:tc>
        <w:tc>
          <w:tcPr>
            <w:tcW w:w="1945" w:type="dxa"/>
            <w:vAlign w:val="center"/>
          </w:tcPr>
          <w:p w14:paraId="221BCE9E" w14:textId="77777777" w:rsidR="00383886" w:rsidRPr="00383886" w:rsidRDefault="00383886" w:rsidP="00FD6B98">
            <w:pPr>
              <w:spacing w:before="20" w:after="20"/>
              <w:jc w:val="both"/>
              <w:rPr>
                <w:rFonts w:cs="Arial"/>
                <w:sz w:val="20"/>
              </w:rPr>
            </w:pPr>
          </w:p>
        </w:tc>
        <w:tc>
          <w:tcPr>
            <w:tcW w:w="1941" w:type="dxa"/>
            <w:vAlign w:val="center"/>
          </w:tcPr>
          <w:p w14:paraId="1FD254EC" w14:textId="77777777" w:rsidR="00383886" w:rsidRPr="00383886" w:rsidRDefault="00383886" w:rsidP="00FD6B98">
            <w:pPr>
              <w:spacing w:before="20" w:after="20"/>
              <w:jc w:val="both"/>
              <w:rPr>
                <w:rFonts w:cs="Arial"/>
                <w:sz w:val="20"/>
              </w:rPr>
            </w:pPr>
          </w:p>
        </w:tc>
        <w:tc>
          <w:tcPr>
            <w:tcW w:w="2093" w:type="dxa"/>
            <w:vAlign w:val="center"/>
          </w:tcPr>
          <w:p w14:paraId="6310AD2F" w14:textId="77777777" w:rsidR="00383886" w:rsidRPr="00383886" w:rsidRDefault="00383886" w:rsidP="00FD6B98">
            <w:pPr>
              <w:spacing w:line="276" w:lineRule="auto"/>
              <w:jc w:val="both"/>
              <w:rPr>
                <w:rFonts w:cs="Arial"/>
                <w:sz w:val="20"/>
              </w:rPr>
            </w:pPr>
            <w:r w:rsidRPr="00383886">
              <w:rPr>
                <w:rFonts w:cs="Arial"/>
                <w:sz w:val="20"/>
              </w:rPr>
              <w:t xml:space="preserve">Zakon o budžetu i fiskalnoj odgovornosti predstavlja sistemski zakon kojim se reguliše budžetski sistem Crne </w:t>
            </w:r>
            <w:r w:rsidRPr="00383886">
              <w:rPr>
                <w:rFonts w:cs="Arial"/>
                <w:sz w:val="20"/>
              </w:rPr>
              <w:lastRenderedPageBreak/>
              <w:t>Gore. Reforme u procesu budžetiranja kao i zahtjevi iz pregovaračkog procesa zahtijevaju izmjene i dopune ovog zakona.</w:t>
            </w:r>
          </w:p>
        </w:tc>
      </w:tr>
      <w:tr w:rsidR="00383886" w:rsidRPr="00383886" w14:paraId="5B21ABAE" w14:textId="77777777" w:rsidTr="00FD6B98">
        <w:tc>
          <w:tcPr>
            <w:tcW w:w="586" w:type="dxa"/>
            <w:gridSpan w:val="2"/>
            <w:vAlign w:val="center"/>
          </w:tcPr>
          <w:p w14:paraId="1550EF4A" w14:textId="77777777" w:rsidR="00383886" w:rsidRPr="00383886" w:rsidRDefault="00383886" w:rsidP="00FD6B98">
            <w:pPr>
              <w:spacing w:before="20" w:after="20"/>
              <w:jc w:val="both"/>
              <w:rPr>
                <w:rFonts w:cs="Arial"/>
                <w:sz w:val="20"/>
              </w:rPr>
            </w:pPr>
            <w:r w:rsidRPr="00383886">
              <w:rPr>
                <w:rFonts w:cs="Arial"/>
                <w:sz w:val="20"/>
              </w:rPr>
              <w:t>12.</w:t>
            </w:r>
          </w:p>
        </w:tc>
        <w:tc>
          <w:tcPr>
            <w:tcW w:w="2012" w:type="dxa"/>
            <w:vAlign w:val="center"/>
          </w:tcPr>
          <w:p w14:paraId="5CF8968A" w14:textId="77777777" w:rsidR="00383886" w:rsidRPr="00383886" w:rsidRDefault="00383886" w:rsidP="00FD6B98">
            <w:pPr>
              <w:spacing w:before="20" w:after="20"/>
              <w:jc w:val="both"/>
              <w:rPr>
                <w:rFonts w:cs="Arial"/>
                <w:sz w:val="20"/>
              </w:rPr>
            </w:pPr>
            <w:r w:rsidRPr="00383886">
              <w:rPr>
                <w:rFonts w:cs="Arial"/>
                <w:sz w:val="20"/>
              </w:rPr>
              <w:t>Utvrditi Predlog zakona o izmjenama i dopunama Zakona o zaradama zaposlenih u javnom sektoru</w:t>
            </w:r>
          </w:p>
        </w:tc>
        <w:tc>
          <w:tcPr>
            <w:tcW w:w="2066" w:type="dxa"/>
            <w:vAlign w:val="center"/>
          </w:tcPr>
          <w:p w14:paraId="47B40FDD" w14:textId="77777777" w:rsidR="00383886" w:rsidRPr="00383886" w:rsidRDefault="00383886" w:rsidP="00FD6B98">
            <w:pPr>
              <w:spacing w:before="20" w:after="20"/>
              <w:jc w:val="both"/>
              <w:rPr>
                <w:rFonts w:cs="Arial"/>
                <w:sz w:val="20"/>
              </w:rPr>
            </w:pPr>
            <w:r w:rsidRPr="00383886">
              <w:rPr>
                <w:rFonts w:cs="Arial"/>
                <w:sz w:val="20"/>
              </w:rPr>
              <w:t>Utvrđen Predlog zakona o izmjenama i dopunama Zakona o zaradama zaposlenih u javnom sektoru</w:t>
            </w:r>
          </w:p>
        </w:tc>
        <w:tc>
          <w:tcPr>
            <w:tcW w:w="1843" w:type="dxa"/>
            <w:shd w:val="clear" w:color="auto" w:fill="auto"/>
            <w:vAlign w:val="center"/>
          </w:tcPr>
          <w:p w14:paraId="61D1620E" w14:textId="77777777" w:rsidR="00383886" w:rsidRPr="00F27DB4" w:rsidRDefault="00383886" w:rsidP="00FD6B98">
            <w:pPr>
              <w:spacing w:before="20" w:after="20"/>
              <w:jc w:val="both"/>
              <w:rPr>
                <w:rFonts w:cs="Arial"/>
                <w:sz w:val="20"/>
              </w:rPr>
            </w:pPr>
            <w:r w:rsidRPr="00F27DB4">
              <w:rPr>
                <w:rFonts w:cs="Arial"/>
                <w:sz w:val="20"/>
              </w:rPr>
              <w:t>NI: MFSS</w:t>
            </w:r>
          </w:p>
          <w:p w14:paraId="38ABABF2"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2CF03C3B" w14:textId="77777777" w:rsidR="00383886" w:rsidRPr="00383886" w:rsidRDefault="00383886" w:rsidP="00FD6B98">
            <w:pPr>
              <w:spacing w:before="20" w:after="20"/>
              <w:jc w:val="both"/>
              <w:rPr>
                <w:rFonts w:cs="Arial"/>
                <w:sz w:val="20"/>
              </w:rPr>
            </w:pPr>
            <w:r w:rsidRPr="00383886">
              <w:rPr>
                <w:rFonts w:cs="Arial"/>
                <w:sz w:val="20"/>
              </w:rPr>
              <w:t>I - II Q 2022.</w:t>
            </w:r>
          </w:p>
        </w:tc>
        <w:tc>
          <w:tcPr>
            <w:tcW w:w="1945" w:type="dxa"/>
            <w:vAlign w:val="center"/>
          </w:tcPr>
          <w:p w14:paraId="17436AB1" w14:textId="77777777" w:rsidR="00383886" w:rsidRPr="00383886" w:rsidRDefault="00383886" w:rsidP="00FD6B98">
            <w:pPr>
              <w:jc w:val="both"/>
              <w:rPr>
                <w:rFonts w:eastAsia="Cambria" w:cs="Arial"/>
                <w:sz w:val="20"/>
              </w:rPr>
            </w:pPr>
            <w:r w:rsidRPr="00383886">
              <w:rPr>
                <w:rFonts w:eastAsia="Cambria" w:cs="Arial"/>
                <w:sz w:val="20"/>
              </w:rPr>
              <w:t>Propis će imati uticaj na budžet i poslovni ambijent, zbog čega će u procesu njegove pripreme biti urađena detaljna RIA.</w:t>
            </w:r>
          </w:p>
        </w:tc>
        <w:tc>
          <w:tcPr>
            <w:tcW w:w="1941" w:type="dxa"/>
          </w:tcPr>
          <w:p w14:paraId="1060D82D" w14:textId="77777777" w:rsidR="00383886" w:rsidRPr="00383886" w:rsidRDefault="00383886" w:rsidP="00FD6B98">
            <w:pPr>
              <w:spacing w:before="20" w:after="20"/>
              <w:jc w:val="both"/>
              <w:rPr>
                <w:rFonts w:cs="Arial"/>
                <w:sz w:val="20"/>
              </w:rPr>
            </w:pPr>
          </w:p>
        </w:tc>
        <w:tc>
          <w:tcPr>
            <w:tcW w:w="2093" w:type="dxa"/>
          </w:tcPr>
          <w:p w14:paraId="6E5201F3" w14:textId="77777777" w:rsidR="00383886" w:rsidRPr="00383886" w:rsidRDefault="00383886" w:rsidP="00FD6B98">
            <w:pPr>
              <w:spacing w:before="20" w:after="20"/>
              <w:jc w:val="both"/>
              <w:rPr>
                <w:rFonts w:cs="Arial"/>
                <w:sz w:val="20"/>
              </w:rPr>
            </w:pPr>
            <w:r w:rsidRPr="00383886">
              <w:rPr>
                <w:rFonts w:cs="Arial"/>
                <w:sz w:val="20"/>
              </w:rPr>
              <w:t>Izmjene i dopune Zakona o zaradama zaposlenih u javnom sektoru predložiće se u cilju unapređenja politike zarada zaposlenih u javnom sektoru, usklađivanja zarada sa nivoom odgovornosti, efikasnijeg upravljanja fondom bruto zarada zaposlenih, stvaranja formalnih pretpostavki za sprovođenje optimizacije javne uprave, bolju evidenciju zarada i broja zaposlenih kao i sistema nagrađivanja.</w:t>
            </w:r>
          </w:p>
        </w:tc>
      </w:tr>
      <w:tr w:rsidR="00383886" w:rsidRPr="00383886" w14:paraId="0CB8D700" w14:textId="77777777" w:rsidTr="00FD6B98">
        <w:tc>
          <w:tcPr>
            <w:tcW w:w="586" w:type="dxa"/>
            <w:gridSpan w:val="2"/>
            <w:vAlign w:val="center"/>
          </w:tcPr>
          <w:p w14:paraId="35C41B56" w14:textId="77777777" w:rsidR="00383886" w:rsidRPr="00383886" w:rsidRDefault="00383886" w:rsidP="00FD6B98">
            <w:pPr>
              <w:spacing w:before="20" w:after="20"/>
              <w:jc w:val="both"/>
              <w:rPr>
                <w:rFonts w:cs="Arial"/>
                <w:sz w:val="20"/>
              </w:rPr>
            </w:pPr>
            <w:r w:rsidRPr="00383886">
              <w:rPr>
                <w:rFonts w:cs="Arial"/>
                <w:sz w:val="20"/>
              </w:rPr>
              <w:t>13.</w:t>
            </w:r>
          </w:p>
        </w:tc>
        <w:tc>
          <w:tcPr>
            <w:tcW w:w="2012" w:type="dxa"/>
            <w:vAlign w:val="center"/>
          </w:tcPr>
          <w:p w14:paraId="3F598603" w14:textId="77777777" w:rsidR="00383886" w:rsidRPr="00383886" w:rsidRDefault="00383886" w:rsidP="00FD6B98">
            <w:pPr>
              <w:pStyle w:val="NormalWeb"/>
              <w:jc w:val="both"/>
              <w:rPr>
                <w:rFonts w:ascii="Arial Narrow" w:hAnsi="Arial Narrow" w:cs="Arial"/>
                <w:color w:val="000000"/>
                <w:sz w:val="20"/>
              </w:rPr>
            </w:pPr>
            <w:proofErr w:type="spellStart"/>
            <w:r w:rsidRPr="00383886">
              <w:rPr>
                <w:rFonts w:ascii="Arial Narrow" w:hAnsi="Arial Narrow" w:cs="Arial"/>
                <w:color w:val="212121"/>
                <w:sz w:val="20"/>
              </w:rPr>
              <w:t>Donijeti</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Uredbu</w:t>
            </w:r>
            <w:proofErr w:type="spellEnd"/>
            <w:r w:rsidRPr="00383886">
              <w:rPr>
                <w:rFonts w:ascii="Arial Narrow" w:hAnsi="Arial Narrow" w:cs="Arial"/>
                <w:color w:val="212121"/>
                <w:sz w:val="20"/>
              </w:rPr>
              <w:t xml:space="preserve"> o </w:t>
            </w:r>
            <w:proofErr w:type="spellStart"/>
            <w:r w:rsidRPr="00383886">
              <w:rPr>
                <w:rFonts w:ascii="Arial Narrow" w:hAnsi="Arial Narrow" w:cs="Arial"/>
                <w:color w:val="212121"/>
                <w:sz w:val="20"/>
              </w:rPr>
              <w:t>utvrđivanju</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isplate</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obeštećenja</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bivšim</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vlasnicima</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oduzetih</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imovinskih</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prava</w:t>
            </w:r>
            <w:proofErr w:type="spellEnd"/>
            <w:r w:rsidRPr="00383886">
              <w:rPr>
                <w:rFonts w:ascii="Arial Narrow" w:hAnsi="Arial Narrow" w:cs="Arial"/>
                <w:color w:val="212121"/>
                <w:sz w:val="20"/>
              </w:rPr>
              <w:t xml:space="preserve"> u </w:t>
            </w:r>
            <w:proofErr w:type="spellStart"/>
            <w:r w:rsidRPr="00383886">
              <w:rPr>
                <w:rFonts w:ascii="Arial Narrow" w:hAnsi="Arial Narrow" w:cs="Arial"/>
                <w:color w:val="212121"/>
                <w:sz w:val="20"/>
              </w:rPr>
              <w:t>novčanim</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sredstvima</w:t>
            </w:r>
            <w:proofErr w:type="spellEnd"/>
            <w:r w:rsidRPr="00383886">
              <w:rPr>
                <w:rFonts w:ascii="Arial Narrow" w:hAnsi="Arial Narrow" w:cs="Arial"/>
                <w:color w:val="212121"/>
                <w:sz w:val="20"/>
              </w:rPr>
              <w:t>.</w:t>
            </w:r>
          </w:p>
          <w:p w14:paraId="6876FDC6" w14:textId="77777777" w:rsidR="00383886" w:rsidRPr="00383886" w:rsidRDefault="00383886" w:rsidP="00FD6B98">
            <w:pPr>
              <w:spacing w:before="20" w:after="20"/>
              <w:jc w:val="both"/>
              <w:rPr>
                <w:rFonts w:cs="Arial"/>
                <w:sz w:val="20"/>
              </w:rPr>
            </w:pPr>
          </w:p>
        </w:tc>
        <w:tc>
          <w:tcPr>
            <w:tcW w:w="2066" w:type="dxa"/>
            <w:vAlign w:val="center"/>
          </w:tcPr>
          <w:p w14:paraId="37F28938" w14:textId="77777777" w:rsidR="00383886" w:rsidRPr="00383886" w:rsidRDefault="00383886" w:rsidP="00FD6B98">
            <w:pPr>
              <w:pStyle w:val="NormalWeb"/>
              <w:jc w:val="both"/>
              <w:rPr>
                <w:rFonts w:ascii="Arial Narrow" w:hAnsi="Arial Narrow" w:cs="Arial"/>
                <w:color w:val="000000"/>
                <w:sz w:val="20"/>
              </w:rPr>
            </w:pPr>
            <w:proofErr w:type="spellStart"/>
            <w:r w:rsidRPr="00383886">
              <w:rPr>
                <w:rFonts w:ascii="Arial Narrow" w:hAnsi="Arial Narrow" w:cs="Arial"/>
                <w:color w:val="212121"/>
                <w:sz w:val="20"/>
              </w:rPr>
              <w:t>Donesena</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Uredba</w:t>
            </w:r>
            <w:proofErr w:type="spellEnd"/>
            <w:r w:rsidRPr="00383886">
              <w:rPr>
                <w:rFonts w:ascii="Arial Narrow" w:hAnsi="Arial Narrow" w:cs="Arial"/>
                <w:color w:val="212121"/>
                <w:sz w:val="20"/>
              </w:rPr>
              <w:t xml:space="preserve"> o </w:t>
            </w:r>
            <w:proofErr w:type="spellStart"/>
            <w:r w:rsidRPr="00383886">
              <w:rPr>
                <w:rFonts w:ascii="Arial Narrow" w:hAnsi="Arial Narrow" w:cs="Arial"/>
                <w:color w:val="212121"/>
                <w:sz w:val="20"/>
              </w:rPr>
              <w:t>utvrđivanju</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isplate</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obeštećenja</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bivšim</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vlasnicima</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oduzetih</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imovinskih</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prava</w:t>
            </w:r>
            <w:proofErr w:type="spellEnd"/>
            <w:r w:rsidRPr="00383886">
              <w:rPr>
                <w:rFonts w:ascii="Arial Narrow" w:hAnsi="Arial Narrow" w:cs="Arial"/>
                <w:color w:val="212121"/>
                <w:sz w:val="20"/>
              </w:rPr>
              <w:t xml:space="preserve"> u </w:t>
            </w:r>
            <w:proofErr w:type="spellStart"/>
            <w:r w:rsidRPr="00383886">
              <w:rPr>
                <w:rFonts w:ascii="Arial Narrow" w:hAnsi="Arial Narrow" w:cs="Arial"/>
                <w:color w:val="212121"/>
                <w:sz w:val="20"/>
              </w:rPr>
              <w:t>novčanim</w:t>
            </w:r>
            <w:proofErr w:type="spellEnd"/>
            <w:r w:rsidRPr="00383886">
              <w:rPr>
                <w:rFonts w:ascii="Arial Narrow" w:hAnsi="Arial Narrow" w:cs="Arial"/>
                <w:color w:val="212121"/>
                <w:sz w:val="20"/>
              </w:rPr>
              <w:t xml:space="preserve"> </w:t>
            </w:r>
            <w:proofErr w:type="spellStart"/>
            <w:r w:rsidRPr="00383886">
              <w:rPr>
                <w:rFonts w:ascii="Arial Narrow" w:hAnsi="Arial Narrow" w:cs="Arial"/>
                <w:color w:val="212121"/>
                <w:sz w:val="20"/>
              </w:rPr>
              <w:t>sredstvima</w:t>
            </w:r>
            <w:proofErr w:type="spellEnd"/>
            <w:r w:rsidRPr="00383886">
              <w:rPr>
                <w:rFonts w:ascii="Arial Narrow" w:hAnsi="Arial Narrow" w:cs="Arial"/>
                <w:color w:val="212121"/>
                <w:sz w:val="20"/>
              </w:rPr>
              <w:t>.</w:t>
            </w:r>
          </w:p>
          <w:p w14:paraId="6E86FF95" w14:textId="77777777" w:rsidR="00383886" w:rsidRPr="00383886" w:rsidRDefault="00383886" w:rsidP="00FD6B98">
            <w:pPr>
              <w:spacing w:before="20" w:after="20"/>
              <w:jc w:val="both"/>
              <w:rPr>
                <w:rFonts w:cs="Arial"/>
                <w:sz w:val="20"/>
              </w:rPr>
            </w:pPr>
          </w:p>
        </w:tc>
        <w:tc>
          <w:tcPr>
            <w:tcW w:w="1843" w:type="dxa"/>
            <w:shd w:val="clear" w:color="auto" w:fill="auto"/>
            <w:vAlign w:val="center"/>
          </w:tcPr>
          <w:p w14:paraId="4C07F9F4" w14:textId="77777777" w:rsidR="00383886" w:rsidRPr="00F27DB4" w:rsidRDefault="00383886" w:rsidP="00FD6B98">
            <w:pPr>
              <w:spacing w:before="20" w:after="20"/>
              <w:jc w:val="both"/>
              <w:rPr>
                <w:rFonts w:cs="Arial"/>
                <w:sz w:val="20"/>
              </w:rPr>
            </w:pPr>
            <w:r w:rsidRPr="00F27DB4">
              <w:rPr>
                <w:rFonts w:cs="Arial"/>
                <w:sz w:val="20"/>
              </w:rPr>
              <w:t>NI: MFSS</w:t>
            </w:r>
          </w:p>
          <w:p w14:paraId="690CE52C"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2EC0B987" w14:textId="77777777" w:rsidR="00383886" w:rsidRPr="00383886" w:rsidRDefault="00383886" w:rsidP="00FD6B98">
            <w:pPr>
              <w:spacing w:before="20" w:after="20"/>
              <w:jc w:val="both"/>
              <w:rPr>
                <w:rFonts w:cs="Arial"/>
                <w:sz w:val="20"/>
              </w:rPr>
            </w:pPr>
            <w:r w:rsidRPr="00383886">
              <w:rPr>
                <w:rFonts w:cs="Arial"/>
                <w:sz w:val="20"/>
              </w:rPr>
              <w:t>II Q 2022.</w:t>
            </w:r>
          </w:p>
        </w:tc>
        <w:tc>
          <w:tcPr>
            <w:tcW w:w="1945" w:type="dxa"/>
            <w:vAlign w:val="center"/>
          </w:tcPr>
          <w:p w14:paraId="329A4324" w14:textId="77777777" w:rsidR="00383886" w:rsidRPr="00383886" w:rsidRDefault="00383886" w:rsidP="00FD6B98">
            <w:pPr>
              <w:jc w:val="both"/>
              <w:rPr>
                <w:rFonts w:eastAsia="Cambria" w:cs="Arial"/>
                <w:sz w:val="20"/>
              </w:rPr>
            </w:pPr>
            <w:r w:rsidRPr="00383886">
              <w:rPr>
                <w:rFonts w:eastAsia="Cambria" w:cs="Arial"/>
                <w:sz w:val="20"/>
              </w:rPr>
              <w:t>Sredstva za realizaciju obezbijena Budžetom za 2022.</w:t>
            </w:r>
          </w:p>
          <w:p w14:paraId="630E8069" w14:textId="77777777" w:rsidR="00383886" w:rsidRPr="00383886" w:rsidRDefault="00383886" w:rsidP="00FD6B98">
            <w:pPr>
              <w:jc w:val="both"/>
              <w:rPr>
                <w:rFonts w:eastAsia="Cambria" w:cs="Arial"/>
                <w:sz w:val="20"/>
              </w:rPr>
            </w:pPr>
            <w:r w:rsidRPr="00383886">
              <w:rPr>
                <w:rFonts w:eastAsia="Cambria" w:cs="Arial"/>
                <w:sz w:val="20"/>
              </w:rPr>
              <w:t>Nema uticaja na poslovni ambijent- neće se pripremati RIA</w:t>
            </w:r>
          </w:p>
        </w:tc>
        <w:tc>
          <w:tcPr>
            <w:tcW w:w="1941" w:type="dxa"/>
            <w:vAlign w:val="center"/>
          </w:tcPr>
          <w:p w14:paraId="3E612F29" w14:textId="77777777" w:rsidR="00383886" w:rsidRPr="00383886" w:rsidRDefault="00383886" w:rsidP="00FD6B98">
            <w:pPr>
              <w:spacing w:before="20" w:after="20"/>
              <w:jc w:val="both"/>
              <w:rPr>
                <w:rFonts w:cs="Arial"/>
                <w:sz w:val="20"/>
              </w:rPr>
            </w:pPr>
          </w:p>
        </w:tc>
        <w:tc>
          <w:tcPr>
            <w:tcW w:w="2093" w:type="dxa"/>
            <w:vAlign w:val="center"/>
          </w:tcPr>
          <w:p w14:paraId="315B0AC4" w14:textId="77777777" w:rsidR="00383886" w:rsidRPr="00383886" w:rsidRDefault="00383886" w:rsidP="00FD6B98">
            <w:pPr>
              <w:spacing w:before="20" w:after="20"/>
              <w:jc w:val="both"/>
              <w:rPr>
                <w:rFonts w:cs="Arial"/>
                <w:sz w:val="20"/>
              </w:rPr>
            </w:pPr>
            <w:r w:rsidRPr="00383886">
              <w:rPr>
                <w:rFonts w:cs="Arial"/>
                <w:sz w:val="20"/>
              </w:rPr>
              <w:t xml:space="preserve">Ovom uredbom se, na osnovu Zakona o povraćaju oduzetih imovinskih prava i obeštećena, omogućava </w:t>
            </w:r>
            <w:r w:rsidRPr="00383886">
              <w:rPr>
                <w:rFonts w:cs="Arial"/>
                <w:color w:val="212121"/>
                <w:sz w:val="20"/>
              </w:rPr>
              <w:t>isplata obeštećenja bivšim vlasnicima oduzetih imovinskih prava u novčanim sredstvima, u skladu sa finansijskim mogućnostima.</w:t>
            </w:r>
          </w:p>
        </w:tc>
      </w:tr>
      <w:tr w:rsidR="00383886" w:rsidRPr="00383886" w14:paraId="3313CD05" w14:textId="77777777" w:rsidTr="00FD6B98">
        <w:tc>
          <w:tcPr>
            <w:tcW w:w="586" w:type="dxa"/>
            <w:gridSpan w:val="2"/>
            <w:vAlign w:val="center"/>
          </w:tcPr>
          <w:p w14:paraId="2A1CCDA7" w14:textId="77777777" w:rsidR="00383886" w:rsidRPr="00383886" w:rsidRDefault="00383886" w:rsidP="00FD6B98">
            <w:pPr>
              <w:spacing w:before="20" w:after="20"/>
              <w:jc w:val="both"/>
              <w:rPr>
                <w:rFonts w:cs="Arial"/>
                <w:sz w:val="20"/>
              </w:rPr>
            </w:pPr>
            <w:r w:rsidRPr="00383886">
              <w:rPr>
                <w:rFonts w:cs="Arial"/>
                <w:sz w:val="20"/>
              </w:rPr>
              <w:t>14.</w:t>
            </w:r>
          </w:p>
        </w:tc>
        <w:tc>
          <w:tcPr>
            <w:tcW w:w="2012" w:type="dxa"/>
            <w:vAlign w:val="center"/>
          </w:tcPr>
          <w:p w14:paraId="2E0A516B" w14:textId="77777777" w:rsidR="00383886" w:rsidRPr="00383886" w:rsidRDefault="00383886" w:rsidP="00FD6B98">
            <w:pPr>
              <w:spacing w:before="20" w:after="20"/>
              <w:jc w:val="both"/>
              <w:rPr>
                <w:rFonts w:eastAsia="Cambria" w:cs="Arial"/>
                <w:sz w:val="20"/>
              </w:rPr>
            </w:pPr>
            <w:r w:rsidRPr="00383886">
              <w:rPr>
                <w:rFonts w:eastAsia="Cambria" w:cs="Arial"/>
                <w:sz w:val="20"/>
              </w:rPr>
              <w:t>Utvrditi Predlog zakona o izmjenama i dopunama Zakona o porezu na dodatu vrijednost</w:t>
            </w:r>
          </w:p>
        </w:tc>
        <w:tc>
          <w:tcPr>
            <w:tcW w:w="2066" w:type="dxa"/>
            <w:vAlign w:val="center"/>
          </w:tcPr>
          <w:p w14:paraId="5CE22FDD" w14:textId="77777777" w:rsidR="00383886" w:rsidRPr="00383886" w:rsidRDefault="00383886" w:rsidP="00FD6B98">
            <w:pPr>
              <w:spacing w:before="20" w:after="20"/>
              <w:jc w:val="both"/>
              <w:rPr>
                <w:rFonts w:eastAsia="Cambria" w:cs="Arial"/>
                <w:sz w:val="20"/>
              </w:rPr>
            </w:pPr>
            <w:r w:rsidRPr="00383886">
              <w:rPr>
                <w:rFonts w:eastAsia="Cambria" w:cs="Arial"/>
                <w:sz w:val="20"/>
              </w:rPr>
              <w:t>Utvrđen Predlog zakona o izmjenama i dopunama Zakona o porezu na dodatu vrijednost</w:t>
            </w:r>
          </w:p>
        </w:tc>
        <w:tc>
          <w:tcPr>
            <w:tcW w:w="1843" w:type="dxa"/>
            <w:shd w:val="clear" w:color="auto" w:fill="auto"/>
            <w:vAlign w:val="center"/>
          </w:tcPr>
          <w:p w14:paraId="6C5321C0" w14:textId="77777777" w:rsidR="00383886" w:rsidRPr="00F27DB4" w:rsidRDefault="00383886" w:rsidP="00FD6B98">
            <w:pPr>
              <w:spacing w:before="20" w:after="20"/>
              <w:jc w:val="both"/>
              <w:rPr>
                <w:rFonts w:cs="Arial"/>
                <w:sz w:val="20"/>
              </w:rPr>
            </w:pPr>
            <w:r w:rsidRPr="00F27DB4">
              <w:rPr>
                <w:rFonts w:cs="Arial"/>
                <w:sz w:val="20"/>
              </w:rPr>
              <w:t>NI: MFSS</w:t>
            </w:r>
          </w:p>
          <w:p w14:paraId="4C42B53D"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362FD3FB" w14:textId="77777777" w:rsidR="00383886" w:rsidRPr="00383886" w:rsidRDefault="00383886" w:rsidP="00FD6B98">
            <w:pPr>
              <w:spacing w:before="20" w:after="20"/>
              <w:jc w:val="both"/>
              <w:rPr>
                <w:rFonts w:cs="Arial"/>
                <w:sz w:val="20"/>
              </w:rPr>
            </w:pPr>
            <w:r w:rsidRPr="00383886">
              <w:rPr>
                <w:rFonts w:cs="Arial"/>
                <w:sz w:val="20"/>
              </w:rPr>
              <w:t>II Q 2022.</w:t>
            </w:r>
          </w:p>
        </w:tc>
        <w:tc>
          <w:tcPr>
            <w:tcW w:w="1945" w:type="dxa"/>
            <w:vAlign w:val="center"/>
          </w:tcPr>
          <w:p w14:paraId="63E41075" w14:textId="77777777" w:rsidR="00383886" w:rsidRPr="00383886" w:rsidRDefault="00383886" w:rsidP="00FD6B98">
            <w:pPr>
              <w:jc w:val="both"/>
              <w:rPr>
                <w:rFonts w:eastAsia="Cambria" w:cs="Arial"/>
                <w:sz w:val="20"/>
              </w:rPr>
            </w:pPr>
            <w:r w:rsidRPr="00383886">
              <w:rPr>
                <w:rFonts w:eastAsia="Cambria" w:cs="Arial"/>
                <w:sz w:val="20"/>
              </w:rPr>
              <w:t xml:space="preserve">Propis će imati uticaj na poslovni ambijent, privredu i građane, zbog čega će u procesu </w:t>
            </w:r>
            <w:r w:rsidRPr="00383886">
              <w:rPr>
                <w:rFonts w:eastAsia="Cambria" w:cs="Arial"/>
                <w:sz w:val="20"/>
              </w:rPr>
              <w:lastRenderedPageBreak/>
              <w:t>njegove pripreme biti urađena detaljna RIA.</w:t>
            </w:r>
          </w:p>
        </w:tc>
        <w:tc>
          <w:tcPr>
            <w:tcW w:w="1941" w:type="dxa"/>
          </w:tcPr>
          <w:p w14:paraId="3F585543" w14:textId="77777777" w:rsidR="00383886" w:rsidRPr="00383886" w:rsidRDefault="00383886" w:rsidP="00FD6B98">
            <w:pPr>
              <w:spacing w:before="20" w:after="20"/>
              <w:jc w:val="both"/>
              <w:rPr>
                <w:rFonts w:cs="Arial"/>
                <w:sz w:val="20"/>
              </w:rPr>
            </w:pPr>
          </w:p>
        </w:tc>
        <w:tc>
          <w:tcPr>
            <w:tcW w:w="2093" w:type="dxa"/>
          </w:tcPr>
          <w:p w14:paraId="3ACBAF60" w14:textId="77777777" w:rsidR="00383886" w:rsidRPr="00383886" w:rsidRDefault="00383886" w:rsidP="00FD6B98">
            <w:pPr>
              <w:jc w:val="both"/>
              <w:rPr>
                <w:rFonts w:eastAsia="Cambria" w:cs="Arial"/>
                <w:sz w:val="20"/>
              </w:rPr>
            </w:pPr>
            <w:r w:rsidRPr="00383886">
              <w:rPr>
                <w:rFonts w:eastAsia="Cambria" w:cs="Arial"/>
                <w:sz w:val="20"/>
              </w:rPr>
              <w:t xml:space="preserve">Zakonom će se izvršiti dodatno usklađivanje važećeg zakona sa Direktivom 2006/112 EZ o zajedničkom sistemu </w:t>
            </w:r>
            <w:r w:rsidRPr="00383886">
              <w:rPr>
                <w:rFonts w:eastAsia="Cambria" w:cs="Arial"/>
                <w:sz w:val="20"/>
              </w:rPr>
              <w:lastRenderedPageBreak/>
              <w:t>poreza na dodatu vrijednost u dijelu koji se odnosi na oporezivanje električne energije i investicionog zlata.</w:t>
            </w:r>
          </w:p>
        </w:tc>
      </w:tr>
      <w:tr w:rsidR="00383886" w:rsidRPr="00383886" w14:paraId="64DC8E60" w14:textId="77777777" w:rsidTr="00FD6B98">
        <w:tc>
          <w:tcPr>
            <w:tcW w:w="586" w:type="dxa"/>
            <w:gridSpan w:val="2"/>
            <w:vAlign w:val="center"/>
          </w:tcPr>
          <w:p w14:paraId="19ACF5D0" w14:textId="77777777" w:rsidR="00383886" w:rsidRPr="00383886" w:rsidRDefault="00383886" w:rsidP="00FD6B98">
            <w:pPr>
              <w:spacing w:before="20" w:after="20"/>
              <w:jc w:val="both"/>
              <w:rPr>
                <w:rFonts w:cs="Arial"/>
                <w:sz w:val="20"/>
              </w:rPr>
            </w:pPr>
            <w:bookmarkStart w:id="15" w:name="_Hlk87309144"/>
            <w:r w:rsidRPr="00383886">
              <w:rPr>
                <w:rFonts w:cs="Arial"/>
                <w:sz w:val="20"/>
              </w:rPr>
              <w:t>15.</w:t>
            </w:r>
          </w:p>
        </w:tc>
        <w:tc>
          <w:tcPr>
            <w:tcW w:w="2012" w:type="dxa"/>
            <w:vAlign w:val="center"/>
          </w:tcPr>
          <w:p w14:paraId="1B5EDA7F" w14:textId="77777777" w:rsidR="00383886" w:rsidRPr="00383886" w:rsidRDefault="00383886" w:rsidP="00FD6B98">
            <w:pPr>
              <w:spacing w:before="20" w:after="20"/>
              <w:jc w:val="both"/>
              <w:rPr>
                <w:rFonts w:cs="Arial"/>
                <w:sz w:val="20"/>
              </w:rPr>
            </w:pPr>
            <w:r w:rsidRPr="00383886">
              <w:rPr>
                <w:rFonts w:eastAsia="Cambria" w:cs="Arial"/>
                <w:sz w:val="20"/>
              </w:rPr>
              <w:t>Donijeti Uredbu za sprovođenje Carinskog zakona</w:t>
            </w:r>
          </w:p>
        </w:tc>
        <w:tc>
          <w:tcPr>
            <w:tcW w:w="2066" w:type="dxa"/>
            <w:vAlign w:val="center"/>
          </w:tcPr>
          <w:p w14:paraId="20F0FAE1" w14:textId="77777777" w:rsidR="00383886" w:rsidRPr="00383886" w:rsidRDefault="00383886" w:rsidP="00FD6B98">
            <w:pPr>
              <w:spacing w:before="20" w:after="20"/>
              <w:jc w:val="both"/>
              <w:rPr>
                <w:rFonts w:cs="Arial"/>
                <w:sz w:val="20"/>
              </w:rPr>
            </w:pPr>
            <w:r w:rsidRPr="00383886">
              <w:rPr>
                <w:rFonts w:eastAsia="Cambria" w:cs="Arial"/>
                <w:sz w:val="20"/>
              </w:rPr>
              <w:t>Donesena Uredba za sprovođenje Carinskog zakona</w:t>
            </w:r>
          </w:p>
        </w:tc>
        <w:tc>
          <w:tcPr>
            <w:tcW w:w="1843" w:type="dxa"/>
            <w:shd w:val="clear" w:color="auto" w:fill="auto"/>
            <w:vAlign w:val="center"/>
          </w:tcPr>
          <w:p w14:paraId="57D53AD1" w14:textId="77777777" w:rsidR="00383886" w:rsidRPr="00F27DB4" w:rsidRDefault="00383886" w:rsidP="00FD6B98">
            <w:pPr>
              <w:spacing w:before="20" w:after="20"/>
              <w:jc w:val="both"/>
              <w:rPr>
                <w:rFonts w:cs="Arial"/>
                <w:sz w:val="20"/>
              </w:rPr>
            </w:pPr>
            <w:r w:rsidRPr="00F27DB4">
              <w:rPr>
                <w:rFonts w:cs="Arial"/>
                <w:sz w:val="20"/>
              </w:rPr>
              <w:t>NI: MFSS</w:t>
            </w:r>
          </w:p>
          <w:p w14:paraId="2A3E3CCB"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30AEFB8F" w14:textId="77777777" w:rsidR="00383886" w:rsidRPr="00383886" w:rsidRDefault="00383886" w:rsidP="00FD6B98">
            <w:pPr>
              <w:spacing w:before="20" w:after="20"/>
              <w:jc w:val="both"/>
              <w:rPr>
                <w:rFonts w:cs="Arial"/>
                <w:sz w:val="20"/>
              </w:rPr>
            </w:pPr>
            <w:r w:rsidRPr="00383886">
              <w:rPr>
                <w:rFonts w:cs="Arial"/>
                <w:sz w:val="20"/>
              </w:rPr>
              <w:t>III Q 2022.</w:t>
            </w:r>
          </w:p>
        </w:tc>
        <w:tc>
          <w:tcPr>
            <w:tcW w:w="1945" w:type="dxa"/>
            <w:vAlign w:val="center"/>
          </w:tcPr>
          <w:p w14:paraId="43F55F30" w14:textId="77777777" w:rsidR="00383886" w:rsidRPr="00383886" w:rsidRDefault="00383886" w:rsidP="00FD6B98">
            <w:pPr>
              <w:jc w:val="both"/>
              <w:rPr>
                <w:rFonts w:eastAsia="Cambria" w:cs="Arial"/>
                <w:sz w:val="20"/>
              </w:rPr>
            </w:pPr>
            <w:r w:rsidRPr="00383886">
              <w:rPr>
                <w:rFonts w:eastAsia="Cambria" w:cs="Arial"/>
                <w:sz w:val="20"/>
              </w:rPr>
              <w:t>Propis će imati uticaj na poslovni ambijent, privredu i građane, zbog čega će u procesu njegove pripreme biti urađena detaljna RIA.</w:t>
            </w:r>
          </w:p>
        </w:tc>
        <w:tc>
          <w:tcPr>
            <w:tcW w:w="1941" w:type="dxa"/>
          </w:tcPr>
          <w:p w14:paraId="37517DCB" w14:textId="77777777" w:rsidR="00383886" w:rsidRPr="00383886" w:rsidRDefault="00383886" w:rsidP="00FD6B98">
            <w:pPr>
              <w:spacing w:before="20" w:after="20"/>
              <w:jc w:val="both"/>
              <w:rPr>
                <w:rFonts w:cs="Arial"/>
                <w:sz w:val="20"/>
              </w:rPr>
            </w:pPr>
          </w:p>
        </w:tc>
        <w:tc>
          <w:tcPr>
            <w:tcW w:w="2093" w:type="dxa"/>
          </w:tcPr>
          <w:p w14:paraId="4C53A7EB" w14:textId="77777777" w:rsidR="00383886" w:rsidRPr="00383886" w:rsidRDefault="00383886" w:rsidP="00FD6B98">
            <w:pPr>
              <w:jc w:val="both"/>
              <w:rPr>
                <w:rFonts w:eastAsia="Cambria" w:cs="Arial"/>
                <w:b/>
                <w:color w:val="4F81BD"/>
                <w:sz w:val="20"/>
              </w:rPr>
            </w:pPr>
            <w:r w:rsidRPr="00383886">
              <w:rPr>
                <w:rFonts w:eastAsia="Cambria" w:cs="Arial"/>
                <w:sz w:val="20"/>
              </w:rPr>
              <w:t>Ovom uredbom će se izvršiti usaglašavanje sa Implementacionom Uredbom Komisije br. 2015/2447 i Delegiranom Uredbom Komisije br. 2015/2446. Ovom uredbom će se na bliži način urediti postupanje sa robom koja se unosi i iznosi iz carinskog područja, a sve u cilju daljih pojednostavljenja, modernizacije i racionalizacije carinskih procedura.</w:t>
            </w:r>
          </w:p>
          <w:p w14:paraId="405DADAD" w14:textId="77777777" w:rsidR="00383886" w:rsidRPr="00383886" w:rsidRDefault="00383886" w:rsidP="00FD6B98">
            <w:pPr>
              <w:spacing w:before="20" w:after="20"/>
              <w:jc w:val="both"/>
              <w:rPr>
                <w:rFonts w:cs="Arial"/>
                <w:sz w:val="20"/>
              </w:rPr>
            </w:pPr>
          </w:p>
        </w:tc>
      </w:tr>
      <w:bookmarkEnd w:id="15"/>
      <w:tr w:rsidR="00383886" w:rsidRPr="00383886" w14:paraId="017E0FC3" w14:textId="77777777" w:rsidTr="00FD6B98">
        <w:tc>
          <w:tcPr>
            <w:tcW w:w="586" w:type="dxa"/>
            <w:gridSpan w:val="2"/>
            <w:vAlign w:val="center"/>
          </w:tcPr>
          <w:p w14:paraId="7C4EF27B" w14:textId="77777777" w:rsidR="00383886" w:rsidRPr="00383886" w:rsidRDefault="00383886" w:rsidP="00FD6B98">
            <w:pPr>
              <w:spacing w:before="20" w:after="20"/>
              <w:jc w:val="both"/>
              <w:rPr>
                <w:rFonts w:cs="Arial"/>
                <w:sz w:val="20"/>
              </w:rPr>
            </w:pPr>
            <w:r w:rsidRPr="00383886">
              <w:rPr>
                <w:rFonts w:cs="Arial"/>
                <w:sz w:val="20"/>
              </w:rPr>
              <w:t>16.</w:t>
            </w:r>
          </w:p>
        </w:tc>
        <w:tc>
          <w:tcPr>
            <w:tcW w:w="2012" w:type="dxa"/>
            <w:vAlign w:val="center"/>
          </w:tcPr>
          <w:p w14:paraId="7BB95151" w14:textId="77777777" w:rsidR="00383886" w:rsidRPr="00383886" w:rsidRDefault="00383886" w:rsidP="00FD6B98">
            <w:pPr>
              <w:spacing w:before="20" w:after="20"/>
              <w:jc w:val="both"/>
              <w:rPr>
                <w:rFonts w:cs="Arial"/>
                <w:sz w:val="20"/>
              </w:rPr>
            </w:pPr>
            <w:r w:rsidRPr="00383886">
              <w:rPr>
                <w:rFonts w:eastAsia="Cambria" w:cs="Arial"/>
                <w:sz w:val="20"/>
              </w:rPr>
              <w:t>Donijeti Uredbu o postupanju carinskog organa sa robom za koju postoji osnovana sumnja da povrjeđuje prava intelektualne svojine</w:t>
            </w:r>
          </w:p>
        </w:tc>
        <w:tc>
          <w:tcPr>
            <w:tcW w:w="2066" w:type="dxa"/>
            <w:vAlign w:val="center"/>
          </w:tcPr>
          <w:p w14:paraId="0F717B5A" w14:textId="77777777" w:rsidR="00383886" w:rsidRPr="00383886" w:rsidRDefault="00383886" w:rsidP="00FD6B98">
            <w:pPr>
              <w:spacing w:before="20" w:after="20"/>
              <w:jc w:val="both"/>
              <w:rPr>
                <w:rFonts w:cs="Arial"/>
                <w:sz w:val="20"/>
              </w:rPr>
            </w:pPr>
            <w:r w:rsidRPr="00383886">
              <w:rPr>
                <w:rFonts w:eastAsia="Cambria" w:cs="Arial"/>
                <w:sz w:val="20"/>
              </w:rPr>
              <w:t>Donesena Uredba o postupanju carinskog organa sa robom za koju postoji osnovana sumnja da povrjeđuje prava intelektualne svojine</w:t>
            </w:r>
          </w:p>
        </w:tc>
        <w:tc>
          <w:tcPr>
            <w:tcW w:w="1843" w:type="dxa"/>
            <w:shd w:val="clear" w:color="auto" w:fill="auto"/>
            <w:vAlign w:val="center"/>
          </w:tcPr>
          <w:p w14:paraId="0F95E6F8" w14:textId="77777777" w:rsidR="00383886" w:rsidRPr="00F27DB4" w:rsidRDefault="00383886" w:rsidP="00FD6B98">
            <w:pPr>
              <w:spacing w:before="20" w:after="20"/>
              <w:jc w:val="both"/>
              <w:rPr>
                <w:rFonts w:cs="Arial"/>
                <w:sz w:val="20"/>
              </w:rPr>
            </w:pPr>
            <w:r w:rsidRPr="00F27DB4">
              <w:rPr>
                <w:rFonts w:cs="Arial"/>
                <w:sz w:val="20"/>
              </w:rPr>
              <w:t>NI: MFSS</w:t>
            </w:r>
          </w:p>
          <w:p w14:paraId="04CA5F36"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62B3470C" w14:textId="77777777" w:rsidR="00383886" w:rsidRPr="00383886" w:rsidRDefault="00383886" w:rsidP="00FD6B98">
            <w:pPr>
              <w:spacing w:before="20" w:after="20"/>
              <w:jc w:val="both"/>
              <w:rPr>
                <w:rFonts w:cs="Arial"/>
                <w:sz w:val="20"/>
              </w:rPr>
            </w:pPr>
            <w:r w:rsidRPr="00383886">
              <w:rPr>
                <w:rFonts w:cs="Arial"/>
                <w:sz w:val="20"/>
              </w:rPr>
              <w:t>III Q 2022.</w:t>
            </w:r>
          </w:p>
        </w:tc>
        <w:tc>
          <w:tcPr>
            <w:tcW w:w="1945" w:type="dxa"/>
            <w:vAlign w:val="center"/>
          </w:tcPr>
          <w:p w14:paraId="12B98C8D" w14:textId="77777777" w:rsidR="00383886" w:rsidRPr="00383886" w:rsidRDefault="00383886" w:rsidP="00FD6B98">
            <w:pPr>
              <w:jc w:val="both"/>
              <w:rPr>
                <w:rFonts w:eastAsia="Cambria" w:cs="Arial"/>
                <w:sz w:val="20"/>
              </w:rPr>
            </w:pPr>
            <w:r w:rsidRPr="00383886">
              <w:rPr>
                <w:rFonts w:eastAsia="Cambria" w:cs="Arial"/>
                <w:sz w:val="20"/>
              </w:rPr>
              <w:t>Propis će imati uticaj na poslovni ambijent, privredu i građane, zbog čega će u procesu njegove pripreme biti urađena detaljna RIA.</w:t>
            </w:r>
          </w:p>
        </w:tc>
        <w:tc>
          <w:tcPr>
            <w:tcW w:w="1941" w:type="dxa"/>
          </w:tcPr>
          <w:p w14:paraId="7351B3FE" w14:textId="77777777" w:rsidR="00383886" w:rsidRPr="00383886" w:rsidRDefault="00383886" w:rsidP="00FD6B98">
            <w:pPr>
              <w:spacing w:before="20" w:after="20"/>
              <w:jc w:val="both"/>
              <w:rPr>
                <w:rFonts w:cs="Arial"/>
                <w:sz w:val="20"/>
              </w:rPr>
            </w:pPr>
          </w:p>
        </w:tc>
        <w:tc>
          <w:tcPr>
            <w:tcW w:w="2093" w:type="dxa"/>
          </w:tcPr>
          <w:p w14:paraId="20730F03" w14:textId="77777777" w:rsidR="00383886" w:rsidRPr="00383886" w:rsidRDefault="00383886" w:rsidP="00FD6B98">
            <w:pPr>
              <w:jc w:val="both"/>
              <w:rPr>
                <w:rFonts w:eastAsia="Cambria" w:cs="Arial"/>
                <w:sz w:val="20"/>
              </w:rPr>
            </w:pPr>
            <w:r w:rsidRPr="00383886">
              <w:rPr>
                <w:rFonts w:eastAsia="Cambria" w:cs="Arial"/>
                <w:sz w:val="20"/>
              </w:rPr>
              <w:t>Uredbom će se propisati bliži način i uslovi za sprovođenje carinskih mjera u cilju zaštite prava intelektualne svojine na granici, a koji će biti usaglašeni sa evropskim zakonodavstvom.</w:t>
            </w:r>
          </w:p>
          <w:p w14:paraId="7913A3C1" w14:textId="77777777" w:rsidR="00383886" w:rsidRPr="00383886" w:rsidRDefault="00383886" w:rsidP="00FD6B98">
            <w:pPr>
              <w:spacing w:before="20" w:after="20"/>
              <w:jc w:val="both"/>
              <w:rPr>
                <w:rFonts w:cs="Arial"/>
                <w:sz w:val="20"/>
              </w:rPr>
            </w:pPr>
          </w:p>
        </w:tc>
      </w:tr>
      <w:tr w:rsidR="00383886" w:rsidRPr="00383886" w14:paraId="23BF2C39" w14:textId="77777777" w:rsidTr="00FD6B98">
        <w:tc>
          <w:tcPr>
            <w:tcW w:w="586" w:type="dxa"/>
            <w:gridSpan w:val="2"/>
            <w:vAlign w:val="center"/>
          </w:tcPr>
          <w:p w14:paraId="5C2F6E00" w14:textId="77777777" w:rsidR="00383886" w:rsidRPr="00383886" w:rsidRDefault="00383886" w:rsidP="00FD6B98">
            <w:pPr>
              <w:spacing w:before="20" w:after="20"/>
              <w:jc w:val="both"/>
              <w:rPr>
                <w:rFonts w:cs="Arial"/>
                <w:sz w:val="20"/>
              </w:rPr>
            </w:pPr>
            <w:bookmarkStart w:id="16" w:name="_Hlk87309514"/>
            <w:r w:rsidRPr="00383886">
              <w:rPr>
                <w:rFonts w:cs="Arial"/>
                <w:sz w:val="20"/>
              </w:rPr>
              <w:t>17.</w:t>
            </w:r>
          </w:p>
        </w:tc>
        <w:tc>
          <w:tcPr>
            <w:tcW w:w="2012" w:type="dxa"/>
            <w:vAlign w:val="center"/>
          </w:tcPr>
          <w:p w14:paraId="229BDEC1" w14:textId="77777777" w:rsidR="00383886" w:rsidRPr="00383886" w:rsidRDefault="00383886" w:rsidP="00FD6B98">
            <w:pPr>
              <w:spacing w:before="20" w:after="20"/>
              <w:jc w:val="both"/>
              <w:rPr>
                <w:rFonts w:cs="Arial"/>
                <w:sz w:val="20"/>
              </w:rPr>
            </w:pPr>
            <w:r w:rsidRPr="00383886">
              <w:rPr>
                <w:rFonts w:eastAsia="Cambria" w:cs="Arial"/>
                <w:sz w:val="20"/>
              </w:rPr>
              <w:t>Utvrditi Predlog zakona o potvrđivanju Multilateralnog Sporazuma nadležnih organa o automatskoj razmjeni informacija o finansijskim računima</w:t>
            </w:r>
          </w:p>
        </w:tc>
        <w:tc>
          <w:tcPr>
            <w:tcW w:w="2066" w:type="dxa"/>
            <w:vAlign w:val="center"/>
          </w:tcPr>
          <w:p w14:paraId="50BD4E81" w14:textId="77777777" w:rsidR="00383886" w:rsidRPr="00383886" w:rsidRDefault="00383886" w:rsidP="00FD6B98">
            <w:pPr>
              <w:spacing w:before="20" w:after="20"/>
              <w:jc w:val="both"/>
              <w:rPr>
                <w:rFonts w:cs="Arial"/>
                <w:sz w:val="20"/>
              </w:rPr>
            </w:pPr>
            <w:r w:rsidRPr="00383886">
              <w:rPr>
                <w:rFonts w:eastAsia="Cambria" w:cs="Arial"/>
                <w:sz w:val="20"/>
              </w:rPr>
              <w:t>Utvrđen Predlog zakona o potvrđivanju Multilateralnog Sporazuma nadležnih organa o automatskoj razmjeni informacija o finansijskim računima</w:t>
            </w:r>
          </w:p>
        </w:tc>
        <w:tc>
          <w:tcPr>
            <w:tcW w:w="1843" w:type="dxa"/>
            <w:shd w:val="clear" w:color="auto" w:fill="auto"/>
            <w:vAlign w:val="center"/>
          </w:tcPr>
          <w:p w14:paraId="09799424" w14:textId="77777777" w:rsidR="00383886" w:rsidRPr="00F27DB4" w:rsidRDefault="00383886" w:rsidP="00FD6B98">
            <w:pPr>
              <w:spacing w:before="20" w:after="20"/>
              <w:jc w:val="both"/>
              <w:rPr>
                <w:rFonts w:cs="Arial"/>
                <w:sz w:val="20"/>
              </w:rPr>
            </w:pPr>
            <w:r w:rsidRPr="00F27DB4">
              <w:rPr>
                <w:rFonts w:cs="Arial"/>
                <w:sz w:val="20"/>
              </w:rPr>
              <w:t>NI: MFSS</w:t>
            </w:r>
          </w:p>
          <w:p w14:paraId="1834E46D"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402BD7AE" w14:textId="77777777" w:rsidR="00383886" w:rsidRPr="00383886" w:rsidRDefault="00383886" w:rsidP="00FD6B98">
            <w:pPr>
              <w:spacing w:before="20" w:after="20"/>
              <w:jc w:val="both"/>
              <w:rPr>
                <w:rFonts w:cs="Arial"/>
                <w:sz w:val="20"/>
              </w:rPr>
            </w:pPr>
            <w:r w:rsidRPr="00383886">
              <w:rPr>
                <w:rFonts w:cs="Arial"/>
                <w:sz w:val="20"/>
              </w:rPr>
              <w:t>I - III Q 2022.</w:t>
            </w:r>
          </w:p>
        </w:tc>
        <w:tc>
          <w:tcPr>
            <w:tcW w:w="1945" w:type="dxa"/>
            <w:vAlign w:val="center"/>
          </w:tcPr>
          <w:p w14:paraId="6CFDFCE2" w14:textId="77777777" w:rsidR="00383886" w:rsidRPr="00383886" w:rsidRDefault="00383886" w:rsidP="00FD6B98">
            <w:pPr>
              <w:jc w:val="both"/>
              <w:rPr>
                <w:rFonts w:eastAsia="Cambria" w:cs="Arial"/>
                <w:sz w:val="20"/>
              </w:rPr>
            </w:pPr>
            <w:r w:rsidRPr="00383886">
              <w:rPr>
                <w:rFonts w:eastAsia="Cambria" w:cs="Arial"/>
                <w:sz w:val="20"/>
              </w:rPr>
              <w:t>Propis će imati uticaj na poslovni ambijent, privredu i građane, zbog čega će u procesu njegove pripreme biti urađena detaljna RIA.</w:t>
            </w:r>
          </w:p>
        </w:tc>
        <w:tc>
          <w:tcPr>
            <w:tcW w:w="1941" w:type="dxa"/>
          </w:tcPr>
          <w:p w14:paraId="66DB5FA9" w14:textId="77777777" w:rsidR="00383886" w:rsidRPr="00383886" w:rsidRDefault="00383886" w:rsidP="00FD6B98">
            <w:pPr>
              <w:spacing w:before="20" w:after="20"/>
              <w:jc w:val="both"/>
              <w:rPr>
                <w:rFonts w:cs="Arial"/>
                <w:sz w:val="20"/>
              </w:rPr>
            </w:pPr>
          </w:p>
        </w:tc>
        <w:tc>
          <w:tcPr>
            <w:tcW w:w="2093" w:type="dxa"/>
          </w:tcPr>
          <w:p w14:paraId="08F1D673" w14:textId="77777777" w:rsidR="00383886" w:rsidRPr="00383886" w:rsidRDefault="00383886" w:rsidP="00FD6B98">
            <w:pPr>
              <w:jc w:val="both"/>
              <w:rPr>
                <w:rFonts w:eastAsia="Cambria" w:cs="Arial"/>
                <w:sz w:val="20"/>
              </w:rPr>
            </w:pPr>
            <w:r w:rsidRPr="00383886">
              <w:rPr>
                <w:rFonts w:eastAsia="Cambria" w:cs="Arial"/>
                <w:sz w:val="20"/>
              </w:rPr>
              <w:t xml:space="preserve">Ovim zakonom će se u skladu sa Multilateralnom konvencijom o uzajamnoj administrativnoj pomoći u poreskim pitanjima, koju je potpisala Crna Gora i Zajedničkim standardom izveštavanja, detaljnije urediti način razmjene </w:t>
            </w:r>
            <w:r w:rsidRPr="00383886">
              <w:rPr>
                <w:rFonts w:eastAsia="Cambria" w:cs="Arial"/>
                <w:sz w:val="20"/>
              </w:rPr>
              <w:lastRenderedPageBreak/>
              <w:t>informacija o računima koji će svaki nadležni organ države ugovornice svake godine razmenjivati sa drugim nadležnim organima.</w:t>
            </w:r>
          </w:p>
          <w:p w14:paraId="40BCBD83" w14:textId="77777777" w:rsidR="00383886" w:rsidRPr="00383886" w:rsidRDefault="00383886" w:rsidP="00FD6B98">
            <w:pPr>
              <w:spacing w:before="20" w:after="20"/>
              <w:jc w:val="both"/>
              <w:rPr>
                <w:rFonts w:cs="Arial"/>
                <w:sz w:val="20"/>
              </w:rPr>
            </w:pPr>
          </w:p>
        </w:tc>
      </w:tr>
      <w:tr w:rsidR="00383886" w:rsidRPr="00383886" w14:paraId="2ACA92F3" w14:textId="77777777" w:rsidTr="00FD6B98">
        <w:tc>
          <w:tcPr>
            <w:tcW w:w="586" w:type="dxa"/>
            <w:gridSpan w:val="2"/>
            <w:vAlign w:val="center"/>
          </w:tcPr>
          <w:p w14:paraId="7810542E" w14:textId="77777777" w:rsidR="00383886" w:rsidRPr="00383886" w:rsidRDefault="00383886" w:rsidP="00FD6B98">
            <w:pPr>
              <w:spacing w:before="20" w:after="20"/>
              <w:jc w:val="both"/>
              <w:rPr>
                <w:rFonts w:cs="Arial"/>
                <w:sz w:val="20"/>
              </w:rPr>
            </w:pPr>
            <w:r w:rsidRPr="00383886">
              <w:rPr>
                <w:rFonts w:cs="Arial"/>
                <w:sz w:val="20"/>
              </w:rPr>
              <w:t>18.</w:t>
            </w:r>
          </w:p>
        </w:tc>
        <w:tc>
          <w:tcPr>
            <w:tcW w:w="2012" w:type="dxa"/>
            <w:vAlign w:val="center"/>
          </w:tcPr>
          <w:p w14:paraId="257A61DF" w14:textId="77777777" w:rsidR="00383886" w:rsidRPr="00383886" w:rsidRDefault="00383886" w:rsidP="00FD6B98">
            <w:pPr>
              <w:spacing w:before="20" w:after="20"/>
              <w:jc w:val="both"/>
              <w:rPr>
                <w:rFonts w:eastAsia="Cambria" w:cs="Arial"/>
                <w:sz w:val="20"/>
              </w:rPr>
            </w:pPr>
            <w:r w:rsidRPr="00383886">
              <w:rPr>
                <w:rFonts w:eastAsia="Cambria" w:cs="Arial"/>
                <w:sz w:val="20"/>
              </w:rPr>
              <w:t>Utvrditi Predlog zakona o izmjenama i dopunama Zakona o duvanu</w:t>
            </w:r>
          </w:p>
        </w:tc>
        <w:tc>
          <w:tcPr>
            <w:tcW w:w="2066" w:type="dxa"/>
            <w:vAlign w:val="center"/>
          </w:tcPr>
          <w:p w14:paraId="630976E9" w14:textId="77777777" w:rsidR="00383886" w:rsidRPr="00383886" w:rsidRDefault="00383886" w:rsidP="00FD6B98">
            <w:pPr>
              <w:spacing w:before="20" w:after="20"/>
              <w:jc w:val="both"/>
              <w:rPr>
                <w:rFonts w:eastAsia="Cambria" w:cs="Arial"/>
                <w:sz w:val="20"/>
              </w:rPr>
            </w:pPr>
            <w:r w:rsidRPr="00383886">
              <w:rPr>
                <w:rFonts w:eastAsia="Cambria" w:cs="Arial"/>
                <w:sz w:val="20"/>
              </w:rPr>
              <w:t>Utvrđen Predlog zakona o izmjenama i dopunama Zakona o duvanu</w:t>
            </w:r>
          </w:p>
        </w:tc>
        <w:tc>
          <w:tcPr>
            <w:tcW w:w="1843" w:type="dxa"/>
            <w:shd w:val="clear" w:color="auto" w:fill="auto"/>
            <w:vAlign w:val="center"/>
          </w:tcPr>
          <w:p w14:paraId="7D23ACBF" w14:textId="77777777" w:rsidR="00383886" w:rsidRPr="00F27DB4" w:rsidRDefault="00383886" w:rsidP="00FD6B98">
            <w:pPr>
              <w:spacing w:before="20" w:after="20"/>
              <w:jc w:val="both"/>
              <w:rPr>
                <w:rFonts w:cs="Arial"/>
                <w:sz w:val="20"/>
              </w:rPr>
            </w:pPr>
            <w:r w:rsidRPr="00F27DB4">
              <w:rPr>
                <w:rFonts w:cs="Arial"/>
                <w:sz w:val="20"/>
              </w:rPr>
              <w:t>NI: MFSS</w:t>
            </w:r>
          </w:p>
          <w:p w14:paraId="5CA70F00"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0FF75755" w14:textId="77777777" w:rsidR="00383886" w:rsidRPr="00383886" w:rsidRDefault="00383886" w:rsidP="00FD6B98">
            <w:pPr>
              <w:spacing w:before="20" w:after="20"/>
              <w:jc w:val="both"/>
              <w:rPr>
                <w:rFonts w:cs="Arial"/>
                <w:sz w:val="20"/>
              </w:rPr>
            </w:pPr>
            <w:r w:rsidRPr="00383886">
              <w:rPr>
                <w:rFonts w:cs="Arial"/>
                <w:sz w:val="20"/>
              </w:rPr>
              <w:t>III - IV Q 2022.</w:t>
            </w:r>
          </w:p>
        </w:tc>
        <w:tc>
          <w:tcPr>
            <w:tcW w:w="1945" w:type="dxa"/>
            <w:vAlign w:val="center"/>
          </w:tcPr>
          <w:p w14:paraId="1EDE13AD" w14:textId="77777777" w:rsidR="00383886" w:rsidRPr="00383886" w:rsidRDefault="00383886" w:rsidP="00FD6B98">
            <w:pPr>
              <w:jc w:val="both"/>
              <w:rPr>
                <w:rFonts w:eastAsia="Cambria" w:cs="Arial"/>
                <w:sz w:val="20"/>
              </w:rPr>
            </w:pPr>
            <w:r w:rsidRPr="00383886">
              <w:rPr>
                <w:rFonts w:eastAsia="Cambria" w:cs="Arial"/>
                <w:sz w:val="20"/>
              </w:rPr>
              <w:t>Propis će imati uticaj na poslovni ambijent, privredu i građane, zbog čega će u procesu njegove pripreme biti urađena detaljna RIA.</w:t>
            </w:r>
          </w:p>
        </w:tc>
        <w:tc>
          <w:tcPr>
            <w:tcW w:w="1941" w:type="dxa"/>
          </w:tcPr>
          <w:p w14:paraId="48A58560" w14:textId="77777777" w:rsidR="00383886" w:rsidRPr="00383886" w:rsidRDefault="00383886" w:rsidP="00FD6B98">
            <w:pPr>
              <w:spacing w:before="20" w:after="20"/>
              <w:jc w:val="both"/>
              <w:rPr>
                <w:rFonts w:cs="Arial"/>
                <w:sz w:val="20"/>
              </w:rPr>
            </w:pPr>
          </w:p>
        </w:tc>
        <w:tc>
          <w:tcPr>
            <w:tcW w:w="2093" w:type="dxa"/>
          </w:tcPr>
          <w:p w14:paraId="10FA9031" w14:textId="77777777" w:rsidR="00383886" w:rsidRPr="00383886" w:rsidRDefault="00383886" w:rsidP="00FD6B98">
            <w:pPr>
              <w:jc w:val="both"/>
              <w:rPr>
                <w:rFonts w:eastAsia="Cambria" w:cs="Arial"/>
                <w:sz w:val="20"/>
              </w:rPr>
            </w:pPr>
            <w:r w:rsidRPr="00383886">
              <w:rPr>
                <w:rFonts w:eastAsia="Cambria" w:cs="Arial"/>
                <w:sz w:val="20"/>
              </w:rPr>
              <w:t>Ovim zakonom će se izvršiti usklađivanje postojećeg zakona sa Direktivom EU, u dijelu koji se odnosi na definisanje i značenje izraza duvanskih proizvoda. Takođe, ovim zakonom će se izvršti usklađivanje sa Zakonom o državnoj upravi, kojim su poslovi organa uprave nadležnog za duvan, prešli u nadležnost Ministarstva finansija i socijalnog staranja.</w:t>
            </w:r>
          </w:p>
          <w:p w14:paraId="777A52E2" w14:textId="77777777" w:rsidR="00383886" w:rsidRPr="00383886" w:rsidRDefault="00383886" w:rsidP="00FD6B98">
            <w:pPr>
              <w:jc w:val="both"/>
              <w:rPr>
                <w:rFonts w:eastAsia="Cambria" w:cs="Arial"/>
                <w:sz w:val="20"/>
              </w:rPr>
            </w:pPr>
          </w:p>
        </w:tc>
      </w:tr>
      <w:tr w:rsidR="00383886" w:rsidRPr="00383886" w14:paraId="7E847DBB" w14:textId="77777777" w:rsidTr="00FD6B98">
        <w:tc>
          <w:tcPr>
            <w:tcW w:w="586" w:type="dxa"/>
            <w:gridSpan w:val="2"/>
            <w:vAlign w:val="center"/>
          </w:tcPr>
          <w:p w14:paraId="38744F04" w14:textId="77777777" w:rsidR="00383886" w:rsidRPr="00383886" w:rsidRDefault="00383886" w:rsidP="00FD6B98">
            <w:pPr>
              <w:spacing w:before="20" w:after="20"/>
              <w:jc w:val="both"/>
              <w:rPr>
                <w:rFonts w:cs="Arial"/>
                <w:sz w:val="20"/>
              </w:rPr>
            </w:pPr>
            <w:r w:rsidRPr="00383886">
              <w:rPr>
                <w:rFonts w:cs="Arial"/>
                <w:sz w:val="20"/>
              </w:rPr>
              <w:t>19.</w:t>
            </w:r>
          </w:p>
        </w:tc>
        <w:tc>
          <w:tcPr>
            <w:tcW w:w="2012" w:type="dxa"/>
            <w:vAlign w:val="center"/>
          </w:tcPr>
          <w:p w14:paraId="61082504" w14:textId="77777777" w:rsidR="00383886" w:rsidRPr="00383886" w:rsidRDefault="00383886" w:rsidP="00FD6B98">
            <w:pPr>
              <w:spacing w:line="276" w:lineRule="auto"/>
              <w:jc w:val="both"/>
              <w:rPr>
                <w:rFonts w:cs="Arial"/>
                <w:sz w:val="20"/>
              </w:rPr>
            </w:pPr>
            <w:r w:rsidRPr="00383886">
              <w:rPr>
                <w:rFonts w:cs="Arial"/>
                <w:sz w:val="20"/>
              </w:rPr>
              <w:t>Utvrditi Predlog zakona o budžetu Crne Gore za 2023. godinu</w:t>
            </w:r>
          </w:p>
        </w:tc>
        <w:tc>
          <w:tcPr>
            <w:tcW w:w="2066" w:type="dxa"/>
            <w:vAlign w:val="center"/>
          </w:tcPr>
          <w:p w14:paraId="1080FF1F" w14:textId="77777777" w:rsidR="00383886" w:rsidRPr="00383886" w:rsidRDefault="00383886" w:rsidP="00FD6B98">
            <w:pPr>
              <w:spacing w:before="20" w:after="20"/>
              <w:jc w:val="both"/>
              <w:rPr>
                <w:rFonts w:eastAsia="Cambria" w:cs="Arial"/>
                <w:sz w:val="20"/>
              </w:rPr>
            </w:pPr>
            <w:r w:rsidRPr="00383886">
              <w:rPr>
                <w:rFonts w:cs="Arial"/>
                <w:sz w:val="20"/>
              </w:rPr>
              <w:t>Utvrđen Predlog zakona o budžetu Crne Gore za 2023. godinu</w:t>
            </w:r>
          </w:p>
        </w:tc>
        <w:tc>
          <w:tcPr>
            <w:tcW w:w="1843" w:type="dxa"/>
            <w:shd w:val="clear" w:color="auto" w:fill="auto"/>
            <w:vAlign w:val="center"/>
          </w:tcPr>
          <w:p w14:paraId="3FC7F49F" w14:textId="77777777" w:rsidR="00383886" w:rsidRPr="00F27DB4" w:rsidRDefault="00383886" w:rsidP="00FD6B98">
            <w:pPr>
              <w:spacing w:before="20" w:after="20"/>
              <w:jc w:val="both"/>
              <w:rPr>
                <w:rFonts w:cs="Arial"/>
                <w:sz w:val="20"/>
              </w:rPr>
            </w:pPr>
            <w:r w:rsidRPr="00F27DB4">
              <w:rPr>
                <w:rFonts w:cs="Arial"/>
                <w:sz w:val="20"/>
              </w:rPr>
              <w:t>NI: MFSS</w:t>
            </w:r>
          </w:p>
          <w:p w14:paraId="75003F9D"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259571A8" w14:textId="77777777" w:rsidR="00383886" w:rsidRPr="00383886" w:rsidRDefault="00383886" w:rsidP="00FD6B98">
            <w:pPr>
              <w:spacing w:before="20" w:after="20"/>
              <w:jc w:val="both"/>
              <w:rPr>
                <w:rFonts w:cs="Arial"/>
                <w:sz w:val="20"/>
              </w:rPr>
            </w:pPr>
            <w:r w:rsidRPr="00383886">
              <w:rPr>
                <w:rFonts w:cs="Arial"/>
                <w:sz w:val="20"/>
              </w:rPr>
              <w:t>III - IV Q 2022.</w:t>
            </w:r>
          </w:p>
        </w:tc>
        <w:tc>
          <w:tcPr>
            <w:tcW w:w="1945" w:type="dxa"/>
            <w:vAlign w:val="center"/>
          </w:tcPr>
          <w:p w14:paraId="71360B2D" w14:textId="77777777" w:rsidR="00383886" w:rsidRPr="00383886" w:rsidRDefault="00383886" w:rsidP="00FD6B98">
            <w:pPr>
              <w:jc w:val="both"/>
              <w:rPr>
                <w:rFonts w:eastAsia="Cambria" w:cs="Arial"/>
                <w:sz w:val="20"/>
              </w:rPr>
            </w:pPr>
            <w:r w:rsidRPr="00383886">
              <w:rPr>
                <w:rFonts w:eastAsia="Cambria" w:cs="Arial"/>
                <w:sz w:val="20"/>
              </w:rPr>
              <w:t>Neće se pripremati RIA</w:t>
            </w:r>
          </w:p>
        </w:tc>
        <w:tc>
          <w:tcPr>
            <w:tcW w:w="1941" w:type="dxa"/>
          </w:tcPr>
          <w:p w14:paraId="4157B2B0" w14:textId="77777777" w:rsidR="00383886" w:rsidRPr="00383886" w:rsidRDefault="00383886" w:rsidP="00FD6B98">
            <w:pPr>
              <w:spacing w:before="20" w:after="20"/>
              <w:jc w:val="both"/>
              <w:rPr>
                <w:rFonts w:cs="Arial"/>
                <w:sz w:val="20"/>
              </w:rPr>
            </w:pPr>
          </w:p>
        </w:tc>
        <w:tc>
          <w:tcPr>
            <w:tcW w:w="2093" w:type="dxa"/>
          </w:tcPr>
          <w:p w14:paraId="5C6ECECC" w14:textId="77777777" w:rsidR="00383886" w:rsidRPr="00383886" w:rsidRDefault="00383886" w:rsidP="00FD6B98">
            <w:pPr>
              <w:jc w:val="both"/>
              <w:rPr>
                <w:rFonts w:eastAsia="Cambria" w:cs="Arial"/>
                <w:sz w:val="20"/>
              </w:rPr>
            </w:pPr>
            <w:r w:rsidRPr="00383886">
              <w:rPr>
                <w:rFonts w:cs="Arial"/>
                <w:sz w:val="20"/>
              </w:rPr>
              <w:t xml:space="preserve">Budžet, kao plan prihoda i rashoda, ima direktan uticaj na finansijsku stabilnost </w:t>
            </w:r>
          </w:p>
          <w:p w14:paraId="22003F2E" w14:textId="77777777" w:rsidR="00383886" w:rsidRPr="00383886" w:rsidRDefault="00383886" w:rsidP="00FD6B98">
            <w:pPr>
              <w:jc w:val="both"/>
              <w:rPr>
                <w:rFonts w:eastAsia="Cambria" w:cs="Arial"/>
                <w:sz w:val="20"/>
              </w:rPr>
            </w:pPr>
          </w:p>
        </w:tc>
      </w:tr>
      <w:tr w:rsidR="00383886" w:rsidRPr="00383886" w14:paraId="2163B40B" w14:textId="77777777" w:rsidTr="00FD6B98">
        <w:tc>
          <w:tcPr>
            <w:tcW w:w="586" w:type="dxa"/>
            <w:gridSpan w:val="2"/>
            <w:vAlign w:val="center"/>
          </w:tcPr>
          <w:p w14:paraId="3BD86DB6" w14:textId="77777777" w:rsidR="00383886" w:rsidRPr="00383886" w:rsidRDefault="00383886" w:rsidP="00FD6B98">
            <w:pPr>
              <w:spacing w:before="20" w:after="20"/>
              <w:jc w:val="both"/>
              <w:rPr>
                <w:rFonts w:cs="Arial"/>
                <w:sz w:val="20"/>
              </w:rPr>
            </w:pPr>
            <w:r w:rsidRPr="00383886">
              <w:rPr>
                <w:rFonts w:cs="Arial"/>
                <w:sz w:val="20"/>
              </w:rPr>
              <w:t>20.</w:t>
            </w:r>
          </w:p>
        </w:tc>
        <w:tc>
          <w:tcPr>
            <w:tcW w:w="2012" w:type="dxa"/>
            <w:vAlign w:val="center"/>
          </w:tcPr>
          <w:p w14:paraId="78F5C5D7" w14:textId="77777777" w:rsidR="00383886" w:rsidRPr="00383886" w:rsidRDefault="00383886" w:rsidP="00FD6B98">
            <w:pPr>
              <w:spacing w:line="276" w:lineRule="auto"/>
              <w:jc w:val="both"/>
              <w:rPr>
                <w:rFonts w:cs="Arial"/>
                <w:sz w:val="20"/>
              </w:rPr>
            </w:pPr>
            <w:r w:rsidRPr="00383886">
              <w:rPr>
                <w:rFonts w:eastAsia="Cambria" w:cs="Arial"/>
                <w:sz w:val="20"/>
              </w:rPr>
              <w:t>Utvrditi Predlog zakona o izmjenama i dopunama Zakona o porezu na ugljovodonike</w:t>
            </w:r>
          </w:p>
        </w:tc>
        <w:tc>
          <w:tcPr>
            <w:tcW w:w="2066" w:type="dxa"/>
            <w:vAlign w:val="center"/>
          </w:tcPr>
          <w:p w14:paraId="07B3CA6F" w14:textId="77777777" w:rsidR="00383886" w:rsidRPr="00383886" w:rsidRDefault="00383886" w:rsidP="00FD6B98">
            <w:pPr>
              <w:spacing w:before="20" w:after="20"/>
              <w:jc w:val="both"/>
              <w:rPr>
                <w:rFonts w:cs="Arial"/>
                <w:sz w:val="20"/>
              </w:rPr>
            </w:pPr>
            <w:r w:rsidRPr="00383886">
              <w:rPr>
                <w:rFonts w:eastAsia="Cambria" w:cs="Arial"/>
                <w:sz w:val="20"/>
              </w:rPr>
              <w:t>Utvrđen Predlog zakona o izmjenama i dopunama Zakona o porezu na ugljovodonike</w:t>
            </w:r>
          </w:p>
        </w:tc>
        <w:tc>
          <w:tcPr>
            <w:tcW w:w="1843" w:type="dxa"/>
            <w:shd w:val="clear" w:color="auto" w:fill="auto"/>
            <w:vAlign w:val="center"/>
          </w:tcPr>
          <w:p w14:paraId="1769CB95" w14:textId="77777777" w:rsidR="00383886" w:rsidRPr="00F27DB4" w:rsidRDefault="00383886" w:rsidP="00FD6B98">
            <w:pPr>
              <w:spacing w:before="20" w:after="20"/>
              <w:jc w:val="both"/>
              <w:rPr>
                <w:rFonts w:cs="Arial"/>
                <w:sz w:val="20"/>
              </w:rPr>
            </w:pPr>
            <w:r w:rsidRPr="00F27DB4">
              <w:rPr>
                <w:rFonts w:cs="Arial"/>
                <w:sz w:val="20"/>
              </w:rPr>
              <w:t>NI: MFSS</w:t>
            </w:r>
          </w:p>
          <w:p w14:paraId="50B3E300"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201868F8" w14:textId="77777777" w:rsidR="00383886" w:rsidRPr="00383886" w:rsidRDefault="00383886" w:rsidP="00FD6B98">
            <w:pPr>
              <w:spacing w:before="20" w:after="20"/>
              <w:jc w:val="both"/>
              <w:rPr>
                <w:rFonts w:cs="Arial"/>
                <w:sz w:val="20"/>
              </w:rPr>
            </w:pPr>
            <w:r w:rsidRPr="00383886">
              <w:rPr>
                <w:rFonts w:cs="Arial"/>
                <w:sz w:val="20"/>
              </w:rPr>
              <w:t>IV Q 2022.</w:t>
            </w:r>
          </w:p>
        </w:tc>
        <w:tc>
          <w:tcPr>
            <w:tcW w:w="1945" w:type="dxa"/>
            <w:vAlign w:val="center"/>
          </w:tcPr>
          <w:p w14:paraId="637FB022" w14:textId="77777777" w:rsidR="00383886" w:rsidRPr="00383886" w:rsidRDefault="00383886" w:rsidP="00FD6B98">
            <w:pPr>
              <w:jc w:val="both"/>
              <w:rPr>
                <w:rFonts w:eastAsia="Cambria" w:cs="Arial"/>
                <w:sz w:val="20"/>
              </w:rPr>
            </w:pPr>
            <w:r w:rsidRPr="00383886">
              <w:rPr>
                <w:rFonts w:eastAsia="Cambria" w:cs="Arial"/>
                <w:sz w:val="20"/>
              </w:rPr>
              <w:t>Propis će imati uticaj privredu i građane, zbog čega će u procesu njegove pripreme biti urađena detaljna RIA.</w:t>
            </w:r>
          </w:p>
        </w:tc>
        <w:tc>
          <w:tcPr>
            <w:tcW w:w="1941" w:type="dxa"/>
            <w:vAlign w:val="center"/>
          </w:tcPr>
          <w:p w14:paraId="3494F17A" w14:textId="77777777" w:rsidR="00383886" w:rsidRPr="00383886" w:rsidRDefault="00383886" w:rsidP="00FD6B98">
            <w:pPr>
              <w:spacing w:before="20" w:after="20"/>
              <w:jc w:val="both"/>
              <w:rPr>
                <w:rFonts w:cs="Arial"/>
                <w:sz w:val="20"/>
              </w:rPr>
            </w:pPr>
          </w:p>
        </w:tc>
        <w:tc>
          <w:tcPr>
            <w:tcW w:w="2093" w:type="dxa"/>
            <w:vAlign w:val="center"/>
          </w:tcPr>
          <w:p w14:paraId="5100A917" w14:textId="77777777" w:rsidR="00383886" w:rsidRPr="00383886" w:rsidRDefault="00383886" w:rsidP="00FD6B98">
            <w:pPr>
              <w:jc w:val="both"/>
              <w:rPr>
                <w:rFonts w:cs="Arial"/>
                <w:sz w:val="20"/>
              </w:rPr>
            </w:pPr>
            <w:r w:rsidRPr="00383886">
              <w:rPr>
                <w:rFonts w:eastAsia="Cambria" w:cs="Arial"/>
                <w:sz w:val="20"/>
              </w:rPr>
              <w:t xml:space="preserve">Ovim zakonom će se izvršiti određene izmjene važećih zakonskih rješenja koja su se u praksi pokazala kao nedovoljno jasna. Predložiće se i dodatne norme vezane za prihode i rashode od upstream operacija, koje će otkloniti nedoumice poreskih </w:t>
            </w:r>
            <w:r w:rsidRPr="00383886">
              <w:rPr>
                <w:rFonts w:eastAsia="Cambria" w:cs="Arial"/>
                <w:sz w:val="20"/>
              </w:rPr>
              <w:lastRenderedPageBreak/>
              <w:t>obveznika u smislu oporezivanja</w:t>
            </w:r>
          </w:p>
        </w:tc>
      </w:tr>
      <w:bookmarkEnd w:id="16"/>
      <w:tr w:rsidR="00383886" w:rsidRPr="00383886" w14:paraId="679E97A2" w14:textId="77777777" w:rsidTr="00FD6B98">
        <w:trPr>
          <w:trHeight w:val="699"/>
        </w:trPr>
        <w:tc>
          <w:tcPr>
            <w:tcW w:w="586" w:type="dxa"/>
            <w:gridSpan w:val="2"/>
            <w:vAlign w:val="center"/>
          </w:tcPr>
          <w:p w14:paraId="08FED7ED" w14:textId="77777777" w:rsidR="00383886" w:rsidRPr="00383886" w:rsidRDefault="00383886" w:rsidP="00FD6B98">
            <w:pPr>
              <w:spacing w:before="20" w:after="20"/>
              <w:jc w:val="both"/>
              <w:rPr>
                <w:rFonts w:cs="Arial"/>
                <w:sz w:val="20"/>
              </w:rPr>
            </w:pPr>
            <w:r w:rsidRPr="00383886">
              <w:rPr>
                <w:rFonts w:cs="Arial"/>
                <w:sz w:val="20"/>
              </w:rPr>
              <w:t>21.</w:t>
            </w:r>
          </w:p>
        </w:tc>
        <w:tc>
          <w:tcPr>
            <w:tcW w:w="2012" w:type="dxa"/>
            <w:vAlign w:val="center"/>
          </w:tcPr>
          <w:p w14:paraId="33AE4EFA" w14:textId="77777777" w:rsidR="00383886" w:rsidRPr="00383886" w:rsidRDefault="00383886" w:rsidP="00FD6B98">
            <w:pPr>
              <w:spacing w:before="20" w:after="20"/>
              <w:jc w:val="both"/>
              <w:rPr>
                <w:rFonts w:cs="Arial"/>
                <w:sz w:val="20"/>
              </w:rPr>
            </w:pPr>
            <w:r w:rsidRPr="00383886">
              <w:rPr>
                <w:rFonts w:eastAsia="Cambria" w:cs="Arial"/>
                <w:sz w:val="20"/>
              </w:rPr>
              <w:t>Utvrditi Predlog zakona o izmjenama i dopunama Zakona o porezu na nepokretnosti</w:t>
            </w:r>
          </w:p>
        </w:tc>
        <w:tc>
          <w:tcPr>
            <w:tcW w:w="2066" w:type="dxa"/>
            <w:vAlign w:val="center"/>
          </w:tcPr>
          <w:p w14:paraId="4118A948" w14:textId="77777777" w:rsidR="00383886" w:rsidRPr="00383886" w:rsidRDefault="00383886" w:rsidP="00FD6B98">
            <w:pPr>
              <w:spacing w:before="20" w:after="20"/>
              <w:jc w:val="both"/>
              <w:rPr>
                <w:rFonts w:cs="Arial"/>
                <w:sz w:val="20"/>
              </w:rPr>
            </w:pPr>
            <w:r w:rsidRPr="00383886">
              <w:rPr>
                <w:rFonts w:eastAsia="Cambria" w:cs="Arial"/>
                <w:sz w:val="20"/>
              </w:rPr>
              <w:t>Utvrđen Predlog zakona o izmjenama i dopunama Zakona o porezu na nepokretnosti</w:t>
            </w:r>
          </w:p>
        </w:tc>
        <w:tc>
          <w:tcPr>
            <w:tcW w:w="1843" w:type="dxa"/>
            <w:shd w:val="clear" w:color="auto" w:fill="auto"/>
            <w:vAlign w:val="center"/>
          </w:tcPr>
          <w:p w14:paraId="6A230E8A" w14:textId="77777777" w:rsidR="00383886" w:rsidRPr="00F27DB4" w:rsidRDefault="00383886" w:rsidP="00FD6B98">
            <w:pPr>
              <w:spacing w:before="20" w:after="20"/>
              <w:jc w:val="both"/>
              <w:rPr>
                <w:rFonts w:cs="Arial"/>
                <w:sz w:val="20"/>
              </w:rPr>
            </w:pPr>
            <w:r w:rsidRPr="00F27DB4">
              <w:rPr>
                <w:rFonts w:cs="Arial"/>
                <w:sz w:val="20"/>
              </w:rPr>
              <w:t>NI: MFSS</w:t>
            </w:r>
          </w:p>
          <w:p w14:paraId="5DF1A6BD"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1A967C00" w14:textId="77777777" w:rsidR="00383886" w:rsidRPr="00383886" w:rsidRDefault="00383886" w:rsidP="00FD6B98">
            <w:pPr>
              <w:spacing w:before="20" w:after="20"/>
              <w:jc w:val="both"/>
              <w:rPr>
                <w:rFonts w:cs="Arial"/>
                <w:sz w:val="20"/>
              </w:rPr>
            </w:pPr>
            <w:r w:rsidRPr="00383886">
              <w:rPr>
                <w:rFonts w:cs="Arial"/>
                <w:sz w:val="20"/>
              </w:rPr>
              <w:t>III - IV Q 2022.</w:t>
            </w:r>
          </w:p>
        </w:tc>
        <w:tc>
          <w:tcPr>
            <w:tcW w:w="1945" w:type="dxa"/>
            <w:vAlign w:val="center"/>
          </w:tcPr>
          <w:p w14:paraId="1A1FCF97" w14:textId="77777777" w:rsidR="00383886" w:rsidRPr="00383886" w:rsidRDefault="00383886" w:rsidP="00FD6B98">
            <w:pPr>
              <w:jc w:val="both"/>
              <w:rPr>
                <w:rFonts w:eastAsia="Cambria" w:cs="Arial"/>
                <w:sz w:val="20"/>
              </w:rPr>
            </w:pPr>
            <w:r w:rsidRPr="00383886">
              <w:rPr>
                <w:rFonts w:eastAsia="Cambria" w:cs="Arial"/>
                <w:sz w:val="20"/>
              </w:rPr>
              <w:t>Propis će imati uticaj na poslovni ambijent, privredu i građane, zbog čega će u procesu njegove pripreme biti urađena detaljna RIA.</w:t>
            </w:r>
          </w:p>
        </w:tc>
        <w:tc>
          <w:tcPr>
            <w:tcW w:w="1941" w:type="dxa"/>
          </w:tcPr>
          <w:p w14:paraId="516B8130" w14:textId="77777777" w:rsidR="00383886" w:rsidRPr="00383886" w:rsidRDefault="00383886" w:rsidP="00FD6B98">
            <w:pPr>
              <w:spacing w:before="20" w:after="20"/>
              <w:jc w:val="both"/>
              <w:rPr>
                <w:rFonts w:cs="Arial"/>
                <w:sz w:val="20"/>
              </w:rPr>
            </w:pPr>
          </w:p>
        </w:tc>
        <w:tc>
          <w:tcPr>
            <w:tcW w:w="2093" w:type="dxa"/>
          </w:tcPr>
          <w:p w14:paraId="2447E428" w14:textId="77777777" w:rsidR="00383886" w:rsidRPr="00383886" w:rsidRDefault="00383886" w:rsidP="00FD6B98">
            <w:pPr>
              <w:spacing w:after="120"/>
              <w:jc w:val="both"/>
              <w:rPr>
                <w:rFonts w:eastAsia="Cambria" w:cs="Arial"/>
                <w:sz w:val="20"/>
              </w:rPr>
            </w:pPr>
            <w:r w:rsidRPr="00383886">
              <w:rPr>
                <w:rFonts w:eastAsia="Cambria" w:cs="Arial"/>
                <w:sz w:val="20"/>
              </w:rPr>
              <w:t>Ovim zakonom će se izvršiti unapređenje postojećih zakonskih rješenja, kako u dijelu koji se tiče poreskih stopa, tako i dijelu poreskih obveznika. Navedene izmjene imaju za cilj omogućavanje efikasnije primjene ovog zakona od strane jedinica lokalne samouprave.</w:t>
            </w:r>
          </w:p>
          <w:p w14:paraId="7508A493" w14:textId="77777777" w:rsidR="00383886" w:rsidRPr="00383886" w:rsidRDefault="00383886" w:rsidP="00FD6B98">
            <w:pPr>
              <w:spacing w:before="20" w:after="20"/>
              <w:jc w:val="both"/>
              <w:rPr>
                <w:rFonts w:cs="Arial"/>
                <w:sz w:val="20"/>
              </w:rPr>
            </w:pPr>
          </w:p>
        </w:tc>
      </w:tr>
      <w:tr w:rsidR="00383886" w:rsidRPr="00383886" w14:paraId="4F70919B" w14:textId="77777777" w:rsidTr="00FD6B98">
        <w:tc>
          <w:tcPr>
            <w:tcW w:w="586" w:type="dxa"/>
            <w:gridSpan w:val="2"/>
            <w:vAlign w:val="center"/>
          </w:tcPr>
          <w:p w14:paraId="4A2C01FC" w14:textId="77777777" w:rsidR="00383886" w:rsidRPr="00383886" w:rsidRDefault="00383886" w:rsidP="00FD6B98">
            <w:pPr>
              <w:spacing w:before="20" w:after="20"/>
              <w:jc w:val="both"/>
              <w:rPr>
                <w:rFonts w:cs="Arial"/>
                <w:sz w:val="20"/>
              </w:rPr>
            </w:pPr>
            <w:r w:rsidRPr="00383886">
              <w:rPr>
                <w:rFonts w:cs="Arial"/>
                <w:sz w:val="20"/>
              </w:rPr>
              <w:t>22.</w:t>
            </w:r>
          </w:p>
        </w:tc>
        <w:tc>
          <w:tcPr>
            <w:tcW w:w="2012" w:type="dxa"/>
            <w:vAlign w:val="center"/>
          </w:tcPr>
          <w:p w14:paraId="1554FC1D" w14:textId="77777777" w:rsidR="00383886" w:rsidRPr="00383886" w:rsidRDefault="00383886" w:rsidP="00FD6B98">
            <w:pPr>
              <w:jc w:val="both"/>
              <w:rPr>
                <w:rFonts w:cs="Arial"/>
                <w:sz w:val="20"/>
              </w:rPr>
            </w:pPr>
            <w:bookmarkStart w:id="17" w:name="_Toc218396184"/>
            <w:bookmarkStart w:id="18" w:name="_Toc219802712"/>
            <w:bookmarkStart w:id="19" w:name="_Toc219861455"/>
            <w:bookmarkStart w:id="20" w:name="_Toc219874081"/>
            <w:bookmarkStart w:id="21" w:name="_Toc220401178"/>
            <w:bookmarkStart w:id="22" w:name="_Toc220493334"/>
            <w:r w:rsidRPr="00383886">
              <w:rPr>
                <w:rFonts w:cs="Arial"/>
                <w:sz w:val="20"/>
              </w:rPr>
              <w:t xml:space="preserve">Utvrditi Predlog zakona o izmjenama i dopunama Zakona o </w:t>
            </w:r>
            <w:bookmarkEnd w:id="17"/>
            <w:bookmarkEnd w:id="18"/>
            <w:bookmarkEnd w:id="19"/>
            <w:bookmarkEnd w:id="20"/>
            <w:bookmarkEnd w:id="21"/>
            <w:bookmarkEnd w:id="22"/>
            <w:r w:rsidRPr="00383886">
              <w:rPr>
                <w:rFonts w:cs="Arial"/>
                <w:sz w:val="20"/>
              </w:rPr>
              <w:t>upravljanju i unutrašnjim kontrolama u javnom sektoru</w:t>
            </w:r>
          </w:p>
        </w:tc>
        <w:tc>
          <w:tcPr>
            <w:tcW w:w="2066" w:type="dxa"/>
            <w:vAlign w:val="center"/>
          </w:tcPr>
          <w:p w14:paraId="785896A9" w14:textId="77777777" w:rsidR="00383886" w:rsidRPr="00383886" w:rsidRDefault="00383886" w:rsidP="00FD6B98">
            <w:pPr>
              <w:spacing w:before="20" w:after="20"/>
              <w:jc w:val="both"/>
              <w:rPr>
                <w:rFonts w:cs="Arial"/>
                <w:sz w:val="20"/>
              </w:rPr>
            </w:pPr>
            <w:r w:rsidRPr="00383886">
              <w:rPr>
                <w:rFonts w:cs="Arial"/>
                <w:sz w:val="20"/>
              </w:rPr>
              <w:t>Utvrđen Predlog zakona o izmjenama i dopunama Zakona o upravljanju i unutrašnjim kontrolama u javnom sektoru</w:t>
            </w:r>
          </w:p>
        </w:tc>
        <w:tc>
          <w:tcPr>
            <w:tcW w:w="1843" w:type="dxa"/>
            <w:shd w:val="clear" w:color="auto" w:fill="auto"/>
            <w:vAlign w:val="center"/>
          </w:tcPr>
          <w:p w14:paraId="7998BF16" w14:textId="77777777" w:rsidR="00383886" w:rsidRPr="00F27DB4" w:rsidRDefault="00383886" w:rsidP="00FD6B98">
            <w:pPr>
              <w:spacing w:before="20" w:after="20"/>
              <w:jc w:val="both"/>
              <w:rPr>
                <w:rFonts w:cs="Arial"/>
                <w:sz w:val="20"/>
              </w:rPr>
            </w:pPr>
            <w:r w:rsidRPr="00F27DB4">
              <w:rPr>
                <w:rFonts w:cs="Arial"/>
                <w:sz w:val="20"/>
              </w:rPr>
              <w:t>NI: MFSS</w:t>
            </w:r>
          </w:p>
          <w:p w14:paraId="73E7AC32"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shd w:val="clear" w:color="auto" w:fill="auto"/>
            <w:vAlign w:val="center"/>
          </w:tcPr>
          <w:p w14:paraId="19C5E816" w14:textId="77777777" w:rsidR="00383886" w:rsidRPr="00383886" w:rsidRDefault="00383886" w:rsidP="00FD6B98">
            <w:pPr>
              <w:spacing w:before="20" w:after="20"/>
              <w:jc w:val="both"/>
              <w:rPr>
                <w:rFonts w:cs="Arial"/>
                <w:sz w:val="20"/>
              </w:rPr>
            </w:pPr>
            <w:r w:rsidRPr="00383886">
              <w:rPr>
                <w:rFonts w:cs="Arial"/>
                <w:sz w:val="20"/>
              </w:rPr>
              <w:t>III - IV Q 2022.</w:t>
            </w:r>
          </w:p>
        </w:tc>
        <w:tc>
          <w:tcPr>
            <w:tcW w:w="1945" w:type="dxa"/>
            <w:vAlign w:val="center"/>
          </w:tcPr>
          <w:p w14:paraId="58655973" w14:textId="77777777" w:rsidR="00383886" w:rsidRPr="00383886" w:rsidRDefault="00383886" w:rsidP="00FD6B98">
            <w:pPr>
              <w:jc w:val="both"/>
              <w:rPr>
                <w:rFonts w:eastAsia="Cambria" w:cs="Arial"/>
                <w:sz w:val="20"/>
              </w:rPr>
            </w:pPr>
            <w:r w:rsidRPr="00383886">
              <w:rPr>
                <w:rFonts w:eastAsia="Cambria" w:cs="Arial"/>
                <w:sz w:val="20"/>
              </w:rPr>
              <w:t>Propis će imati uticaj na subjekte javnog sektora, I biće urađena detaljna RIA.</w:t>
            </w:r>
          </w:p>
        </w:tc>
        <w:tc>
          <w:tcPr>
            <w:tcW w:w="1941" w:type="dxa"/>
          </w:tcPr>
          <w:p w14:paraId="4325793A" w14:textId="77777777" w:rsidR="00383886" w:rsidRPr="00383886" w:rsidRDefault="00383886" w:rsidP="00FD6B98">
            <w:pPr>
              <w:spacing w:before="20" w:after="20"/>
              <w:jc w:val="both"/>
              <w:rPr>
                <w:rFonts w:cs="Arial"/>
                <w:sz w:val="20"/>
              </w:rPr>
            </w:pPr>
          </w:p>
        </w:tc>
        <w:tc>
          <w:tcPr>
            <w:tcW w:w="2093" w:type="dxa"/>
          </w:tcPr>
          <w:p w14:paraId="0FA887DB" w14:textId="77777777" w:rsidR="00383886" w:rsidRPr="00383886" w:rsidRDefault="00383886" w:rsidP="00FD6B98">
            <w:pPr>
              <w:spacing w:line="276" w:lineRule="auto"/>
              <w:jc w:val="both"/>
              <w:rPr>
                <w:rFonts w:eastAsia="Times New Roman" w:cs="Arial"/>
                <w:bCs/>
                <w:noProof/>
                <w:spacing w:val="18"/>
                <w:sz w:val="20"/>
                <w:lang w:val="pl-PL"/>
              </w:rPr>
            </w:pPr>
            <w:r w:rsidRPr="00383886">
              <w:rPr>
                <w:rFonts w:eastAsia="Cambria" w:cs="Arial"/>
                <w:sz w:val="20"/>
              </w:rPr>
              <w:t>Ovim zakonom će se izvršiti izmjene i dopune važećeg Zakona o upravljanju i unutrašnjim kontrolama, u dijelu koji se odnosi na obaveznost primjene zakonskih odredbi za različite subjekte u javnom sektoru, unutrašnju reviziju i unutrašnje kontrole</w:t>
            </w:r>
            <w:r w:rsidRPr="00383886">
              <w:rPr>
                <w:rFonts w:eastAsia="Times New Roman" w:cs="Arial"/>
                <w:bCs/>
                <w:noProof/>
                <w:spacing w:val="18"/>
                <w:sz w:val="20"/>
                <w:lang w:val="pl-PL"/>
              </w:rPr>
              <w:t>.</w:t>
            </w:r>
          </w:p>
        </w:tc>
      </w:tr>
      <w:tr w:rsidR="00383886" w:rsidRPr="00383886" w14:paraId="71EE583C" w14:textId="77777777" w:rsidTr="00FD6B98">
        <w:tc>
          <w:tcPr>
            <w:tcW w:w="586" w:type="dxa"/>
            <w:gridSpan w:val="2"/>
          </w:tcPr>
          <w:p w14:paraId="2C8ED83A" w14:textId="77777777" w:rsidR="00383886" w:rsidRPr="00383886" w:rsidRDefault="00383886" w:rsidP="00A80EEE">
            <w:pPr>
              <w:spacing w:before="20" w:after="20"/>
              <w:rPr>
                <w:rFonts w:cs="Arial"/>
                <w:sz w:val="20"/>
              </w:rPr>
            </w:pPr>
            <w:r w:rsidRPr="00383886">
              <w:rPr>
                <w:rFonts w:cs="Arial"/>
                <w:sz w:val="20"/>
              </w:rPr>
              <w:t>23.</w:t>
            </w:r>
          </w:p>
        </w:tc>
        <w:tc>
          <w:tcPr>
            <w:tcW w:w="2012" w:type="dxa"/>
          </w:tcPr>
          <w:p w14:paraId="7F09F8A4" w14:textId="77777777" w:rsidR="00383886" w:rsidRPr="00383886" w:rsidRDefault="00383886" w:rsidP="00FD6B98">
            <w:pPr>
              <w:jc w:val="both"/>
              <w:rPr>
                <w:rFonts w:cs="Arial"/>
                <w:sz w:val="20"/>
              </w:rPr>
            </w:pPr>
            <w:r w:rsidRPr="00383886">
              <w:rPr>
                <w:rFonts w:cs="Arial"/>
                <w:sz w:val="20"/>
              </w:rPr>
              <w:t>Pripremiti Izvještaj o izvršenju godišnjeg plana zvanične statistike za 2021. godinu</w:t>
            </w:r>
          </w:p>
        </w:tc>
        <w:tc>
          <w:tcPr>
            <w:tcW w:w="2066" w:type="dxa"/>
          </w:tcPr>
          <w:p w14:paraId="3C94A809" w14:textId="77777777" w:rsidR="00383886" w:rsidRPr="00383886" w:rsidRDefault="00383886" w:rsidP="00FD6B98">
            <w:pPr>
              <w:jc w:val="both"/>
              <w:rPr>
                <w:rFonts w:cs="Arial"/>
                <w:sz w:val="20"/>
              </w:rPr>
            </w:pPr>
            <w:r w:rsidRPr="00383886">
              <w:rPr>
                <w:rFonts w:cs="Arial"/>
                <w:sz w:val="20"/>
              </w:rPr>
              <w:t>Usvojen Izvještaj o izvršenju godišnjeg plana zvanične statistike za 2021. godinu</w:t>
            </w:r>
          </w:p>
        </w:tc>
        <w:tc>
          <w:tcPr>
            <w:tcW w:w="1843" w:type="dxa"/>
          </w:tcPr>
          <w:p w14:paraId="2DFF2FDF" w14:textId="77777777" w:rsidR="00383886" w:rsidRPr="00F27DB4" w:rsidRDefault="00383886" w:rsidP="00FD6B98">
            <w:pPr>
              <w:spacing w:before="20" w:after="20"/>
              <w:jc w:val="both"/>
              <w:rPr>
                <w:rFonts w:cs="Arial"/>
                <w:sz w:val="20"/>
              </w:rPr>
            </w:pPr>
            <w:r w:rsidRPr="00F27DB4">
              <w:rPr>
                <w:rFonts w:cs="Arial"/>
                <w:sz w:val="20"/>
              </w:rPr>
              <w:t>NI: MFSS -Uprava za statistiku</w:t>
            </w:r>
          </w:p>
          <w:p w14:paraId="31DC463E" w14:textId="77777777" w:rsidR="00383886" w:rsidRPr="00F27DB4" w:rsidRDefault="00383886" w:rsidP="00FD6B98">
            <w:pPr>
              <w:spacing w:before="20" w:after="20"/>
              <w:jc w:val="both"/>
              <w:rPr>
                <w:rFonts w:cs="Arial"/>
                <w:sz w:val="20"/>
              </w:rPr>
            </w:pPr>
            <w:r w:rsidRPr="00F27DB4">
              <w:rPr>
                <w:rFonts w:cs="Arial"/>
                <w:sz w:val="20"/>
              </w:rPr>
              <w:t>NK: KEPIF</w:t>
            </w:r>
          </w:p>
        </w:tc>
        <w:tc>
          <w:tcPr>
            <w:tcW w:w="2400" w:type="dxa"/>
          </w:tcPr>
          <w:p w14:paraId="6A7F9642" w14:textId="77777777" w:rsidR="00383886" w:rsidRPr="00383886" w:rsidRDefault="00383886" w:rsidP="00FD6B98">
            <w:pPr>
              <w:spacing w:before="20" w:after="20"/>
              <w:jc w:val="both"/>
              <w:rPr>
                <w:rFonts w:cs="Arial"/>
                <w:i/>
                <w:sz w:val="20"/>
              </w:rPr>
            </w:pPr>
            <w:r w:rsidRPr="00383886">
              <w:rPr>
                <w:rFonts w:cs="Arial"/>
                <w:i/>
                <w:sz w:val="20"/>
              </w:rPr>
              <w:t>I Q 2022.</w:t>
            </w:r>
          </w:p>
        </w:tc>
        <w:tc>
          <w:tcPr>
            <w:tcW w:w="1945" w:type="dxa"/>
          </w:tcPr>
          <w:p w14:paraId="3BB444BC" w14:textId="77777777" w:rsidR="00383886" w:rsidRPr="00383886" w:rsidRDefault="00383886" w:rsidP="00FD6B98">
            <w:pPr>
              <w:spacing w:before="20" w:after="20"/>
              <w:jc w:val="both"/>
              <w:rPr>
                <w:rFonts w:cs="Arial"/>
                <w:sz w:val="20"/>
              </w:rPr>
            </w:pPr>
            <w:r w:rsidRPr="00383886">
              <w:rPr>
                <w:rFonts w:cs="Arial"/>
                <w:sz w:val="20"/>
              </w:rPr>
              <w:t>Izvještaj nema uticaja na poslovni ambijent, pa se neće pripremati RIA obrazac.</w:t>
            </w:r>
          </w:p>
          <w:p w14:paraId="0DBDA336" w14:textId="77777777" w:rsidR="00383886" w:rsidRPr="00383886" w:rsidRDefault="00383886" w:rsidP="00FD6B98">
            <w:pPr>
              <w:spacing w:before="20" w:after="20"/>
              <w:jc w:val="both"/>
              <w:rPr>
                <w:rFonts w:cs="Arial"/>
                <w:sz w:val="20"/>
              </w:rPr>
            </w:pPr>
            <w:r w:rsidRPr="00383886">
              <w:rPr>
                <w:rFonts w:cs="Arial"/>
                <w:sz w:val="20"/>
              </w:rPr>
              <w:t>Nije potrebno obezbjeđenje dodatnih sredstava</w:t>
            </w:r>
          </w:p>
        </w:tc>
        <w:tc>
          <w:tcPr>
            <w:tcW w:w="1941" w:type="dxa"/>
          </w:tcPr>
          <w:p w14:paraId="3F2B09F6" w14:textId="77777777" w:rsidR="00383886" w:rsidRPr="00383886" w:rsidRDefault="00383886" w:rsidP="00FD6B98">
            <w:pPr>
              <w:spacing w:before="20" w:after="20"/>
              <w:jc w:val="both"/>
              <w:rPr>
                <w:rFonts w:cs="Arial"/>
                <w:b/>
                <w:i/>
                <w:sz w:val="20"/>
              </w:rPr>
            </w:pPr>
          </w:p>
        </w:tc>
        <w:tc>
          <w:tcPr>
            <w:tcW w:w="2093" w:type="dxa"/>
          </w:tcPr>
          <w:p w14:paraId="7129F6CF" w14:textId="77777777" w:rsidR="00383886" w:rsidRPr="00383886" w:rsidRDefault="00383886" w:rsidP="00FD6B98">
            <w:pPr>
              <w:jc w:val="both"/>
              <w:rPr>
                <w:rFonts w:eastAsia="Times New Roman" w:cs="Arial"/>
                <w:sz w:val="20"/>
              </w:rPr>
            </w:pPr>
            <w:r w:rsidRPr="00383886">
              <w:rPr>
                <w:rFonts w:eastAsia="Times New Roman" w:cs="Arial"/>
                <w:color w:val="000000"/>
                <w:sz w:val="20"/>
              </w:rPr>
              <w:t xml:space="preserve">Izvještaj pruža integralnu sliku realizacije Godišnjeg plana zvanične statistike za </w:t>
            </w:r>
            <w:r w:rsidRPr="00383886">
              <w:rPr>
                <w:rFonts w:cs="Arial"/>
                <w:sz w:val="20"/>
              </w:rPr>
              <w:t>2021. godinu</w:t>
            </w:r>
            <w:r w:rsidRPr="00383886">
              <w:rPr>
                <w:rFonts w:eastAsia="Times New Roman" w:cs="Arial"/>
                <w:color w:val="000000"/>
                <w:sz w:val="20"/>
              </w:rPr>
              <w:t>, Uprave za statistiku, kao glavnog nosioca, organizatora, koordinatora i diseminatora statističkih podataka i drugih proizvođača zvanične statistike u 2021. godini i</w:t>
            </w:r>
            <w:r w:rsidRPr="00383886">
              <w:rPr>
                <w:rFonts w:eastAsia="Times New Roman" w:cs="Arial"/>
                <w:color w:val="000000"/>
                <w:sz w:val="20"/>
                <w:lang w:val="en-GB"/>
              </w:rPr>
              <w:t xml:space="preserve"> </w:t>
            </w:r>
            <w:proofErr w:type="spellStart"/>
            <w:r w:rsidRPr="00383886">
              <w:rPr>
                <w:rFonts w:eastAsia="Times New Roman" w:cs="Arial"/>
                <w:color w:val="000000"/>
                <w:sz w:val="20"/>
                <w:lang w:val="en-GB"/>
              </w:rPr>
              <w:lastRenderedPageBreak/>
              <w:t>sadrži</w:t>
            </w:r>
            <w:proofErr w:type="spellEnd"/>
            <w:r w:rsidRPr="00383886">
              <w:rPr>
                <w:rFonts w:eastAsia="Times New Roman" w:cs="Arial"/>
                <w:color w:val="000000"/>
                <w:sz w:val="20"/>
                <w:lang w:val="en-GB"/>
              </w:rPr>
              <w:t xml:space="preserve"> </w:t>
            </w:r>
            <w:proofErr w:type="spellStart"/>
            <w:r w:rsidRPr="00383886">
              <w:rPr>
                <w:rFonts w:eastAsia="Times New Roman" w:cs="Arial"/>
                <w:color w:val="000000"/>
                <w:sz w:val="20"/>
                <w:lang w:val="en-GB"/>
              </w:rPr>
              <w:t>pregled</w:t>
            </w:r>
            <w:proofErr w:type="spellEnd"/>
            <w:r w:rsidRPr="00383886">
              <w:rPr>
                <w:rFonts w:eastAsia="Times New Roman" w:cs="Arial"/>
                <w:color w:val="000000"/>
                <w:sz w:val="20"/>
                <w:lang w:val="en-GB"/>
              </w:rPr>
              <w:t xml:space="preserve">: </w:t>
            </w:r>
            <w:proofErr w:type="spellStart"/>
            <w:r w:rsidRPr="00383886">
              <w:rPr>
                <w:rFonts w:eastAsia="Times New Roman" w:cs="Arial"/>
                <w:sz w:val="20"/>
                <w:lang w:val="en-GB"/>
              </w:rPr>
              <w:t>usvojenih</w:t>
            </w:r>
            <w:proofErr w:type="spellEnd"/>
            <w:r w:rsidRPr="00383886">
              <w:rPr>
                <w:rFonts w:eastAsia="Times New Roman" w:cs="Arial"/>
                <w:sz w:val="20"/>
                <w:lang w:val="en-GB"/>
              </w:rPr>
              <w:t xml:space="preserve"> </w:t>
            </w:r>
            <w:proofErr w:type="spellStart"/>
            <w:r w:rsidRPr="00383886">
              <w:rPr>
                <w:rFonts w:eastAsia="Times New Roman" w:cs="Arial"/>
                <w:sz w:val="20"/>
                <w:lang w:val="en-GB"/>
              </w:rPr>
              <w:t>akata</w:t>
            </w:r>
            <w:proofErr w:type="spellEnd"/>
            <w:r w:rsidRPr="00383886">
              <w:rPr>
                <w:rFonts w:eastAsia="Times New Roman" w:cs="Arial"/>
                <w:sz w:val="20"/>
                <w:lang w:val="en-GB"/>
              </w:rPr>
              <w:t xml:space="preserve">, </w:t>
            </w:r>
            <w:r w:rsidRPr="00383886">
              <w:rPr>
                <w:rFonts w:eastAsia="Times New Roman" w:cs="Arial"/>
                <w:sz w:val="20"/>
              </w:rPr>
              <w:t>realizovanih statističkih istraživanja definisanih Godišnjim planom zvanične statistiku, ostvarenih unapređenja po statističkim domenima, međunarodne aktivnosti i integracije u međunarodni statistički sistem.</w:t>
            </w:r>
          </w:p>
        </w:tc>
      </w:tr>
      <w:tr w:rsidR="00383886" w:rsidRPr="00383886" w14:paraId="5C8E4FC9" w14:textId="77777777" w:rsidTr="00FD6B98">
        <w:tc>
          <w:tcPr>
            <w:tcW w:w="586" w:type="dxa"/>
            <w:gridSpan w:val="2"/>
          </w:tcPr>
          <w:p w14:paraId="5FBBEB82" w14:textId="77777777" w:rsidR="00383886" w:rsidRPr="00383886" w:rsidRDefault="00383886" w:rsidP="00FD6B98">
            <w:pPr>
              <w:spacing w:before="20" w:after="20"/>
              <w:jc w:val="both"/>
              <w:rPr>
                <w:rFonts w:cs="Arial"/>
                <w:sz w:val="20"/>
              </w:rPr>
            </w:pPr>
            <w:r w:rsidRPr="00383886">
              <w:rPr>
                <w:rFonts w:cs="Arial"/>
                <w:sz w:val="20"/>
              </w:rPr>
              <w:t>24.</w:t>
            </w:r>
          </w:p>
        </w:tc>
        <w:tc>
          <w:tcPr>
            <w:tcW w:w="2012" w:type="dxa"/>
          </w:tcPr>
          <w:p w14:paraId="4746C1DA" w14:textId="77777777" w:rsidR="00383886" w:rsidRPr="00383886" w:rsidRDefault="00383886" w:rsidP="00FD6B98">
            <w:pPr>
              <w:spacing w:before="20" w:after="20"/>
              <w:jc w:val="both"/>
              <w:rPr>
                <w:rFonts w:cs="Arial"/>
                <w:sz w:val="20"/>
              </w:rPr>
            </w:pPr>
            <w:r w:rsidRPr="00383886">
              <w:rPr>
                <w:rFonts w:cs="Arial"/>
                <w:sz w:val="20"/>
              </w:rPr>
              <w:t>Pripremiti Uredbu o definisanju referentnog momenta popisa i perioda prikupljanja podataka popisa</w:t>
            </w:r>
          </w:p>
        </w:tc>
        <w:tc>
          <w:tcPr>
            <w:tcW w:w="2066" w:type="dxa"/>
          </w:tcPr>
          <w:p w14:paraId="0087AA0E" w14:textId="77777777" w:rsidR="00383886" w:rsidRPr="00383886" w:rsidRDefault="00383886" w:rsidP="00FD6B98">
            <w:pPr>
              <w:spacing w:before="20" w:after="20"/>
              <w:jc w:val="both"/>
              <w:rPr>
                <w:rFonts w:cs="Arial"/>
                <w:sz w:val="20"/>
              </w:rPr>
            </w:pPr>
            <w:r w:rsidRPr="00383886">
              <w:rPr>
                <w:rFonts w:cs="Arial"/>
                <w:sz w:val="20"/>
              </w:rPr>
              <w:t>Donesena Uredba o definisanju referentnog momenta popisa i perioda prikupljanja podataka popisa</w:t>
            </w:r>
          </w:p>
        </w:tc>
        <w:tc>
          <w:tcPr>
            <w:tcW w:w="1843" w:type="dxa"/>
          </w:tcPr>
          <w:p w14:paraId="6F93971A" w14:textId="77777777" w:rsidR="00383886" w:rsidRPr="00F27DB4" w:rsidRDefault="00383886" w:rsidP="00FD6B98">
            <w:pPr>
              <w:spacing w:before="20" w:after="20"/>
              <w:jc w:val="both"/>
              <w:rPr>
                <w:rFonts w:cs="Arial"/>
                <w:sz w:val="20"/>
              </w:rPr>
            </w:pPr>
            <w:r w:rsidRPr="00F27DB4">
              <w:rPr>
                <w:rFonts w:cs="Arial"/>
                <w:sz w:val="20"/>
              </w:rPr>
              <w:t>NI: MFSS -Uprava za statistiku</w:t>
            </w:r>
          </w:p>
          <w:p w14:paraId="0C18AD3F"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tcPr>
          <w:p w14:paraId="29BAFF03" w14:textId="77777777" w:rsidR="00383886" w:rsidRPr="00383886" w:rsidRDefault="00383886" w:rsidP="00FD6B98">
            <w:pPr>
              <w:spacing w:before="20" w:after="20"/>
              <w:jc w:val="both"/>
              <w:rPr>
                <w:rFonts w:cs="Arial"/>
                <w:sz w:val="20"/>
              </w:rPr>
            </w:pPr>
            <w:r w:rsidRPr="00383886">
              <w:rPr>
                <w:rFonts w:cs="Arial"/>
                <w:sz w:val="20"/>
              </w:rPr>
              <w:t>II Q 2022.</w:t>
            </w:r>
          </w:p>
        </w:tc>
        <w:tc>
          <w:tcPr>
            <w:tcW w:w="1945" w:type="dxa"/>
          </w:tcPr>
          <w:p w14:paraId="05D5E79E" w14:textId="77777777" w:rsidR="00383886" w:rsidRPr="00383886" w:rsidRDefault="00383886" w:rsidP="00FD6B98">
            <w:pPr>
              <w:spacing w:before="20" w:after="20"/>
              <w:jc w:val="both"/>
              <w:rPr>
                <w:rFonts w:cs="Arial"/>
                <w:sz w:val="20"/>
              </w:rPr>
            </w:pPr>
            <w:r w:rsidRPr="00383886">
              <w:rPr>
                <w:rFonts w:cs="Arial"/>
                <w:sz w:val="20"/>
              </w:rPr>
              <w:t>Propis nema uticaja na poslovni ambijent, pa se neće pripremati RIA obrazac.</w:t>
            </w:r>
          </w:p>
          <w:p w14:paraId="7A233D7C" w14:textId="77777777" w:rsidR="00383886" w:rsidRPr="00383886" w:rsidRDefault="00383886" w:rsidP="00FD6B98">
            <w:pPr>
              <w:spacing w:before="20" w:after="20"/>
              <w:jc w:val="both"/>
              <w:rPr>
                <w:rFonts w:cs="Arial"/>
                <w:sz w:val="20"/>
              </w:rPr>
            </w:pPr>
            <w:r w:rsidRPr="00383886">
              <w:rPr>
                <w:rFonts w:cs="Arial"/>
                <w:sz w:val="20"/>
              </w:rPr>
              <w:t>Nije potrebno obezbjeđenje dodatnih sredstava</w:t>
            </w:r>
          </w:p>
        </w:tc>
        <w:tc>
          <w:tcPr>
            <w:tcW w:w="1941" w:type="dxa"/>
          </w:tcPr>
          <w:p w14:paraId="34FABAE1" w14:textId="77777777" w:rsidR="00383886" w:rsidRPr="00383886" w:rsidRDefault="00383886" w:rsidP="00FD6B98">
            <w:pPr>
              <w:spacing w:before="20" w:after="20"/>
              <w:jc w:val="both"/>
              <w:rPr>
                <w:rFonts w:cs="Arial"/>
                <w:sz w:val="20"/>
              </w:rPr>
            </w:pPr>
          </w:p>
        </w:tc>
        <w:tc>
          <w:tcPr>
            <w:tcW w:w="2093" w:type="dxa"/>
          </w:tcPr>
          <w:p w14:paraId="11E014E5" w14:textId="77777777" w:rsidR="00383886" w:rsidRPr="00383886" w:rsidRDefault="00383886" w:rsidP="00FD6B98">
            <w:pPr>
              <w:jc w:val="both"/>
              <w:rPr>
                <w:rFonts w:cs="Arial"/>
                <w:sz w:val="20"/>
              </w:rPr>
            </w:pPr>
            <w:r w:rsidRPr="00383886">
              <w:rPr>
                <w:rFonts w:cs="Arial"/>
                <w:sz w:val="20"/>
              </w:rPr>
              <w:t>Ovom uredbom definisaće se referentni momenat popisa na koji će se odnositi podaci prikupljeni popisom. Takođe, u skladu sa referentnim momentom definisaće se i period prikupljanje podataka u toku kojeg će na terenu popisivači obilaziti domaćinstva i prikupljati podatke.</w:t>
            </w:r>
          </w:p>
        </w:tc>
      </w:tr>
      <w:tr w:rsidR="00383886" w:rsidRPr="00383886" w14:paraId="0B10433A" w14:textId="77777777" w:rsidTr="00FD6B98">
        <w:tc>
          <w:tcPr>
            <w:tcW w:w="586" w:type="dxa"/>
            <w:gridSpan w:val="2"/>
          </w:tcPr>
          <w:p w14:paraId="5A97AD81" w14:textId="77777777" w:rsidR="00383886" w:rsidRPr="00383886" w:rsidRDefault="00383886" w:rsidP="00FD6B98">
            <w:pPr>
              <w:spacing w:before="20" w:after="20"/>
              <w:jc w:val="both"/>
              <w:rPr>
                <w:rFonts w:cs="Arial"/>
                <w:sz w:val="20"/>
              </w:rPr>
            </w:pPr>
            <w:r w:rsidRPr="00383886">
              <w:rPr>
                <w:rFonts w:cs="Arial"/>
                <w:sz w:val="20"/>
              </w:rPr>
              <w:t>25.</w:t>
            </w:r>
          </w:p>
        </w:tc>
        <w:tc>
          <w:tcPr>
            <w:tcW w:w="2012" w:type="dxa"/>
          </w:tcPr>
          <w:p w14:paraId="07E825C1" w14:textId="77777777" w:rsidR="00383886" w:rsidRPr="00383886" w:rsidRDefault="00383886" w:rsidP="00FD6B98">
            <w:pPr>
              <w:shd w:val="clear" w:color="auto" w:fill="FFFFFF" w:themeFill="background1"/>
              <w:jc w:val="both"/>
              <w:rPr>
                <w:rFonts w:cs="Arial"/>
                <w:sz w:val="20"/>
              </w:rPr>
            </w:pPr>
            <w:r w:rsidRPr="00383886">
              <w:rPr>
                <w:rFonts w:cs="Arial"/>
                <w:sz w:val="20"/>
              </w:rPr>
              <w:t>Pripremiti Uredbu o plaćanju učesnicima popisa</w:t>
            </w:r>
          </w:p>
          <w:p w14:paraId="6FFD0233" w14:textId="77777777" w:rsidR="00383886" w:rsidRPr="00383886" w:rsidRDefault="00383886" w:rsidP="00FD6B98">
            <w:pPr>
              <w:spacing w:before="20" w:after="20"/>
              <w:jc w:val="both"/>
              <w:rPr>
                <w:rFonts w:cs="Arial"/>
                <w:b/>
                <w:sz w:val="20"/>
              </w:rPr>
            </w:pPr>
          </w:p>
        </w:tc>
        <w:tc>
          <w:tcPr>
            <w:tcW w:w="2066" w:type="dxa"/>
          </w:tcPr>
          <w:p w14:paraId="584A5B5B" w14:textId="77777777" w:rsidR="00383886" w:rsidRPr="00383886" w:rsidRDefault="00383886" w:rsidP="00FD6B98">
            <w:pPr>
              <w:shd w:val="clear" w:color="auto" w:fill="FFFFFF" w:themeFill="background1"/>
              <w:jc w:val="both"/>
              <w:rPr>
                <w:rFonts w:cs="Arial"/>
                <w:sz w:val="20"/>
              </w:rPr>
            </w:pPr>
            <w:r w:rsidRPr="00383886">
              <w:rPr>
                <w:rFonts w:cs="Arial"/>
                <w:sz w:val="20"/>
              </w:rPr>
              <w:t>Donesena Uredba o plaćanju učesnicima popisa</w:t>
            </w:r>
          </w:p>
          <w:p w14:paraId="379FA393" w14:textId="77777777" w:rsidR="00383886" w:rsidRPr="00383886" w:rsidRDefault="00383886" w:rsidP="00FD6B98">
            <w:pPr>
              <w:spacing w:before="20" w:after="20"/>
              <w:jc w:val="both"/>
              <w:rPr>
                <w:rFonts w:cs="Arial"/>
                <w:b/>
                <w:sz w:val="20"/>
              </w:rPr>
            </w:pPr>
          </w:p>
        </w:tc>
        <w:tc>
          <w:tcPr>
            <w:tcW w:w="1843" w:type="dxa"/>
          </w:tcPr>
          <w:p w14:paraId="02531F5D" w14:textId="77777777" w:rsidR="00383886" w:rsidRPr="00F27DB4" w:rsidRDefault="00383886" w:rsidP="00FD6B98">
            <w:pPr>
              <w:spacing w:before="20" w:after="20"/>
              <w:jc w:val="both"/>
              <w:rPr>
                <w:rFonts w:cs="Arial"/>
                <w:sz w:val="20"/>
              </w:rPr>
            </w:pPr>
            <w:r w:rsidRPr="00F27DB4">
              <w:rPr>
                <w:rFonts w:cs="Arial"/>
                <w:sz w:val="20"/>
              </w:rPr>
              <w:t>NI: MFSS -Uprava za statistiku</w:t>
            </w:r>
          </w:p>
          <w:p w14:paraId="49E6E7E9" w14:textId="77777777" w:rsidR="00383886" w:rsidRPr="00F27DB4" w:rsidRDefault="00383886" w:rsidP="00FD6B98">
            <w:pPr>
              <w:spacing w:before="20" w:after="20"/>
              <w:jc w:val="both"/>
              <w:rPr>
                <w:rFonts w:cs="Arial"/>
                <w:sz w:val="20"/>
              </w:rPr>
            </w:pPr>
            <w:r w:rsidRPr="00F27DB4">
              <w:rPr>
                <w:rFonts w:cs="Arial"/>
                <w:sz w:val="20"/>
              </w:rPr>
              <w:t>NK: KPS, KEPIF</w:t>
            </w:r>
          </w:p>
        </w:tc>
        <w:tc>
          <w:tcPr>
            <w:tcW w:w="2400" w:type="dxa"/>
          </w:tcPr>
          <w:p w14:paraId="3A5BA72B" w14:textId="77777777" w:rsidR="00383886" w:rsidRPr="00383886" w:rsidRDefault="00383886" w:rsidP="00FD6B98">
            <w:pPr>
              <w:spacing w:before="20" w:after="20"/>
              <w:jc w:val="both"/>
              <w:rPr>
                <w:rFonts w:cs="Arial"/>
                <w:sz w:val="20"/>
              </w:rPr>
            </w:pPr>
            <w:r w:rsidRPr="00383886">
              <w:rPr>
                <w:rFonts w:cs="Arial"/>
                <w:sz w:val="20"/>
              </w:rPr>
              <w:t>II Q 2022.</w:t>
            </w:r>
          </w:p>
        </w:tc>
        <w:tc>
          <w:tcPr>
            <w:tcW w:w="1945" w:type="dxa"/>
          </w:tcPr>
          <w:p w14:paraId="6928FF13" w14:textId="77777777" w:rsidR="00383886" w:rsidRPr="00383886" w:rsidRDefault="00383886" w:rsidP="00FD6B98">
            <w:pPr>
              <w:spacing w:before="20" w:after="20"/>
              <w:jc w:val="both"/>
              <w:rPr>
                <w:rFonts w:cs="Arial"/>
                <w:sz w:val="20"/>
              </w:rPr>
            </w:pPr>
            <w:r w:rsidRPr="00383886">
              <w:rPr>
                <w:rFonts w:cs="Arial"/>
                <w:sz w:val="20"/>
              </w:rPr>
              <w:t>Propis će imati uticaja na poslovni ambijent, građane, privredu i budžet, zbog čega će u procesu njegove pripreme biti urađena detaljna RIA.</w:t>
            </w:r>
          </w:p>
        </w:tc>
        <w:tc>
          <w:tcPr>
            <w:tcW w:w="1941" w:type="dxa"/>
          </w:tcPr>
          <w:p w14:paraId="64CE6FAA" w14:textId="77777777" w:rsidR="00383886" w:rsidRPr="00383886" w:rsidRDefault="00383886" w:rsidP="00FD6B98">
            <w:pPr>
              <w:spacing w:before="20" w:after="20"/>
              <w:jc w:val="both"/>
              <w:rPr>
                <w:rFonts w:cs="Arial"/>
                <w:sz w:val="20"/>
              </w:rPr>
            </w:pPr>
          </w:p>
        </w:tc>
        <w:tc>
          <w:tcPr>
            <w:tcW w:w="2093" w:type="dxa"/>
          </w:tcPr>
          <w:p w14:paraId="5E9EBEF2" w14:textId="77777777" w:rsidR="00383886" w:rsidRPr="00383886" w:rsidRDefault="00383886" w:rsidP="00FD6B98">
            <w:pPr>
              <w:shd w:val="clear" w:color="auto" w:fill="FFFFFF" w:themeFill="background1"/>
              <w:jc w:val="both"/>
              <w:rPr>
                <w:rFonts w:cs="Arial"/>
                <w:sz w:val="20"/>
              </w:rPr>
            </w:pPr>
            <w:r w:rsidRPr="00383886">
              <w:rPr>
                <w:rFonts w:cs="Arial"/>
                <w:sz w:val="20"/>
              </w:rPr>
              <w:t>Ovom uredbom definisaće se visina nadoknada učesnicima popisa i način njihovog plaćanja. Naime, sredstva za finansiranje popisa obezbjeđuju se u budžetu Crne Gore. Dio sredstava Uprava za statistiku prenosi popisnim komisijama. Takođe, ovom uredbom utvrđuje se visina i raspored sredstava.</w:t>
            </w:r>
          </w:p>
        </w:tc>
      </w:tr>
      <w:tr w:rsidR="00383886" w:rsidRPr="00383886" w14:paraId="77BC304F" w14:textId="77777777" w:rsidTr="00FD6B98">
        <w:tc>
          <w:tcPr>
            <w:tcW w:w="586" w:type="dxa"/>
            <w:gridSpan w:val="2"/>
          </w:tcPr>
          <w:p w14:paraId="09EFBE79" w14:textId="77777777" w:rsidR="00383886" w:rsidRPr="00383886" w:rsidRDefault="00383886" w:rsidP="00FD6B98">
            <w:pPr>
              <w:spacing w:before="20" w:after="20"/>
              <w:jc w:val="both"/>
              <w:rPr>
                <w:rFonts w:cs="Arial"/>
                <w:sz w:val="20"/>
              </w:rPr>
            </w:pPr>
            <w:r w:rsidRPr="00383886">
              <w:rPr>
                <w:rFonts w:cs="Arial"/>
                <w:sz w:val="20"/>
              </w:rPr>
              <w:lastRenderedPageBreak/>
              <w:t>26.</w:t>
            </w:r>
          </w:p>
        </w:tc>
        <w:tc>
          <w:tcPr>
            <w:tcW w:w="2012" w:type="dxa"/>
          </w:tcPr>
          <w:p w14:paraId="4D6AD67D" w14:textId="77777777" w:rsidR="00383886" w:rsidRPr="00383886" w:rsidRDefault="00383886" w:rsidP="00FD6B98">
            <w:pPr>
              <w:jc w:val="both"/>
              <w:rPr>
                <w:rFonts w:cs="Arial"/>
                <w:sz w:val="20"/>
              </w:rPr>
            </w:pPr>
            <w:r w:rsidRPr="00383886">
              <w:rPr>
                <w:rFonts w:cs="Arial"/>
                <w:sz w:val="20"/>
              </w:rPr>
              <w:t>Pripremiti Godišnji plan zvanične statistike za 2023. godinu</w:t>
            </w:r>
          </w:p>
        </w:tc>
        <w:tc>
          <w:tcPr>
            <w:tcW w:w="2066" w:type="dxa"/>
          </w:tcPr>
          <w:p w14:paraId="16B34B89" w14:textId="77777777" w:rsidR="00383886" w:rsidRPr="00383886" w:rsidRDefault="00383886" w:rsidP="00FD6B98">
            <w:pPr>
              <w:shd w:val="clear" w:color="auto" w:fill="FFFFFF" w:themeFill="background1"/>
              <w:jc w:val="both"/>
              <w:rPr>
                <w:rFonts w:cs="Arial"/>
                <w:sz w:val="20"/>
              </w:rPr>
            </w:pPr>
            <w:r w:rsidRPr="00383886">
              <w:rPr>
                <w:rFonts w:cs="Arial"/>
                <w:sz w:val="20"/>
              </w:rPr>
              <w:t>Donesen Godišnji plan zvanične statistike za 2023. godinu</w:t>
            </w:r>
          </w:p>
        </w:tc>
        <w:tc>
          <w:tcPr>
            <w:tcW w:w="1843" w:type="dxa"/>
          </w:tcPr>
          <w:p w14:paraId="77657D3D" w14:textId="77777777" w:rsidR="00383886" w:rsidRPr="00F27DB4" w:rsidRDefault="00383886" w:rsidP="00FD6B98">
            <w:pPr>
              <w:spacing w:before="20" w:after="20"/>
              <w:jc w:val="both"/>
              <w:rPr>
                <w:rFonts w:cs="Arial"/>
                <w:sz w:val="20"/>
              </w:rPr>
            </w:pPr>
            <w:r w:rsidRPr="00F27DB4">
              <w:rPr>
                <w:rFonts w:cs="Arial"/>
                <w:sz w:val="20"/>
              </w:rPr>
              <w:t>NI: MFSS -Uprava za statistiku</w:t>
            </w:r>
          </w:p>
          <w:p w14:paraId="0B828F64" w14:textId="77777777" w:rsidR="00383886" w:rsidRPr="00383886" w:rsidRDefault="00383886" w:rsidP="00FD6B98">
            <w:pPr>
              <w:spacing w:before="20" w:after="20"/>
              <w:jc w:val="both"/>
              <w:rPr>
                <w:rFonts w:cs="Arial"/>
                <w:i/>
                <w:sz w:val="20"/>
              </w:rPr>
            </w:pPr>
            <w:r w:rsidRPr="00F27DB4">
              <w:rPr>
                <w:rFonts w:cs="Arial"/>
                <w:sz w:val="20"/>
              </w:rPr>
              <w:t>NK: KPS, KEPIF</w:t>
            </w:r>
          </w:p>
        </w:tc>
        <w:tc>
          <w:tcPr>
            <w:tcW w:w="2400" w:type="dxa"/>
          </w:tcPr>
          <w:p w14:paraId="2AC3971E" w14:textId="77777777" w:rsidR="00383886" w:rsidRPr="00383886" w:rsidRDefault="00383886" w:rsidP="00FD6B98">
            <w:pPr>
              <w:spacing w:before="20" w:after="20"/>
              <w:jc w:val="both"/>
              <w:rPr>
                <w:rFonts w:cs="Arial"/>
                <w:sz w:val="20"/>
              </w:rPr>
            </w:pPr>
            <w:r w:rsidRPr="00383886">
              <w:rPr>
                <w:rFonts w:cs="Arial"/>
                <w:sz w:val="20"/>
              </w:rPr>
              <w:t>IV Q 2022.</w:t>
            </w:r>
          </w:p>
        </w:tc>
        <w:tc>
          <w:tcPr>
            <w:tcW w:w="1945" w:type="dxa"/>
          </w:tcPr>
          <w:p w14:paraId="2C891EAF" w14:textId="77777777" w:rsidR="00383886" w:rsidRPr="00383886" w:rsidRDefault="00383886" w:rsidP="00FD6B98">
            <w:pPr>
              <w:jc w:val="both"/>
              <w:rPr>
                <w:rFonts w:cs="Arial"/>
                <w:sz w:val="20"/>
              </w:rPr>
            </w:pPr>
            <w:r w:rsidRPr="00383886">
              <w:rPr>
                <w:rFonts w:cs="Arial"/>
                <w:sz w:val="20"/>
              </w:rPr>
              <w:t>Plan će imati uticaja na poslovni ambijent, građane, privredu i budžet, zbog čega će u procesu njegove pripreme biti urađena detaljna RIA.</w:t>
            </w:r>
          </w:p>
          <w:p w14:paraId="236AEFAD" w14:textId="77777777" w:rsidR="00383886" w:rsidRPr="00383886" w:rsidRDefault="00383886" w:rsidP="00FD6B98">
            <w:pPr>
              <w:spacing w:before="20" w:after="20"/>
              <w:jc w:val="both"/>
              <w:rPr>
                <w:rFonts w:cs="Arial"/>
                <w:sz w:val="20"/>
              </w:rPr>
            </w:pPr>
          </w:p>
        </w:tc>
        <w:tc>
          <w:tcPr>
            <w:tcW w:w="1941" w:type="dxa"/>
          </w:tcPr>
          <w:p w14:paraId="587979FE" w14:textId="77777777" w:rsidR="00383886" w:rsidRPr="00383886" w:rsidRDefault="00383886" w:rsidP="00FD6B98">
            <w:pPr>
              <w:spacing w:before="20" w:after="20"/>
              <w:jc w:val="both"/>
              <w:rPr>
                <w:rFonts w:cs="Arial"/>
                <w:sz w:val="20"/>
              </w:rPr>
            </w:pPr>
          </w:p>
        </w:tc>
        <w:tc>
          <w:tcPr>
            <w:tcW w:w="2093" w:type="dxa"/>
          </w:tcPr>
          <w:p w14:paraId="4749DD50" w14:textId="77777777" w:rsidR="00383886" w:rsidRPr="00383886" w:rsidRDefault="00383886" w:rsidP="00FD6B98">
            <w:pPr>
              <w:jc w:val="both"/>
              <w:rPr>
                <w:rFonts w:cs="Arial"/>
                <w:sz w:val="20"/>
              </w:rPr>
            </w:pPr>
            <w:r w:rsidRPr="00383886">
              <w:rPr>
                <w:rFonts w:cs="Arial"/>
                <w:sz w:val="20"/>
              </w:rPr>
              <w:t>Ovim planom definisaće se broj statističkih istraživanja za 2023. godinu za sve proizvođače zvanične statistike u Crnoj Gori, po statističkim oblastima, a u skladu sa prihvaćenim metodologijama i međunarodnim standarima.</w:t>
            </w:r>
          </w:p>
        </w:tc>
      </w:tr>
    </w:tbl>
    <w:tbl>
      <w:tblPr>
        <w:tblW w:w="5768"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6"/>
        <w:gridCol w:w="7"/>
        <w:gridCol w:w="17"/>
        <w:gridCol w:w="7"/>
        <w:gridCol w:w="101"/>
        <w:gridCol w:w="1517"/>
        <w:gridCol w:w="59"/>
        <w:gridCol w:w="6"/>
        <w:gridCol w:w="552"/>
        <w:gridCol w:w="121"/>
        <w:gridCol w:w="364"/>
        <w:gridCol w:w="459"/>
        <w:gridCol w:w="463"/>
        <w:gridCol w:w="7"/>
        <w:gridCol w:w="188"/>
        <w:gridCol w:w="502"/>
        <w:gridCol w:w="146"/>
        <w:gridCol w:w="9"/>
        <w:gridCol w:w="212"/>
        <w:gridCol w:w="8"/>
        <w:gridCol w:w="568"/>
        <w:gridCol w:w="122"/>
        <w:gridCol w:w="161"/>
        <w:gridCol w:w="314"/>
        <w:gridCol w:w="681"/>
        <w:gridCol w:w="27"/>
        <w:gridCol w:w="120"/>
        <w:gridCol w:w="51"/>
        <w:gridCol w:w="998"/>
        <w:gridCol w:w="75"/>
        <w:gridCol w:w="212"/>
        <w:gridCol w:w="15"/>
        <w:gridCol w:w="633"/>
        <w:gridCol w:w="654"/>
        <w:gridCol w:w="3302"/>
      </w:tblGrid>
      <w:tr w:rsidR="00383886" w:rsidRPr="00383886" w14:paraId="1776CF64" w14:textId="77777777" w:rsidTr="005D3BC5">
        <w:trPr>
          <w:trHeight w:val="457"/>
        </w:trPr>
        <w:tc>
          <w:tcPr>
            <w:tcW w:w="755" w:type="pct"/>
            <w:vMerge w:val="restart"/>
            <w:shd w:val="clear" w:color="000000" w:fill="D9E2F3"/>
            <w:vAlign w:val="center"/>
            <w:hideMark/>
          </w:tcPr>
          <w:p w14:paraId="09963645"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bookmarkStart w:id="23" w:name="_Hlk89629188"/>
            <w:r w:rsidRPr="00383886">
              <w:rPr>
                <w:rFonts w:ascii="Arial Narrow" w:eastAsia="Times New Roman" w:hAnsi="Arial Narrow" w:cs="Arial"/>
                <w:b/>
                <w:bCs/>
                <w:color w:val="000000"/>
                <w:sz w:val="20"/>
                <w:szCs w:val="20"/>
              </w:rPr>
              <w:t xml:space="preserve">Cilj </w:t>
            </w:r>
            <w:r w:rsidR="005D3BC5">
              <w:rPr>
                <w:rFonts w:ascii="Arial Narrow" w:eastAsia="Times New Roman" w:hAnsi="Arial Narrow" w:cs="Arial"/>
                <w:b/>
                <w:bCs/>
                <w:color w:val="000000"/>
                <w:sz w:val="20"/>
                <w:szCs w:val="20"/>
              </w:rPr>
              <w:t>2.</w:t>
            </w:r>
            <w:r w:rsidRPr="00383886">
              <w:rPr>
                <w:rFonts w:ascii="Arial Narrow" w:eastAsia="Times New Roman" w:hAnsi="Arial Narrow" w:cs="Arial"/>
                <w:b/>
                <w:bCs/>
                <w:color w:val="000000"/>
                <w:sz w:val="20"/>
                <w:szCs w:val="20"/>
              </w:rPr>
              <w:t>3</w:t>
            </w:r>
            <w:r w:rsidR="005D3BC5">
              <w:rPr>
                <w:rFonts w:ascii="Arial Narrow" w:eastAsia="Times New Roman" w:hAnsi="Arial Narrow" w:cs="Arial"/>
                <w:b/>
                <w:bCs/>
                <w:color w:val="000000"/>
                <w:sz w:val="20"/>
                <w:szCs w:val="20"/>
              </w:rPr>
              <w:t>.</w:t>
            </w:r>
          </w:p>
        </w:tc>
        <w:tc>
          <w:tcPr>
            <w:tcW w:w="4245" w:type="pct"/>
            <w:gridSpan w:val="35"/>
            <w:vMerge w:val="restart"/>
            <w:shd w:val="clear" w:color="000000" w:fill="D9E2F3"/>
            <w:vAlign w:val="center"/>
            <w:hideMark/>
          </w:tcPr>
          <w:p w14:paraId="62ACBA60" w14:textId="77777777" w:rsidR="00383886" w:rsidRPr="00383886" w:rsidRDefault="00383886" w:rsidP="00FD6B98">
            <w:pPr>
              <w:spacing w:after="0" w:line="240" w:lineRule="auto"/>
              <w:jc w:val="both"/>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Jačanje investicionih aktivnosti u sektoru turizma</w:t>
            </w:r>
          </w:p>
        </w:tc>
      </w:tr>
      <w:tr w:rsidR="00383886" w:rsidRPr="00383886" w14:paraId="2F820F00" w14:textId="77777777" w:rsidTr="005D3BC5">
        <w:trPr>
          <w:trHeight w:val="457"/>
        </w:trPr>
        <w:tc>
          <w:tcPr>
            <w:tcW w:w="755" w:type="pct"/>
            <w:vMerge/>
            <w:vAlign w:val="center"/>
            <w:hideMark/>
          </w:tcPr>
          <w:p w14:paraId="43FEF2FD" w14:textId="77777777" w:rsidR="00383886" w:rsidRPr="00383886" w:rsidRDefault="00383886" w:rsidP="00FD6B98">
            <w:pPr>
              <w:spacing w:after="0" w:line="240" w:lineRule="auto"/>
              <w:rPr>
                <w:rFonts w:ascii="Arial Narrow" w:eastAsia="Times New Roman" w:hAnsi="Arial Narrow" w:cs="Arial"/>
                <w:b/>
                <w:bCs/>
                <w:color w:val="000000"/>
                <w:sz w:val="20"/>
                <w:szCs w:val="20"/>
              </w:rPr>
            </w:pPr>
          </w:p>
        </w:tc>
        <w:tc>
          <w:tcPr>
            <w:tcW w:w="4245" w:type="pct"/>
            <w:gridSpan w:val="35"/>
            <w:vMerge/>
            <w:vAlign w:val="center"/>
            <w:hideMark/>
          </w:tcPr>
          <w:p w14:paraId="26BCAE93" w14:textId="77777777" w:rsidR="00383886" w:rsidRPr="00383886" w:rsidRDefault="00383886" w:rsidP="00FD6B98">
            <w:pPr>
              <w:spacing w:after="0" w:line="240" w:lineRule="auto"/>
              <w:rPr>
                <w:rFonts w:ascii="Arial Narrow" w:eastAsia="Times New Roman" w:hAnsi="Arial Narrow" w:cs="Arial"/>
                <w:b/>
                <w:bCs/>
                <w:color w:val="000000"/>
                <w:sz w:val="20"/>
                <w:szCs w:val="20"/>
              </w:rPr>
            </w:pPr>
          </w:p>
        </w:tc>
      </w:tr>
      <w:tr w:rsidR="00383886" w:rsidRPr="00383886" w14:paraId="1AB51C50" w14:textId="77777777" w:rsidTr="002756A4">
        <w:trPr>
          <w:trHeight w:val="564"/>
        </w:trPr>
        <w:tc>
          <w:tcPr>
            <w:tcW w:w="755" w:type="pct"/>
            <w:shd w:val="clear" w:color="000000" w:fill="DAF2F6"/>
            <w:vAlign w:val="center"/>
            <w:hideMark/>
          </w:tcPr>
          <w:p w14:paraId="2B86456C"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Indikator učinka</w:t>
            </w:r>
          </w:p>
        </w:tc>
        <w:tc>
          <w:tcPr>
            <w:tcW w:w="1077" w:type="pct"/>
            <w:gridSpan w:val="12"/>
            <w:shd w:val="clear" w:color="000000" w:fill="DAF2F6"/>
            <w:vAlign w:val="center"/>
            <w:hideMark/>
          </w:tcPr>
          <w:p w14:paraId="59221294"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Polazna vrijednost – 2021.g</w:t>
            </w:r>
          </w:p>
        </w:tc>
        <w:tc>
          <w:tcPr>
            <w:tcW w:w="437" w:type="pct"/>
            <w:gridSpan w:val="5"/>
            <w:shd w:val="clear" w:color="000000" w:fill="DAF2F6"/>
            <w:vAlign w:val="center"/>
            <w:hideMark/>
          </w:tcPr>
          <w:p w14:paraId="0B2FA983"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Prelazna vrijednost – 2022.g</w:t>
            </w:r>
          </w:p>
        </w:tc>
        <w:tc>
          <w:tcPr>
            <w:tcW w:w="1407" w:type="pct"/>
            <w:gridSpan w:val="16"/>
            <w:shd w:val="clear" w:color="000000" w:fill="DAF2F6"/>
            <w:vAlign w:val="center"/>
            <w:hideMark/>
          </w:tcPr>
          <w:p w14:paraId="3E86AFBA"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Prelazna vrijednost – 2023.g</w:t>
            </w:r>
          </w:p>
        </w:tc>
        <w:tc>
          <w:tcPr>
            <w:tcW w:w="1324" w:type="pct"/>
            <w:gridSpan w:val="2"/>
            <w:shd w:val="clear" w:color="000000" w:fill="DAF2F6"/>
            <w:vAlign w:val="center"/>
            <w:hideMark/>
          </w:tcPr>
          <w:p w14:paraId="501041B2"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Ciljna vrijednost - 2024.g</w:t>
            </w:r>
          </w:p>
        </w:tc>
      </w:tr>
      <w:tr w:rsidR="00383886" w:rsidRPr="00383886" w14:paraId="22A67743" w14:textId="77777777" w:rsidTr="002756A4">
        <w:trPr>
          <w:trHeight w:val="457"/>
        </w:trPr>
        <w:tc>
          <w:tcPr>
            <w:tcW w:w="755" w:type="pct"/>
            <w:vMerge w:val="restart"/>
            <w:shd w:val="clear" w:color="000000" w:fill="DAF2F6"/>
            <w:vAlign w:val="center"/>
            <w:hideMark/>
          </w:tcPr>
          <w:p w14:paraId="310BE9F4" w14:textId="77777777" w:rsidR="00383886" w:rsidRPr="00383886" w:rsidRDefault="00383886" w:rsidP="00FD6B98">
            <w:pPr>
              <w:spacing w:after="0" w:line="240" w:lineRule="auto"/>
              <w:rPr>
                <w:rFonts w:ascii="Arial Narrow" w:eastAsia="Times New Roman" w:hAnsi="Arial Narrow" w:cs="Arial"/>
                <w:color w:val="0563C1"/>
                <w:sz w:val="20"/>
                <w:szCs w:val="20"/>
              </w:rPr>
            </w:pPr>
            <w:r w:rsidRPr="00383886">
              <w:rPr>
                <w:rFonts w:ascii="Arial Narrow" w:eastAsia="Times New Roman" w:hAnsi="Arial Narrow" w:cs="Arial"/>
                <w:sz w:val="20"/>
                <w:szCs w:val="20"/>
              </w:rPr>
              <w:t>Broj hotelskih kompleksa sa LPR</w:t>
            </w:r>
            <w:r w:rsidRPr="00383886">
              <w:rPr>
                <w:rStyle w:val="FootnoteReference"/>
                <w:rFonts w:ascii="Arial Narrow" w:eastAsia="Times New Roman" w:hAnsi="Arial Narrow" w:cs="Arial"/>
                <w:sz w:val="20"/>
                <w:szCs w:val="20"/>
              </w:rPr>
              <w:footnoteReference w:id="13"/>
            </w:r>
            <w:r w:rsidRPr="00383886">
              <w:rPr>
                <w:rFonts w:ascii="Arial Narrow" w:eastAsia="Times New Roman" w:hAnsi="Arial Narrow" w:cs="Arial"/>
                <w:sz w:val="20"/>
                <w:szCs w:val="20"/>
              </w:rPr>
              <w:t xml:space="preserve"> , ukupno</w:t>
            </w:r>
          </w:p>
        </w:tc>
        <w:tc>
          <w:tcPr>
            <w:tcW w:w="1077" w:type="pct"/>
            <w:gridSpan w:val="12"/>
            <w:vMerge w:val="restart"/>
            <w:shd w:val="clear" w:color="000000" w:fill="DAF2F6"/>
            <w:vAlign w:val="center"/>
            <w:hideMark/>
          </w:tcPr>
          <w:p w14:paraId="311AF4A8"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0</w:t>
            </w:r>
          </w:p>
          <w:p w14:paraId="7228A1A7"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(izvor podataka MER)</w:t>
            </w:r>
          </w:p>
        </w:tc>
        <w:tc>
          <w:tcPr>
            <w:tcW w:w="437" w:type="pct"/>
            <w:gridSpan w:val="5"/>
            <w:vMerge w:val="restart"/>
            <w:shd w:val="clear" w:color="000000" w:fill="DAF2F6"/>
            <w:vAlign w:val="center"/>
            <w:hideMark/>
          </w:tcPr>
          <w:p w14:paraId="1BCE6E98"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4</w:t>
            </w:r>
          </w:p>
        </w:tc>
        <w:tc>
          <w:tcPr>
            <w:tcW w:w="1407" w:type="pct"/>
            <w:gridSpan w:val="16"/>
            <w:vMerge w:val="restart"/>
            <w:shd w:val="clear" w:color="000000" w:fill="DAF2F6"/>
            <w:vAlign w:val="center"/>
            <w:hideMark/>
          </w:tcPr>
          <w:p w14:paraId="5975787C"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8</w:t>
            </w:r>
          </w:p>
        </w:tc>
        <w:tc>
          <w:tcPr>
            <w:tcW w:w="1324" w:type="pct"/>
            <w:gridSpan w:val="2"/>
            <w:vMerge w:val="restart"/>
            <w:shd w:val="clear" w:color="000000" w:fill="DAF2F6"/>
            <w:vAlign w:val="center"/>
            <w:hideMark/>
          </w:tcPr>
          <w:p w14:paraId="0A9C20E4"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13</w:t>
            </w:r>
          </w:p>
        </w:tc>
      </w:tr>
      <w:tr w:rsidR="00383886" w:rsidRPr="00383886" w14:paraId="699C2F57" w14:textId="77777777" w:rsidTr="002756A4">
        <w:trPr>
          <w:trHeight w:val="457"/>
        </w:trPr>
        <w:tc>
          <w:tcPr>
            <w:tcW w:w="755" w:type="pct"/>
            <w:vMerge/>
            <w:vAlign w:val="center"/>
            <w:hideMark/>
          </w:tcPr>
          <w:p w14:paraId="673A142A" w14:textId="77777777" w:rsidR="00383886" w:rsidRPr="00383886" w:rsidRDefault="00383886" w:rsidP="00FD6B98">
            <w:pPr>
              <w:spacing w:after="0" w:line="240" w:lineRule="auto"/>
              <w:rPr>
                <w:rFonts w:ascii="Arial Narrow" w:eastAsia="Times New Roman" w:hAnsi="Arial Narrow" w:cs="Arial"/>
                <w:color w:val="0563C1"/>
                <w:sz w:val="20"/>
                <w:szCs w:val="20"/>
                <w:u w:val="single"/>
              </w:rPr>
            </w:pPr>
          </w:p>
        </w:tc>
        <w:tc>
          <w:tcPr>
            <w:tcW w:w="1077" w:type="pct"/>
            <w:gridSpan w:val="12"/>
            <w:vMerge/>
            <w:vAlign w:val="center"/>
            <w:hideMark/>
          </w:tcPr>
          <w:p w14:paraId="3A246C65"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p>
        </w:tc>
        <w:tc>
          <w:tcPr>
            <w:tcW w:w="437" w:type="pct"/>
            <w:gridSpan w:val="5"/>
            <w:vMerge/>
            <w:vAlign w:val="center"/>
            <w:hideMark/>
          </w:tcPr>
          <w:p w14:paraId="225F3011"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p>
        </w:tc>
        <w:tc>
          <w:tcPr>
            <w:tcW w:w="1407" w:type="pct"/>
            <w:gridSpan w:val="16"/>
            <w:vMerge/>
            <w:vAlign w:val="center"/>
            <w:hideMark/>
          </w:tcPr>
          <w:p w14:paraId="38C3B9B1"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p>
        </w:tc>
        <w:tc>
          <w:tcPr>
            <w:tcW w:w="1324" w:type="pct"/>
            <w:gridSpan w:val="2"/>
            <w:vMerge/>
            <w:vAlign w:val="center"/>
            <w:hideMark/>
          </w:tcPr>
          <w:p w14:paraId="47B79A03"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p>
        </w:tc>
      </w:tr>
      <w:tr w:rsidR="00383886" w:rsidRPr="00383886" w14:paraId="537608AA" w14:textId="77777777" w:rsidTr="002756A4">
        <w:trPr>
          <w:trHeight w:val="610"/>
        </w:trPr>
        <w:tc>
          <w:tcPr>
            <w:tcW w:w="755" w:type="pct"/>
            <w:shd w:val="clear" w:color="000000" w:fill="DAF2F6"/>
            <w:vAlign w:val="center"/>
            <w:hideMark/>
          </w:tcPr>
          <w:p w14:paraId="27D11D09"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Investicije iz privatnog sektora u oblasti turizma</w:t>
            </w:r>
          </w:p>
        </w:tc>
        <w:tc>
          <w:tcPr>
            <w:tcW w:w="1077" w:type="pct"/>
            <w:gridSpan w:val="12"/>
            <w:shd w:val="clear" w:color="000000" w:fill="DAF2F6"/>
            <w:vAlign w:val="center"/>
            <w:hideMark/>
          </w:tcPr>
          <w:p w14:paraId="1C53A27C"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1,86 milijardi eura</w:t>
            </w:r>
          </w:p>
          <w:p w14:paraId="4F8D3C13"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(izvor podataka MER)</w:t>
            </w:r>
          </w:p>
        </w:tc>
        <w:tc>
          <w:tcPr>
            <w:tcW w:w="437" w:type="pct"/>
            <w:gridSpan w:val="5"/>
            <w:shd w:val="clear" w:color="000000" w:fill="DAF2F6"/>
            <w:vAlign w:val="center"/>
            <w:hideMark/>
          </w:tcPr>
          <w:p w14:paraId="78467440"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+5%</w:t>
            </w:r>
          </w:p>
        </w:tc>
        <w:tc>
          <w:tcPr>
            <w:tcW w:w="1407" w:type="pct"/>
            <w:gridSpan w:val="16"/>
            <w:shd w:val="clear" w:color="000000" w:fill="DAF2F6"/>
            <w:vAlign w:val="center"/>
            <w:hideMark/>
          </w:tcPr>
          <w:p w14:paraId="41E6A2CD"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+7%</w:t>
            </w:r>
          </w:p>
        </w:tc>
        <w:tc>
          <w:tcPr>
            <w:tcW w:w="1324" w:type="pct"/>
            <w:gridSpan w:val="2"/>
            <w:shd w:val="clear" w:color="000000" w:fill="DAF2F6"/>
            <w:vAlign w:val="center"/>
            <w:hideMark/>
          </w:tcPr>
          <w:p w14:paraId="48006D83"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+7%</w:t>
            </w:r>
          </w:p>
        </w:tc>
      </w:tr>
      <w:tr w:rsidR="00383886" w:rsidRPr="00383886" w14:paraId="6F50BF80" w14:textId="77777777" w:rsidTr="002756A4">
        <w:trPr>
          <w:trHeight w:val="808"/>
        </w:trPr>
        <w:tc>
          <w:tcPr>
            <w:tcW w:w="755" w:type="pct"/>
            <w:shd w:val="clear" w:color="000000" w:fill="DAF2F6"/>
            <w:vAlign w:val="center"/>
            <w:hideMark/>
          </w:tcPr>
          <w:p w14:paraId="723745EF"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Broj otvorenih turističkih objekata od kapitalnog značaja</w:t>
            </w:r>
          </w:p>
        </w:tc>
        <w:tc>
          <w:tcPr>
            <w:tcW w:w="1077" w:type="pct"/>
            <w:gridSpan w:val="12"/>
            <w:shd w:val="clear" w:color="000000" w:fill="DAF2F6"/>
            <w:vAlign w:val="center"/>
            <w:hideMark/>
          </w:tcPr>
          <w:p w14:paraId="4D82DC68"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w:t>
            </w:r>
          </w:p>
          <w:p w14:paraId="304E61EA"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(izvor podataka MER)</w:t>
            </w:r>
          </w:p>
        </w:tc>
        <w:tc>
          <w:tcPr>
            <w:tcW w:w="437" w:type="pct"/>
            <w:gridSpan w:val="5"/>
            <w:shd w:val="clear" w:color="000000" w:fill="DAF2F6"/>
            <w:vAlign w:val="center"/>
            <w:hideMark/>
          </w:tcPr>
          <w:p w14:paraId="4A0F2992"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Nastavak gradnje</w:t>
            </w:r>
            <w:r w:rsidRPr="00383886">
              <w:rPr>
                <w:rStyle w:val="FootnoteReference"/>
                <w:rFonts w:ascii="Arial Narrow" w:eastAsia="Times New Roman" w:hAnsi="Arial Narrow" w:cs="Arial"/>
                <w:color w:val="000000"/>
                <w:sz w:val="20"/>
                <w:szCs w:val="20"/>
              </w:rPr>
              <w:footnoteReference w:id="14"/>
            </w:r>
            <w:r w:rsidRPr="00383886">
              <w:rPr>
                <w:rFonts w:ascii="Arial Narrow" w:eastAsia="Times New Roman" w:hAnsi="Arial Narrow" w:cs="Arial"/>
                <w:color w:val="000000"/>
                <w:sz w:val="20"/>
                <w:szCs w:val="20"/>
              </w:rPr>
              <w:t>.</w:t>
            </w:r>
          </w:p>
        </w:tc>
        <w:tc>
          <w:tcPr>
            <w:tcW w:w="1407" w:type="pct"/>
            <w:gridSpan w:val="16"/>
            <w:shd w:val="clear" w:color="000000" w:fill="DAF2F6"/>
            <w:vAlign w:val="center"/>
            <w:hideMark/>
          </w:tcPr>
          <w:p w14:paraId="42BA9E88" w14:textId="77777777" w:rsidR="00383886" w:rsidRPr="00383886" w:rsidRDefault="00383886" w:rsidP="00591FB8">
            <w:pPr>
              <w:spacing w:after="0" w:line="240" w:lineRule="auto"/>
              <w:jc w:val="center"/>
              <w:rPr>
                <w:rFonts w:ascii="Arial Narrow" w:eastAsia="Times New Roman" w:hAnsi="Arial Narrow" w:cs="Arial"/>
                <w:color w:val="0563C1"/>
                <w:sz w:val="20"/>
                <w:szCs w:val="20"/>
              </w:rPr>
            </w:pPr>
            <w:bookmarkStart w:id="24" w:name="RANGE!G8"/>
            <w:r w:rsidRPr="00383886">
              <w:rPr>
                <w:rFonts w:ascii="Arial Narrow" w:eastAsia="Times New Roman" w:hAnsi="Arial Narrow" w:cs="Arial"/>
                <w:sz w:val="20"/>
                <w:szCs w:val="20"/>
              </w:rPr>
              <w:t>4</w:t>
            </w:r>
            <w:r w:rsidRPr="00383886">
              <w:rPr>
                <w:rStyle w:val="FootnoteReference"/>
                <w:rFonts w:ascii="Arial Narrow" w:eastAsia="Times New Roman" w:hAnsi="Arial Narrow" w:cs="Arial"/>
                <w:sz w:val="20"/>
                <w:szCs w:val="20"/>
              </w:rPr>
              <w:footnoteReference w:id="15"/>
            </w:r>
            <w:bookmarkEnd w:id="24"/>
          </w:p>
        </w:tc>
        <w:tc>
          <w:tcPr>
            <w:tcW w:w="1324" w:type="pct"/>
            <w:gridSpan w:val="2"/>
            <w:shd w:val="clear" w:color="000000" w:fill="DAF2F6"/>
            <w:vAlign w:val="center"/>
            <w:hideMark/>
          </w:tcPr>
          <w:p w14:paraId="0C608EBE" w14:textId="77777777" w:rsidR="00383886" w:rsidRPr="00383886" w:rsidRDefault="00383886" w:rsidP="00591FB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2</w:t>
            </w:r>
          </w:p>
        </w:tc>
      </w:tr>
      <w:bookmarkEnd w:id="23"/>
      <w:tr w:rsidR="00383886" w:rsidRPr="00383886" w14:paraId="5A16AF52" w14:textId="77777777" w:rsidTr="002756A4">
        <w:trPr>
          <w:trHeight w:val="1153"/>
        </w:trPr>
        <w:tc>
          <w:tcPr>
            <w:tcW w:w="757" w:type="pct"/>
            <w:gridSpan w:val="2"/>
            <w:shd w:val="clear" w:color="000000" w:fill="FFF2CC"/>
            <w:vAlign w:val="center"/>
            <w:hideMark/>
          </w:tcPr>
          <w:p w14:paraId="07CF7F59"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Aktivnosti</w:t>
            </w:r>
          </w:p>
        </w:tc>
        <w:tc>
          <w:tcPr>
            <w:tcW w:w="552" w:type="pct"/>
            <w:gridSpan w:val="5"/>
            <w:shd w:val="clear" w:color="000000" w:fill="FFF2CC"/>
            <w:vAlign w:val="center"/>
            <w:hideMark/>
          </w:tcPr>
          <w:p w14:paraId="3E5537E6"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Indikator rezultata</w:t>
            </w:r>
          </w:p>
        </w:tc>
        <w:tc>
          <w:tcPr>
            <w:tcW w:w="523" w:type="pct"/>
            <w:gridSpan w:val="6"/>
            <w:shd w:val="clear" w:color="000000" w:fill="FFF2CC"/>
            <w:vAlign w:val="center"/>
            <w:hideMark/>
          </w:tcPr>
          <w:p w14:paraId="664E3FBB"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Nadležne institucije i nadležna komisija</w:t>
            </w:r>
          </w:p>
        </w:tc>
        <w:tc>
          <w:tcPr>
            <w:tcW w:w="437" w:type="pct"/>
            <w:gridSpan w:val="5"/>
            <w:shd w:val="clear" w:color="000000" w:fill="FFF2CC"/>
            <w:vAlign w:val="center"/>
            <w:hideMark/>
          </w:tcPr>
          <w:p w14:paraId="62EFC638"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Planirani početak i završetak aktivnosti</w:t>
            </w:r>
          </w:p>
        </w:tc>
        <w:tc>
          <w:tcPr>
            <w:tcW w:w="743" w:type="pct"/>
            <w:gridSpan w:val="10"/>
            <w:shd w:val="clear" w:color="000000" w:fill="FFF2CC"/>
            <w:vAlign w:val="center"/>
            <w:hideMark/>
          </w:tcPr>
          <w:p w14:paraId="239431A8"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Sredstva za realizaciju  i informacija o izradi RIA</w:t>
            </w:r>
          </w:p>
        </w:tc>
        <w:tc>
          <w:tcPr>
            <w:tcW w:w="664" w:type="pct"/>
            <w:gridSpan w:val="6"/>
            <w:shd w:val="clear" w:color="000000" w:fill="FFF2CC"/>
            <w:vAlign w:val="center"/>
            <w:hideMark/>
          </w:tcPr>
          <w:p w14:paraId="0741AF4F"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 xml:space="preserve"> Izvor finansiranja</w:t>
            </w:r>
          </w:p>
        </w:tc>
        <w:tc>
          <w:tcPr>
            <w:tcW w:w="1324" w:type="pct"/>
            <w:gridSpan w:val="2"/>
            <w:shd w:val="clear" w:color="000000" w:fill="FFF2CC"/>
            <w:vAlign w:val="center"/>
            <w:hideMark/>
          </w:tcPr>
          <w:p w14:paraId="7DEF22CB"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Obrazloženje</w:t>
            </w:r>
          </w:p>
        </w:tc>
      </w:tr>
      <w:tr w:rsidR="00383886" w:rsidRPr="00383886" w14:paraId="213D76F1" w14:textId="77777777" w:rsidTr="002756A4">
        <w:trPr>
          <w:trHeight w:val="2683"/>
        </w:trPr>
        <w:tc>
          <w:tcPr>
            <w:tcW w:w="757" w:type="pct"/>
            <w:gridSpan w:val="2"/>
            <w:shd w:val="clear" w:color="auto" w:fill="auto"/>
            <w:vAlign w:val="center"/>
            <w:hideMark/>
          </w:tcPr>
          <w:p w14:paraId="3350B415"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1. Priprema polugodišnjih informacija o realizaciji „Posebnog programa ulaganja od posebnog značaja za privredni i ekonomski interes Crne Gore“, nakon završetka programa 31. decembra 2021. godine</w:t>
            </w:r>
          </w:p>
        </w:tc>
        <w:tc>
          <w:tcPr>
            <w:tcW w:w="552" w:type="pct"/>
            <w:gridSpan w:val="5"/>
            <w:shd w:val="clear" w:color="auto" w:fill="auto"/>
            <w:vAlign w:val="center"/>
            <w:hideMark/>
          </w:tcPr>
          <w:p w14:paraId="3A19548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Utvrditi informacije o realizaciji </w:t>
            </w:r>
          </w:p>
          <w:p w14:paraId="78CDBE00"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„Posebnog programa ulaganja od posebnog značaja za privredni i ekonomski interes Crne Gore“, nakon završetka programa 31. decembra 2021. godine</w:t>
            </w:r>
          </w:p>
        </w:tc>
        <w:tc>
          <w:tcPr>
            <w:tcW w:w="523" w:type="pct"/>
            <w:gridSpan w:val="6"/>
            <w:shd w:val="clear" w:color="auto" w:fill="auto"/>
            <w:vAlign w:val="center"/>
            <w:hideMark/>
          </w:tcPr>
          <w:p w14:paraId="07FEEDD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p w14:paraId="59F794BE"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437" w:type="pct"/>
            <w:gridSpan w:val="5"/>
            <w:shd w:val="clear" w:color="auto" w:fill="auto"/>
            <w:vAlign w:val="center"/>
            <w:hideMark/>
          </w:tcPr>
          <w:p w14:paraId="0A1220F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 - III Q 2022.</w:t>
            </w:r>
          </w:p>
        </w:tc>
        <w:tc>
          <w:tcPr>
            <w:tcW w:w="743" w:type="pct"/>
            <w:gridSpan w:val="10"/>
            <w:shd w:val="clear" w:color="auto" w:fill="auto"/>
            <w:vAlign w:val="center"/>
            <w:hideMark/>
          </w:tcPr>
          <w:p w14:paraId="7487FC7F"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w:t>
            </w:r>
          </w:p>
        </w:tc>
        <w:tc>
          <w:tcPr>
            <w:tcW w:w="664" w:type="pct"/>
            <w:gridSpan w:val="6"/>
            <w:shd w:val="clear" w:color="auto" w:fill="auto"/>
            <w:vAlign w:val="center"/>
            <w:hideMark/>
          </w:tcPr>
          <w:p w14:paraId="1FEE80A3"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Redovni troškovi koji se planiraju Budžetom</w:t>
            </w:r>
          </w:p>
        </w:tc>
        <w:tc>
          <w:tcPr>
            <w:tcW w:w="1324" w:type="pct"/>
            <w:gridSpan w:val="2"/>
            <w:shd w:val="clear" w:color="auto" w:fill="auto"/>
            <w:vAlign w:val="center"/>
            <w:hideMark/>
          </w:tcPr>
          <w:p w14:paraId="1BC9A14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Informacijom se Vlada Crne Gore izvještava o svim aktivnostima koje, u konačnom, treba da dovedu do uspješne realizacije investicionih projekata koje su dio ovog programa</w:t>
            </w:r>
          </w:p>
        </w:tc>
      </w:tr>
      <w:tr w:rsidR="00383886" w:rsidRPr="00383886" w14:paraId="4F90FE7C" w14:textId="77777777" w:rsidTr="002756A4">
        <w:trPr>
          <w:trHeight w:val="600"/>
        </w:trPr>
        <w:tc>
          <w:tcPr>
            <w:tcW w:w="757" w:type="pct"/>
            <w:gridSpan w:val="2"/>
            <w:vMerge w:val="restart"/>
            <w:shd w:val="clear" w:color="auto" w:fill="auto"/>
            <w:vAlign w:val="center"/>
            <w:hideMark/>
          </w:tcPr>
          <w:p w14:paraId="4E08B3F9"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2.Priprema polugodišnjih informacija o aktivnostima na realizaciji prioritetnih projekata iz oblasti turizma</w:t>
            </w:r>
          </w:p>
        </w:tc>
        <w:tc>
          <w:tcPr>
            <w:tcW w:w="552" w:type="pct"/>
            <w:gridSpan w:val="5"/>
            <w:vMerge w:val="restart"/>
            <w:shd w:val="clear" w:color="auto" w:fill="auto"/>
            <w:vAlign w:val="center"/>
            <w:hideMark/>
          </w:tcPr>
          <w:p w14:paraId="3EED28AE"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Visina investicionih ulaganja u sektoru turizma i ostali finansijski pokazatelji i informacija o broju zaposlenih</w:t>
            </w:r>
          </w:p>
        </w:tc>
        <w:tc>
          <w:tcPr>
            <w:tcW w:w="523" w:type="pct"/>
            <w:gridSpan w:val="6"/>
            <w:vMerge w:val="restart"/>
            <w:shd w:val="clear" w:color="auto" w:fill="auto"/>
            <w:vAlign w:val="center"/>
            <w:hideMark/>
          </w:tcPr>
          <w:p w14:paraId="2B3E712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p w14:paraId="1587CC1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437" w:type="pct"/>
            <w:gridSpan w:val="5"/>
            <w:vMerge w:val="restart"/>
            <w:shd w:val="clear" w:color="auto" w:fill="auto"/>
            <w:vAlign w:val="center"/>
            <w:hideMark/>
          </w:tcPr>
          <w:p w14:paraId="15AE8AC5"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 - III Q 2022.</w:t>
            </w:r>
          </w:p>
        </w:tc>
        <w:tc>
          <w:tcPr>
            <w:tcW w:w="743" w:type="pct"/>
            <w:gridSpan w:val="10"/>
            <w:vMerge w:val="restart"/>
            <w:shd w:val="clear" w:color="auto" w:fill="auto"/>
            <w:vAlign w:val="center"/>
            <w:hideMark/>
          </w:tcPr>
          <w:p w14:paraId="640E624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               /</w:t>
            </w:r>
          </w:p>
        </w:tc>
        <w:tc>
          <w:tcPr>
            <w:tcW w:w="664" w:type="pct"/>
            <w:gridSpan w:val="6"/>
            <w:vMerge w:val="restart"/>
            <w:shd w:val="clear" w:color="auto" w:fill="auto"/>
            <w:vAlign w:val="center"/>
            <w:hideMark/>
          </w:tcPr>
          <w:p w14:paraId="16DE5A20"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Redovni troškovi koji se planiraju Budžetom</w:t>
            </w:r>
          </w:p>
        </w:tc>
        <w:tc>
          <w:tcPr>
            <w:tcW w:w="1324" w:type="pct"/>
            <w:gridSpan w:val="2"/>
            <w:vMerge w:val="restart"/>
            <w:shd w:val="clear" w:color="auto" w:fill="auto"/>
            <w:vAlign w:val="center"/>
            <w:hideMark/>
          </w:tcPr>
          <w:p w14:paraId="6B3446E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Informacijom se daje pregled aktivnosti na realizaciji prioritetnih projekata u oblasti turizma, sa trenutnim statusom i fazama realizacije, kao i predlozi za uspješnu realizaciju ugovornih obaveza iz prethodno utvrđenih prioritetnih projekata.</w:t>
            </w:r>
          </w:p>
        </w:tc>
      </w:tr>
      <w:tr w:rsidR="00383886" w:rsidRPr="00383886" w14:paraId="4B48D9A3" w14:textId="77777777" w:rsidTr="002756A4">
        <w:trPr>
          <w:trHeight w:val="600"/>
        </w:trPr>
        <w:tc>
          <w:tcPr>
            <w:tcW w:w="757" w:type="pct"/>
            <w:gridSpan w:val="2"/>
            <w:vMerge/>
            <w:vAlign w:val="center"/>
            <w:hideMark/>
          </w:tcPr>
          <w:p w14:paraId="087FAA8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52" w:type="pct"/>
            <w:gridSpan w:val="5"/>
            <w:vMerge/>
            <w:vAlign w:val="center"/>
            <w:hideMark/>
          </w:tcPr>
          <w:p w14:paraId="24BE8BFC"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23" w:type="pct"/>
            <w:gridSpan w:val="6"/>
            <w:vMerge/>
            <w:shd w:val="clear" w:color="auto" w:fill="auto"/>
            <w:vAlign w:val="center"/>
            <w:hideMark/>
          </w:tcPr>
          <w:p w14:paraId="3D0D1531"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437" w:type="pct"/>
            <w:gridSpan w:val="5"/>
            <w:vMerge/>
            <w:vAlign w:val="center"/>
            <w:hideMark/>
          </w:tcPr>
          <w:p w14:paraId="39F2E00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43" w:type="pct"/>
            <w:gridSpan w:val="10"/>
            <w:vMerge/>
            <w:vAlign w:val="center"/>
            <w:hideMark/>
          </w:tcPr>
          <w:p w14:paraId="358A381A"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64" w:type="pct"/>
            <w:gridSpan w:val="6"/>
            <w:vMerge/>
            <w:vAlign w:val="center"/>
            <w:hideMark/>
          </w:tcPr>
          <w:p w14:paraId="12970E12"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324" w:type="pct"/>
            <w:gridSpan w:val="2"/>
            <w:vMerge/>
            <w:vAlign w:val="center"/>
            <w:hideMark/>
          </w:tcPr>
          <w:p w14:paraId="48038D19"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7A92F801" w14:textId="77777777" w:rsidTr="002756A4">
        <w:trPr>
          <w:trHeight w:val="3468"/>
        </w:trPr>
        <w:tc>
          <w:tcPr>
            <w:tcW w:w="757" w:type="pct"/>
            <w:gridSpan w:val="2"/>
            <w:vMerge w:val="restart"/>
            <w:shd w:val="clear" w:color="auto" w:fill="auto"/>
            <w:vAlign w:val="center"/>
            <w:hideMark/>
          </w:tcPr>
          <w:p w14:paraId="44D22F16"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3.Priprema polugodišnjih informacija o aktivnostima na realizaciji  projekata na unapređenju turističke</w:t>
            </w:r>
          </w:p>
          <w:p w14:paraId="4E6535E9"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 infrastrukture</w:t>
            </w:r>
          </w:p>
        </w:tc>
        <w:tc>
          <w:tcPr>
            <w:tcW w:w="552" w:type="pct"/>
            <w:gridSpan w:val="5"/>
            <w:vMerge w:val="restart"/>
            <w:shd w:val="clear" w:color="auto" w:fill="auto"/>
            <w:vAlign w:val="center"/>
            <w:hideMark/>
          </w:tcPr>
          <w:p w14:paraId="1BD1FA19"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Iznos opredijeljenih sredstava za finansiranje obnove postojećih i stvaranje infrastrukture na novim lokacijama namijenjenim za skijališta</w:t>
            </w:r>
          </w:p>
        </w:tc>
        <w:tc>
          <w:tcPr>
            <w:tcW w:w="523" w:type="pct"/>
            <w:gridSpan w:val="6"/>
            <w:vMerge w:val="restart"/>
            <w:shd w:val="clear" w:color="auto" w:fill="auto"/>
            <w:vAlign w:val="center"/>
            <w:hideMark/>
          </w:tcPr>
          <w:p w14:paraId="61744B60"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p w14:paraId="457C87D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437" w:type="pct"/>
            <w:gridSpan w:val="5"/>
            <w:vMerge w:val="restart"/>
            <w:shd w:val="clear" w:color="auto" w:fill="auto"/>
            <w:vAlign w:val="center"/>
            <w:hideMark/>
          </w:tcPr>
          <w:p w14:paraId="55749833"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 - III Q 2022.</w:t>
            </w:r>
          </w:p>
        </w:tc>
        <w:tc>
          <w:tcPr>
            <w:tcW w:w="743" w:type="pct"/>
            <w:gridSpan w:val="10"/>
            <w:vMerge w:val="restart"/>
            <w:shd w:val="clear" w:color="auto" w:fill="auto"/>
            <w:vAlign w:val="center"/>
            <w:hideMark/>
          </w:tcPr>
          <w:p w14:paraId="74FFCCD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w:t>
            </w:r>
          </w:p>
        </w:tc>
        <w:tc>
          <w:tcPr>
            <w:tcW w:w="664" w:type="pct"/>
            <w:gridSpan w:val="6"/>
            <w:vMerge w:val="restart"/>
            <w:shd w:val="clear" w:color="auto" w:fill="auto"/>
            <w:vAlign w:val="center"/>
            <w:hideMark/>
          </w:tcPr>
          <w:p w14:paraId="14625F0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Redovni troškovi koji se planiraju Budžetom</w:t>
            </w:r>
          </w:p>
        </w:tc>
        <w:tc>
          <w:tcPr>
            <w:tcW w:w="1324" w:type="pct"/>
            <w:gridSpan w:val="2"/>
            <w:vMerge w:val="restart"/>
            <w:shd w:val="clear" w:color="auto" w:fill="auto"/>
            <w:vAlign w:val="center"/>
            <w:hideMark/>
          </w:tcPr>
          <w:p w14:paraId="1CE43A0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Informacijom se daje pregled aktivnosti na realizaciji prethodno utvrđenih razvojnih projekata na unapređenju turističke infrastrukture, u prvom redu skijališta (Ski centar Kolašin 1600; Ski centar Žarski; Ski centar Cmiljača; Ski centar Savin kuk; Ski centar Hajla i Štedim), ali i prirodnih atrakcija poput Đalovića klisure i pećine, sa trenutnim statusom i fazama realizacije na polugodišnjem nivou. </w:t>
            </w:r>
          </w:p>
        </w:tc>
      </w:tr>
      <w:tr w:rsidR="00383886" w:rsidRPr="00383886" w14:paraId="07C84723" w14:textId="77777777" w:rsidTr="002756A4">
        <w:trPr>
          <w:trHeight w:val="457"/>
        </w:trPr>
        <w:tc>
          <w:tcPr>
            <w:tcW w:w="757" w:type="pct"/>
            <w:gridSpan w:val="2"/>
            <w:vMerge/>
            <w:shd w:val="clear" w:color="auto" w:fill="auto"/>
            <w:vAlign w:val="center"/>
            <w:hideMark/>
          </w:tcPr>
          <w:p w14:paraId="734139E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552" w:type="pct"/>
            <w:gridSpan w:val="5"/>
            <w:vMerge/>
            <w:vAlign w:val="center"/>
            <w:hideMark/>
          </w:tcPr>
          <w:p w14:paraId="2857DA71"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23" w:type="pct"/>
            <w:gridSpan w:val="6"/>
            <w:vMerge/>
            <w:shd w:val="clear" w:color="auto" w:fill="auto"/>
            <w:vAlign w:val="center"/>
            <w:hideMark/>
          </w:tcPr>
          <w:p w14:paraId="4D63F472"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437" w:type="pct"/>
            <w:gridSpan w:val="5"/>
            <w:vMerge/>
            <w:vAlign w:val="center"/>
            <w:hideMark/>
          </w:tcPr>
          <w:p w14:paraId="0EA599A0"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43" w:type="pct"/>
            <w:gridSpan w:val="10"/>
            <w:vMerge/>
            <w:vAlign w:val="center"/>
            <w:hideMark/>
          </w:tcPr>
          <w:p w14:paraId="02034B4C"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64" w:type="pct"/>
            <w:gridSpan w:val="6"/>
            <w:vMerge/>
            <w:vAlign w:val="center"/>
            <w:hideMark/>
          </w:tcPr>
          <w:p w14:paraId="536C509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324" w:type="pct"/>
            <w:gridSpan w:val="2"/>
            <w:vMerge/>
            <w:vAlign w:val="center"/>
            <w:hideMark/>
          </w:tcPr>
          <w:p w14:paraId="7D5D851B"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13828253" w14:textId="77777777" w:rsidTr="002756A4">
        <w:trPr>
          <w:trHeight w:val="612"/>
        </w:trPr>
        <w:tc>
          <w:tcPr>
            <w:tcW w:w="757" w:type="pct"/>
            <w:gridSpan w:val="2"/>
            <w:vMerge w:val="restart"/>
            <w:shd w:val="clear" w:color="auto" w:fill="auto"/>
            <w:vAlign w:val="center"/>
            <w:hideMark/>
          </w:tcPr>
          <w:p w14:paraId="295DB39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4. Priprema polugodišnjih informacija o aktivnostima </w:t>
            </w:r>
            <w:r w:rsidRPr="00383886">
              <w:rPr>
                <w:rFonts w:ascii="Arial Narrow" w:eastAsia="Times New Roman" w:hAnsi="Arial Narrow" w:cs="Arial"/>
                <w:color w:val="000000"/>
                <w:sz w:val="20"/>
                <w:szCs w:val="20"/>
              </w:rPr>
              <w:lastRenderedPageBreak/>
              <w:t>na valorizaciji turističkih lokaliteta koji su u prethodnom periodu bili predmet privatizacije</w:t>
            </w:r>
          </w:p>
        </w:tc>
        <w:tc>
          <w:tcPr>
            <w:tcW w:w="552" w:type="pct"/>
            <w:gridSpan w:val="5"/>
            <w:vMerge w:val="restart"/>
            <w:shd w:val="clear" w:color="auto" w:fill="auto"/>
            <w:vAlign w:val="center"/>
            <w:hideMark/>
          </w:tcPr>
          <w:p w14:paraId="0ABFE30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 xml:space="preserve">Visina investicionih ulaganja u sektoru </w:t>
            </w:r>
            <w:r w:rsidRPr="00383886">
              <w:rPr>
                <w:rFonts w:ascii="Arial Narrow" w:eastAsia="Times New Roman" w:hAnsi="Arial Narrow" w:cs="Arial"/>
                <w:color w:val="000000"/>
                <w:sz w:val="20"/>
                <w:szCs w:val="20"/>
              </w:rPr>
              <w:lastRenderedPageBreak/>
              <w:t>turizma i ostali finansijski pokazatelji i informacija o broju zaposlenih</w:t>
            </w:r>
          </w:p>
        </w:tc>
        <w:tc>
          <w:tcPr>
            <w:tcW w:w="523" w:type="pct"/>
            <w:gridSpan w:val="6"/>
            <w:vMerge w:val="restart"/>
            <w:shd w:val="clear" w:color="auto" w:fill="auto"/>
            <w:vAlign w:val="center"/>
            <w:hideMark/>
          </w:tcPr>
          <w:p w14:paraId="7E755357"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NI: MER</w:t>
            </w:r>
          </w:p>
          <w:p w14:paraId="760B1B9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437" w:type="pct"/>
            <w:gridSpan w:val="5"/>
            <w:vMerge w:val="restart"/>
            <w:shd w:val="clear" w:color="auto" w:fill="auto"/>
            <w:vAlign w:val="center"/>
            <w:hideMark/>
          </w:tcPr>
          <w:p w14:paraId="232ECB79"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 - III Q 2022.</w:t>
            </w:r>
          </w:p>
        </w:tc>
        <w:tc>
          <w:tcPr>
            <w:tcW w:w="743" w:type="pct"/>
            <w:gridSpan w:val="10"/>
            <w:vMerge w:val="restart"/>
            <w:shd w:val="clear" w:color="auto" w:fill="auto"/>
            <w:vAlign w:val="center"/>
            <w:hideMark/>
          </w:tcPr>
          <w:p w14:paraId="5540A36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w:t>
            </w:r>
          </w:p>
        </w:tc>
        <w:tc>
          <w:tcPr>
            <w:tcW w:w="664" w:type="pct"/>
            <w:gridSpan w:val="6"/>
            <w:vMerge w:val="restart"/>
            <w:shd w:val="clear" w:color="auto" w:fill="auto"/>
            <w:vAlign w:val="center"/>
            <w:hideMark/>
          </w:tcPr>
          <w:p w14:paraId="2BCA1E22"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Redovni troškovi koji se planiraju Budžetom</w:t>
            </w:r>
          </w:p>
        </w:tc>
        <w:tc>
          <w:tcPr>
            <w:tcW w:w="1324" w:type="pct"/>
            <w:gridSpan w:val="2"/>
            <w:vMerge w:val="restart"/>
            <w:shd w:val="clear" w:color="auto" w:fill="auto"/>
            <w:vAlign w:val="center"/>
            <w:hideMark/>
          </w:tcPr>
          <w:p w14:paraId="03F2C52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Informacijom će se dati pregled aktivnosti na realizaciji pitanja valorizacije turističkih lokaliteta koji </w:t>
            </w:r>
            <w:r w:rsidRPr="00383886">
              <w:rPr>
                <w:rFonts w:ascii="Arial Narrow" w:eastAsia="Times New Roman" w:hAnsi="Arial Narrow" w:cs="Arial"/>
                <w:color w:val="000000"/>
                <w:sz w:val="20"/>
                <w:szCs w:val="20"/>
              </w:rPr>
              <w:lastRenderedPageBreak/>
              <w:t>su u prethodnom periodu bili predmet privatizacije kroz privatizaciju pojedinih hotelsko turističkih preduzeća</w:t>
            </w:r>
          </w:p>
        </w:tc>
      </w:tr>
      <w:tr w:rsidR="00383886" w:rsidRPr="00383886" w14:paraId="0FD51BDA" w14:textId="77777777" w:rsidTr="002756A4">
        <w:trPr>
          <w:trHeight w:val="612"/>
        </w:trPr>
        <w:tc>
          <w:tcPr>
            <w:tcW w:w="757" w:type="pct"/>
            <w:gridSpan w:val="2"/>
            <w:vMerge/>
            <w:vAlign w:val="center"/>
            <w:hideMark/>
          </w:tcPr>
          <w:p w14:paraId="10CE681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52" w:type="pct"/>
            <w:gridSpan w:val="5"/>
            <w:vMerge/>
            <w:vAlign w:val="center"/>
            <w:hideMark/>
          </w:tcPr>
          <w:p w14:paraId="597D290E"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23" w:type="pct"/>
            <w:gridSpan w:val="6"/>
            <w:vMerge/>
            <w:shd w:val="clear" w:color="auto" w:fill="auto"/>
            <w:vAlign w:val="center"/>
            <w:hideMark/>
          </w:tcPr>
          <w:p w14:paraId="319CD5F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437" w:type="pct"/>
            <w:gridSpan w:val="5"/>
            <w:vMerge/>
            <w:vAlign w:val="center"/>
            <w:hideMark/>
          </w:tcPr>
          <w:p w14:paraId="68C9B421"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43" w:type="pct"/>
            <w:gridSpan w:val="10"/>
            <w:vMerge/>
            <w:vAlign w:val="center"/>
            <w:hideMark/>
          </w:tcPr>
          <w:p w14:paraId="1D104DC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64" w:type="pct"/>
            <w:gridSpan w:val="6"/>
            <w:vMerge/>
            <w:vAlign w:val="center"/>
            <w:hideMark/>
          </w:tcPr>
          <w:p w14:paraId="158575F6"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324" w:type="pct"/>
            <w:gridSpan w:val="2"/>
            <w:vMerge/>
            <w:vAlign w:val="center"/>
            <w:hideMark/>
          </w:tcPr>
          <w:p w14:paraId="3C0B1298"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7D889ECC" w14:textId="77777777" w:rsidTr="002756A4">
        <w:trPr>
          <w:trHeight w:val="612"/>
        </w:trPr>
        <w:tc>
          <w:tcPr>
            <w:tcW w:w="757" w:type="pct"/>
            <w:gridSpan w:val="2"/>
            <w:vMerge w:val="restart"/>
            <w:shd w:val="clear" w:color="auto" w:fill="auto"/>
            <w:vAlign w:val="center"/>
            <w:hideMark/>
          </w:tcPr>
          <w:p w14:paraId="7D9A2A5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5.Analiza regulatornog okvira, biznis ambijenta i institucionalne nadležnosti u odnosu na investicije u turizmu i definisanje smjernica i adekvatnih mjera za privlačenje investicija</w:t>
            </w:r>
          </w:p>
        </w:tc>
        <w:tc>
          <w:tcPr>
            <w:tcW w:w="552" w:type="pct"/>
            <w:gridSpan w:val="5"/>
            <w:vMerge w:val="restart"/>
            <w:shd w:val="clear" w:color="auto" w:fill="auto"/>
            <w:vAlign w:val="center"/>
            <w:hideMark/>
          </w:tcPr>
          <w:p w14:paraId="1E5876D9"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Prepoznate lokacije za valorizaciju i privredna društva za privatizaciju</w:t>
            </w:r>
          </w:p>
        </w:tc>
        <w:tc>
          <w:tcPr>
            <w:tcW w:w="523" w:type="pct"/>
            <w:gridSpan w:val="6"/>
            <w:vMerge w:val="restart"/>
            <w:shd w:val="clear" w:color="auto" w:fill="auto"/>
            <w:vAlign w:val="center"/>
            <w:hideMark/>
          </w:tcPr>
          <w:p w14:paraId="42D431E2"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MEK</w:t>
            </w:r>
          </w:p>
          <w:p w14:paraId="618A76C7"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437" w:type="pct"/>
            <w:gridSpan w:val="5"/>
            <w:vMerge w:val="restart"/>
            <w:shd w:val="clear" w:color="auto" w:fill="auto"/>
            <w:vAlign w:val="center"/>
            <w:hideMark/>
          </w:tcPr>
          <w:p w14:paraId="17FB9BA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III Q 2022.</w:t>
            </w:r>
          </w:p>
        </w:tc>
        <w:tc>
          <w:tcPr>
            <w:tcW w:w="743" w:type="pct"/>
            <w:gridSpan w:val="10"/>
            <w:vMerge w:val="restart"/>
            <w:shd w:val="clear" w:color="auto" w:fill="auto"/>
            <w:vAlign w:val="center"/>
            <w:hideMark/>
          </w:tcPr>
          <w:p w14:paraId="2A8FADC3"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w:t>
            </w:r>
          </w:p>
        </w:tc>
        <w:tc>
          <w:tcPr>
            <w:tcW w:w="664" w:type="pct"/>
            <w:gridSpan w:val="6"/>
            <w:vMerge w:val="restart"/>
            <w:shd w:val="clear" w:color="auto" w:fill="auto"/>
            <w:vAlign w:val="center"/>
            <w:hideMark/>
          </w:tcPr>
          <w:p w14:paraId="6509E5F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Redovni troškovi koji se planiraju Budžetom</w:t>
            </w:r>
          </w:p>
        </w:tc>
        <w:tc>
          <w:tcPr>
            <w:tcW w:w="1324" w:type="pct"/>
            <w:gridSpan w:val="2"/>
            <w:vMerge w:val="restart"/>
            <w:shd w:val="clear" w:color="auto" w:fill="auto"/>
            <w:vAlign w:val="center"/>
            <w:hideMark/>
          </w:tcPr>
          <w:p w14:paraId="47C8CDB6"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Informacijom se Vlada Crne Gore upoznaje sa sprovedenom analizom, a sve u cilju kreiranja optimalnog okvira za privlačenje investicija u oblasti turizma.</w:t>
            </w:r>
          </w:p>
        </w:tc>
      </w:tr>
      <w:tr w:rsidR="00383886" w:rsidRPr="00383886" w14:paraId="2EE2F5A5" w14:textId="77777777" w:rsidTr="002756A4">
        <w:trPr>
          <w:trHeight w:val="612"/>
        </w:trPr>
        <w:tc>
          <w:tcPr>
            <w:tcW w:w="757" w:type="pct"/>
            <w:gridSpan w:val="2"/>
            <w:vMerge/>
            <w:vAlign w:val="center"/>
            <w:hideMark/>
          </w:tcPr>
          <w:p w14:paraId="7D40F696"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52" w:type="pct"/>
            <w:gridSpan w:val="5"/>
            <w:vMerge/>
            <w:vAlign w:val="center"/>
            <w:hideMark/>
          </w:tcPr>
          <w:p w14:paraId="4040C9B6"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23" w:type="pct"/>
            <w:gridSpan w:val="6"/>
            <w:vMerge/>
            <w:shd w:val="clear" w:color="auto" w:fill="auto"/>
            <w:vAlign w:val="center"/>
            <w:hideMark/>
          </w:tcPr>
          <w:p w14:paraId="10871047"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437" w:type="pct"/>
            <w:gridSpan w:val="5"/>
            <w:vMerge/>
            <w:vAlign w:val="center"/>
            <w:hideMark/>
          </w:tcPr>
          <w:p w14:paraId="2888405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43" w:type="pct"/>
            <w:gridSpan w:val="10"/>
            <w:vMerge/>
            <w:vAlign w:val="center"/>
            <w:hideMark/>
          </w:tcPr>
          <w:p w14:paraId="0E1A486B"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64" w:type="pct"/>
            <w:gridSpan w:val="6"/>
            <w:vMerge/>
            <w:vAlign w:val="center"/>
            <w:hideMark/>
          </w:tcPr>
          <w:p w14:paraId="2158E46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324" w:type="pct"/>
            <w:gridSpan w:val="2"/>
            <w:vMerge/>
            <w:vAlign w:val="center"/>
            <w:hideMark/>
          </w:tcPr>
          <w:p w14:paraId="6A3FDBD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1A3CFA4F" w14:textId="77777777" w:rsidTr="005D3BC5">
        <w:trPr>
          <w:trHeight w:val="457"/>
        </w:trPr>
        <w:tc>
          <w:tcPr>
            <w:tcW w:w="757" w:type="pct"/>
            <w:gridSpan w:val="2"/>
            <w:vMerge w:val="restart"/>
            <w:shd w:val="clear" w:color="000000" w:fill="D9E2F3"/>
            <w:vAlign w:val="center"/>
            <w:hideMark/>
          </w:tcPr>
          <w:p w14:paraId="53F6898A"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bookmarkStart w:id="25" w:name="_Hlk89629211"/>
            <w:r w:rsidRPr="00383886">
              <w:rPr>
                <w:rFonts w:ascii="Arial Narrow" w:hAnsi="Arial Narrow" w:cs="Arial"/>
                <w:sz w:val="20"/>
                <w:szCs w:val="20"/>
              </w:rPr>
              <w:br w:type="page"/>
            </w:r>
            <w:r w:rsidRPr="00383886">
              <w:rPr>
                <w:rFonts w:ascii="Arial Narrow" w:eastAsia="Times New Roman" w:hAnsi="Arial Narrow" w:cs="Arial"/>
                <w:b/>
                <w:bCs/>
                <w:color w:val="000000"/>
                <w:sz w:val="20"/>
                <w:szCs w:val="20"/>
              </w:rPr>
              <w:t xml:space="preserve">Cilj </w:t>
            </w:r>
            <w:r w:rsidR="001E4685">
              <w:rPr>
                <w:rFonts w:ascii="Arial Narrow" w:eastAsia="Times New Roman" w:hAnsi="Arial Narrow" w:cs="Arial"/>
                <w:b/>
                <w:bCs/>
                <w:color w:val="000000"/>
                <w:sz w:val="20"/>
                <w:szCs w:val="20"/>
              </w:rPr>
              <w:t>2.</w:t>
            </w:r>
            <w:r w:rsidRPr="00383886">
              <w:rPr>
                <w:rFonts w:ascii="Arial Narrow" w:eastAsia="Times New Roman" w:hAnsi="Arial Narrow" w:cs="Arial"/>
                <w:b/>
                <w:bCs/>
                <w:color w:val="000000"/>
                <w:sz w:val="20"/>
                <w:szCs w:val="20"/>
              </w:rPr>
              <w:t>4</w:t>
            </w:r>
            <w:r w:rsidR="001E4685">
              <w:rPr>
                <w:rFonts w:ascii="Arial Narrow" w:eastAsia="Times New Roman" w:hAnsi="Arial Narrow" w:cs="Arial"/>
                <w:b/>
                <w:bCs/>
                <w:color w:val="000000"/>
                <w:sz w:val="20"/>
                <w:szCs w:val="20"/>
              </w:rPr>
              <w:t>.</w:t>
            </w:r>
          </w:p>
        </w:tc>
        <w:tc>
          <w:tcPr>
            <w:tcW w:w="4243" w:type="pct"/>
            <w:gridSpan w:val="34"/>
            <w:vMerge w:val="restart"/>
            <w:shd w:val="clear" w:color="000000" w:fill="D9E2F3"/>
            <w:vAlign w:val="center"/>
            <w:hideMark/>
          </w:tcPr>
          <w:p w14:paraId="340761BA" w14:textId="77777777" w:rsidR="00383886" w:rsidRPr="00383886" w:rsidRDefault="00383886" w:rsidP="00FD6B98">
            <w:pPr>
              <w:spacing w:after="0" w:line="240" w:lineRule="auto"/>
              <w:jc w:val="both"/>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Smanjenje sezonalnosti i regionalne neujednačenosti i povećanje nivoa kvaliteta usluge i kapaciteta</w:t>
            </w:r>
          </w:p>
        </w:tc>
      </w:tr>
      <w:tr w:rsidR="00383886" w:rsidRPr="00383886" w14:paraId="29EB5E32" w14:textId="77777777" w:rsidTr="005D3BC5">
        <w:trPr>
          <w:trHeight w:val="457"/>
        </w:trPr>
        <w:tc>
          <w:tcPr>
            <w:tcW w:w="757" w:type="pct"/>
            <w:gridSpan w:val="2"/>
            <w:vMerge/>
            <w:vAlign w:val="center"/>
            <w:hideMark/>
          </w:tcPr>
          <w:p w14:paraId="305B6518" w14:textId="77777777" w:rsidR="00383886" w:rsidRPr="00383886" w:rsidRDefault="00383886" w:rsidP="00FD6B98">
            <w:pPr>
              <w:spacing w:after="0" w:line="240" w:lineRule="auto"/>
              <w:rPr>
                <w:rFonts w:ascii="Arial Narrow" w:eastAsia="Times New Roman" w:hAnsi="Arial Narrow" w:cs="Arial"/>
                <w:b/>
                <w:bCs/>
                <w:color w:val="000000"/>
                <w:sz w:val="20"/>
                <w:szCs w:val="20"/>
              </w:rPr>
            </w:pPr>
          </w:p>
        </w:tc>
        <w:tc>
          <w:tcPr>
            <w:tcW w:w="4243" w:type="pct"/>
            <w:gridSpan w:val="34"/>
            <w:vMerge/>
            <w:vAlign w:val="center"/>
            <w:hideMark/>
          </w:tcPr>
          <w:p w14:paraId="3D420CA1" w14:textId="77777777" w:rsidR="00383886" w:rsidRPr="00383886" w:rsidRDefault="00383886" w:rsidP="00FD6B98">
            <w:pPr>
              <w:spacing w:after="0" w:line="240" w:lineRule="auto"/>
              <w:rPr>
                <w:rFonts w:ascii="Arial Narrow" w:eastAsia="Times New Roman" w:hAnsi="Arial Narrow" w:cs="Arial"/>
                <w:b/>
                <w:bCs/>
                <w:color w:val="000000"/>
                <w:sz w:val="20"/>
                <w:szCs w:val="20"/>
              </w:rPr>
            </w:pPr>
          </w:p>
        </w:tc>
      </w:tr>
      <w:tr w:rsidR="00383886" w:rsidRPr="00383886" w14:paraId="3F1986AB" w14:textId="77777777" w:rsidTr="002756A4">
        <w:trPr>
          <w:trHeight w:val="300"/>
        </w:trPr>
        <w:tc>
          <w:tcPr>
            <w:tcW w:w="757" w:type="pct"/>
            <w:gridSpan w:val="2"/>
            <w:shd w:val="clear" w:color="000000" w:fill="DAF2F6"/>
            <w:vAlign w:val="center"/>
            <w:hideMark/>
          </w:tcPr>
          <w:p w14:paraId="4589789C"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Indikator učinka</w:t>
            </w:r>
          </w:p>
        </w:tc>
        <w:tc>
          <w:tcPr>
            <w:tcW w:w="1512" w:type="pct"/>
            <w:gridSpan w:val="16"/>
            <w:shd w:val="clear" w:color="000000" w:fill="DAF2F6"/>
            <w:vAlign w:val="center"/>
            <w:hideMark/>
          </w:tcPr>
          <w:p w14:paraId="45E4C759"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Polazna vrijednost 2021.g</w:t>
            </w:r>
            <w:r w:rsidRPr="00383886">
              <w:rPr>
                <w:rStyle w:val="FootnoteReference"/>
                <w:rFonts w:ascii="Arial Narrow" w:eastAsia="Times New Roman" w:hAnsi="Arial Narrow" w:cs="Arial"/>
                <w:b/>
                <w:bCs/>
                <w:color w:val="000000"/>
                <w:sz w:val="20"/>
                <w:szCs w:val="20"/>
              </w:rPr>
              <w:footnoteReference w:id="16"/>
            </w:r>
          </w:p>
        </w:tc>
        <w:tc>
          <w:tcPr>
            <w:tcW w:w="702" w:type="pct"/>
            <w:gridSpan w:val="9"/>
            <w:shd w:val="clear" w:color="000000" w:fill="DAF2F6"/>
            <w:vAlign w:val="center"/>
            <w:hideMark/>
          </w:tcPr>
          <w:p w14:paraId="74C07087" w14:textId="77777777" w:rsidR="00383886" w:rsidRPr="00383886" w:rsidRDefault="00383886" w:rsidP="00FD6B98">
            <w:pPr>
              <w:spacing w:after="0" w:line="240" w:lineRule="auto"/>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 xml:space="preserve">  Prelazna vrijednost – 2022.g</w:t>
            </w:r>
          </w:p>
        </w:tc>
        <w:tc>
          <w:tcPr>
            <w:tcW w:w="487" w:type="pct"/>
            <w:gridSpan w:val="5"/>
            <w:shd w:val="clear" w:color="000000" w:fill="DAF2F6"/>
            <w:vAlign w:val="center"/>
            <w:hideMark/>
          </w:tcPr>
          <w:p w14:paraId="15A9EB06"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Prelazna vrijednost – 2023.g</w:t>
            </w:r>
          </w:p>
        </w:tc>
        <w:tc>
          <w:tcPr>
            <w:tcW w:w="1542" w:type="pct"/>
            <w:gridSpan w:val="4"/>
            <w:shd w:val="clear" w:color="000000" w:fill="DAF2F6"/>
            <w:vAlign w:val="center"/>
            <w:hideMark/>
          </w:tcPr>
          <w:p w14:paraId="32AA01F3"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Ciljna vrijednost - 2024.g</w:t>
            </w:r>
          </w:p>
        </w:tc>
      </w:tr>
      <w:tr w:rsidR="00383886" w:rsidRPr="00383886" w14:paraId="586915B1" w14:textId="77777777" w:rsidTr="002756A4">
        <w:trPr>
          <w:trHeight w:val="457"/>
        </w:trPr>
        <w:tc>
          <w:tcPr>
            <w:tcW w:w="757" w:type="pct"/>
            <w:gridSpan w:val="2"/>
            <w:vMerge w:val="restart"/>
            <w:shd w:val="clear" w:color="000000" w:fill="DAF2F6"/>
            <w:vAlign w:val="center"/>
            <w:hideMark/>
          </w:tcPr>
          <w:p w14:paraId="51501B39"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Broj noćenja u Sjevernom regionu</w:t>
            </w:r>
          </w:p>
        </w:tc>
        <w:tc>
          <w:tcPr>
            <w:tcW w:w="1512" w:type="pct"/>
            <w:gridSpan w:val="16"/>
            <w:vMerge w:val="restart"/>
            <w:shd w:val="clear" w:color="000000" w:fill="DAF2F6"/>
            <w:vAlign w:val="center"/>
            <w:hideMark/>
          </w:tcPr>
          <w:p w14:paraId="09313007" w14:textId="77777777" w:rsidR="00383886" w:rsidRPr="00383886" w:rsidRDefault="00A52361" w:rsidP="00FD6B98">
            <w:pPr>
              <w:spacing w:after="0" w:line="240" w:lineRule="auto"/>
              <w:jc w:val="center"/>
              <w:rPr>
                <w:rFonts w:ascii="Arial Narrow" w:eastAsia="Times New Roman" w:hAnsi="Arial Narrow" w:cs="Arial"/>
                <w:sz w:val="20"/>
                <w:szCs w:val="20"/>
              </w:rPr>
            </w:pPr>
            <w:hyperlink r:id="rId23" w:anchor="RANGE!_ftn1" w:history="1">
              <w:r w:rsidR="00383886" w:rsidRPr="00383886">
                <w:rPr>
                  <w:rFonts w:ascii="Arial Narrow" w:eastAsia="Times New Roman" w:hAnsi="Arial Narrow" w:cs="Arial"/>
                  <w:sz w:val="20"/>
                  <w:szCs w:val="20"/>
                </w:rPr>
                <w:t xml:space="preserve"> 315.815 </w:t>
              </w:r>
            </w:hyperlink>
          </w:p>
          <w:p w14:paraId="3F0C399C" w14:textId="77777777" w:rsidR="00383886" w:rsidRPr="00383886" w:rsidRDefault="00A52361" w:rsidP="00FD6B98">
            <w:pPr>
              <w:spacing w:after="0" w:line="240" w:lineRule="auto"/>
              <w:jc w:val="center"/>
              <w:rPr>
                <w:rFonts w:ascii="Arial Narrow" w:eastAsia="Times New Roman" w:hAnsi="Arial Narrow" w:cs="Arial"/>
                <w:sz w:val="20"/>
                <w:szCs w:val="20"/>
              </w:rPr>
            </w:pPr>
            <w:hyperlink r:id="rId24" w:history="1">
              <w:r w:rsidR="00383886" w:rsidRPr="00383886">
                <w:rPr>
                  <w:rFonts w:ascii="Arial Narrow" w:eastAsia="Times New Roman" w:hAnsi="Arial Narrow" w:cs="Arial"/>
                  <w:sz w:val="20"/>
                  <w:szCs w:val="20"/>
                </w:rPr>
                <w:t>(izvor Monstat https://www.monstat.org/cg/page.php?id=1787&amp;pageid=44 )</w:t>
              </w:r>
            </w:hyperlink>
          </w:p>
        </w:tc>
        <w:tc>
          <w:tcPr>
            <w:tcW w:w="702" w:type="pct"/>
            <w:gridSpan w:val="9"/>
            <w:vMerge w:val="restart"/>
            <w:shd w:val="clear" w:color="000000" w:fill="DAF2F6"/>
            <w:vAlign w:val="center"/>
            <w:hideMark/>
          </w:tcPr>
          <w:p w14:paraId="530AF0EF"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+3.50%</w:t>
            </w:r>
          </w:p>
          <w:p w14:paraId="65C9E3CD"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(rast u odnosu na 2019. godinu)</w:t>
            </w:r>
          </w:p>
        </w:tc>
        <w:tc>
          <w:tcPr>
            <w:tcW w:w="487" w:type="pct"/>
            <w:gridSpan w:val="5"/>
            <w:vMerge w:val="restart"/>
            <w:shd w:val="clear" w:color="000000" w:fill="DAF2F6"/>
            <w:vAlign w:val="center"/>
            <w:hideMark/>
          </w:tcPr>
          <w:p w14:paraId="0D352DA8"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+3.50%</w:t>
            </w:r>
          </w:p>
          <w:p w14:paraId="4C253503"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(rast u odnosu na 2022. godinu)</w:t>
            </w:r>
          </w:p>
          <w:p w14:paraId="4A6F89A8"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p>
        </w:tc>
        <w:tc>
          <w:tcPr>
            <w:tcW w:w="1542" w:type="pct"/>
            <w:gridSpan w:val="4"/>
            <w:vMerge w:val="restart"/>
            <w:shd w:val="clear" w:color="000000" w:fill="DAF2F6"/>
            <w:vAlign w:val="center"/>
            <w:hideMark/>
          </w:tcPr>
          <w:p w14:paraId="3400DC81"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+3.50%</w:t>
            </w:r>
          </w:p>
          <w:p w14:paraId="20181EFA"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(rast u odnosu na 2023. godinu)</w:t>
            </w:r>
          </w:p>
        </w:tc>
      </w:tr>
      <w:tr w:rsidR="00383886" w:rsidRPr="00383886" w14:paraId="50A56ACA" w14:textId="77777777" w:rsidTr="002756A4">
        <w:trPr>
          <w:trHeight w:val="457"/>
        </w:trPr>
        <w:tc>
          <w:tcPr>
            <w:tcW w:w="757" w:type="pct"/>
            <w:gridSpan w:val="2"/>
            <w:vMerge/>
            <w:vAlign w:val="center"/>
            <w:hideMark/>
          </w:tcPr>
          <w:p w14:paraId="5271FBF8"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12" w:type="pct"/>
            <w:gridSpan w:val="16"/>
            <w:vMerge/>
            <w:shd w:val="clear" w:color="000000" w:fill="DAF2F6"/>
            <w:vAlign w:val="center"/>
            <w:hideMark/>
          </w:tcPr>
          <w:p w14:paraId="79DC3CAC" w14:textId="77777777" w:rsidR="00383886" w:rsidRPr="00383886" w:rsidRDefault="00383886" w:rsidP="00FD6B98">
            <w:pPr>
              <w:spacing w:after="0" w:line="240" w:lineRule="auto"/>
              <w:jc w:val="center"/>
              <w:rPr>
                <w:rFonts w:ascii="Arial Narrow" w:eastAsia="Times New Roman" w:hAnsi="Arial Narrow" w:cs="Arial"/>
                <w:sz w:val="20"/>
                <w:szCs w:val="20"/>
              </w:rPr>
            </w:pPr>
          </w:p>
        </w:tc>
        <w:tc>
          <w:tcPr>
            <w:tcW w:w="702" w:type="pct"/>
            <w:gridSpan w:val="9"/>
            <w:vMerge/>
            <w:vAlign w:val="center"/>
            <w:hideMark/>
          </w:tcPr>
          <w:p w14:paraId="11107BB0"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p>
        </w:tc>
        <w:tc>
          <w:tcPr>
            <w:tcW w:w="487" w:type="pct"/>
            <w:gridSpan w:val="5"/>
            <w:vMerge/>
            <w:vAlign w:val="center"/>
            <w:hideMark/>
          </w:tcPr>
          <w:p w14:paraId="4065C350"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p>
        </w:tc>
        <w:tc>
          <w:tcPr>
            <w:tcW w:w="1542" w:type="pct"/>
            <w:gridSpan w:val="4"/>
            <w:vMerge/>
            <w:vAlign w:val="center"/>
            <w:hideMark/>
          </w:tcPr>
          <w:p w14:paraId="1B02ACA1"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p>
        </w:tc>
      </w:tr>
      <w:tr w:rsidR="00383886" w:rsidRPr="00383886" w14:paraId="1143646F" w14:textId="77777777" w:rsidTr="002756A4">
        <w:trPr>
          <w:trHeight w:val="300"/>
        </w:trPr>
        <w:tc>
          <w:tcPr>
            <w:tcW w:w="757" w:type="pct"/>
            <w:gridSpan w:val="2"/>
            <w:shd w:val="clear" w:color="000000" w:fill="DAF2F6"/>
            <w:vAlign w:val="center"/>
            <w:hideMark/>
          </w:tcPr>
          <w:p w14:paraId="74FE9A1A"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Broja noćenja u Centralnom regionu </w:t>
            </w:r>
          </w:p>
        </w:tc>
        <w:tc>
          <w:tcPr>
            <w:tcW w:w="1512" w:type="pct"/>
            <w:gridSpan w:val="16"/>
            <w:shd w:val="clear" w:color="000000" w:fill="DAF2F6"/>
            <w:vAlign w:val="center"/>
            <w:hideMark/>
          </w:tcPr>
          <w:p w14:paraId="666AC5AA"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425.343</w:t>
            </w:r>
          </w:p>
          <w:p w14:paraId="292DEC17"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(izvor: Monstat https://www.monstat.org/cg/page.php?id=1787&amp;pageid=44 )</w:t>
            </w:r>
          </w:p>
        </w:tc>
        <w:tc>
          <w:tcPr>
            <w:tcW w:w="702" w:type="pct"/>
            <w:gridSpan w:val="9"/>
            <w:shd w:val="clear" w:color="000000" w:fill="DAF2F6"/>
            <w:vAlign w:val="center"/>
            <w:hideMark/>
          </w:tcPr>
          <w:p w14:paraId="61C70652"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+3.50%</w:t>
            </w:r>
          </w:p>
          <w:p w14:paraId="2B4A5B12"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(rast u odnosu na 2019. godinu)</w:t>
            </w:r>
          </w:p>
        </w:tc>
        <w:tc>
          <w:tcPr>
            <w:tcW w:w="487" w:type="pct"/>
            <w:gridSpan w:val="5"/>
            <w:shd w:val="clear" w:color="000000" w:fill="DAF2F6"/>
            <w:vAlign w:val="center"/>
            <w:hideMark/>
          </w:tcPr>
          <w:p w14:paraId="5E948EDD"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+3.50%</w:t>
            </w:r>
          </w:p>
          <w:p w14:paraId="04399F83"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(rast u odnosu na 2022. godinu)</w:t>
            </w:r>
          </w:p>
          <w:p w14:paraId="31A9154B"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p>
        </w:tc>
        <w:tc>
          <w:tcPr>
            <w:tcW w:w="1542" w:type="pct"/>
            <w:gridSpan w:val="4"/>
            <w:shd w:val="clear" w:color="000000" w:fill="DAF2F6"/>
            <w:vAlign w:val="center"/>
            <w:hideMark/>
          </w:tcPr>
          <w:p w14:paraId="3EA2BAA2"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+3.50%</w:t>
            </w:r>
          </w:p>
          <w:p w14:paraId="03DEB145"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(rast u odnosu na 2023. godinu)</w:t>
            </w:r>
          </w:p>
        </w:tc>
      </w:tr>
      <w:tr w:rsidR="00383886" w:rsidRPr="00383886" w14:paraId="03826F96" w14:textId="77777777" w:rsidTr="002756A4">
        <w:trPr>
          <w:trHeight w:val="457"/>
        </w:trPr>
        <w:tc>
          <w:tcPr>
            <w:tcW w:w="757" w:type="pct"/>
            <w:gridSpan w:val="2"/>
            <w:vMerge w:val="restart"/>
            <w:shd w:val="clear" w:color="000000" w:fill="DAF2F6"/>
            <w:vAlign w:val="center"/>
            <w:hideMark/>
          </w:tcPr>
          <w:p w14:paraId="6170AAEC"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Broj smještajnih kapaciteta  u sjevernom regionu (kolektivni smještaj </w:t>
            </w:r>
          </w:p>
        </w:tc>
        <w:tc>
          <w:tcPr>
            <w:tcW w:w="1512" w:type="pct"/>
            <w:gridSpan w:val="16"/>
            <w:vMerge w:val="restart"/>
            <w:shd w:val="clear" w:color="000000" w:fill="DAF2F6"/>
            <w:vAlign w:val="center"/>
            <w:hideMark/>
          </w:tcPr>
          <w:p w14:paraId="3A5A0D35" w14:textId="77777777" w:rsidR="00383886" w:rsidRPr="00383886" w:rsidRDefault="00383886" w:rsidP="00FD6B98">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54</w:t>
            </w:r>
          </w:p>
          <w:p w14:paraId="2BB96C31" w14:textId="77777777" w:rsidR="00383886" w:rsidRPr="00383886" w:rsidRDefault="00A52361" w:rsidP="00FD6B98">
            <w:pPr>
              <w:spacing w:after="0" w:line="240" w:lineRule="auto"/>
              <w:jc w:val="center"/>
              <w:rPr>
                <w:rFonts w:ascii="Arial Narrow" w:eastAsia="Times New Roman" w:hAnsi="Arial Narrow" w:cs="Arial"/>
                <w:sz w:val="20"/>
                <w:szCs w:val="20"/>
              </w:rPr>
            </w:pPr>
            <w:hyperlink r:id="rId25" w:history="1">
              <w:r w:rsidR="00383886" w:rsidRPr="00383886">
                <w:rPr>
                  <w:rFonts w:ascii="Arial Narrow" w:eastAsia="Times New Roman" w:hAnsi="Arial Narrow" w:cs="Arial"/>
                  <w:sz w:val="20"/>
                  <w:szCs w:val="20"/>
                </w:rPr>
                <w:t>(izvor: Monstat, https://monstat.org/cg/page.php?id=444&amp;pageid=45)</w:t>
              </w:r>
            </w:hyperlink>
          </w:p>
        </w:tc>
        <w:tc>
          <w:tcPr>
            <w:tcW w:w="702" w:type="pct"/>
            <w:gridSpan w:val="9"/>
            <w:vMerge w:val="restart"/>
            <w:shd w:val="clear" w:color="000000" w:fill="DAF2F6"/>
            <w:vAlign w:val="center"/>
            <w:hideMark/>
          </w:tcPr>
          <w:p w14:paraId="037867A6"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60</w:t>
            </w:r>
          </w:p>
        </w:tc>
        <w:tc>
          <w:tcPr>
            <w:tcW w:w="487" w:type="pct"/>
            <w:gridSpan w:val="5"/>
            <w:vMerge w:val="restart"/>
            <w:shd w:val="clear" w:color="000000" w:fill="DAF2F6"/>
            <w:vAlign w:val="center"/>
            <w:hideMark/>
          </w:tcPr>
          <w:p w14:paraId="3D2D0899"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65</w:t>
            </w:r>
          </w:p>
        </w:tc>
        <w:tc>
          <w:tcPr>
            <w:tcW w:w="1542" w:type="pct"/>
            <w:gridSpan w:val="4"/>
            <w:vMerge w:val="restart"/>
            <w:shd w:val="clear" w:color="000000" w:fill="DAF2F6"/>
            <w:vAlign w:val="center"/>
            <w:hideMark/>
          </w:tcPr>
          <w:p w14:paraId="03AF9F64"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71</w:t>
            </w:r>
          </w:p>
        </w:tc>
      </w:tr>
      <w:tr w:rsidR="00383886" w:rsidRPr="00383886" w14:paraId="216157CC" w14:textId="77777777" w:rsidTr="002756A4">
        <w:trPr>
          <w:trHeight w:val="457"/>
        </w:trPr>
        <w:tc>
          <w:tcPr>
            <w:tcW w:w="757" w:type="pct"/>
            <w:gridSpan w:val="2"/>
            <w:vMerge/>
            <w:vAlign w:val="center"/>
            <w:hideMark/>
          </w:tcPr>
          <w:p w14:paraId="3DFF8012"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12" w:type="pct"/>
            <w:gridSpan w:val="16"/>
            <w:vMerge/>
            <w:shd w:val="clear" w:color="000000" w:fill="DAF2F6"/>
            <w:vAlign w:val="center"/>
            <w:hideMark/>
          </w:tcPr>
          <w:p w14:paraId="0DE0FD52" w14:textId="77777777" w:rsidR="00383886" w:rsidRPr="00383886" w:rsidRDefault="00383886" w:rsidP="00FD6B98">
            <w:pPr>
              <w:spacing w:after="0" w:line="240" w:lineRule="auto"/>
              <w:jc w:val="center"/>
              <w:rPr>
                <w:rFonts w:ascii="Arial Narrow" w:eastAsia="Times New Roman" w:hAnsi="Arial Narrow" w:cs="Arial"/>
                <w:color w:val="0563C1"/>
                <w:sz w:val="20"/>
                <w:szCs w:val="20"/>
                <w:u w:val="single"/>
              </w:rPr>
            </w:pPr>
          </w:p>
        </w:tc>
        <w:tc>
          <w:tcPr>
            <w:tcW w:w="702" w:type="pct"/>
            <w:gridSpan w:val="9"/>
            <w:vMerge/>
            <w:vAlign w:val="center"/>
            <w:hideMark/>
          </w:tcPr>
          <w:p w14:paraId="0B62F0E8"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p>
        </w:tc>
        <w:tc>
          <w:tcPr>
            <w:tcW w:w="487" w:type="pct"/>
            <w:gridSpan w:val="5"/>
            <w:vMerge/>
            <w:vAlign w:val="center"/>
            <w:hideMark/>
          </w:tcPr>
          <w:p w14:paraId="6DC0BE02"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p>
        </w:tc>
        <w:tc>
          <w:tcPr>
            <w:tcW w:w="1542" w:type="pct"/>
            <w:gridSpan w:val="4"/>
            <w:vMerge/>
            <w:vAlign w:val="center"/>
            <w:hideMark/>
          </w:tcPr>
          <w:p w14:paraId="164648BE"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p>
        </w:tc>
      </w:tr>
      <w:tr w:rsidR="00383886" w:rsidRPr="00383886" w14:paraId="46B71443" w14:textId="77777777" w:rsidTr="002756A4">
        <w:trPr>
          <w:trHeight w:val="457"/>
        </w:trPr>
        <w:tc>
          <w:tcPr>
            <w:tcW w:w="757" w:type="pct"/>
            <w:gridSpan w:val="2"/>
            <w:vMerge w:val="restart"/>
            <w:shd w:val="clear" w:color="000000" w:fill="DAF2F6"/>
            <w:vAlign w:val="center"/>
            <w:hideMark/>
          </w:tcPr>
          <w:p w14:paraId="2E71FE7C"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Broj smještajnih kapaciteta  u centralnom regionu (kolektivni smještaj )</w:t>
            </w:r>
          </w:p>
        </w:tc>
        <w:tc>
          <w:tcPr>
            <w:tcW w:w="1512" w:type="pct"/>
            <w:gridSpan w:val="16"/>
            <w:vMerge w:val="restart"/>
            <w:shd w:val="clear" w:color="000000" w:fill="DAF2F6"/>
            <w:vAlign w:val="center"/>
            <w:hideMark/>
          </w:tcPr>
          <w:p w14:paraId="663C9890" w14:textId="77777777" w:rsidR="00383886" w:rsidRPr="00383886" w:rsidRDefault="00383886" w:rsidP="00FD6B98">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61</w:t>
            </w:r>
          </w:p>
          <w:p w14:paraId="3DB5AB06" w14:textId="77777777" w:rsidR="00383886" w:rsidRPr="00383886" w:rsidRDefault="00A52361" w:rsidP="00FD6B98">
            <w:pPr>
              <w:spacing w:after="0" w:line="240" w:lineRule="auto"/>
              <w:jc w:val="center"/>
              <w:rPr>
                <w:rFonts w:ascii="Arial Narrow" w:eastAsia="Times New Roman" w:hAnsi="Arial Narrow" w:cs="Arial"/>
                <w:sz w:val="20"/>
                <w:szCs w:val="20"/>
              </w:rPr>
            </w:pPr>
            <w:hyperlink r:id="rId26" w:history="1">
              <w:r w:rsidR="00383886" w:rsidRPr="00383886">
                <w:rPr>
                  <w:rFonts w:ascii="Arial Narrow" w:eastAsia="Times New Roman" w:hAnsi="Arial Narrow" w:cs="Arial"/>
                  <w:sz w:val="20"/>
                  <w:szCs w:val="20"/>
                </w:rPr>
                <w:t>(izvor: Monstat, https://monstat.org/cg/page.php?id=444&amp;pageid=45</w:t>
              </w:r>
            </w:hyperlink>
          </w:p>
        </w:tc>
        <w:tc>
          <w:tcPr>
            <w:tcW w:w="702" w:type="pct"/>
            <w:gridSpan w:val="9"/>
            <w:vMerge w:val="restart"/>
            <w:shd w:val="clear" w:color="000000" w:fill="DAF2F6"/>
            <w:vAlign w:val="center"/>
            <w:hideMark/>
          </w:tcPr>
          <w:p w14:paraId="7D6ECF6E"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64</w:t>
            </w:r>
          </w:p>
        </w:tc>
        <w:tc>
          <w:tcPr>
            <w:tcW w:w="487" w:type="pct"/>
            <w:gridSpan w:val="5"/>
            <w:vMerge w:val="restart"/>
            <w:shd w:val="clear" w:color="000000" w:fill="DAF2F6"/>
            <w:vAlign w:val="center"/>
            <w:hideMark/>
          </w:tcPr>
          <w:p w14:paraId="1F18AF64"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67</w:t>
            </w:r>
          </w:p>
        </w:tc>
        <w:tc>
          <w:tcPr>
            <w:tcW w:w="1542" w:type="pct"/>
            <w:gridSpan w:val="4"/>
            <w:vMerge w:val="restart"/>
            <w:shd w:val="clear" w:color="000000" w:fill="DAF2F6"/>
            <w:vAlign w:val="center"/>
            <w:hideMark/>
          </w:tcPr>
          <w:p w14:paraId="110D4FB2"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71</w:t>
            </w:r>
          </w:p>
        </w:tc>
      </w:tr>
      <w:bookmarkEnd w:id="25"/>
      <w:tr w:rsidR="00383886" w:rsidRPr="00383886" w14:paraId="1972D2F9" w14:textId="77777777" w:rsidTr="002756A4">
        <w:trPr>
          <w:trHeight w:val="457"/>
        </w:trPr>
        <w:tc>
          <w:tcPr>
            <w:tcW w:w="757" w:type="pct"/>
            <w:gridSpan w:val="2"/>
            <w:vMerge/>
            <w:vAlign w:val="center"/>
            <w:hideMark/>
          </w:tcPr>
          <w:p w14:paraId="78913BC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12" w:type="pct"/>
            <w:gridSpan w:val="16"/>
            <w:vMerge/>
            <w:shd w:val="clear" w:color="000000" w:fill="DAF2F6"/>
            <w:vAlign w:val="center"/>
            <w:hideMark/>
          </w:tcPr>
          <w:p w14:paraId="76B05C7F" w14:textId="77777777" w:rsidR="00383886" w:rsidRPr="00383886" w:rsidRDefault="00383886" w:rsidP="00FD6B98">
            <w:pPr>
              <w:spacing w:after="0" w:line="240" w:lineRule="auto"/>
              <w:rPr>
                <w:rFonts w:ascii="Arial Narrow" w:eastAsia="Times New Roman" w:hAnsi="Arial Narrow" w:cs="Arial"/>
                <w:color w:val="0563C1"/>
                <w:sz w:val="20"/>
                <w:szCs w:val="20"/>
                <w:u w:val="single"/>
              </w:rPr>
            </w:pPr>
          </w:p>
        </w:tc>
        <w:tc>
          <w:tcPr>
            <w:tcW w:w="702" w:type="pct"/>
            <w:gridSpan w:val="9"/>
            <w:vMerge/>
            <w:vAlign w:val="center"/>
            <w:hideMark/>
          </w:tcPr>
          <w:p w14:paraId="66D96E58"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487" w:type="pct"/>
            <w:gridSpan w:val="5"/>
            <w:vMerge/>
            <w:vAlign w:val="center"/>
            <w:hideMark/>
          </w:tcPr>
          <w:p w14:paraId="3E6B09B3"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42" w:type="pct"/>
            <w:gridSpan w:val="4"/>
            <w:vMerge/>
            <w:vAlign w:val="center"/>
            <w:hideMark/>
          </w:tcPr>
          <w:p w14:paraId="2B5FE8C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1D05E8C1" w14:textId="77777777" w:rsidTr="00A80EEE">
        <w:trPr>
          <w:trHeight w:val="1340"/>
        </w:trPr>
        <w:tc>
          <w:tcPr>
            <w:tcW w:w="757" w:type="pct"/>
            <w:gridSpan w:val="2"/>
            <w:shd w:val="clear" w:color="000000" w:fill="FFF2CC"/>
            <w:vAlign w:val="center"/>
            <w:hideMark/>
          </w:tcPr>
          <w:p w14:paraId="65144D68"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lastRenderedPageBreak/>
              <w:t>Aktivnosti</w:t>
            </w:r>
          </w:p>
        </w:tc>
        <w:tc>
          <w:tcPr>
            <w:tcW w:w="758" w:type="pct"/>
            <w:gridSpan w:val="8"/>
            <w:shd w:val="clear" w:color="000000" w:fill="FFF2CC"/>
            <w:vAlign w:val="center"/>
            <w:hideMark/>
          </w:tcPr>
          <w:p w14:paraId="56EA7C66"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Indikator rezultata</w:t>
            </w:r>
          </w:p>
        </w:tc>
        <w:tc>
          <w:tcPr>
            <w:tcW w:w="757" w:type="pct"/>
            <w:gridSpan w:val="9"/>
            <w:shd w:val="clear" w:color="000000" w:fill="FFF2CC"/>
            <w:vAlign w:val="center"/>
            <w:hideMark/>
          </w:tcPr>
          <w:p w14:paraId="7CB34B4A"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Nadležne institucije i nadležna komisija</w:t>
            </w:r>
          </w:p>
        </w:tc>
        <w:tc>
          <w:tcPr>
            <w:tcW w:w="358" w:type="pct"/>
            <w:gridSpan w:val="5"/>
            <w:shd w:val="clear" w:color="000000" w:fill="FFF2CC"/>
            <w:vAlign w:val="center"/>
            <w:hideMark/>
          </w:tcPr>
          <w:p w14:paraId="055C47DA"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Planirani početak i završetak aktivnosti</w:t>
            </w:r>
          </w:p>
        </w:tc>
        <w:tc>
          <w:tcPr>
            <w:tcW w:w="397" w:type="pct"/>
            <w:gridSpan w:val="5"/>
            <w:shd w:val="clear" w:color="000000" w:fill="FFF2CC"/>
            <w:vAlign w:val="center"/>
            <w:hideMark/>
          </w:tcPr>
          <w:p w14:paraId="403D3450"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Sredstva za realizaciju  i informacija o izradi RIA</w:t>
            </w:r>
          </w:p>
        </w:tc>
        <w:tc>
          <w:tcPr>
            <w:tcW w:w="435" w:type="pct"/>
            <w:gridSpan w:val="4"/>
            <w:shd w:val="clear" w:color="000000" w:fill="FFF2CC"/>
            <w:vAlign w:val="center"/>
            <w:hideMark/>
          </w:tcPr>
          <w:p w14:paraId="070CAACC"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 xml:space="preserve"> Izvor finansiranja</w:t>
            </w:r>
          </w:p>
        </w:tc>
        <w:tc>
          <w:tcPr>
            <w:tcW w:w="1537" w:type="pct"/>
            <w:gridSpan w:val="3"/>
            <w:shd w:val="clear" w:color="000000" w:fill="FFF2CC"/>
            <w:vAlign w:val="center"/>
            <w:hideMark/>
          </w:tcPr>
          <w:p w14:paraId="0C00FD66"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Obrazloženje</w:t>
            </w:r>
          </w:p>
        </w:tc>
      </w:tr>
      <w:tr w:rsidR="00383886" w:rsidRPr="00383886" w14:paraId="2B0B8087" w14:textId="77777777" w:rsidTr="002756A4">
        <w:trPr>
          <w:trHeight w:val="2340"/>
        </w:trPr>
        <w:tc>
          <w:tcPr>
            <w:tcW w:w="757" w:type="pct"/>
            <w:gridSpan w:val="2"/>
            <w:shd w:val="clear" w:color="auto" w:fill="auto"/>
            <w:vAlign w:val="center"/>
            <w:hideMark/>
          </w:tcPr>
          <w:p w14:paraId="06BEFE85"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1.Program razvoja nautičkog turizma Crne Gore 2023-2026. godine s Akcionim planom</w:t>
            </w:r>
          </w:p>
        </w:tc>
        <w:tc>
          <w:tcPr>
            <w:tcW w:w="758" w:type="pct"/>
            <w:gridSpan w:val="8"/>
            <w:shd w:val="clear" w:color="auto" w:fill="auto"/>
            <w:vAlign w:val="center"/>
            <w:hideMark/>
          </w:tcPr>
          <w:p w14:paraId="6836F5F4" w14:textId="77777777" w:rsidR="00383886" w:rsidRPr="00383886" w:rsidRDefault="00383886" w:rsidP="00FD6B98">
            <w:pPr>
              <w:rPr>
                <w:rFonts w:ascii="Arial Narrow" w:hAnsi="Arial Narrow"/>
                <w:sz w:val="20"/>
                <w:szCs w:val="20"/>
              </w:rPr>
            </w:pPr>
            <w:r w:rsidRPr="00383886">
              <w:rPr>
                <w:rFonts w:ascii="Arial Narrow" w:hAnsi="Arial Narrow"/>
                <w:sz w:val="20"/>
                <w:szCs w:val="20"/>
              </w:rPr>
              <w:t>Izrađen Program razvoja nautičkog turizma Crne Gore 2023-2026.godine s Akcionim planom.</w:t>
            </w:r>
          </w:p>
        </w:tc>
        <w:tc>
          <w:tcPr>
            <w:tcW w:w="757" w:type="pct"/>
            <w:gridSpan w:val="9"/>
            <w:shd w:val="clear" w:color="auto" w:fill="auto"/>
            <w:vAlign w:val="center"/>
            <w:hideMark/>
          </w:tcPr>
          <w:p w14:paraId="1F866FF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p w14:paraId="0382979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8" w:type="pct"/>
            <w:gridSpan w:val="5"/>
            <w:shd w:val="clear" w:color="auto" w:fill="auto"/>
            <w:vAlign w:val="center"/>
            <w:hideMark/>
          </w:tcPr>
          <w:p w14:paraId="43FE90E3"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I-IV Q 2022. godine</w:t>
            </w:r>
          </w:p>
        </w:tc>
        <w:tc>
          <w:tcPr>
            <w:tcW w:w="397" w:type="pct"/>
            <w:gridSpan w:val="5"/>
            <w:shd w:val="clear" w:color="auto" w:fill="auto"/>
            <w:vAlign w:val="center"/>
            <w:hideMark/>
          </w:tcPr>
          <w:p w14:paraId="1809392C"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80.000,00 €</w:t>
            </w:r>
          </w:p>
        </w:tc>
        <w:tc>
          <w:tcPr>
            <w:tcW w:w="435" w:type="pct"/>
            <w:gridSpan w:val="4"/>
            <w:shd w:val="clear" w:color="auto" w:fill="auto"/>
            <w:vAlign w:val="center"/>
            <w:hideMark/>
          </w:tcPr>
          <w:p w14:paraId="34E30542"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 Vlade Crne Gore</w:t>
            </w:r>
          </w:p>
        </w:tc>
        <w:tc>
          <w:tcPr>
            <w:tcW w:w="1537" w:type="pct"/>
            <w:gridSpan w:val="3"/>
            <w:shd w:val="clear" w:color="auto" w:fill="auto"/>
            <w:vAlign w:val="center"/>
            <w:hideMark/>
          </w:tcPr>
          <w:p w14:paraId="044D7844"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 skladu sa Strategijom razvoja turizma CG,  nautički turizam je prepoznat kao razvojna šansa za valorizaciju potencijala Crne Gore, uz unapređenje nivoa kvaliteta ponude i usluga u svim postojećim marinama. Program je neophodno izraditi kako bi se uočila međusobna zavisnost različitih parametara u cilju bolje valorizacije najvrjednijeg prirodnog resursa crnogorskog jadranskog prostora. Takođe, cilj izrade Programa je analiza postojećih kapaciteta Crne Gore koji se odnose na nautički turizam i definisanje izgradnje novih infrastrukturnih nautičkih kapaciteta na prostorima (koji su pretrpjeli devastacije), uz poštovanje principa i održivog razvoja i zaštite životne sredine.</w:t>
            </w:r>
          </w:p>
        </w:tc>
      </w:tr>
      <w:tr w:rsidR="00383886" w:rsidRPr="00383886" w14:paraId="353ABAFC" w14:textId="77777777" w:rsidTr="002756A4">
        <w:trPr>
          <w:trHeight w:val="457"/>
        </w:trPr>
        <w:tc>
          <w:tcPr>
            <w:tcW w:w="757" w:type="pct"/>
            <w:gridSpan w:val="2"/>
            <w:vMerge w:val="restart"/>
            <w:shd w:val="clear" w:color="auto" w:fill="auto"/>
            <w:vAlign w:val="center"/>
            <w:hideMark/>
          </w:tcPr>
          <w:p w14:paraId="734E7AE1"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p w14:paraId="24CD00A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2.Program razvoja sportskog turizma u Crnoj Gori 2023-2026. godine s Akcionim planom</w:t>
            </w:r>
          </w:p>
        </w:tc>
        <w:tc>
          <w:tcPr>
            <w:tcW w:w="758" w:type="pct"/>
            <w:gridSpan w:val="8"/>
            <w:vMerge w:val="restart"/>
            <w:shd w:val="clear" w:color="auto" w:fill="auto"/>
            <w:vAlign w:val="center"/>
            <w:hideMark/>
          </w:tcPr>
          <w:p w14:paraId="679EC455"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Izrađen Program razvoja nautičkog turizma Crne Gore 2023-2026.godine s Akcionim planom.</w:t>
            </w:r>
          </w:p>
        </w:tc>
        <w:tc>
          <w:tcPr>
            <w:tcW w:w="757" w:type="pct"/>
            <w:gridSpan w:val="9"/>
            <w:vMerge w:val="restart"/>
            <w:shd w:val="clear" w:color="auto" w:fill="auto"/>
            <w:vAlign w:val="center"/>
            <w:hideMark/>
          </w:tcPr>
          <w:p w14:paraId="50DEDD86"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NI: MER   </w:t>
            </w:r>
          </w:p>
          <w:p w14:paraId="10E5460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8" w:type="pct"/>
            <w:gridSpan w:val="5"/>
            <w:vMerge w:val="restart"/>
            <w:shd w:val="clear" w:color="auto" w:fill="auto"/>
            <w:vAlign w:val="center"/>
            <w:hideMark/>
          </w:tcPr>
          <w:p w14:paraId="46BD61E6"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I-IV Q 2022. godine</w:t>
            </w:r>
          </w:p>
        </w:tc>
        <w:tc>
          <w:tcPr>
            <w:tcW w:w="397" w:type="pct"/>
            <w:gridSpan w:val="5"/>
            <w:vMerge w:val="restart"/>
            <w:shd w:val="clear" w:color="auto" w:fill="auto"/>
            <w:vAlign w:val="center"/>
            <w:hideMark/>
          </w:tcPr>
          <w:p w14:paraId="6A619416"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40.000,00€</w:t>
            </w:r>
          </w:p>
        </w:tc>
        <w:tc>
          <w:tcPr>
            <w:tcW w:w="435" w:type="pct"/>
            <w:gridSpan w:val="4"/>
            <w:vMerge w:val="restart"/>
            <w:shd w:val="clear" w:color="auto" w:fill="auto"/>
            <w:vAlign w:val="center"/>
            <w:hideMark/>
          </w:tcPr>
          <w:p w14:paraId="3C7B0089"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 Vlade Crne Gore</w:t>
            </w:r>
          </w:p>
        </w:tc>
        <w:tc>
          <w:tcPr>
            <w:tcW w:w="1537" w:type="pct"/>
            <w:gridSpan w:val="3"/>
            <w:vMerge w:val="restart"/>
            <w:shd w:val="clear" w:color="auto" w:fill="auto"/>
            <w:vAlign w:val="center"/>
            <w:hideMark/>
          </w:tcPr>
          <w:p w14:paraId="55D05ADD"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Novi pravci razvoja turizma ukazuju da promjene u turističkim trendovima zamjenjuju tradicionalne motive odmora sa motivima i sadržajima aktivnog odmora. Upravo aktivan odmor je sinonim turističkog odmora koji podrazumijeva sportske sadržaje i brojne aktivnosti. Sportski turizam predstavlja putovanja u kojima je primarna motivacija aktivno ili pasivno angažovanje u sportu i sportskim aktivnostima.</w:t>
            </w:r>
          </w:p>
        </w:tc>
      </w:tr>
      <w:tr w:rsidR="00383886" w:rsidRPr="00383886" w14:paraId="5640BB0F" w14:textId="77777777" w:rsidTr="002756A4">
        <w:trPr>
          <w:trHeight w:val="457"/>
        </w:trPr>
        <w:tc>
          <w:tcPr>
            <w:tcW w:w="757" w:type="pct"/>
            <w:gridSpan w:val="2"/>
            <w:vMerge/>
            <w:vAlign w:val="center"/>
            <w:hideMark/>
          </w:tcPr>
          <w:p w14:paraId="29242233"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8" w:type="pct"/>
            <w:gridSpan w:val="8"/>
            <w:vMerge/>
            <w:vAlign w:val="center"/>
            <w:hideMark/>
          </w:tcPr>
          <w:p w14:paraId="6A40D165"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7" w:type="pct"/>
            <w:gridSpan w:val="9"/>
            <w:vMerge/>
            <w:shd w:val="clear" w:color="auto" w:fill="auto"/>
            <w:vAlign w:val="center"/>
            <w:hideMark/>
          </w:tcPr>
          <w:p w14:paraId="53AE0BD9"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358" w:type="pct"/>
            <w:gridSpan w:val="5"/>
            <w:vMerge/>
            <w:vAlign w:val="center"/>
            <w:hideMark/>
          </w:tcPr>
          <w:p w14:paraId="57095CD9"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97" w:type="pct"/>
            <w:gridSpan w:val="5"/>
            <w:vMerge/>
            <w:vAlign w:val="center"/>
            <w:hideMark/>
          </w:tcPr>
          <w:p w14:paraId="1D3BC295"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435" w:type="pct"/>
            <w:gridSpan w:val="4"/>
            <w:vMerge/>
            <w:vAlign w:val="center"/>
            <w:hideMark/>
          </w:tcPr>
          <w:p w14:paraId="18A48820"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37" w:type="pct"/>
            <w:gridSpan w:val="3"/>
            <w:vMerge/>
            <w:vAlign w:val="center"/>
            <w:hideMark/>
          </w:tcPr>
          <w:p w14:paraId="7B06FDBA"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1CE18BE4" w14:textId="77777777" w:rsidTr="002756A4">
        <w:trPr>
          <w:trHeight w:val="457"/>
        </w:trPr>
        <w:tc>
          <w:tcPr>
            <w:tcW w:w="757" w:type="pct"/>
            <w:gridSpan w:val="2"/>
            <w:vMerge w:val="restart"/>
            <w:shd w:val="clear" w:color="auto" w:fill="auto"/>
            <w:vAlign w:val="center"/>
            <w:hideMark/>
          </w:tcPr>
          <w:p w14:paraId="0C551D46"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3.Program razvoja ruralnog turizma Crne Gore s Akcionim planom 2023-2025. godine</w:t>
            </w:r>
          </w:p>
        </w:tc>
        <w:tc>
          <w:tcPr>
            <w:tcW w:w="758" w:type="pct"/>
            <w:gridSpan w:val="8"/>
            <w:vMerge w:val="restart"/>
            <w:shd w:val="clear" w:color="auto" w:fill="auto"/>
            <w:vAlign w:val="center"/>
            <w:hideMark/>
          </w:tcPr>
          <w:p w14:paraId="3850AC5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Izrađen Program razvoja ruralnog turizma u Crnoj Gori s Akcionim planom 2023-2025. godine</w:t>
            </w:r>
          </w:p>
        </w:tc>
        <w:tc>
          <w:tcPr>
            <w:tcW w:w="757" w:type="pct"/>
            <w:gridSpan w:val="9"/>
            <w:vMerge w:val="restart"/>
            <w:shd w:val="clear" w:color="auto" w:fill="auto"/>
            <w:vAlign w:val="center"/>
            <w:hideMark/>
          </w:tcPr>
          <w:p w14:paraId="09F0825D"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p w14:paraId="6AC5EDD1"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NI: MER    </w:t>
            </w:r>
          </w:p>
          <w:p w14:paraId="4641686E"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8" w:type="pct"/>
            <w:gridSpan w:val="5"/>
            <w:vMerge w:val="restart"/>
            <w:shd w:val="clear" w:color="auto" w:fill="auto"/>
            <w:vAlign w:val="center"/>
            <w:hideMark/>
          </w:tcPr>
          <w:p w14:paraId="56502764"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I-IV Q 2022. godine</w:t>
            </w:r>
          </w:p>
        </w:tc>
        <w:tc>
          <w:tcPr>
            <w:tcW w:w="397" w:type="pct"/>
            <w:gridSpan w:val="5"/>
            <w:vMerge w:val="restart"/>
            <w:shd w:val="clear" w:color="auto" w:fill="auto"/>
            <w:vAlign w:val="center"/>
            <w:hideMark/>
          </w:tcPr>
          <w:p w14:paraId="5C04029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p w14:paraId="20E43DD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10.000,00€</w:t>
            </w:r>
          </w:p>
        </w:tc>
        <w:tc>
          <w:tcPr>
            <w:tcW w:w="435" w:type="pct"/>
            <w:gridSpan w:val="4"/>
            <w:vMerge w:val="restart"/>
            <w:shd w:val="clear" w:color="auto" w:fill="auto"/>
            <w:vAlign w:val="center"/>
            <w:hideMark/>
          </w:tcPr>
          <w:p w14:paraId="6F25128E"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 Vlade Crne Gore</w:t>
            </w:r>
          </w:p>
        </w:tc>
        <w:tc>
          <w:tcPr>
            <w:tcW w:w="1537" w:type="pct"/>
            <w:gridSpan w:val="3"/>
            <w:vMerge w:val="restart"/>
            <w:shd w:val="clear" w:color="auto" w:fill="auto"/>
            <w:vAlign w:val="center"/>
            <w:hideMark/>
          </w:tcPr>
          <w:p w14:paraId="7C45CD4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Novi pravci razvoja turizma ukazuju da promjene u turističkim trendovima zamjenjuju tradicionalne motive odmora sa motivima i sadržajima aktivnog odmora. Upravo aktivan odmor je sinonim turističkog odmora koji podrazumijeva sportske sadržaje i brojne aktivnosti. Sportski turizam predstavlja putovanja u kojima je primarna motivacija aktivno ili pasivno angažovanje u sportu i sportskim aktivnostima.</w:t>
            </w:r>
          </w:p>
        </w:tc>
      </w:tr>
      <w:tr w:rsidR="00383886" w:rsidRPr="00383886" w14:paraId="21E21A40" w14:textId="77777777" w:rsidTr="002756A4">
        <w:trPr>
          <w:trHeight w:val="457"/>
        </w:trPr>
        <w:tc>
          <w:tcPr>
            <w:tcW w:w="757" w:type="pct"/>
            <w:gridSpan w:val="2"/>
            <w:vMerge/>
            <w:vAlign w:val="center"/>
            <w:hideMark/>
          </w:tcPr>
          <w:p w14:paraId="13C074FC"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8" w:type="pct"/>
            <w:gridSpan w:val="8"/>
            <w:vMerge/>
            <w:vAlign w:val="center"/>
            <w:hideMark/>
          </w:tcPr>
          <w:p w14:paraId="5954A224"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7" w:type="pct"/>
            <w:gridSpan w:val="9"/>
            <w:vMerge/>
            <w:shd w:val="clear" w:color="auto" w:fill="auto"/>
            <w:vAlign w:val="center"/>
            <w:hideMark/>
          </w:tcPr>
          <w:p w14:paraId="1EDD1A91"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358" w:type="pct"/>
            <w:gridSpan w:val="5"/>
            <w:vMerge/>
            <w:vAlign w:val="center"/>
            <w:hideMark/>
          </w:tcPr>
          <w:p w14:paraId="2350FE33"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97" w:type="pct"/>
            <w:gridSpan w:val="5"/>
            <w:vMerge/>
            <w:vAlign w:val="center"/>
            <w:hideMark/>
          </w:tcPr>
          <w:p w14:paraId="7534B5FA"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435" w:type="pct"/>
            <w:gridSpan w:val="4"/>
            <w:vMerge/>
            <w:vAlign w:val="center"/>
            <w:hideMark/>
          </w:tcPr>
          <w:p w14:paraId="023634A8"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37" w:type="pct"/>
            <w:gridSpan w:val="3"/>
            <w:vMerge/>
            <w:vAlign w:val="center"/>
            <w:hideMark/>
          </w:tcPr>
          <w:p w14:paraId="748EB5D1"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1E55DD07" w14:textId="77777777" w:rsidTr="002756A4">
        <w:trPr>
          <w:trHeight w:val="457"/>
        </w:trPr>
        <w:tc>
          <w:tcPr>
            <w:tcW w:w="757" w:type="pct"/>
            <w:gridSpan w:val="2"/>
            <w:vMerge w:val="restart"/>
            <w:shd w:val="clear" w:color="auto" w:fill="auto"/>
            <w:vAlign w:val="center"/>
            <w:hideMark/>
          </w:tcPr>
          <w:p w14:paraId="7A15D573"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p w14:paraId="32AA9291"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4. Program razvoja kulturnog turizma Crne Gore s Akcionim planom 2023-2025. godine</w:t>
            </w:r>
          </w:p>
        </w:tc>
        <w:tc>
          <w:tcPr>
            <w:tcW w:w="758" w:type="pct"/>
            <w:gridSpan w:val="8"/>
            <w:vMerge w:val="restart"/>
            <w:shd w:val="clear" w:color="auto" w:fill="auto"/>
            <w:vAlign w:val="center"/>
            <w:hideMark/>
          </w:tcPr>
          <w:p w14:paraId="54C58CD5"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Izrađen Program razvoja kulturnog turizma Crne Gore s Akcionim planom 2023-2025. godine</w:t>
            </w:r>
          </w:p>
        </w:tc>
        <w:tc>
          <w:tcPr>
            <w:tcW w:w="757" w:type="pct"/>
            <w:gridSpan w:val="9"/>
            <w:vMerge w:val="restart"/>
            <w:shd w:val="clear" w:color="auto" w:fill="auto"/>
            <w:vAlign w:val="center"/>
            <w:hideMark/>
          </w:tcPr>
          <w:p w14:paraId="39B89E26"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p w14:paraId="7A97D851"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NI: MER   </w:t>
            </w:r>
          </w:p>
          <w:p w14:paraId="2E528454"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8" w:type="pct"/>
            <w:gridSpan w:val="5"/>
            <w:vMerge w:val="restart"/>
            <w:shd w:val="clear" w:color="auto" w:fill="auto"/>
            <w:vAlign w:val="center"/>
            <w:hideMark/>
          </w:tcPr>
          <w:p w14:paraId="2EAB4962"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I-IVQ 2022. godine</w:t>
            </w:r>
          </w:p>
        </w:tc>
        <w:tc>
          <w:tcPr>
            <w:tcW w:w="397" w:type="pct"/>
            <w:gridSpan w:val="5"/>
            <w:vMerge w:val="restart"/>
            <w:shd w:val="clear" w:color="auto" w:fill="auto"/>
            <w:vAlign w:val="center"/>
            <w:hideMark/>
          </w:tcPr>
          <w:p w14:paraId="7C2AF749"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10.000,00€</w:t>
            </w:r>
          </w:p>
        </w:tc>
        <w:tc>
          <w:tcPr>
            <w:tcW w:w="435" w:type="pct"/>
            <w:gridSpan w:val="4"/>
            <w:vMerge w:val="restart"/>
            <w:shd w:val="clear" w:color="auto" w:fill="auto"/>
            <w:vAlign w:val="center"/>
            <w:hideMark/>
          </w:tcPr>
          <w:p w14:paraId="175D9EB0"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 Vlade Crne Gore</w:t>
            </w:r>
          </w:p>
        </w:tc>
        <w:tc>
          <w:tcPr>
            <w:tcW w:w="1537" w:type="pct"/>
            <w:gridSpan w:val="3"/>
            <w:vMerge w:val="restart"/>
            <w:shd w:val="clear" w:color="auto" w:fill="auto"/>
            <w:vAlign w:val="center"/>
            <w:hideMark/>
          </w:tcPr>
          <w:p w14:paraId="7D9D8074"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S obzirom da je Programom razvoja kulturnog turizma Crne Gore usvojenog 2019. godine, definisan Akcioni plan do 2021. godine, potrebno je izvršiti ažuriranje Programa i usvojiti Akcioni plan za period 2023-2025. godine</w:t>
            </w:r>
          </w:p>
        </w:tc>
      </w:tr>
      <w:tr w:rsidR="00383886" w:rsidRPr="00383886" w14:paraId="0FDCA233" w14:textId="77777777" w:rsidTr="002756A4">
        <w:trPr>
          <w:trHeight w:val="457"/>
        </w:trPr>
        <w:tc>
          <w:tcPr>
            <w:tcW w:w="757" w:type="pct"/>
            <w:gridSpan w:val="2"/>
            <w:vMerge/>
            <w:vAlign w:val="center"/>
            <w:hideMark/>
          </w:tcPr>
          <w:p w14:paraId="5F0D04D2"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8" w:type="pct"/>
            <w:gridSpan w:val="8"/>
            <w:vMerge/>
            <w:vAlign w:val="center"/>
            <w:hideMark/>
          </w:tcPr>
          <w:p w14:paraId="117EDDBC"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7" w:type="pct"/>
            <w:gridSpan w:val="9"/>
            <w:vMerge/>
            <w:shd w:val="clear" w:color="auto" w:fill="auto"/>
            <w:vAlign w:val="center"/>
            <w:hideMark/>
          </w:tcPr>
          <w:p w14:paraId="4B0D28EC"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358" w:type="pct"/>
            <w:gridSpan w:val="5"/>
            <w:vMerge/>
            <w:vAlign w:val="center"/>
            <w:hideMark/>
          </w:tcPr>
          <w:p w14:paraId="52E7C558"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97" w:type="pct"/>
            <w:gridSpan w:val="5"/>
            <w:vMerge/>
            <w:vAlign w:val="center"/>
            <w:hideMark/>
          </w:tcPr>
          <w:p w14:paraId="208A921E"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435" w:type="pct"/>
            <w:gridSpan w:val="4"/>
            <w:vMerge/>
            <w:vAlign w:val="center"/>
            <w:hideMark/>
          </w:tcPr>
          <w:p w14:paraId="7F1457D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37" w:type="pct"/>
            <w:gridSpan w:val="3"/>
            <w:vMerge/>
            <w:vAlign w:val="center"/>
            <w:hideMark/>
          </w:tcPr>
          <w:p w14:paraId="4A7BF115"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04C086C0" w14:textId="77777777" w:rsidTr="002756A4">
        <w:trPr>
          <w:trHeight w:val="457"/>
        </w:trPr>
        <w:tc>
          <w:tcPr>
            <w:tcW w:w="757" w:type="pct"/>
            <w:gridSpan w:val="2"/>
            <w:vMerge w:val="restart"/>
            <w:shd w:val="clear" w:color="auto" w:fill="auto"/>
            <w:vAlign w:val="center"/>
            <w:hideMark/>
          </w:tcPr>
          <w:p w14:paraId="1E4743C3"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p w14:paraId="2EFF6363"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5. Utvrditi izmjene i dopune Zakona o skijalištima</w:t>
            </w:r>
          </w:p>
        </w:tc>
        <w:tc>
          <w:tcPr>
            <w:tcW w:w="758" w:type="pct"/>
            <w:gridSpan w:val="8"/>
            <w:vMerge w:val="restart"/>
            <w:shd w:val="clear" w:color="auto" w:fill="auto"/>
            <w:vAlign w:val="center"/>
            <w:hideMark/>
          </w:tcPr>
          <w:p w14:paraId="169494C0"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Utvrditi izmjene i dopune Zakona o skijalištima</w:t>
            </w:r>
          </w:p>
        </w:tc>
        <w:tc>
          <w:tcPr>
            <w:tcW w:w="757" w:type="pct"/>
            <w:gridSpan w:val="9"/>
            <w:vMerge w:val="restart"/>
            <w:shd w:val="clear" w:color="auto" w:fill="auto"/>
            <w:vAlign w:val="center"/>
            <w:hideMark/>
          </w:tcPr>
          <w:p w14:paraId="5D1B3DAD"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Ministarstvo ekonomskog razvoja, Direktorat za normativne poslove i upravni postupak u turizmu, KPS/ KEPIF, MKI, lokalne samouprave, privredna društva, civilni sektor, strukovna udruženja</w:t>
            </w:r>
          </w:p>
        </w:tc>
        <w:tc>
          <w:tcPr>
            <w:tcW w:w="358" w:type="pct"/>
            <w:gridSpan w:val="5"/>
            <w:vMerge w:val="restart"/>
            <w:shd w:val="clear" w:color="auto" w:fill="auto"/>
            <w:vAlign w:val="center"/>
            <w:hideMark/>
          </w:tcPr>
          <w:p w14:paraId="7919EAF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p w14:paraId="7257ECC1"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IV Q 2022.</w:t>
            </w:r>
          </w:p>
        </w:tc>
        <w:tc>
          <w:tcPr>
            <w:tcW w:w="397" w:type="pct"/>
            <w:gridSpan w:val="5"/>
            <w:vMerge w:val="restart"/>
            <w:shd w:val="clear" w:color="auto" w:fill="auto"/>
            <w:vAlign w:val="center"/>
            <w:hideMark/>
          </w:tcPr>
          <w:p w14:paraId="32229F0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5000€ - eksterni konsultant</w:t>
            </w:r>
          </w:p>
        </w:tc>
        <w:tc>
          <w:tcPr>
            <w:tcW w:w="435" w:type="pct"/>
            <w:gridSpan w:val="4"/>
            <w:vMerge w:val="restart"/>
            <w:shd w:val="clear" w:color="auto" w:fill="auto"/>
            <w:vAlign w:val="center"/>
            <w:hideMark/>
          </w:tcPr>
          <w:p w14:paraId="753B8D35"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p w14:paraId="08A516E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p w14:paraId="406C5E14"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w:t>
            </w:r>
          </w:p>
        </w:tc>
        <w:tc>
          <w:tcPr>
            <w:tcW w:w="1537" w:type="pct"/>
            <w:gridSpan w:val="3"/>
            <w:vMerge w:val="restart"/>
            <w:shd w:val="clear" w:color="auto" w:fill="auto"/>
            <w:vAlign w:val="center"/>
            <w:hideMark/>
          </w:tcPr>
          <w:p w14:paraId="18620E05"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eliminisanje biznis barijera, suzbijanje sive ekonomije, bezbjednost turista, poboljšanje ponude i kvaliteta usluge, bolja dostupnost planinskih centara, implementacija EU zakonodavstva,</w:t>
            </w:r>
          </w:p>
        </w:tc>
      </w:tr>
      <w:tr w:rsidR="00383886" w:rsidRPr="00383886" w14:paraId="5C8361FC" w14:textId="77777777" w:rsidTr="002756A4">
        <w:trPr>
          <w:trHeight w:val="457"/>
        </w:trPr>
        <w:tc>
          <w:tcPr>
            <w:tcW w:w="757" w:type="pct"/>
            <w:gridSpan w:val="2"/>
            <w:vMerge/>
            <w:vAlign w:val="center"/>
            <w:hideMark/>
          </w:tcPr>
          <w:p w14:paraId="68FE1850"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758" w:type="pct"/>
            <w:gridSpan w:val="8"/>
            <w:vMerge/>
            <w:vAlign w:val="center"/>
            <w:hideMark/>
          </w:tcPr>
          <w:p w14:paraId="76F7A77A"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7" w:type="pct"/>
            <w:gridSpan w:val="9"/>
            <w:vMerge/>
            <w:vAlign w:val="center"/>
            <w:hideMark/>
          </w:tcPr>
          <w:p w14:paraId="15E0DB2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8" w:type="pct"/>
            <w:gridSpan w:val="5"/>
            <w:vMerge/>
            <w:shd w:val="clear" w:color="auto" w:fill="auto"/>
            <w:vAlign w:val="center"/>
            <w:hideMark/>
          </w:tcPr>
          <w:p w14:paraId="6E44F78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397" w:type="pct"/>
            <w:gridSpan w:val="5"/>
            <w:vMerge/>
            <w:vAlign w:val="center"/>
            <w:hideMark/>
          </w:tcPr>
          <w:p w14:paraId="66D9005C"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435" w:type="pct"/>
            <w:gridSpan w:val="4"/>
            <w:vMerge/>
            <w:vAlign w:val="center"/>
            <w:hideMark/>
          </w:tcPr>
          <w:p w14:paraId="2DEFAF40"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37" w:type="pct"/>
            <w:gridSpan w:val="3"/>
            <w:vMerge/>
            <w:vAlign w:val="center"/>
            <w:hideMark/>
          </w:tcPr>
          <w:p w14:paraId="5F22FE51"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1535EDC4" w14:textId="77777777" w:rsidTr="002756A4">
        <w:trPr>
          <w:trHeight w:val="457"/>
        </w:trPr>
        <w:tc>
          <w:tcPr>
            <w:tcW w:w="757" w:type="pct"/>
            <w:gridSpan w:val="2"/>
            <w:vMerge w:val="restart"/>
            <w:shd w:val="clear" w:color="auto" w:fill="auto"/>
            <w:vAlign w:val="center"/>
            <w:hideMark/>
          </w:tcPr>
          <w:p w14:paraId="3752E45A"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p w14:paraId="020F2871"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6. Utvrditi izmjene i dopune Zakona o turističkim organizacijama</w:t>
            </w:r>
          </w:p>
        </w:tc>
        <w:tc>
          <w:tcPr>
            <w:tcW w:w="758" w:type="pct"/>
            <w:gridSpan w:val="8"/>
            <w:vMerge w:val="restart"/>
            <w:shd w:val="clear" w:color="auto" w:fill="auto"/>
            <w:vAlign w:val="center"/>
            <w:hideMark/>
          </w:tcPr>
          <w:p w14:paraId="1A8F1F11"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Utvrditi izmjene i dopune Zakona o turističkim organizacijama</w:t>
            </w:r>
          </w:p>
        </w:tc>
        <w:tc>
          <w:tcPr>
            <w:tcW w:w="757" w:type="pct"/>
            <w:gridSpan w:val="9"/>
            <w:vMerge w:val="restart"/>
            <w:shd w:val="clear" w:color="auto" w:fill="auto"/>
            <w:vAlign w:val="center"/>
            <w:hideMark/>
          </w:tcPr>
          <w:p w14:paraId="7FA78280"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Ministarstvo ekonomskog razvoja,  Direktorat za normativne poslove i upravni postupak u turizmu, KPS/ KEPIF, MPA, NTO, lokalne turističke organizacije, lokalne samouprave privredna društva, civilni sektor, strukovna udruženja, Evropska komisija,</w:t>
            </w:r>
          </w:p>
        </w:tc>
        <w:tc>
          <w:tcPr>
            <w:tcW w:w="358" w:type="pct"/>
            <w:gridSpan w:val="5"/>
            <w:vMerge w:val="restart"/>
            <w:shd w:val="clear" w:color="auto" w:fill="auto"/>
            <w:vAlign w:val="center"/>
            <w:hideMark/>
          </w:tcPr>
          <w:p w14:paraId="5846699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p w14:paraId="204E1196"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IV Q 2022.</w:t>
            </w:r>
          </w:p>
        </w:tc>
        <w:tc>
          <w:tcPr>
            <w:tcW w:w="397" w:type="pct"/>
            <w:gridSpan w:val="5"/>
            <w:vMerge w:val="restart"/>
            <w:shd w:val="clear" w:color="auto" w:fill="auto"/>
            <w:vAlign w:val="center"/>
            <w:hideMark/>
          </w:tcPr>
          <w:p w14:paraId="6E057CC2"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5000€ - eksterni konsultant</w:t>
            </w:r>
          </w:p>
        </w:tc>
        <w:tc>
          <w:tcPr>
            <w:tcW w:w="435" w:type="pct"/>
            <w:gridSpan w:val="4"/>
            <w:vMerge w:val="restart"/>
            <w:shd w:val="clear" w:color="auto" w:fill="auto"/>
            <w:vAlign w:val="center"/>
            <w:hideMark/>
          </w:tcPr>
          <w:p w14:paraId="63901370"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w:t>
            </w:r>
          </w:p>
        </w:tc>
        <w:tc>
          <w:tcPr>
            <w:tcW w:w="1537" w:type="pct"/>
            <w:gridSpan w:val="3"/>
            <w:vMerge w:val="restart"/>
            <w:shd w:val="clear" w:color="auto" w:fill="auto"/>
            <w:vAlign w:val="center"/>
            <w:hideMark/>
          </w:tcPr>
          <w:p w14:paraId="29469E5C"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Precizno definisanje prava i obaveza turističkih organizacija, naplata i raspodjela namjenskih prihoda, propisivanje neophodnosti usklađivanja mjerodavnih akata turističkih organizacija sa zakonom, privredna djelatnost turističkih organizacija, propisivanje obaveza NTO, unaprjeđenje saradnje sa lokalnim samoupravama i dr.</w:t>
            </w:r>
          </w:p>
        </w:tc>
      </w:tr>
      <w:tr w:rsidR="00383886" w:rsidRPr="00383886" w14:paraId="3C96E524" w14:textId="77777777" w:rsidTr="002756A4">
        <w:trPr>
          <w:trHeight w:val="457"/>
        </w:trPr>
        <w:tc>
          <w:tcPr>
            <w:tcW w:w="757" w:type="pct"/>
            <w:gridSpan w:val="2"/>
            <w:vMerge/>
            <w:vAlign w:val="center"/>
            <w:hideMark/>
          </w:tcPr>
          <w:p w14:paraId="50EF3079"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8" w:type="pct"/>
            <w:gridSpan w:val="8"/>
            <w:vMerge/>
            <w:vAlign w:val="center"/>
            <w:hideMark/>
          </w:tcPr>
          <w:p w14:paraId="03237B9C"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7" w:type="pct"/>
            <w:gridSpan w:val="9"/>
            <w:vMerge/>
            <w:vAlign w:val="center"/>
            <w:hideMark/>
          </w:tcPr>
          <w:p w14:paraId="0349C77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8" w:type="pct"/>
            <w:gridSpan w:val="5"/>
            <w:vMerge/>
            <w:shd w:val="clear" w:color="auto" w:fill="auto"/>
            <w:vAlign w:val="center"/>
            <w:hideMark/>
          </w:tcPr>
          <w:p w14:paraId="407712F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397" w:type="pct"/>
            <w:gridSpan w:val="5"/>
            <w:vMerge/>
            <w:vAlign w:val="center"/>
            <w:hideMark/>
          </w:tcPr>
          <w:p w14:paraId="331FE85E"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435" w:type="pct"/>
            <w:gridSpan w:val="4"/>
            <w:vMerge/>
            <w:vAlign w:val="center"/>
            <w:hideMark/>
          </w:tcPr>
          <w:p w14:paraId="6A223164"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37" w:type="pct"/>
            <w:gridSpan w:val="3"/>
            <w:vMerge/>
            <w:vAlign w:val="center"/>
            <w:hideMark/>
          </w:tcPr>
          <w:p w14:paraId="3CCDC1F7"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55E4B745" w14:textId="77777777" w:rsidTr="002756A4">
        <w:trPr>
          <w:trHeight w:val="457"/>
        </w:trPr>
        <w:tc>
          <w:tcPr>
            <w:tcW w:w="757" w:type="pct"/>
            <w:gridSpan w:val="2"/>
            <w:vMerge w:val="restart"/>
            <w:shd w:val="clear" w:color="auto" w:fill="auto"/>
            <w:vAlign w:val="center"/>
            <w:hideMark/>
          </w:tcPr>
          <w:p w14:paraId="03E169B4"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p w14:paraId="79A0C6C6"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7. Utvrditi izmjene i dopune Zakona o boravišnoj taksi</w:t>
            </w:r>
          </w:p>
        </w:tc>
        <w:tc>
          <w:tcPr>
            <w:tcW w:w="758" w:type="pct"/>
            <w:gridSpan w:val="8"/>
            <w:vMerge w:val="restart"/>
            <w:shd w:val="clear" w:color="auto" w:fill="auto"/>
            <w:vAlign w:val="center"/>
            <w:hideMark/>
          </w:tcPr>
          <w:p w14:paraId="27F69676"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Utvrditi izmjene i dopune Zakona o boravišnoj taksi</w:t>
            </w:r>
          </w:p>
        </w:tc>
        <w:tc>
          <w:tcPr>
            <w:tcW w:w="757" w:type="pct"/>
            <w:gridSpan w:val="9"/>
            <w:vMerge w:val="restart"/>
            <w:shd w:val="clear" w:color="auto" w:fill="auto"/>
            <w:vAlign w:val="center"/>
            <w:hideMark/>
          </w:tcPr>
          <w:p w14:paraId="39F70283"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Ministarstvo ekonomskog razvoja,  Direktorat za normativne poslove i upravni postupak u turizmu, KPS/ KEPIF, MPA, NTO, lokalne turističke organizacije, lokalne samouprave, Uprava prihoda i carina, privredna društva, civilni sektor, strukovna udruženja</w:t>
            </w:r>
          </w:p>
        </w:tc>
        <w:tc>
          <w:tcPr>
            <w:tcW w:w="358" w:type="pct"/>
            <w:gridSpan w:val="5"/>
            <w:vMerge w:val="restart"/>
            <w:shd w:val="clear" w:color="auto" w:fill="auto"/>
            <w:vAlign w:val="center"/>
            <w:hideMark/>
          </w:tcPr>
          <w:p w14:paraId="542826A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p w14:paraId="2360481D"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IV Q 2022.</w:t>
            </w:r>
          </w:p>
        </w:tc>
        <w:tc>
          <w:tcPr>
            <w:tcW w:w="397" w:type="pct"/>
            <w:gridSpan w:val="5"/>
            <w:vMerge w:val="restart"/>
            <w:shd w:val="clear" w:color="auto" w:fill="auto"/>
            <w:vAlign w:val="center"/>
            <w:hideMark/>
          </w:tcPr>
          <w:p w14:paraId="3FBB39C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5000€ - eksterni konsultant</w:t>
            </w:r>
          </w:p>
        </w:tc>
        <w:tc>
          <w:tcPr>
            <w:tcW w:w="435" w:type="pct"/>
            <w:gridSpan w:val="4"/>
            <w:vMerge w:val="restart"/>
            <w:shd w:val="clear" w:color="auto" w:fill="auto"/>
            <w:vAlign w:val="center"/>
            <w:hideMark/>
          </w:tcPr>
          <w:p w14:paraId="0CA47EC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w:t>
            </w:r>
          </w:p>
        </w:tc>
        <w:tc>
          <w:tcPr>
            <w:tcW w:w="1537" w:type="pct"/>
            <w:gridSpan w:val="3"/>
            <w:vMerge w:val="restart"/>
            <w:shd w:val="clear" w:color="auto" w:fill="auto"/>
            <w:vAlign w:val="center"/>
            <w:hideMark/>
          </w:tcPr>
          <w:p w14:paraId="1DA173D0"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Utvrđivanje preciznih kriterijuma za naplatu i raspodjelu boravišne takse i definisanje drugih ciljeva po konsultacijama sa drugim državnim organima, lokalnim samoupravama i turističkom privredom</w:t>
            </w:r>
          </w:p>
        </w:tc>
      </w:tr>
      <w:tr w:rsidR="00383886" w:rsidRPr="00383886" w14:paraId="352C666B" w14:textId="77777777" w:rsidTr="002756A4">
        <w:trPr>
          <w:trHeight w:val="457"/>
        </w:trPr>
        <w:tc>
          <w:tcPr>
            <w:tcW w:w="757" w:type="pct"/>
            <w:gridSpan w:val="2"/>
            <w:vMerge/>
            <w:vAlign w:val="center"/>
            <w:hideMark/>
          </w:tcPr>
          <w:p w14:paraId="4257C18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8" w:type="pct"/>
            <w:gridSpan w:val="8"/>
            <w:vMerge/>
            <w:vAlign w:val="center"/>
            <w:hideMark/>
          </w:tcPr>
          <w:p w14:paraId="3BA96F94"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7" w:type="pct"/>
            <w:gridSpan w:val="9"/>
            <w:vMerge/>
            <w:vAlign w:val="center"/>
            <w:hideMark/>
          </w:tcPr>
          <w:p w14:paraId="6E2A586E"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8" w:type="pct"/>
            <w:gridSpan w:val="5"/>
            <w:vMerge/>
            <w:shd w:val="clear" w:color="auto" w:fill="auto"/>
            <w:vAlign w:val="center"/>
            <w:hideMark/>
          </w:tcPr>
          <w:p w14:paraId="698F61B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397" w:type="pct"/>
            <w:gridSpan w:val="5"/>
            <w:vMerge/>
            <w:vAlign w:val="center"/>
            <w:hideMark/>
          </w:tcPr>
          <w:p w14:paraId="3CA520D2"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435" w:type="pct"/>
            <w:gridSpan w:val="4"/>
            <w:vMerge/>
            <w:vAlign w:val="center"/>
            <w:hideMark/>
          </w:tcPr>
          <w:p w14:paraId="25E8E29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37" w:type="pct"/>
            <w:gridSpan w:val="3"/>
            <w:vMerge/>
            <w:vAlign w:val="center"/>
            <w:hideMark/>
          </w:tcPr>
          <w:p w14:paraId="724AA86E"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2076C27B" w14:textId="77777777" w:rsidTr="002756A4">
        <w:trPr>
          <w:trHeight w:val="457"/>
        </w:trPr>
        <w:tc>
          <w:tcPr>
            <w:tcW w:w="757" w:type="pct"/>
            <w:gridSpan w:val="2"/>
            <w:vMerge w:val="restart"/>
            <w:shd w:val="clear" w:color="auto" w:fill="auto"/>
            <w:vAlign w:val="center"/>
            <w:hideMark/>
          </w:tcPr>
          <w:p w14:paraId="0361E46D"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p w14:paraId="5D84DCF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8. Utvrditi izmjene i dopune Zakona o planinskim stazama</w:t>
            </w:r>
          </w:p>
        </w:tc>
        <w:tc>
          <w:tcPr>
            <w:tcW w:w="758" w:type="pct"/>
            <w:gridSpan w:val="8"/>
            <w:vMerge w:val="restart"/>
            <w:shd w:val="clear" w:color="auto" w:fill="auto"/>
            <w:vAlign w:val="center"/>
            <w:hideMark/>
          </w:tcPr>
          <w:p w14:paraId="4D1F13B4"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Utvrditi izmjene i dopune Zakona o planinskim stazama</w:t>
            </w:r>
          </w:p>
        </w:tc>
        <w:tc>
          <w:tcPr>
            <w:tcW w:w="757" w:type="pct"/>
            <w:gridSpan w:val="9"/>
            <w:vMerge w:val="restart"/>
            <w:shd w:val="clear" w:color="auto" w:fill="auto"/>
            <w:vAlign w:val="center"/>
            <w:hideMark/>
          </w:tcPr>
          <w:p w14:paraId="3C43BDE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Ministarstvo ekonomskog razvoja, Direktorat za normativne poslove i upravni postupak u turizmu, KPS/ KEPIF, civilni sektor, strukovna udruženja</w:t>
            </w:r>
          </w:p>
        </w:tc>
        <w:tc>
          <w:tcPr>
            <w:tcW w:w="358" w:type="pct"/>
            <w:gridSpan w:val="5"/>
            <w:vMerge w:val="restart"/>
            <w:shd w:val="clear" w:color="auto" w:fill="auto"/>
            <w:vAlign w:val="center"/>
            <w:hideMark/>
          </w:tcPr>
          <w:p w14:paraId="0DD914C6"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p w14:paraId="5BFE98D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IV Q 2022.</w:t>
            </w:r>
          </w:p>
        </w:tc>
        <w:tc>
          <w:tcPr>
            <w:tcW w:w="397" w:type="pct"/>
            <w:gridSpan w:val="5"/>
            <w:vMerge w:val="restart"/>
            <w:shd w:val="clear" w:color="auto" w:fill="auto"/>
            <w:vAlign w:val="center"/>
            <w:hideMark/>
          </w:tcPr>
          <w:p w14:paraId="513A50B0"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5000€ - eksterni konsultant</w:t>
            </w:r>
          </w:p>
        </w:tc>
        <w:tc>
          <w:tcPr>
            <w:tcW w:w="435" w:type="pct"/>
            <w:gridSpan w:val="4"/>
            <w:vMerge w:val="restart"/>
            <w:shd w:val="clear" w:color="auto" w:fill="auto"/>
            <w:vAlign w:val="center"/>
            <w:hideMark/>
          </w:tcPr>
          <w:p w14:paraId="45364EF2"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p w14:paraId="4F7F800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w:t>
            </w:r>
          </w:p>
        </w:tc>
        <w:tc>
          <w:tcPr>
            <w:tcW w:w="1537" w:type="pct"/>
            <w:gridSpan w:val="3"/>
            <w:vMerge w:val="restart"/>
            <w:shd w:val="clear" w:color="auto" w:fill="auto"/>
            <w:vAlign w:val="center"/>
            <w:hideMark/>
          </w:tcPr>
          <w:p w14:paraId="695FEF93"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Utvrđivanje preciznih kriterijuma za postupak markiranja, uređenja i održavanja planinskih staza, odnosno normativno urediti tu oblast u smislu preciziranja ko i pod kojim uslovima može obavljati te djelatnosti</w:t>
            </w:r>
          </w:p>
        </w:tc>
      </w:tr>
      <w:tr w:rsidR="00383886" w:rsidRPr="00383886" w14:paraId="4E88ABBE" w14:textId="77777777" w:rsidTr="002756A4">
        <w:trPr>
          <w:trHeight w:val="457"/>
        </w:trPr>
        <w:tc>
          <w:tcPr>
            <w:tcW w:w="757" w:type="pct"/>
            <w:gridSpan w:val="2"/>
            <w:vMerge/>
            <w:vAlign w:val="center"/>
            <w:hideMark/>
          </w:tcPr>
          <w:p w14:paraId="070FA7A1"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8" w:type="pct"/>
            <w:gridSpan w:val="8"/>
            <w:vMerge/>
            <w:vAlign w:val="center"/>
            <w:hideMark/>
          </w:tcPr>
          <w:p w14:paraId="7E9E6EC7"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7" w:type="pct"/>
            <w:gridSpan w:val="9"/>
            <w:vMerge/>
            <w:vAlign w:val="center"/>
            <w:hideMark/>
          </w:tcPr>
          <w:p w14:paraId="1F0CB757"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8" w:type="pct"/>
            <w:gridSpan w:val="5"/>
            <w:vMerge/>
            <w:shd w:val="clear" w:color="auto" w:fill="auto"/>
            <w:vAlign w:val="center"/>
            <w:hideMark/>
          </w:tcPr>
          <w:p w14:paraId="45E23F93"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397" w:type="pct"/>
            <w:gridSpan w:val="5"/>
            <w:vMerge/>
            <w:vAlign w:val="center"/>
            <w:hideMark/>
          </w:tcPr>
          <w:p w14:paraId="13ADC25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435" w:type="pct"/>
            <w:gridSpan w:val="4"/>
            <w:vMerge/>
            <w:vAlign w:val="center"/>
            <w:hideMark/>
          </w:tcPr>
          <w:p w14:paraId="0C06736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37" w:type="pct"/>
            <w:gridSpan w:val="3"/>
            <w:vMerge/>
            <w:vAlign w:val="center"/>
            <w:hideMark/>
          </w:tcPr>
          <w:p w14:paraId="6E871049"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68597E0E" w14:textId="77777777" w:rsidTr="002756A4">
        <w:trPr>
          <w:trHeight w:val="457"/>
        </w:trPr>
        <w:tc>
          <w:tcPr>
            <w:tcW w:w="757" w:type="pct"/>
            <w:gridSpan w:val="2"/>
            <w:vMerge w:val="restart"/>
            <w:shd w:val="clear" w:color="auto" w:fill="auto"/>
            <w:vAlign w:val="center"/>
            <w:hideMark/>
          </w:tcPr>
          <w:p w14:paraId="6C316F2A"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p w14:paraId="3F82819D"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9. Utvrditi izmjene i dopune Zakona o raftingu</w:t>
            </w:r>
          </w:p>
        </w:tc>
        <w:tc>
          <w:tcPr>
            <w:tcW w:w="758" w:type="pct"/>
            <w:gridSpan w:val="8"/>
            <w:vMerge w:val="restart"/>
            <w:shd w:val="clear" w:color="auto" w:fill="auto"/>
            <w:vAlign w:val="center"/>
            <w:hideMark/>
          </w:tcPr>
          <w:p w14:paraId="0CB3387C"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Utvrditi izmjene i dopune Zakona o raftingu</w:t>
            </w:r>
          </w:p>
        </w:tc>
        <w:tc>
          <w:tcPr>
            <w:tcW w:w="757" w:type="pct"/>
            <w:gridSpan w:val="9"/>
            <w:vMerge w:val="restart"/>
            <w:shd w:val="clear" w:color="auto" w:fill="auto"/>
            <w:vAlign w:val="center"/>
            <w:hideMark/>
          </w:tcPr>
          <w:p w14:paraId="528A955C"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Ministarstvo ekonomskog razvoja, Direktorat za normativne poslove i upravni postupak u turizmu, </w:t>
            </w:r>
            <w:r w:rsidRPr="00383886">
              <w:rPr>
                <w:rFonts w:ascii="Arial Narrow" w:eastAsia="Times New Roman" w:hAnsi="Arial Narrow" w:cs="Arial"/>
                <w:color w:val="000000"/>
                <w:sz w:val="20"/>
                <w:szCs w:val="20"/>
              </w:rPr>
              <w:lastRenderedPageBreak/>
              <w:t>KPS/ KEPIF, MKI, MUP, privredna društva, civilni sektor, strukovna udruženja</w:t>
            </w:r>
          </w:p>
        </w:tc>
        <w:tc>
          <w:tcPr>
            <w:tcW w:w="358" w:type="pct"/>
            <w:gridSpan w:val="5"/>
            <w:vMerge w:val="restart"/>
            <w:shd w:val="clear" w:color="auto" w:fill="auto"/>
            <w:vAlign w:val="center"/>
            <w:hideMark/>
          </w:tcPr>
          <w:p w14:paraId="2990B99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 </w:t>
            </w:r>
          </w:p>
          <w:p w14:paraId="302DE261"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IV Q 2022.</w:t>
            </w:r>
          </w:p>
        </w:tc>
        <w:tc>
          <w:tcPr>
            <w:tcW w:w="397" w:type="pct"/>
            <w:gridSpan w:val="5"/>
            <w:vMerge w:val="restart"/>
            <w:shd w:val="clear" w:color="auto" w:fill="auto"/>
            <w:vAlign w:val="center"/>
            <w:hideMark/>
          </w:tcPr>
          <w:p w14:paraId="6B526001"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5000€ - eksterni konsultant</w:t>
            </w:r>
          </w:p>
        </w:tc>
        <w:tc>
          <w:tcPr>
            <w:tcW w:w="435" w:type="pct"/>
            <w:gridSpan w:val="4"/>
            <w:vMerge w:val="restart"/>
            <w:shd w:val="clear" w:color="auto" w:fill="auto"/>
            <w:vAlign w:val="center"/>
            <w:hideMark/>
          </w:tcPr>
          <w:p w14:paraId="5239EC1D"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w:t>
            </w:r>
          </w:p>
        </w:tc>
        <w:tc>
          <w:tcPr>
            <w:tcW w:w="1537" w:type="pct"/>
            <w:gridSpan w:val="3"/>
            <w:vMerge w:val="restart"/>
            <w:shd w:val="clear" w:color="auto" w:fill="auto"/>
            <w:vAlign w:val="center"/>
            <w:hideMark/>
          </w:tcPr>
          <w:p w14:paraId="1324082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Poboljšanje kvaliteta usluga, povećanje nivoa bezbjednosti turista, promocija zemlje kao rafting destinacije, preciziranje prava i obaveza pružalaca usluga itd.</w:t>
            </w:r>
          </w:p>
        </w:tc>
      </w:tr>
      <w:tr w:rsidR="00383886" w:rsidRPr="00383886" w14:paraId="71AD7D2A" w14:textId="77777777" w:rsidTr="002756A4">
        <w:trPr>
          <w:trHeight w:val="457"/>
        </w:trPr>
        <w:tc>
          <w:tcPr>
            <w:tcW w:w="757" w:type="pct"/>
            <w:gridSpan w:val="2"/>
            <w:vMerge/>
            <w:vAlign w:val="center"/>
            <w:hideMark/>
          </w:tcPr>
          <w:p w14:paraId="4C45E0A3"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8" w:type="pct"/>
            <w:gridSpan w:val="8"/>
            <w:vMerge/>
            <w:vAlign w:val="center"/>
            <w:hideMark/>
          </w:tcPr>
          <w:p w14:paraId="2FC7A93A"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757" w:type="pct"/>
            <w:gridSpan w:val="9"/>
            <w:vMerge/>
            <w:vAlign w:val="center"/>
            <w:hideMark/>
          </w:tcPr>
          <w:p w14:paraId="19B3F203"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8" w:type="pct"/>
            <w:gridSpan w:val="5"/>
            <w:vMerge/>
            <w:shd w:val="clear" w:color="auto" w:fill="auto"/>
            <w:vAlign w:val="center"/>
            <w:hideMark/>
          </w:tcPr>
          <w:p w14:paraId="27580BB2"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p>
        </w:tc>
        <w:tc>
          <w:tcPr>
            <w:tcW w:w="397" w:type="pct"/>
            <w:gridSpan w:val="5"/>
            <w:vMerge/>
            <w:vAlign w:val="center"/>
            <w:hideMark/>
          </w:tcPr>
          <w:p w14:paraId="77C584C0"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435" w:type="pct"/>
            <w:gridSpan w:val="4"/>
            <w:vMerge/>
            <w:vAlign w:val="center"/>
            <w:hideMark/>
          </w:tcPr>
          <w:p w14:paraId="6F82B8D3"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537" w:type="pct"/>
            <w:gridSpan w:val="3"/>
            <w:vMerge/>
            <w:vAlign w:val="center"/>
            <w:hideMark/>
          </w:tcPr>
          <w:p w14:paraId="04F97942"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371D703E" w14:textId="77777777" w:rsidTr="005D3BC5">
        <w:trPr>
          <w:trHeight w:val="457"/>
        </w:trPr>
        <w:tc>
          <w:tcPr>
            <w:tcW w:w="765" w:type="pct"/>
            <w:gridSpan w:val="4"/>
            <w:vMerge w:val="restart"/>
            <w:shd w:val="clear" w:color="000000" w:fill="DEEAF6"/>
            <w:vAlign w:val="center"/>
            <w:hideMark/>
          </w:tcPr>
          <w:p w14:paraId="27A7AA32"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bookmarkStart w:id="26" w:name="_Hlk89632444"/>
            <w:r w:rsidRPr="00383886">
              <w:rPr>
                <w:rFonts w:ascii="Arial Narrow" w:eastAsia="Times New Roman" w:hAnsi="Arial Narrow" w:cs="Arial"/>
                <w:b/>
                <w:bCs/>
                <w:color w:val="000000"/>
                <w:sz w:val="20"/>
                <w:szCs w:val="20"/>
              </w:rPr>
              <w:t xml:space="preserve">CILJ </w:t>
            </w:r>
            <w:r w:rsidR="001E4685">
              <w:rPr>
                <w:rFonts w:ascii="Arial Narrow" w:eastAsia="Times New Roman" w:hAnsi="Arial Narrow" w:cs="Arial"/>
                <w:b/>
                <w:bCs/>
                <w:color w:val="000000"/>
                <w:sz w:val="20"/>
                <w:szCs w:val="20"/>
              </w:rPr>
              <w:t>2.</w:t>
            </w:r>
            <w:r w:rsidRPr="00383886">
              <w:rPr>
                <w:rFonts w:ascii="Arial Narrow" w:eastAsia="Times New Roman" w:hAnsi="Arial Narrow" w:cs="Arial"/>
                <w:b/>
                <w:bCs/>
                <w:color w:val="000000"/>
                <w:sz w:val="20"/>
                <w:szCs w:val="20"/>
              </w:rPr>
              <w:t>5</w:t>
            </w:r>
            <w:r w:rsidR="001E4685">
              <w:rPr>
                <w:rFonts w:ascii="Arial Narrow" w:eastAsia="Times New Roman" w:hAnsi="Arial Narrow" w:cs="Arial"/>
                <w:b/>
                <w:bCs/>
                <w:color w:val="000000"/>
                <w:sz w:val="20"/>
                <w:szCs w:val="20"/>
              </w:rPr>
              <w:t>.</w:t>
            </w:r>
          </w:p>
        </w:tc>
        <w:tc>
          <w:tcPr>
            <w:tcW w:w="4235" w:type="pct"/>
            <w:gridSpan w:val="32"/>
            <w:vMerge w:val="restart"/>
            <w:shd w:val="clear" w:color="000000" w:fill="DEEAF6"/>
            <w:vAlign w:val="center"/>
            <w:hideMark/>
          </w:tcPr>
          <w:p w14:paraId="66391668" w14:textId="77777777" w:rsidR="00383886" w:rsidRPr="00383886" w:rsidRDefault="00383886" w:rsidP="00FD6B98">
            <w:pPr>
              <w:spacing w:after="0" w:line="240" w:lineRule="auto"/>
              <w:jc w:val="both"/>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Stabilan i održiv rast zaposlenosti zasnovan na jednakim mogućnostima i dostojanstvenom radu, uz razvoj znanja i vještina i veću socijalnu uključenost.</w:t>
            </w:r>
          </w:p>
        </w:tc>
      </w:tr>
      <w:tr w:rsidR="00383886" w:rsidRPr="00383886" w14:paraId="28E08ECE" w14:textId="77777777" w:rsidTr="005D3BC5">
        <w:trPr>
          <w:trHeight w:val="457"/>
        </w:trPr>
        <w:tc>
          <w:tcPr>
            <w:tcW w:w="765" w:type="pct"/>
            <w:gridSpan w:val="4"/>
            <w:vMerge/>
            <w:vAlign w:val="center"/>
            <w:hideMark/>
          </w:tcPr>
          <w:p w14:paraId="7F67D9E7" w14:textId="77777777" w:rsidR="00383886" w:rsidRPr="00383886" w:rsidRDefault="00383886" w:rsidP="00FD6B98">
            <w:pPr>
              <w:spacing w:after="0" w:line="240" w:lineRule="auto"/>
              <w:rPr>
                <w:rFonts w:ascii="Arial Narrow" w:eastAsia="Times New Roman" w:hAnsi="Arial Narrow" w:cs="Arial"/>
                <w:b/>
                <w:bCs/>
                <w:color w:val="000000"/>
                <w:sz w:val="20"/>
                <w:szCs w:val="20"/>
              </w:rPr>
            </w:pPr>
          </w:p>
        </w:tc>
        <w:tc>
          <w:tcPr>
            <w:tcW w:w="4235" w:type="pct"/>
            <w:gridSpan w:val="32"/>
            <w:vMerge/>
            <w:vAlign w:val="center"/>
            <w:hideMark/>
          </w:tcPr>
          <w:p w14:paraId="4E1F7BE3" w14:textId="77777777" w:rsidR="00383886" w:rsidRPr="00383886" w:rsidRDefault="00383886" w:rsidP="00FD6B98">
            <w:pPr>
              <w:spacing w:after="0" w:line="240" w:lineRule="auto"/>
              <w:rPr>
                <w:rFonts w:ascii="Arial Narrow" w:eastAsia="Times New Roman" w:hAnsi="Arial Narrow" w:cs="Arial"/>
                <w:b/>
                <w:bCs/>
                <w:color w:val="000000"/>
                <w:sz w:val="20"/>
                <w:szCs w:val="20"/>
              </w:rPr>
            </w:pPr>
          </w:p>
        </w:tc>
      </w:tr>
      <w:tr w:rsidR="00383886" w:rsidRPr="00383886" w14:paraId="4BB817E6" w14:textId="77777777" w:rsidTr="002756A4">
        <w:trPr>
          <w:trHeight w:val="300"/>
        </w:trPr>
        <w:tc>
          <w:tcPr>
            <w:tcW w:w="765" w:type="pct"/>
            <w:gridSpan w:val="4"/>
            <w:shd w:val="clear" w:color="000000" w:fill="DAF2F6"/>
            <w:vAlign w:val="center"/>
            <w:hideMark/>
          </w:tcPr>
          <w:p w14:paraId="49D3386C"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Indikator učinka</w:t>
            </w:r>
          </w:p>
        </w:tc>
        <w:bookmarkStart w:id="27" w:name="RANGE!C4"/>
        <w:tc>
          <w:tcPr>
            <w:tcW w:w="913" w:type="pct"/>
            <w:gridSpan w:val="8"/>
            <w:shd w:val="clear" w:color="000000" w:fill="DAF2F6"/>
            <w:vAlign w:val="center"/>
            <w:hideMark/>
          </w:tcPr>
          <w:p w14:paraId="47285AEE" w14:textId="77777777" w:rsidR="00383886" w:rsidRPr="00383886" w:rsidRDefault="00383886" w:rsidP="00FD6B98">
            <w:pPr>
              <w:spacing w:after="0" w:line="240" w:lineRule="auto"/>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fldChar w:fldCharType="begin"/>
            </w:r>
            <w:r w:rsidRPr="00383886">
              <w:rPr>
                <w:rFonts w:ascii="Arial Narrow" w:eastAsia="Times New Roman" w:hAnsi="Arial Narrow" w:cs="Arial"/>
                <w:b/>
                <w:bCs/>
                <w:color w:val="000000"/>
                <w:sz w:val="20"/>
                <w:szCs w:val="20"/>
              </w:rPr>
              <w:instrText xml:space="preserve"> HYPERLINK "file:///C:\\Users\\Zvizdojevic%20Jelena\\AppData\\Local\\Microsoft\\Windows\\INetCache\\Content.Outlook\\I3KX2VEP\\SPRV%20i%20PRV%20final%202022.xlsx" \l "RANGE!K4" </w:instrText>
            </w:r>
            <w:r w:rsidRPr="00383886">
              <w:rPr>
                <w:rFonts w:ascii="Arial Narrow" w:eastAsia="Times New Roman" w:hAnsi="Arial Narrow" w:cs="Arial"/>
                <w:b/>
                <w:bCs/>
                <w:color w:val="000000"/>
                <w:sz w:val="20"/>
                <w:szCs w:val="20"/>
              </w:rPr>
              <w:fldChar w:fldCharType="separate"/>
            </w:r>
            <w:r w:rsidRPr="00383886">
              <w:rPr>
                <w:rFonts w:ascii="Arial Narrow" w:eastAsia="Times New Roman" w:hAnsi="Arial Narrow" w:cs="Arial"/>
                <w:b/>
                <w:bCs/>
                <w:color w:val="000000"/>
                <w:sz w:val="20"/>
                <w:szCs w:val="20"/>
              </w:rPr>
              <w:t>Polazna vrijednost 2021.g</w:t>
            </w:r>
            <w:r w:rsidRPr="00383886">
              <w:rPr>
                <w:rFonts w:ascii="Arial Narrow" w:eastAsia="Times New Roman" w:hAnsi="Arial Narrow" w:cs="Arial"/>
                <w:b/>
                <w:bCs/>
                <w:color w:val="000000"/>
                <w:sz w:val="20"/>
                <w:szCs w:val="20"/>
              </w:rPr>
              <w:fldChar w:fldCharType="end"/>
            </w:r>
            <w:bookmarkEnd w:id="27"/>
            <w:r w:rsidRPr="00383886">
              <w:rPr>
                <w:rStyle w:val="FootnoteReference"/>
                <w:rFonts w:ascii="Arial Narrow" w:eastAsia="Times New Roman" w:hAnsi="Arial Narrow" w:cs="Arial"/>
                <w:b/>
                <w:bCs/>
                <w:color w:val="000000"/>
                <w:sz w:val="20"/>
                <w:szCs w:val="20"/>
              </w:rPr>
              <w:footnoteReference w:id="17"/>
            </w:r>
          </w:p>
        </w:tc>
        <w:tc>
          <w:tcPr>
            <w:tcW w:w="665" w:type="pct"/>
            <w:gridSpan w:val="8"/>
            <w:shd w:val="clear" w:color="000000" w:fill="DAF2F6"/>
            <w:vAlign w:val="center"/>
            <w:hideMark/>
          </w:tcPr>
          <w:p w14:paraId="7235322D"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Prelazna vrijednost  2022.g</w:t>
            </w:r>
          </w:p>
        </w:tc>
        <w:tc>
          <w:tcPr>
            <w:tcW w:w="686" w:type="pct"/>
            <w:gridSpan w:val="9"/>
            <w:shd w:val="clear" w:color="000000" w:fill="DAF2F6"/>
            <w:vAlign w:val="center"/>
            <w:hideMark/>
          </w:tcPr>
          <w:p w14:paraId="7DD2E0C1" w14:textId="77777777" w:rsidR="00383886" w:rsidRPr="00383886" w:rsidRDefault="00383886" w:rsidP="00FD6B98">
            <w:pPr>
              <w:spacing w:after="0" w:line="240" w:lineRule="auto"/>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Prelazna vrijednost – 2023.g</w:t>
            </w:r>
          </w:p>
        </w:tc>
        <w:tc>
          <w:tcPr>
            <w:tcW w:w="1972" w:type="pct"/>
            <w:gridSpan w:val="7"/>
            <w:shd w:val="clear" w:color="000000" w:fill="DAF2F6"/>
            <w:vAlign w:val="center"/>
            <w:hideMark/>
          </w:tcPr>
          <w:p w14:paraId="1E05486C" w14:textId="77777777" w:rsidR="00383886" w:rsidRPr="00383886" w:rsidRDefault="00383886" w:rsidP="00FD6B98">
            <w:pPr>
              <w:spacing w:after="0" w:line="240" w:lineRule="auto"/>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Ciljna vrijednost - 2024.g</w:t>
            </w:r>
          </w:p>
        </w:tc>
      </w:tr>
      <w:tr w:rsidR="00383886" w:rsidRPr="00383886" w14:paraId="13DAF35F" w14:textId="77777777" w:rsidTr="002756A4">
        <w:trPr>
          <w:trHeight w:val="840"/>
        </w:trPr>
        <w:tc>
          <w:tcPr>
            <w:tcW w:w="765" w:type="pct"/>
            <w:gridSpan w:val="4"/>
            <w:shd w:val="clear" w:color="000000" w:fill="DAF2F6"/>
            <w:vAlign w:val="center"/>
            <w:hideMark/>
          </w:tcPr>
          <w:p w14:paraId="7079A306"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                                                   Stopa registrovane nezaposlenosti</w:t>
            </w:r>
          </w:p>
        </w:tc>
        <w:tc>
          <w:tcPr>
            <w:tcW w:w="913" w:type="pct"/>
            <w:gridSpan w:val="8"/>
            <w:shd w:val="clear" w:color="auto" w:fill="DAF2F6"/>
          </w:tcPr>
          <w:p w14:paraId="05702088"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20,48%</w:t>
            </w:r>
          </w:p>
        </w:tc>
        <w:tc>
          <w:tcPr>
            <w:tcW w:w="665" w:type="pct"/>
            <w:gridSpan w:val="8"/>
            <w:shd w:val="clear" w:color="auto" w:fill="DAF2F6"/>
          </w:tcPr>
          <w:p w14:paraId="399CC4EB" w14:textId="77777777" w:rsidR="00383886" w:rsidRPr="00383886" w:rsidRDefault="00383886" w:rsidP="00FD6B98">
            <w:pPr>
              <w:spacing w:after="0" w:line="240" w:lineRule="auto"/>
              <w:jc w:val="center"/>
              <w:rPr>
                <w:rFonts w:ascii="Arial Narrow" w:hAnsi="Arial Narrow" w:cstheme="minorHAnsi"/>
                <w:sz w:val="20"/>
                <w:szCs w:val="20"/>
              </w:rPr>
            </w:pPr>
            <w:r w:rsidRPr="00383886">
              <w:rPr>
                <w:rFonts w:ascii="Arial Narrow" w:hAnsi="Arial Narrow" w:cstheme="minorHAnsi"/>
                <w:sz w:val="20"/>
                <w:szCs w:val="20"/>
              </w:rPr>
              <w:t>5 %</w:t>
            </w:r>
          </w:p>
          <w:p w14:paraId="4E3B3819"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smanjenje u odnosu na početnu vrijednost</w:t>
            </w:r>
          </w:p>
        </w:tc>
        <w:tc>
          <w:tcPr>
            <w:tcW w:w="686" w:type="pct"/>
            <w:gridSpan w:val="9"/>
            <w:shd w:val="clear" w:color="auto" w:fill="DAF2F6"/>
          </w:tcPr>
          <w:p w14:paraId="50E3F0EC" w14:textId="77777777" w:rsidR="00383886" w:rsidRPr="00383886" w:rsidRDefault="00383886" w:rsidP="00FD6B98">
            <w:pPr>
              <w:spacing w:after="0" w:line="240" w:lineRule="auto"/>
              <w:jc w:val="center"/>
              <w:rPr>
                <w:rFonts w:ascii="Arial Narrow" w:hAnsi="Arial Narrow" w:cstheme="minorHAnsi"/>
                <w:sz w:val="20"/>
                <w:szCs w:val="20"/>
              </w:rPr>
            </w:pPr>
            <w:r w:rsidRPr="00383886">
              <w:rPr>
                <w:rFonts w:ascii="Arial Narrow" w:hAnsi="Arial Narrow" w:cstheme="minorHAnsi"/>
                <w:sz w:val="20"/>
                <w:szCs w:val="20"/>
              </w:rPr>
              <w:t xml:space="preserve">10% </w:t>
            </w:r>
          </w:p>
          <w:p w14:paraId="539E5F68"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smanjenje u odnosu na početnu vrijednost</w:t>
            </w:r>
          </w:p>
        </w:tc>
        <w:tc>
          <w:tcPr>
            <w:tcW w:w="1972" w:type="pct"/>
            <w:gridSpan w:val="7"/>
            <w:shd w:val="clear" w:color="auto" w:fill="DAF2F6"/>
          </w:tcPr>
          <w:p w14:paraId="7DBEF22B" w14:textId="77777777" w:rsidR="00383886" w:rsidRPr="00383886" w:rsidRDefault="00383886" w:rsidP="00FD6B98">
            <w:pPr>
              <w:spacing w:after="0" w:line="240" w:lineRule="auto"/>
              <w:jc w:val="center"/>
              <w:rPr>
                <w:rFonts w:ascii="Arial Narrow" w:hAnsi="Arial Narrow" w:cstheme="minorHAnsi"/>
                <w:sz w:val="20"/>
                <w:szCs w:val="20"/>
              </w:rPr>
            </w:pPr>
            <w:r w:rsidRPr="00383886">
              <w:rPr>
                <w:rFonts w:ascii="Arial Narrow" w:hAnsi="Arial Narrow" w:cstheme="minorHAnsi"/>
                <w:sz w:val="20"/>
                <w:szCs w:val="20"/>
              </w:rPr>
              <w:t xml:space="preserve">15 % </w:t>
            </w:r>
          </w:p>
          <w:p w14:paraId="215D5036"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smanjenje u odnosu na početnu vrijednost</w:t>
            </w:r>
          </w:p>
        </w:tc>
      </w:tr>
      <w:tr w:rsidR="00383886" w:rsidRPr="00383886" w14:paraId="29AA5BD2" w14:textId="77777777" w:rsidTr="002756A4">
        <w:trPr>
          <w:trHeight w:val="564"/>
        </w:trPr>
        <w:tc>
          <w:tcPr>
            <w:tcW w:w="765" w:type="pct"/>
            <w:gridSpan w:val="4"/>
            <w:shd w:val="clear" w:color="000000" w:fill="DAF2F6"/>
            <w:vAlign w:val="center"/>
            <w:hideMark/>
          </w:tcPr>
          <w:p w14:paraId="51B74F7D"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Rodni jaz u zaposlenosti 20-64</w:t>
            </w:r>
          </w:p>
        </w:tc>
        <w:tc>
          <w:tcPr>
            <w:tcW w:w="913" w:type="pct"/>
            <w:gridSpan w:val="8"/>
            <w:shd w:val="clear" w:color="auto" w:fill="DAF2F6"/>
          </w:tcPr>
          <w:p w14:paraId="00714F4C"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12,9p.p</w:t>
            </w:r>
          </w:p>
        </w:tc>
        <w:tc>
          <w:tcPr>
            <w:tcW w:w="665" w:type="pct"/>
            <w:gridSpan w:val="8"/>
            <w:shd w:val="clear" w:color="auto" w:fill="DAF2F6"/>
          </w:tcPr>
          <w:p w14:paraId="15FBC4C5"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11,0 p.p</w:t>
            </w:r>
          </w:p>
        </w:tc>
        <w:tc>
          <w:tcPr>
            <w:tcW w:w="686" w:type="pct"/>
            <w:gridSpan w:val="9"/>
            <w:shd w:val="clear" w:color="auto" w:fill="DAF2F6"/>
          </w:tcPr>
          <w:p w14:paraId="76B868D8"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10,0 p.p</w:t>
            </w:r>
          </w:p>
        </w:tc>
        <w:tc>
          <w:tcPr>
            <w:tcW w:w="1972" w:type="pct"/>
            <w:gridSpan w:val="7"/>
            <w:shd w:val="clear" w:color="auto" w:fill="DAF2F6"/>
          </w:tcPr>
          <w:p w14:paraId="1B9B236A"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9,0 p.p</w:t>
            </w:r>
          </w:p>
        </w:tc>
      </w:tr>
      <w:tr w:rsidR="00383886" w:rsidRPr="00383886" w14:paraId="7986BF37" w14:textId="77777777" w:rsidTr="002756A4">
        <w:trPr>
          <w:trHeight w:val="564"/>
        </w:trPr>
        <w:tc>
          <w:tcPr>
            <w:tcW w:w="765" w:type="pct"/>
            <w:gridSpan w:val="4"/>
            <w:shd w:val="clear" w:color="000000" w:fill="DAF2F6"/>
            <w:vAlign w:val="center"/>
            <w:hideMark/>
          </w:tcPr>
          <w:p w14:paraId="0791579E"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Stopa zaposlenosti mladih 15-29</w:t>
            </w:r>
          </w:p>
        </w:tc>
        <w:tc>
          <w:tcPr>
            <w:tcW w:w="913" w:type="pct"/>
            <w:gridSpan w:val="8"/>
            <w:shd w:val="clear" w:color="auto" w:fill="DAF2F6"/>
          </w:tcPr>
          <w:p w14:paraId="6DDAF115"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31,3%</w:t>
            </w:r>
          </w:p>
        </w:tc>
        <w:tc>
          <w:tcPr>
            <w:tcW w:w="665" w:type="pct"/>
            <w:gridSpan w:val="8"/>
            <w:shd w:val="clear" w:color="auto" w:fill="DAF2F6"/>
          </w:tcPr>
          <w:p w14:paraId="035FA4AC"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27,2 %</w:t>
            </w:r>
          </w:p>
        </w:tc>
        <w:tc>
          <w:tcPr>
            <w:tcW w:w="686" w:type="pct"/>
            <w:gridSpan w:val="9"/>
            <w:shd w:val="clear" w:color="auto" w:fill="DAF2F6"/>
          </w:tcPr>
          <w:p w14:paraId="073D1FA6"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30 %</w:t>
            </w:r>
          </w:p>
        </w:tc>
        <w:tc>
          <w:tcPr>
            <w:tcW w:w="1972" w:type="pct"/>
            <w:gridSpan w:val="7"/>
            <w:shd w:val="clear" w:color="auto" w:fill="DAF2F6"/>
          </w:tcPr>
          <w:p w14:paraId="4EF3C984"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hAnsi="Arial Narrow" w:cstheme="minorHAnsi"/>
                <w:sz w:val="20"/>
                <w:szCs w:val="20"/>
              </w:rPr>
              <w:t>33 %</w:t>
            </w:r>
          </w:p>
        </w:tc>
      </w:tr>
      <w:bookmarkEnd w:id="26"/>
      <w:tr w:rsidR="00383886" w:rsidRPr="00383886" w14:paraId="1D9642ED" w14:textId="77777777" w:rsidTr="002756A4">
        <w:trPr>
          <w:trHeight w:val="1116"/>
        </w:trPr>
        <w:tc>
          <w:tcPr>
            <w:tcW w:w="765" w:type="pct"/>
            <w:gridSpan w:val="4"/>
            <w:shd w:val="clear" w:color="000000" w:fill="FFF2CC"/>
            <w:vAlign w:val="center"/>
            <w:hideMark/>
          </w:tcPr>
          <w:p w14:paraId="4162A142"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Aktivnosti</w:t>
            </w:r>
          </w:p>
        </w:tc>
        <w:tc>
          <w:tcPr>
            <w:tcW w:w="564" w:type="pct"/>
            <w:gridSpan w:val="4"/>
            <w:shd w:val="clear" w:color="000000" w:fill="FFF2CC"/>
            <w:vAlign w:val="center"/>
            <w:hideMark/>
          </w:tcPr>
          <w:p w14:paraId="7FD1399D"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Indikator rezultata</w:t>
            </w:r>
          </w:p>
        </w:tc>
        <w:tc>
          <w:tcPr>
            <w:tcW w:w="658" w:type="pct"/>
            <w:gridSpan w:val="6"/>
            <w:shd w:val="clear" w:color="000000" w:fill="FFF2CC"/>
            <w:vAlign w:val="center"/>
            <w:hideMark/>
          </w:tcPr>
          <w:p w14:paraId="189C37AB"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Nadležne institucije i nadležna komisija</w:t>
            </w:r>
          </w:p>
        </w:tc>
        <w:tc>
          <w:tcPr>
            <w:tcW w:w="355" w:type="pct"/>
            <w:gridSpan w:val="6"/>
            <w:shd w:val="clear" w:color="000000" w:fill="FFF2CC"/>
            <w:vAlign w:val="center"/>
            <w:hideMark/>
          </w:tcPr>
          <w:p w14:paraId="3C1069DF"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Planirani početak i završetak aktivnosti</w:t>
            </w:r>
          </w:p>
        </w:tc>
        <w:tc>
          <w:tcPr>
            <w:tcW w:w="392" w:type="pct"/>
            <w:gridSpan w:val="5"/>
            <w:shd w:val="clear" w:color="000000" w:fill="FFF2CC"/>
            <w:vAlign w:val="center"/>
            <w:hideMark/>
          </w:tcPr>
          <w:p w14:paraId="5CBA662E"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Sredstva za realizaciju  i informacija o izradi RIA</w:t>
            </w:r>
          </w:p>
        </w:tc>
        <w:tc>
          <w:tcPr>
            <w:tcW w:w="628" w:type="pct"/>
            <w:gridSpan w:val="5"/>
            <w:shd w:val="clear" w:color="000000" w:fill="FFF2CC"/>
            <w:vAlign w:val="center"/>
            <w:hideMark/>
          </w:tcPr>
          <w:p w14:paraId="75EEC833"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 xml:space="preserve"> Izvor finansiranja</w:t>
            </w:r>
          </w:p>
        </w:tc>
        <w:tc>
          <w:tcPr>
            <w:tcW w:w="1638" w:type="pct"/>
            <w:gridSpan w:val="6"/>
            <w:shd w:val="clear" w:color="000000" w:fill="FFF2CC"/>
            <w:vAlign w:val="center"/>
            <w:hideMark/>
          </w:tcPr>
          <w:p w14:paraId="64835665"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Obrazloženje</w:t>
            </w:r>
          </w:p>
        </w:tc>
      </w:tr>
      <w:tr w:rsidR="00383886" w:rsidRPr="00383886" w14:paraId="3BD3BEBC" w14:textId="77777777" w:rsidTr="002756A4">
        <w:trPr>
          <w:trHeight w:val="888"/>
        </w:trPr>
        <w:tc>
          <w:tcPr>
            <w:tcW w:w="765" w:type="pct"/>
            <w:gridSpan w:val="4"/>
            <w:vMerge w:val="restart"/>
            <w:shd w:val="clear" w:color="000000" w:fill="FFFFFF"/>
            <w:vAlign w:val="center"/>
            <w:hideMark/>
          </w:tcPr>
          <w:p w14:paraId="2892369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 Utvrditi Zakon o izmjenama i dopunama Zakona o radu</w:t>
            </w:r>
          </w:p>
        </w:tc>
        <w:tc>
          <w:tcPr>
            <w:tcW w:w="564" w:type="pct"/>
            <w:gridSpan w:val="4"/>
            <w:vMerge w:val="restart"/>
            <w:shd w:val="clear" w:color="000000" w:fill="FFFFFF"/>
            <w:vAlign w:val="center"/>
            <w:hideMark/>
          </w:tcPr>
          <w:p w14:paraId="0C453D6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Utvrđen Predlog zakona  o izmjenama i dopunama Zakona o radu</w:t>
            </w:r>
          </w:p>
        </w:tc>
        <w:tc>
          <w:tcPr>
            <w:tcW w:w="658" w:type="pct"/>
            <w:gridSpan w:val="6"/>
            <w:vMerge w:val="restart"/>
            <w:shd w:val="clear" w:color="000000" w:fill="FFFFFF"/>
            <w:vAlign w:val="center"/>
            <w:hideMark/>
          </w:tcPr>
          <w:p w14:paraId="5751B6F7"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            NI: MER</w:t>
            </w:r>
          </w:p>
          <w:p w14:paraId="74E5090E"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5" w:type="pct"/>
            <w:gridSpan w:val="6"/>
            <w:vMerge w:val="restart"/>
            <w:shd w:val="clear" w:color="000000" w:fill="FFFFFF"/>
            <w:vAlign w:val="center"/>
            <w:hideMark/>
          </w:tcPr>
          <w:p w14:paraId="11994A6F"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III Q 2022.</w:t>
            </w:r>
          </w:p>
        </w:tc>
        <w:tc>
          <w:tcPr>
            <w:tcW w:w="392" w:type="pct"/>
            <w:gridSpan w:val="5"/>
            <w:vMerge w:val="restart"/>
            <w:shd w:val="clear" w:color="000000" w:fill="FFFFFF"/>
            <w:vAlign w:val="center"/>
            <w:hideMark/>
          </w:tcPr>
          <w:p w14:paraId="40C950FA"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Za utvrđivanje procjene uticaja propisa će biti urađena RIA.</w:t>
            </w:r>
          </w:p>
        </w:tc>
        <w:tc>
          <w:tcPr>
            <w:tcW w:w="628" w:type="pct"/>
            <w:gridSpan w:val="5"/>
            <w:vMerge w:val="restart"/>
            <w:shd w:val="clear" w:color="000000" w:fill="FFFFFF"/>
            <w:vAlign w:val="center"/>
            <w:hideMark/>
          </w:tcPr>
          <w:p w14:paraId="063459B2"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Za utvrđivanje zakona nijesu potrebna finansijska sredstva</w:t>
            </w:r>
          </w:p>
        </w:tc>
        <w:tc>
          <w:tcPr>
            <w:tcW w:w="1638" w:type="pct"/>
            <w:gridSpan w:val="6"/>
            <w:vMerge w:val="restart"/>
            <w:shd w:val="clear" w:color="000000" w:fill="FFFFFF"/>
            <w:vAlign w:val="center"/>
            <w:hideMark/>
          </w:tcPr>
          <w:p w14:paraId="2161B119"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Izmjenama i dopunama Zakona o radu će se izvršiti usklađivanje sa pravnom tekovinom evropske unije. U tom smislu će se nastojati da se usklade privatne i poslovne obaveze između zaposlenih muškaraca i žena. Takođe, revidiraće se odredbe koje se odnose na ugovore o radu van prostorija poslodavca u cilju sveobuhvatnije zaštite prava zaposlenih.</w:t>
            </w:r>
          </w:p>
        </w:tc>
      </w:tr>
      <w:tr w:rsidR="00383886" w:rsidRPr="00383886" w14:paraId="19027DE2" w14:textId="77777777" w:rsidTr="002756A4">
        <w:trPr>
          <w:trHeight w:val="888"/>
        </w:trPr>
        <w:tc>
          <w:tcPr>
            <w:tcW w:w="765" w:type="pct"/>
            <w:gridSpan w:val="4"/>
            <w:vMerge/>
            <w:vAlign w:val="center"/>
            <w:hideMark/>
          </w:tcPr>
          <w:p w14:paraId="4549040B"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64" w:type="pct"/>
            <w:gridSpan w:val="4"/>
            <w:vMerge/>
            <w:vAlign w:val="center"/>
            <w:hideMark/>
          </w:tcPr>
          <w:p w14:paraId="1D2CFA5B"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58" w:type="pct"/>
            <w:gridSpan w:val="6"/>
            <w:vMerge/>
            <w:shd w:val="clear" w:color="000000" w:fill="FFFFFF"/>
            <w:vAlign w:val="center"/>
            <w:hideMark/>
          </w:tcPr>
          <w:p w14:paraId="618D3F29"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p>
        </w:tc>
        <w:tc>
          <w:tcPr>
            <w:tcW w:w="355" w:type="pct"/>
            <w:gridSpan w:val="6"/>
            <w:vMerge/>
            <w:vAlign w:val="center"/>
            <w:hideMark/>
          </w:tcPr>
          <w:p w14:paraId="02BCFA64"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92" w:type="pct"/>
            <w:gridSpan w:val="5"/>
            <w:vMerge/>
            <w:vAlign w:val="center"/>
            <w:hideMark/>
          </w:tcPr>
          <w:p w14:paraId="26DE706C"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28" w:type="pct"/>
            <w:gridSpan w:val="5"/>
            <w:vMerge/>
            <w:vAlign w:val="center"/>
            <w:hideMark/>
          </w:tcPr>
          <w:p w14:paraId="3E8BAB84"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638" w:type="pct"/>
            <w:gridSpan w:val="6"/>
            <w:vMerge/>
            <w:vAlign w:val="center"/>
            <w:hideMark/>
          </w:tcPr>
          <w:p w14:paraId="0F3FADF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47F9CA8E" w14:textId="77777777" w:rsidTr="002756A4">
        <w:trPr>
          <w:trHeight w:val="888"/>
        </w:trPr>
        <w:tc>
          <w:tcPr>
            <w:tcW w:w="767" w:type="pct"/>
            <w:gridSpan w:val="5"/>
            <w:vMerge w:val="restart"/>
            <w:shd w:val="clear" w:color="000000" w:fill="FFFFFF"/>
            <w:vAlign w:val="center"/>
            <w:hideMark/>
          </w:tcPr>
          <w:p w14:paraId="0FA3F8B5"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2. Utvrditi Zakon o studentskim poslovima</w:t>
            </w:r>
          </w:p>
        </w:tc>
        <w:tc>
          <w:tcPr>
            <w:tcW w:w="563" w:type="pct"/>
            <w:gridSpan w:val="4"/>
            <w:vMerge w:val="restart"/>
            <w:shd w:val="clear" w:color="000000" w:fill="FFFFFF"/>
            <w:vAlign w:val="center"/>
            <w:hideMark/>
          </w:tcPr>
          <w:p w14:paraId="2088F4AC"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Utvrđen Predlog zakona o </w:t>
            </w:r>
            <w:r w:rsidRPr="00383886">
              <w:rPr>
                <w:rFonts w:ascii="Arial Narrow" w:eastAsia="Times New Roman" w:hAnsi="Arial Narrow" w:cs="Arial"/>
                <w:color w:val="000000"/>
                <w:sz w:val="20"/>
                <w:szCs w:val="20"/>
              </w:rPr>
              <w:lastRenderedPageBreak/>
              <w:t>studentskim poslovima</w:t>
            </w:r>
          </w:p>
        </w:tc>
        <w:tc>
          <w:tcPr>
            <w:tcW w:w="659" w:type="pct"/>
            <w:gridSpan w:val="6"/>
            <w:vMerge w:val="restart"/>
            <w:shd w:val="clear" w:color="000000" w:fill="FFFFFF"/>
            <w:vAlign w:val="center"/>
            <w:hideMark/>
          </w:tcPr>
          <w:p w14:paraId="411F37D0"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NI: MER</w:t>
            </w:r>
          </w:p>
          <w:p w14:paraId="65ACEB6B"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6" w:type="pct"/>
            <w:gridSpan w:val="6"/>
            <w:vMerge w:val="restart"/>
            <w:shd w:val="clear" w:color="000000" w:fill="FFFFFF"/>
            <w:vAlign w:val="center"/>
            <w:hideMark/>
          </w:tcPr>
          <w:p w14:paraId="35D0654D"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IV Q 2022.</w:t>
            </w:r>
          </w:p>
        </w:tc>
        <w:tc>
          <w:tcPr>
            <w:tcW w:w="389" w:type="pct"/>
            <w:gridSpan w:val="4"/>
            <w:vMerge w:val="restart"/>
            <w:shd w:val="clear" w:color="000000" w:fill="FFFFFF"/>
            <w:vAlign w:val="center"/>
            <w:hideMark/>
          </w:tcPr>
          <w:p w14:paraId="16CB175D"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Za utvrđivanje procjene </w:t>
            </w:r>
            <w:r w:rsidRPr="00383886">
              <w:rPr>
                <w:rFonts w:ascii="Arial Narrow" w:eastAsia="Times New Roman" w:hAnsi="Arial Narrow" w:cs="Arial"/>
                <w:color w:val="000000"/>
                <w:sz w:val="20"/>
                <w:szCs w:val="20"/>
              </w:rPr>
              <w:lastRenderedPageBreak/>
              <w:t>uticaja propisa će biti urađena RIA.</w:t>
            </w:r>
          </w:p>
        </w:tc>
        <w:tc>
          <w:tcPr>
            <w:tcW w:w="628" w:type="pct"/>
            <w:gridSpan w:val="5"/>
            <w:vMerge w:val="restart"/>
            <w:shd w:val="clear" w:color="000000" w:fill="FFFFFF"/>
            <w:vAlign w:val="center"/>
            <w:hideMark/>
          </w:tcPr>
          <w:p w14:paraId="084BFCD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 </w:t>
            </w:r>
          </w:p>
        </w:tc>
        <w:tc>
          <w:tcPr>
            <w:tcW w:w="1638" w:type="pct"/>
            <w:gridSpan w:val="6"/>
            <w:vMerge w:val="restart"/>
            <w:shd w:val="clear" w:color="000000" w:fill="FFFFFF"/>
            <w:vAlign w:val="center"/>
            <w:hideMark/>
          </w:tcPr>
          <w:p w14:paraId="662F847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Predlogom zakona utvrdiće se angažovanje studenata na tržištu rada.</w:t>
            </w:r>
          </w:p>
        </w:tc>
      </w:tr>
      <w:tr w:rsidR="00383886" w:rsidRPr="00383886" w14:paraId="5A209246" w14:textId="77777777" w:rsidTr="002756A4">
        <w:trPr>
          <w:trHeight w:val="888"/>
        </w:trPr>
        <w:tc>
          <w:tcPr>
            <w:tcW w:w="767" w:type="pct"/>
            <w:gridSpan w:val="5"/>
            <w:vMerge/>
            <w:vAlign w:val="center"/>
            <w:hideMark/>
          </w:tcPr>
          <w:p w14:paraId="54DC970E"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63" w:type="pct"/>
            <w:gridSpan w:val="4"/>
            <w:vMerge/>
            <w:vAlign w:val="center"/>
            <w:hideMark/>
          </w:tcPr>
          <w:p w14:paraId="2D9BDC63"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59" w:type="pct"/>
            <w:gridSpan w:val="6"/>
            <w:vMerge/>
            <w:shd w:val="clear" w:color="000000" w:fill="FFFFFF"/>
            <w:vAlign w:val="center"/>
            <w:hideMark/>
          </w:tcPr>
          <w:p w14:paraId="4F6295C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6" w:type="pct"/>
            <w:gridSpan w:val="6"/>
            <w:vMerge/>
            <w:vAlign w:val="center"/>
            <w:hideMark/>
          </w:tcPr>
          <w:p w14:paraId="141A09DB"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89" w:type="pct"/>
            <w:gridSpan w:val="4"/>
            <w:vMerge/>
            <w:vAlign w:val="center"/>
            <w:hideMark/>
          </w:tcPr>
          <w:p w14:paraId="45F8E05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28" w:type="pct"/>
            <w:gridSpan w:val="5"/>
            <w:vMerge/>
            <w:vAlign w:val="center"/>
            <w:hideMark/>
          </w:tcPr>
          <w:p w14:paraId="77C42666"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638" w:type="pct"/>
            <w:gridSpan w:val="6"/>
            <w:vMerge/>
            <w:vAlign w:val="center"/>
            <w:hideMark/>
          </w:tcPr>
          <w:p w14:paraId="3B02165C"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57361B4F" w14:textId="77777777" w:rsidTr="002756A4">
        <w:trPr>
          <w:trHeight w:val="888"/>
        </w:trPr>
        <w:tc>
          <w:tcPr>
            <w:tcW w:w="767" w:type="pct"/>
            <w:gridSpan w:val="5"/>
            <w:vMerge w:val="restart"/>
            <w:shd w:val="clear" w:color="000000" w:fill="FFFFFF"/>
            <w:vAlign w:val="center"/>
            <w:hideMark/>
          </w:tcPr>
          <w:p w14:paraId="2E9872E1"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3. Akcioni plan Strategije za unapređenje zaštite i zdravlja na radu za 2023. g.</w:t>
            </w:r>
          </w:p>
        </w:tc>
        <w:tc>
          <w:tcPr>
            <w:tcW w:w="563" w:type="pct"/>
            <w:gridSpan w:val="4"/>
            <w:vMerge w:val="restart"/>
            <w:shd w:val="clear" w:color="000000" w:fill="FFFFFF"/>
            <w:vAlign w:val="center"/>
            <w:hideMark/>
          </w:tcPr>
          <w:p w14:paraId="297BE759"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Donijet Akcioni plan Strategije za unapređenje zaštite i zdravlja na radu za 2023. g.</w:t>
            </w:r>
          </w:p>
        </w:tc>
        <w:tc>
          <w:tcPr>
            <w:tcW w:w="659" w:type="pct"/>
            <w:gridSpan w:val="6"/>
            <w:vMerge w:val="restart"/>
            <w:shd w:val="clear" w:color="000000" w:fill="FFFFFF"/>
            <w:vAlign w:val="center"/>
            <w:hideMark/>
          </w:tcPr>
          <w:p w14:paraId="1167115C"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p w14:paraId="3A11A999"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6" w:type="pct"/>
            <w:gridSpan w:val="6"/>
            <w:vMerge w:val="restart"/>
            <w:shd w:val="clear" w:color="000000" w:fill="FFFFFF"/>
            <w:vAlign w:val="center"/>
            <w:hideMark/>
          </w:tcPr>
          <w:p w14:paraId="52A42EBE"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IV Q 2022.</w:t>
            </w:r>
          </w:p>
        </w:tc>
        <w:tc>
          <w:tcPr>
            <w:tcW w:w="389" w:type="pct"/>
            <w:gridSpan w:val="4"/>
            <w:vMerge w:val="restart"/>
            <w:shd w:val="clear" w:color="000000" w:fill="FFFFFF"/>
            <w:vAlign w:val="center"/>
            <w:hideMark/>
          </w:tcPr>
          <w:p w14:paraId="7FA218E5"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Za utvrđivanje procjene uticaja dokumenta će biti urađena RIA</w:t>
            </w:r>
          </w:p>
        </w:tc>
        <w:tc>
          <w:tcPr>
            <w:tcW w:w="628" w:type="pct"/>
            <w:gridSpan w:val="5"/>
            <w:vMerge w:val="restart"/>
            <w:shd w:val="clear" w:color="000000" w:fill="FFFFFF"/>
            <w:vAlign w:val="center"/>
            <w:hideMark/>
          </w:tcPr>
          <w:p w14:paraId="08A1FC49"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tc>
        <w:tc>
          <w:tcPr>
            <w:tcW w:w="1638" w:type="pct"/>
            <w:gridSpan w:val="6"/>
            <w:vMerge w:val="restart"/>
            <w:shd w:val="clear" w:color="000000" w:fill="FFFFFF"/>
            <w:vAlign w:val="center"/>
            <w:hideMark/>
          </w:tcPr>
          <w:p w14:paraId="49582FF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Akcionim planom za unapređenje zaštite i zdravlja na radu za 2023. g. će se utvrditi prioritetne aktivnosti za tekuću godinu, finansiranja i druga pitanja od značaja za sprovođenje Strategije.</w:t>
            </w:r>
          </w:p>
        </w:tc>
      </w:tr>
      <w:tr w:rsidR="00383886" w:rsidRPr="00383886" w14:paraId="30E22C44" w14:textId="77777777" w:rsidTr="002756A4">
        <w:trPr>
          <w:trHeight w:val="888"/>
        </w:trPr>
        <w:tc>
          <w:tcPr>
            <w:tcW w:w="767" w:type="pct"/>
            <w:gridSpan w:val="5"/>
            <w:vMerge/>
            <w:vAlign w:val="center"/>
            <w:hideMark/>
          </w:tcPr>
          <w:p w14:paraId="51C27F17"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63" w:type="pct"/>
            <w:gridSpan w:val="4"/>
            <w:vMerge/>
            <w:vAlign w:val="center"/>
            <w:hideMark/>
          </w:tcPr>
          <w:p w14:paraId="2D926395"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59" w:type="pct"/>
            <w:gridSpan w:val="6"/>
            <w:vMerge/>
            <w:shd w:val="clear" w:color="000000" w:fill="FFFFFF"/>
            <w:vAlign w:val="center"/>
            <w:hideMark/>
          </w:tcPr>
          <w:p w14:paraId="640316E1"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6" w:type="pct"/>
            <w:gridSpan w:val="6"/>
            <w:vMerge/>
            <w:vAlign w:val="center"/>
            <w:hideMark/>
          </w:tcPr>
          <w:p w14:paraId="6591A814"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89" w:type="pct"/>
            <w:gridSpan w:val="4"/>
            <w:vMerge/>
            <w:vAlign w:val="center"/>
            <w:hideMark/>
          </w:tcPr>
          <w:p w14:paraId="1FE9E826"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28" w:type="pct"/>
            <w:gridSpan w:val="5"/>
            <w:vMerge/>
            <w:vAlign w:val="center"/>
            <w:hideMark/>
          </w:tcPr>
          <w:p w14:paraId="6B7BCE52"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638" w:type="pct"/>
            <w:gridSpan w:val="6"/>
            <w:vMerge/>
            <w:vAlign w:val="center"/>
            <w:hideMark/>
          </w:tcPr>
          <w:p w14:paraId="07A71BC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4012984D" w14:textId="77777777" w:rsidTr="002756A4">
        <w:trPr>
          <w:trHeight w:val="888"/>
        </w:trPr>
        <w:tc>
          <w:tcPr>
            <w:tcW w:w="767" w:type="pct"/>
            <w:gridSpan w:val="5"/>
            <w:vMerge w:val="restart"/>
            <w:shd w:val="clear" w:color="000000" w:fill="FFFFFF"/>
            <w:vAlign w:val="center"/>
            <w:hideMark/>
          </w:tcPr>
          <w:p w14:paraId="6FC8E74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4.Utvrditi Zakon o profesionalnoj rehabilitaciji i zapošljavanju lica sa invaliditetom</w:t>
            </w:r>
          </w:p>
        </w:tc>
        <w:tc>
          <w:tcPr>
            <w:tcW w:w="563" w:type="pct"/>
            <w:gridSpan w:val="4"/>
            <w:vMerge w:val="restart"/>
            <w:shd w:val="clear" w:color="000000" w:fill="FFFFFF"/>
            <w:vAlign w:val="center"/>
            <w:hideMark/>
          </w:tcPr>
          <w:p w14:paraId="095E2A1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Utvrđen Predlog zakona o profesionalnoj rehabilitaciji i zapošljavanju lica sa invaliditetom </w:t>
            </w:r>
          </w:p>
        </w:tc>
        <w:tc>
          <w:tcPr>
            <w:tcW w:w="659" w:type="pct"/>
            <w:gridSpan w:val="6"/>
            <w:vMerge w:val="restart"/>
            <w:shd w:val="clear" w:color="000000" w:fill="FFFFFF"/>
            <w:vAlign w:val="center"/>
            <w:hideMark/>
          </w:tcPr>
          <w:p w14:paraId="7C81D2AD"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p w14:paraId="1B7C2FA2"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6" w:type="pct"/>
            <w:gridSpan w:val="6"/>
            <w:vMerge w:val="restart"/>
            <w:shd w:val="clear" w:color="000000" w:fill="FFFFFF"/>
            <w:vAlign w:val="center"/>
            <w:hideMark/>
          </w:tcPr>
          <w:p w14:paraId="063C2C34"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III Q 2022.</w:t>
            </w:r>
          </w:p>
        </w:tc>
        <w:tc>
          <w:tcPr>
            <w:tcW w:w="389" w:type="pct"/>
            <w:gridSpan w:val="4"/>
            <w:vMerge w:val="restart"/>
            <w:shd w:val="clear" w:color="000000" w:fill="FFFFFF"/>
            <w:vAlign w:val="center"/>
            <w:hideMark/>
          </w:tcPr>
          <w:p w14:paraId="4D786BE8"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Za utvrđivanje procjene uticaja propisa će biti urađena RIA.</w:t>
            </w:r>
          </w:p>
        </w:tc>
        <w:tc>
          <w:tcPr>
            <w:tcW w:w="628" w:type="pct"/>
            <w:gridSpan w:val="5"/>
            <w:vMerge w:val="restart"/>
            <w:shd w:val="clear" w:color="000000" w:fill="FFFFFF"/>
            <w:vAlign w:val="center"/>
            <w:hideMark/>
          </w:tcPr>
          <w:p w14:paraId="1FD072C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Za utvrđivanje zakona nijesu potrebna finansijska sredstva</w:t>
            </w:r>
          </w:p>
        </w:tc>
        <w:tc>
          <w:tcPr>
            <w:tcW w:w="1638" w:type="pct"/>
            <w:gridSpan w:val="6"/>
            <w:vMerge w:val="restart"/>
            <w:shd w:val="clear" w:color="000000" w:fill="FFFFFF"/>
            <w:vAlign w:val="center"/>
            <w:hideMark/>
          </w:tcPr>
          <w:p w14:paraId="1AD031C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Novim Zakonom o profesionalnoj rehabilitaciji i zapošljavanju lica sa invaliditetom će se predvidjeti osnivanje Zavoda za profesionalnu rehabilitaciju u okviru kojeg će se nalaziti Fond za profesionalnu rehabilitaciju i Centar za profesionalnu rehabilitaciju.</w:t>
            </w:r>
          </w:p>
        </w:tc>
      </w:tr>
      <w:tr w:rsidR="00383886" w:rsidRPr="00383886" w14:paraId="21A50EB5" w14:textId="77777777" w:rsidTr="002756A4">
        <w:trPr>
          <w:trHeight w:val="888"/>
        </w:trPr>
        <w:tc>
          <w:tcPr>
            <w:tcW w:w="767" w:type="pct"/>
            <w:gridSpan w:val="5"/>
            <w:vMerge/>
            <w:vAlign w:val="center"/>
            <w:hideMark/>
          </w:tcPr>
          <w:p w14:paraId="2469A93A"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63" w:type="pct"/>
            <w:gridSpan w:val="4"/>
            <w:vMerge/>
            <w:vAlign w:val="center"/>
            <w:hideMark/>
          </w:tcPr>
          <w:p w14:paraId="048DD517"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59" w:type="pct"/>
            <w:gridSpan w:val="6"/>
            <w:vMerge/>
            <w:shd w:val="clear" w:color="000000" w:fill="FFFFFF"/>
            <w:vAlign w:val="center"/>
            <w:hideMark/>
          </w:tcPr>
          <w:p w14:paraId="50347D9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6" w:type="pct"/>
            <w:gridSpan w:val="6"/>
            <w:vMerge/>
            <w:vAlign w:val="center"/>
            <w:hideMark/>
          </w:tcPr>
          <w:p w14:paraId="08C3DAF6"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89" w:type="pct"/>
            <w:gridSpan w:val="4"/>
            <w:vMerge/>
            <w:vAlign w:val="center"/>
            <w:hideMark/>
          </w:tcPr>
          <w:p w14:paraId="5CB3CA8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28" w:type="pct"/>
            <w:gridSpan w:val="5"/>
            <w:vMerge/>
            <w:vAlign w:val="center"/>
            <w:hideMark/>
          </w:tcPr>
          <w:p w14:paraId="786EBCD1"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638" w:type="pct"/>
            <w:gridSpan w:val="6"/>
            <w:vMerge/>
            <w:vAlign w:val="center"/>
            <w:hideMark/>
          </w:tcPr>
          <w:p w14:paraId="4B4E9B35"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61C0EA21" w14:textId="77777777" w:rsidTr="002756A4">
        <w:trPr>
          <w:trHeight w:val="558"/>
        </w:trPr>
        <w:tc>
          <w:tcPr>
            <w:tcW w:w="767" w:type="pct"/>
            <w:gridSpan w:val="5"/>
            <w:vMerge w:val="restart"/>
            <w:shd w:val="clear" w:color="000000" w:fill="FFFFFF"/>
            <w:vAlign w:val="center"/>
            <w:hideMark/>
          </w:tcPr>
          <w:p w14:paraId="5431F00C"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5.Utvrditi izmjene i dopune Zakona o posredovanju pri zapošljavanju i pravima za vrijeme nezaposlenosti</w:t>
            </w:r>
          </w:p>
        </w:tc>
        <w:tc>
          <w:tcPr>
            <w:tcW w:w="563" w:type="pct"/>
            <w:gridSpan w:val="4"/>
            <w:vMerge w:val="restart"/>
            <w:shd w:val="clear" w:color="000000" w:fill="FFFFFF"/>
            <w:vAlign w:val="center"/>
            <w:hideMark/>
          </w:tcPr>
          <w:p w14:paraId="1AD2E257"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Utvrđen Predlog zakona o izmjenama i dopunama Zakona o posredovanju pri zapošljavanju i pravima za vrijeme nezaposlenosti</w:t>
            </w:r>
          </w:p>
        </w:tc>
        <w:tc>
          <w:tcPr>
            <w:tcW w:w="659" w:type="pct"/>
            <w:gridSpan w:val="6"/>
            <w:vMerge w:val="restart"/>
            <w:shd w:val="clear" w:color="000000" w:fill="FFFFFF"/>
            <w:vAlign w:val="center"/>
            <w:hideMark/>
          </w:tcPr>
          <w:p w14:paraId="2741DF40"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p w14:paraId="251E6435"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6" w:type="pct"/>
            <w:gridSpan w:val="6"/>
            <w:vMerge w:val="restart"/>
            <w:shd w:val="clear" w:color="000000" w:fill="FFFFFF"/>
            <w:vAlign w:val="center"/>
            <w:hideMark/>
          </w:tcPr>
          <w:p w14:paraId="19F70372"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IV Q 2022.</w:t>
            </w:r>
          </w:p>
        </w:tc>
        <w:tc>
          <w:tcPr>
            <w:tcW w:w="389" w:type="pct"/>
            <w:gridSpan w:val="4"/>
            <w:vMerge w:val="restart"/>
            <w:shd w:val="clear" w:color="000000" w:fill="FFFFFF"/>
            <w:vAlign w:val="center"/>
            <w:hideMark/>
          </w:tcPr>
          <w:p w14:paraId="344BFD1D"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Za utvrđivanje procjene uticaja propisa će biti urađena RIA.</w:t>
            </w:r>
          </w:p>
        </w:tc>
        <w:tc>
          <w:tcPr>
            <w:tcW w:w="628" w:type="pct"/>
            <w:gridSpan w:val="5"/>
            <w:vMerge w:val="restart"/>
            <w:shd w:val="clear" w:color="000000" w:fill="FFFFFF"/>
            <w:vAlign w:val="center"/>
            <w:hideMark/>
          </w:tcPr>
          <w:p w14:paraId="623A0D10"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Za utvrđivanje zakona nijesu potrebna finansijska sredstva</w:t>
            </w:r>
          </w:p>
        </w:tc>
        <w:tc>
          <w:tcPr>
            <w:tcW w:w="1638" w:type="pct"/>
            <w:gridSpan w:val="6"/>
            <w:vMerge w:val="restart"/>
            <w:shd w:val="clear" w:color="000000" w:fill="FFFFFF"/>
            <w:vAlign w:val="center"/>
            <w:hideMark/>
          </w:tcPr>
          <w:p w14:paraId="6813FC3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Izmjenam i dopunama Zakona o posredovanju pri zapošljavanju i pravima za vrijeme nezaposlenosti će se izvršiti usklađivanje sa programom „Evropa sad“</w:t>
            </w:r>
          </w:p>
        </w:tc>
      </w:tr>
      <w:tr w:rsidR="00383886" w:rsidRPr="00383886" w14:paraId="76BDDD71" w14:textId="77777777" w:rsidTr="002756A4">
        <w:trPr>
          <w:trHeight w:val="888"/>
        </w:trPr>
        <w:tc>
          <w:tcPr>
            <w:tcW w:w="767" w:type="pct"/>
            <w:gridSpan w:val="5"/>
            <w:vMerge/>
            <w:vAlign w:val="center"/>
            <w:hideMark/>
          </w:tcPr>
          <w:p w14:paraId="40E2EDB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63" w:type="pct"/>
            <w:gridSpan w:val="4"/>
            <w:vMerge/>
            <w:vAlign w:val="center"/>
            <w:hideMark/>
          </w:tcPr>
          <w:p w14:paraId="5CC79898"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59" w:type="pct"/>
            <w:gridSpan w:val="6"/>
            <w:vMerge/>
            <w:shd w:val="clear" w:color="000000" w:fill="FFFFFF"/>
            <w:vAlign w:val="center"/>
            <w:hideMark/>
          </w:tcPr>
          <w:p w14:paraId="7035E1B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6" w:type="pct"/>
            <w:gridSpan w:val="6"/>
            <w:vMerge/>
            <w:vAlign w:val="center"/>
            <w:hideMark/>
          </w:tcPr>
          <w:p w14:paraId="5E22571E"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89" w:type="pct"/>
            <w:gridSpan w:val="4"/>
            <w:vMerge/>
            <w:vAlign w:val="center"/>
            <w:hideMark/>
          </w:tcPr>
          <w:p w14:paraId="6675081E"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28" w:type="pct"/>
            <w:gridSpan w:val="5"/>
            <w:vMerge/>
            <w:vAlign w:val="center"/>
            <w:hideMark/>
          </w:tcPr>
          <w:p w14:paraId="32C54828"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638" w:type="pct"/>
            <w:gridSpan w:val="6"/>
            <w:vMerge/>
            <w:vAlign w:val="center"/>
            <w:hideMark/>
          </w:tcPr>
          <w:p w14:paraId="556DF787"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26FD0528" w14:textId="77777777" w:rsidTr="002756A4">
        <w:trPr>
          <w:trHeight w:val="888"/>
        </w:trPr>
        <w:tc>
          <w:tcPr>
            <w:tcW w:w="767" w:type="pct"/>
            <w:gridSpan w:val="5"/>
            <w:vMerge w:val="restart"/>
            <w:shd w:val="clear" w:color="000000" w:fill="FFFFFF"/>
            <w:vAlign w:val="center"/>
            <w:hideMark/>
          </w:tcPr>
          <w:p w14:paraId="6CE52B5D"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6.Godišnji izvještaj o sprovođenju Akcionog plana zapošljavanja za 2021. godinu</w:t>
            </w:r>
          </w:p>
        </w:tc>
        <w:tc>
          <w:tcPr>
            <w:tcW w:w="563" w:type="pct"/>
            <w:gridSpan w:val="4"/>
            <w:vMerge w:val="restart"/>
            <w:shd w:val="clear" w:color="000000" w:fill="FFFFFF"/>
            <w:vAlign w:val="center"/>
            <w:hideMark/>
          </w:tcPr>
          <w:p w14:paraId="2EBD7D9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Usvojen Godišnji izvještaj o sprovođenju Akcionog plana zapošljavanja za 2021. godinu</w:t>
            </w:r>
          </w:p>
        </w:tc>
        <w:tc>
          <w:tcPr>
            <w:tcW w:w="659" w:type="pct"/>
            <w:gridSpan w:val="6"/>
            <w:vMerge w:val="restart"/>
            <w:shd w:val="clear" w:color="000000" w:fill="FFFFFF"/>
            <w:vAlign w:val="center"/>
            <w:hideMark/>
          </w:tcPr>
          <w:p w14:paraId="36886FA9"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p w14:paraId="2B3083C2"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6" w:type="pct"/>
            <w:gridSpan w:val="6"/>
            <w:vMerge w:val="restart"/>
            <w:shd w:val="clear" w:color="000000" w:fill="FFFFFF"/>
            <w:vAlign w:val="center"/>
            <w:hideMark/>
          </w:tcPr>
          <w:p w14:paraId="7F3B6963"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     II Q 2022.</w:t>
            </w:r>
          </w:p>
        </w:tc>
        <w:tc>
          <w:tcPr>
            <w:tcW w:w="389" w:type="pct"/>
            <w:gridSpan w:val="4"/>
            <w:vMerge w:val="restart"/>
            <w:shd w:val="clear" w:color="000000" w:fill="FFFFFF"/>
            <w:vAlign w:val="center"/>
            <w:hideMark/>
          </w:tcPr>
          <w:p w14:paraId="2546F8D9"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Nije potrebna procjena uticaja dokumenta-RIA.</w:t>
            </w:r>
          </w:p>
        </w:tc>
        <w:tc>
          <w:tcPr>
            <w:tcW w:w="628" w:type="pct"/>
            <w:gridSpan w:val="5"/>
            <w:vMerge w:val="restart"/>
            <w:shd w:val="clear" w:color="000000" w:fill="FFFFFF"/>
            <w:vAlign w:val="center"/>
            <w:hideMark/>
          </w:tcPr>
          <w:p w14:paraId="2EC5564E"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Nijesu potrebna finansijska sredstva</w:t>
            </w:r>
          </w:p>
        </w:tc>
        <w:tc>
          <w:tcPr>
            <w:tcW w:w="1638" w:type="pct"/>
            <w:gridSpan w:val="6"/>
            <w:vMerge w:val="restart"/>
            <w:shd w:val="clear" w:color="000000" w:fill="FFFFFF"/>
            <w:vAlign w:val="center"/>
            <w:hideMark/>
          </w:tcPr>
          <w:p w14:paraId="638CAE06"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Godišnjim izvještajem o sprovođenju Akcionog plana zapošljavanja za 2021. godinu prikazaće se rezultati aktivnosti i stepen realizacije obaveza iz Akcionog plana u u cilju ostvarivanja ciljeva definisanih Nacionalnom strategijom zapošljavanja 2021-2025.</w:t>
            </w:r>
          </w:p>
        </w:tc>
      </w:tr>
      <w:tr w:rsidR="00383886" w:rsidRPr="00383886" w14:paraId="3EC008E1" w14:textId="77777777" w:rsidTr="002756A4">
        <w:trPr>
          <w:trHeight w:val="888"/>
        </w:trPr>
        <w:tc>
          <w:tcPr>
            <w:tcW w:w="767" w:type="pct"/>
            <w:gridSpan w:val="5"/>
            <w:vMerge/>
            <w:vAlign w:val="center"/>
            <w:hideMark/>
          </w:tcPr>
          <w:p w14:paraId="53BB955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63" w:type="pct"/>
            <w:gridSpan w:val="4"/>
            <w:vMerge/>
            <w:vAlign w:val="center"/>
            <w:hideMark/>
          </w:tcPr>
          <w:p w14:paraId="5E5DF5B6"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59" w:type="pct"/>
            <w:gridSpan w:val="6"/>
            <w:vMerge/>
            <w:shd w:val="clear" w:color="000000" w:fill="FFFFFF"/>
            <w:vAlign w:val="center"/>
            <w:hideMark/>
          </w:tcPr>
          <w:p w14:paraId="55A83AA8"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6" w:type="pct"/>
            <w:gridSpan w:val="6"/>
            <w:vMerge/>
            <w:vAlign w:val="center"/>
            <w:hideMark/>
          </w:tcPr>
          <w:p w14:paraId="31DF1C51"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89" w:type="pct"/>
            <w:gridSpan w:val="4"/>
            <w:vMerge/>
            <w:vAlign w:val="center"/>
            <w:hideMark/>
          </w:tcPr>
          <w:p w14:paraId="574E2EBC"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28" w:type="pct"/>
            <w:gridSpan w:val="5"/>
            <w:vMerge/>
            <w:vAlign w:val="center"/>
            <w:hideMark/>
          </w:tcPr>
          <w:p w14:paraId="6D63BDE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638" w:type="pct"/>
            <w:gridSpan w:val="6"/>
            <w:vMerge/>
            <w:vAlign w:val="center"/>
            <w:hideMark/>
          </w:tcPr>
          <w:p w14:paraId="267A5949"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3F8D7D58" w14:textId="77777777" w:rsidTr="002756A4">
        <w:trPr>
          <w:trHeight w:val="888"/>
        </w:trPr>
        <w:tc>
          <w:tcPr>
            <w:tcW w:w="767" w:type="pct"/>
            <w:gridSpan w:val="5"/>
            <w:vMerge w:val="restart"/>
            <w:shd w:val="clear" w:color="000000" w:fill="FFFFFF"/>
            <w:vAlign w:val="center"/>
            <w:hideMark/>
          </w:tcPr>
          <w:p w14:paraId="682184E4"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7. Akcioni plan zapošljavanja za 2023. godinu</w:t>
            </w:r>
          </w:p>
        </w:tc>
        <w:tc>
          <w:tcPr>
            <w:tcW w:w="563" w:type="pct"/>
            <w:gridSpan w:val="4"/>
            <w:vMerge w:val="restart"/>
            <w:shd w:val="clear" w:color="000000" w:fill="FFFFFF"/>
            <w:vAlign w:val="center"/>
            <w:hideMark/>
          </w:tcPr>
          <w:p w14:paraId="68F400E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Donijet Akcioni plan zapošljavanja za 2023. godinu</w:t>
            </w:r>
          </w:p>
        </w:tc>
        <w:tc>
          <w:tcPr>
            <w:tcW w:w="659" w:type="pct"/>
            <w:gridSpan w:val="6"/>
            <w:vMerge w:val="restart"/>
            <w:shd w:val="clear" w:color="000000" w:fill="FFFFFF"/>
            <w:vAlign w:val="center"/>
            <w:hideMark/>
          </w:tcPr>
          <w:p w14:paraId="73D3BB90"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p w14:paraId="1CCF8A1C"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6" w:type="pct"/>
            <w:gridSpan w:val="6"/>
            <w:vMerge w:val="restart"/>
            <w:shd w:val="clear" w:color="000000" w:fill="FFFFFF"/>
            <w:vAlign w:val="center"/>
            <w:hideMark/>
          </w:tcPr>
          <w:p w14:paraId="60F22551"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IV Q 2022.</w:t>
            </w:r>
          </w:p>
        </w:tc>
        <w:tc>
          <w:tcPr>
            <w:tcW w:w="389" w:type="pct"/>
            <w:gridSpan w:val="4"/>
            <w:vMerge w:val="restart"/>
            <w:shd w:val="clear" w:color="000000" w:fill="FFFFFF"/>
            <w:vAlign w:val="center"/>
            <w:hideMark/>
          </w:tcPr>
          <w:p w14:paraId="448E89C3"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Za utvrđivanje procjene </w:t>
            </w:r>
            <w:r w:rsidRPr="00383886">
              <w:rPr>
                <w:rFonts w:ascii="Arial Narrow" w:eastAsia="Times New Roman" w:hAnsi="Arial Narrow" w:cs="Arial"/>
                <w:color w:val="000000"/>
                <w:sz w:val="20"/>
                <w:szCs w:val="20"/>
              </w:rPr>
              <w:lastRenderedPageBreak/>
              <w:t>uticaja dokumenta će biti urađena RIA</w:t>
            </w:r>
          </w:p>
        </w:tc>
        <w:tc>
          <w:tcPr>
            <w:tcW w:w="628" w:type="pct"/>
            <w:gridSpan w:val="5"/>
            <w:vMerge w:val="restart"/>
            <w:shd w:val="clear" w:color="000000" w:fill="FFFFFF"/>
            <w:vAlign w:val="center"/>
            <w:hideMark/>
          </w:tcPr>
          <w:p w14:paraId="2B47E8EA"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 </w:t>
            </w:r>
          </w:p>
        </w:tc>
        <w:tc>
          <w:tcPr>
            <w:tcW w:w="1638" w:type="pct"/>
            <w:gridSpan w:val="6"/>
            <w:vMerge w:val="restart"/>
            <w:shd w:val="clear" w:color="000000" w:fill="FFFFFF"/>
            <w:vAlign w:val="center"/>
            <w:hideMark/>
          </w:tcPr>
          <w:p w14:paraId="00BF2224"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Akcionim planom zapošljavanja za 2023. godinu će se utvrditi aktivnosti, nadležne institucije za sprovođenje aktivnosti, </w:t>
            </w:r>
            <w:r w:rsidRPr="00383886">
              <w:rPr>
                <w:rFonts w:ascii="Arial Narrow" w:eastAsia="Times New Roman" w:hAnsi="Arial Narrow" w:cs="Arial"/>
                <w:color w:val="000000"/>
                <w:sz w:val="20"/>
                <w:szCs w:val="20"/>
              </w:rPr>
              <w:lastRenderedPageBreak/>
              <w:t>indikatori uspjeha, izvori finansiranja i druga pitanja od značaja za sprovođenje Nacionalne strategije zapošljavanja 2021-2025</w:t>
            </w:r>
          </w:p>
        </w:tc>
      </w:tr>
      <w:tr w:rsidR="00383886" w:rsidRPr="00383886" w14:paraId="0E4E919F" w14:textId="77777777" w:rsidTr="002756A4">
        <w:trPr>
          <w:trHeight w:val="888"/>
        </w:trPr>
        <w:tc>
          <w:tcPr>
            <w:tcW w:w="767" w:type="pct"/>
            <w:gridSpan w:val="5"/>
            <w:vMerge/>
            <w:vAlign w:val="center"/>
            <w:hideMark/>
          </w:tcPr>
          <w:p w14:paraId="320E70A3"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63" w:type="pct"/>
            <w:gridSpan w:val="4"/>
            <w:vMerge/>
            <w:vAlign w:val="center"/>
            <w:hideMark/>
          </w:tcPr>
          <w:p w14:paraId="6F03F015"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59" w:type="pct"/>
            <w:gridSpan w:val="6"/>
            <w:vMerge/>
            <w:shd w:val="clear" w:color="000000" w:fill="FFFFFF"/>
            <w:vAlign w:val="center"/>
            <w:hideMark/>
          </w:tcPr>
          <w:p w14:paraId="051E51CA"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6" w:type="pct"/>
            <w:gridSpan w:val="6"/>
            <w:vMerge/>
            <w:vAlign w:val="center"/>
            <w:hideMark/>
          </w:tcPr>
          <w:p w14:paraId="7734651B"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89" w:type="pct"/>
            <w:gridSpan w:val="4"/>
            <w:vMerge/>
            <w:vAlign w:val="center"/>
            <w:hideMark/>
          </w:tcPr>
          <w:p w14:paraId="3017BBE3"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28" w:type="pct"/>
            <w:gridSpan w:val="5"/>
            <w:vMerge/>
            <w:vAlign w:val="center"/>
            <w:hideMark/>
          </w:tcPr>
          <w:p w14:paraId="198FCFB4"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638" w:type="pct"/>
            <w:gridSpan w:val="6"/>
            <w:vMerge/>
            <w:vAlign w:val="center"/>
            <w:hideMark/>
          </w:tcPr>
          <w:p w14:paraId="3D1FF6D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4BAE53EE" w14:textId="77777777" w:rsidTr="002756A4">
        <w:trPr>
          <w:trHeight w:val="888"/>
        </w:trPr>
        <w:tc>
          <w:tcPr>
            <w:tcW w:w="767" w:type="pct"/>
            <w:gridSpan w:val="5"/>
            <w:vMerge w:val="restart"/>
            <w:shd w:val="clear" w:color="000000" w:fill="FFFFFF"/>
            <w:vAlign w:val="center"/>
            <w:hideMark/>
          </w:tcPr>
          <w:p w14:paraId="7735349C"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8.Izvještaj o implementaciji Programa za zapošljavanje mladih</w:t>
            </w:r>
          </w:p>
        </w:tc>
        <w:tc>
          <w:tcPr>
            <w:tcW w:w="563" w:type="pct"/>
            <w:gridSpan w:val="4"/>
            <w:vMerge w:val="restart"/>
            <w:shd w:val="clear" w:color="000000" w:fill="FFFFFF"/>
            <w:vAlign w:val="center"/>
            <w:hideMark/>
          </w:tcPr>
          <w:p w14:paraId="4F30392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Usvojen izvještaj o implementaciji Programa za zapošljavanje mladih</w:t>
            </w:r>
          </w:p>
        </w:tc>
        <w:tc>
          <w:tcPr>
            <w:tcW w:w="659" w:type="pct"/>
            <w:gridSpan w:val="6"/>
            <w:vMerge w:val="restart"/>
            <w:shd w:val="clear" w:color="000000" w:fill="FFFFFF"/>
            <w:vAlign w:val="center"/>
            <w:hideMark/>
          </w:tcPr>
          <w:p w14:paraId="080EAB4D"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p w14:paraId="35CE59AD"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6" w:type="pct"/>
            <w:gridSpan w:val="6"/>
            <w:vMerge w:val="restart"/>
            <w:shd w:val="clear" w:color="000000" w:fill="FFFFFF"/>
            <w:vAlign w:val="center"/>
            <w:hideMark/>
          </w:tcPr>
          <w:p w14:paraId="48531E3C"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IV Q 2022</w:t>
            </w:r>
          </w:p>
        </w:tc>
        <w:tc>
          <w:tcPr>
            <w:tcW w:w="389" w:type="pct"/>
            <w:gridSpan w:val="4"/>
            <w:vMerge w:val="restart"/>
            <w:shd w:val="clear" w:color="000000" w:fill="FFFFFF"/>
            <w:vAlign w:val="center"/>
            <w:hideMark/>
          </w:tcPr>
          <w:p w14:paraId="37BBBC37"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Za utvrđivanje procjene uticaja dokumenta će biti urađena RIA</w:t>
            </w:r>
          </w:p>
        </w:tc>
        <w:tc>
          <w:tcPr>
            <w:tcW w:w="628" w:type="pct"/>
            <w:gridSpan w:val="5"/>
            <w:vMerge w:val="restart"/>
            <w:shd w:val="clear" w:color="000000" w:fill="FFFFFF"/>
            <w:vAlign w:val="center"/>
            <w:hideMark/>
          </w:tcPr>
          <w:p w14:paraId="38304A5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Nijesu potrebna finansijska sredstva</w:t>
            </w:r>
          </w:p>
        </w:tc>
        <w:tc>
          <w:tcPr>
            <w:tcW w:w="1638" w:type="pct"/>
            <w:gridSpan w:val="6"/>
            <w:vMerge w:val="restart"/>
            <w:shd w:val="clear" w:color="000000" w:fill="FFFFFF"/>
            <w:vAlign w:val="center"/>
            <w:hideMark/>
          </w:tcPr>
          <w:p w14:paraId="2FA0ECEF"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Izvještaj će sadržati detaljan pregled sprovedenih aktivnosti u okviru mjera definisanih programom</w:t>
            </w:r>
          </w:p>
        </w:tc>
      </w:tr>
      <w:tr w:rsidR="00383886" w:rsidRPr="00383886" w14:paraId="78B93F31" w14:textId="77777777" w:rsidTr="002756A4">
        <w:trPr>
          <w:trHeight w:val="888"/>
        </w:trPr>
        <w:tc>
          <w:tcPr>
            <w:tcW w:w="767" w:type="pct"/>
            <w:gridSpan w:val="5"/>
            <w:vMerge/>
            <w:vAlign w:val="center"/>
            <w:hideMark/>
          </w:tcPr>
          <w:p w14:paraId="79D6B9C2"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63" w:type="pct"/>
            <w:gridSpan w:val="4"/>
            <w:vMerge/>
            <w:vAlign w:val="center"/>
            <w:hideMark/>
          </w:tcPr>
          <w:p w14:paraId="3DA141AF"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59" w:type="pct"/>
            <w:gridSpan w:val="6"/>
            <w:vMerge/>
            <w:shd w:val="clear" w:color="000000" w:fill="FFFFFF"/>
            <w:vAlign w:val="center"/>
            <w:hideMark/>
          </w:tcPr>
          <w:p w14:paraId="6E61BA4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6" w:type="pct"/>
            <w:gridSpan w:val="6"/>
            <w:vMerge/>
            <w:vAlign w:val="center"/>
            <w:hideMark/>
          </w:tcPr>
          <w:p w14:paraId="3635131C"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89" w:type="pct"/>
            <w:gridSpan w:val="4"/>
            <w:vMerge/>
            <w:vAlign w:val="center"/>
            <w:hideMark/>
          </w:tcPr>
          <w:p w14:paraId="2D2AEBD2"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28" w:type="pct"/>
            <w:gridSpan w:val="5"/>
            <w:vMerge/>
            <w:vAlign w:val="center"/>
            <w:hideMark/>
          </w:tcPr>
          <w:p w14:paraId="62A5982D"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638" w:type="pct"/>
            <w:gridSpan w:val="6"/>
            <w:vMerge/>
            <w:vAlign w:val="center"/>
            <w:hideMark/>
          </w:tcPr>
          <w:p w14:paraId="05CBDBBB"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7822C55F" w14:textId="77777777" w:rsidTr="002756A4">
        <w:trPr>
          <w:trHeight w:val="888"/>
        </w:trPr>
        <w:tc>
          <w:tcPr>
            <w:tcW w:w="767" w:type="pct"/>
            <w:gridSpan w:val="5"/>
            <w:vMerge w:val="restart"/>
            <w:shd w:val="clear" w:color="000000" w:fill="FFFFFF"/>
            <w:vAlign w:val="center"/>
            <w:hideMark/>
          </w:tcPr>
          <w:p w14:paraId="75BA25B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9.Plan za implementaciju programa „Garancije za mlade“</w:t>
            </w:r>
          </w:p>
        </w:tc>
        <w:tc>
          <w:tcPr>
            <w:tcW w:w="563" w:type="pct"/>
            <w:gridSpan w:val="4"/>
            <w:vMerge w:val="restart"/>
            <w:shd w:val="clear" w:color="000000" w:fill="FFFFFF"/>
            <w:vAlign w:val="center"/>
            <w:hideMark/>
          </w:tcPr>
          <w:p w14:paraId="01460BD8"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Usvojen Plan za implementaciju programa „Garancije za mlade“</w:t>
            </w:r>
          </w:p>
        </w:tc>
        <w:tc>
          <w:tcPr>
            <w:tcW w:w="659" w:type="pct"/>
            <w:gridSpan w:val="6"/>
            <w:vMerge w:val="restart"/>
            <w:shd w:val="clear" w:color="000000" w:fill="FFFFFF"/>
            <w:vAlign w:val="center"/>
            <w:hideMark/>
          </w:tcPr>
          <w:p w14:paraId="774104A7"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p w14:paraId="145C7ACD"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6" w:type="pct"/>
            <w:gridSpan w:val="6"/>
            <w:vMerge w:val="restart"/>
            <w:shd w:val="clear" w:color="000000" w:fill="FFFFFF"/>
            <w:vAlign w:val="center"/>
            <w:hideMark/>
          </w:tcPr>
          <w:p w14:paraId="3ADFBA5A" w14:textId="77777777" w:rsidR="00383886" w:rsidRPr="00383886" w:rsidRDefault="00383886" w:rsidP="00FD6B98">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II Q 2022.</w:t>
            </w:r>
          </w:p>
        </w:tc>
        <w:tc>
          <w:tcPr>
            <w:tcW w:w="389" w:type="pct"/>
            <w:gridSpan w:val="4"/>
            <w:vMerge w:val="restart"/>
            <w:shd w:val="clear" w:color="000000" w:fill="FFFFFF"/>
            <w:vAlign w:val="center"/>
            <w:hideMark/>
          </w:tcPr>
          <w:p w14:paraId="33FCEB28" w14:textId="77777777" w:rsidR="00383886" w:rsidRPr="00383886" w:rsidRDefault="00383886" w:rsidP="00FD6B98">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Za utvrđivanje procjene uticaja dokumenta će biti urađena RIA</w:t>
            </w:r>
          </w:p>
        </w:tc>
        <w:tc>
          <w:tcPr>
            <w:tcW w:w="628" w:type="pct"/>
            <w:gridSpan w:val="5"/>
            <w:vMerge w:val="restart"/>
            <w:shd w:val="clear" w:color="000000" w:fill="FFFFFF"/>
            <w:vAlign w:val="center"/>
            <w:hideMark/>
          </w:tcPr>
          <w:p w14:paraId="08D63CEB"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w:t>
            </w:r>
          </w:p>
        </w:tc>
        <w:tc>
          <w:tcPr>
            <w:tcW w:w="1638" w:type="pct"/>
            <w:gridSpan w:val="6"/>
            <w:vMerge w:val="restart"/>
            <w:shd w:val="clear" w:color="000000" w:fill="FFFFFF"/>
            <w:vAlign w:val="center"/>
            <w:hideMark/>
          </w:tcPr>
          <w:p w14:paraId="1DEBBF9E" w14:textId="77777777" w:rsidR="00383886" w:rsidRPr="00383886" w:rsidRDefault="00383886" w:rsidP="00FD6B98">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Plan za implementaciju programa „Garancija za mlade“ će sadržati detaljan plan programa po fazama koje treba da obuhvate mapiranje, informisanje, pripremu i ponudu mladim ljudima, sa posebnim fokusom na NEET populaciju (mladi koji nijesu ni u sistemu obrazovanja, zaposlenosti niti obuke)</w:t>
            </w:r>
          </w:p>
        </w:tc>
      </w:tr>
      <w:tr w:rsidR="00383886" w:rsidRPr="00383886" w14:paraId="5146EB3C" w14:textId="77777777" w:rsidTr="002756A4">
        <w:trPr>
          <w:trHeight w:val="888"/>
        </w:trPr>
        <w:tc>
          <w:tcPr>
            <w:tcW w:w="767" w:type="pct"/>
            <w:gridSpan w:val="5"/>
            <w:vMerge/>
            <w:vAlign w:val="center"/>
            <w:hideMark/>
          </w:tcPr>
          <w:p w14:paraId="68FAB775"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563" w:type="pct"/>
            <w:gridSpan w:val="4"/>
            <w:vMerge/>
            <w:vAlign w:val="center"/>
            <w:hideMark/>
          </w:tcPr>
          <w:p w14:paraId="755CFDB6"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59" w:type="pct"/>
            <w:gridSpan w:val="6"/>
            <w:vMerge/>
            <w:shd w:val="clear" w:color="000000" w:fill="FFFFFF"/>
            <w:vAlign w:val="center"/>
            <w:hideMark/>
          </w:tcPr>
          <w:p w14:paraId="0B7E12C6"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56" w:type="pct"/>
            <w:gridSpan w:val="6"/>
            <w:vMerge/>
            <w:vAlign w:val="center"/>
            <w:hideMark/>
          </w:tcPr>
          <w:p w14:paraId="7EA2FFE1"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389" w:type="pct"/>
            <w:gridSpan w:val="4"/>
            <w:vMerge/>
            <w:vAlign w:val="center"/>
            <w:hideMark/>
          </w:tcPr>
          <w:p w14:paraId="4E3F65A8"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628" w:type="pct"/>
            <w:gridSpan w:val="5"/>
            <w:vMerge/>
            <w:vAlign w:val="center"/>
            <w:hideMark/>
          </w:tcPr>
          <w:p w14:paraId="712BAEE0" w14:textId="77777777" w:rsidR="00383886" w:rsidRPr="00383886" w:rsidRDefault="00383886" w:rsidP="00FD6B98">
            <w:pPr>
              <w:spacing w:after="0" w:line="240" w:lineRule="auto"/>
              <w:rPr>
                <w:rFonts w:ascii="Arial Narrow" w:eastAsia="Times New Roman" w:hAnsi="Arial Narrow" w:cs="Arial"/>
                <w:color w:val="000000"/>
                <w:sz w:val="20"/>
                <w:szCs w:val="20"/>
              </w:rPr>
            </w:pPr>
          </w:p>
        </w:tc>
        <w:tc>
          <w:tcPr>
            <w:tcW w:w="1638" w:type="pct"/>
            <w:gridSpan w:val="6"/>
            <w:vMerge/>
            <w:vAlign w:val="center"/>
            <w:hideMark/>
          </w:tcPr>
          <w:p w14:paraId="33E0C734" w14:textId="77777777" w:rsidR="00383886" w:rsidRPr="00383886" w:rsidRDefault="00383886" w:rsidP="00FD6B98">
            <w:pPr>
              <w:spacing w:after="0" w:line="240" w:lineRule="auto"/>
              <w:rPr>
                <w:rFonts w:ascii="Arial Narrow" w:eastAsia="Times New Roman" w:hAnsi="Arial Narrow" w:cs="Arial"/>
                <w:color w:val="000000"/>
                <w:sz w:val="20"/>
                <w:szCs w:val="20"/>
              </w:rPr>
            </w:pPr>
          </w:p>
        </w:tc>
      </w:tr>
      <w:tr w:rsidR="00383886" w:rsidRPr="00383886" w14:paraId="6D183616" w14:textId="77777777" w:rsidTr="005D3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801" w:type="pct"/>
            <w:gridSpan w:val="6"/>
            <w:tcBorders>
              <w:top w:val="single" w:sz="4" w:space="0" w:color="auto"/>
              <w:left w:val="single" w:sz="8" w:space="0" w:color="auto"/>
              <w:bottom w:val="single" w:sz="4" w:space="0" w:color="auto"/>
              <w:right w:val="single" w:sz="4" w:space="0" w:color="auto"/>
            </w:tcBorders>
            <w:shd w:val="clear" w:color="000000" w:fill="D9E2F3"/>
            <w:vAlign w:val="center"/>
            <w:hideMark/>
          </w:tcPr>
          <w:p w14:paraId="28BB325E"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bookmarkStart w:id="28" w:name="_Hlk89633062"/>
            <w:r w:rsidRPr="00383886">
              <w:rPr>
                <w:rFonts w:ascii="Arial Narrow" w:eastAsia="Times New Roman" w:hAnsi="Arial Narrow" w:cs="Arial"/>
                <w:b/>
                <w:bCs/>
                <w:color w:val="000000"/>
                <w:sz w:val="20"/>
                <w:szCs w:val="20"/>
              </w:rPr>
              <w:t xml:space="preserve">Cilj </w:t>
            </w:r>
            <w:r w:rsidR="001E4685">
              <w:rPr>
                <w:rFonts w:ascii="Arial Narrow" w:eastAsia="Times New Roman" w:hAnsi="Arial Narrow" w:cs="Arial"/>
                <w:b/>
                <w:bCs/>
                <w:color w:val="000000"/>
                <w:sz w:val="20"/>
                <w:szCs w:val="20"/>
              </w:rPr>
              <w:t>2.</w:t>
            </w:r>
            <w:r w:rsidRPr="00383886">
              <w:rPr>
                <w:rFonts w:ascii="Arial Narrow" w:eastAsia="Times New Roman" w:hAnsi="Arial Narrow" w:cs="Arial"/>
                <w:b/>
                <w:bCs/>
                <w:color w:val="000000"/>
                <w:sz w:val="20"/>
                <w:szCs w:val="20"/>
              </w:rPr>
              <w:t>6</w:t>
            </w:r>
            <w:r w:rsidR="001E4685">
              <w:rPr>
                <w:rFonts w:ascii="Arial Narrow" w:eastAsia="Times New Roman" w:hAnsi="Arial Narrow" w:cs="Arial"/>
                <w:b/>
                <w:bCs/>
                <w:color w:val="000000"/>
                <w:sz w:val="20"/>
                <w:szCs w:val="20"/>
              </w:rPr>
              <w:t>.</w:t>
            </w:r>
          </w:p>
        </w:tc>
        <w:tc>
          <w:tcPr>
            <w:tcW w:w="4199" w:type="pct"/>
            <w:gridSpan w:val="30"/>
            <w:tcBorders>
              <w:top w:val="single" w:sz="8" w:space="0" w:color="auto"/>
              <w:left w:val="nil"/>
              <w:bottom w:val="single" w:sz="4" w:space="0" w:color="auto"/>
              <w:right w:val="single" w:sz="8" w:space="0" w:color="000000"/>
            </w:tcBorders>
            <w:shd w:val="clear" w:color="000000" w:fill="D9E2F3"/>
            <w:vAlign w:val="center"/>
            <w:hideMark/>
          </w:tcPr>
          <w:p w14:paraId="30880442" w14:textId="77777777" w:rsidR="00383886" w:rsidRPr="00383886" w:rsidRDefault="00383886" w:rsidP="00FD6B98">
            <w:pPr>
              <w:spacing w:after="0" w:line="240" w:lineRule="auto"/>
              <w:rPr>
                <w:rFonts w:ascii="Arial Narrow" w:eastAsia="Times New Roman" w:hAnsi="Arial Narrow" w:cs="Arial"/>
                <w:b/>
                <w:bCs/>
                <w:sz w:val="20"/>
                <w:szCs w:val="20"/>
              </w:rPr>
            </w:pPr>
            <w:r w:rsidRPr="00383886">
              <w:rPr>
                <w:rFonts w:ascii="Arial Narrow" w:eastAsia="Times New Roman" w:hAnsi="Arial Narrow" w:cs="Arial"/>
                <w:b/>
                <w:bCs/>
                <w:sz w:val="20"/>
                <w:szCs w:val="20"/>
              </w:rPr>
              <w:t xml:space="preserve">Podsticanje ravnomjernog regionalnog razvoja, industrije i zanatstva </w:t>
            </w:r>
          </w:p>
        </w:tc>
      </w:tr>
      <w:tr w:rsidR="00383886" w:rsidRPr="00383886" w14:paraId="578135B3"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801" w:type="pct"/>
            <w:gridSpan w:val="6"/>
            <w:tcBorders>
              <w:top w:val="nil"/>
              <w:left w:val="single" w:sz="8" w:space="0" w:color="auto"/>
              <w:bottom w:val="single" w:sz="4" w:space="0" w:color="auto"/>
              <w:right w:val="single" w:sz="4" w:space="0" w:color="auto"/>
            </w:tcBorders>
            <w:shd w:val="clear" w:color="auto" w:fill="C7EBF1"/>
            <w:vAlign w:val="center"/>
            <w:hideMark/>
          </w:tcPr>
          <w:p w14:paraId="54DFC93A"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Indikator učinka iz SPRV</w:t>
            </w:r>
          </w:p>
        </w:tc>
        <w:tc>
          <w:tcPr>
            <w:tcW w:w="755" w:type="pct"/>
            <w:gridSpan w:val="5"/>
            <w:tcBorders>
              <w:top w:val="nil"/>
              <w:left w:val="nil"/>
              <w:bottom w:val="single" w:sz="4" w:space="0" w:color="auto"/>
              <w:right w:val="single" w:sz="4" w:space="0" w:color="auto"/>
            </w:tcBorders>
            <w:shd w:val="clear" w:color="auto" w:fill="C7EBF1"/>
            <w:vAlign w:val="center"/>
            <w:hideMark/>
          </w:tcPr>
          <w:p w14:paraId="28378AD1"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Polazna vrijednost – 2021.g</w:t>
            </w:r>
          </w:p>
        </w:tc>
        <w:tc>
          <w:tcPr>
            <w:tcW w:w="496" w:type="pct"/>
            <w:gridSpan w:val="5"/>
            <w:tcBorders>
              <w:top w:val="nil"/>
              <w:left w:val="nil"/>
              <w:bottom w:val="single" w:sz="4" w:space="0" w:color="auto"/>
              <w:right w:val="single" w:sz="4" w:space="0" w:color="auto"/>
            </w:tcBorders>
            <w:shd w:val="clear" w:color="auto" w:fill="C7EBF1"/>
            <w:vAlign w:val="center"/>
            <w:hideMark/>
          </w:tcPr>
          <w:p w14:paraId="75D5381C"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Prelazna vrijednost – 2022.g</w:t>
            </w:r>
          </w:p>
        </w:tc>
        <w:tc>
          <w:tcPr>
            <w:tcW w:w="483" w:type="pct"/>
            <w:gridSpan w:val="6"/>
            <w:tcBorders>
              <w:top w:val="nil"/>
              <w:left w:val="nil"/>
              <w:bottom w:val="single" w:sz="4" w:space="0" w:color="auto"/>
              <w:right w:val="single" w:sz="4" w:space="0" w:color="auto"/>
            </w:tcBorders>
            <w:shd w:val="clear" w:color="auto" w:fill="C7EBF1"/>
            <w:vAlign w:val="center"/>
          </w:tcPr>
          <w:p w14:paraId="0FD66F41"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Prelazna vrijednost – 2023.g</w:t>
            </w:r>
          </w:p>
        </w:tc>
        <w:tc>
          <w:tcPr>
            <w:tcW w:w="2465" w:type="pct"/>
            <w:gridSpan w:val="14"/>
            <w:tcBorders>
              <w:top w:val="nil"/>
              <w:left w:val="nil"/>
              <w:bottom w:val="single" w:sz="4" w:space="0" w:color="auto"/>
              <w:right w:val="single" w:sz="8" w:space="0" w:color="auto"/>
            </w:tcBorders>
            <w:shd w:val="clear" w:color="auto" w:fill="C7EBF1"/>
            <w:vAlign w:val="center"/>
          </w:tcPr>
          <w:p w14:paraId="3076C570" w14:textId="77777777" w:rsidR="00383886" w:rsidRPr="00383886" w:rsidRDefault="00383886" w:rsidP="00FD6B98">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Ciljna vrijednost - 2024.g</w:t>
            </w:r>
          </w:p>
        </w:tc>
      </w:tr>
      <w:tr w:rsidR="00383886" w:rsidRPr="00383886" w14:paraId="1FBC59F6"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0"/>
        </w:trPr>
        <w:tc>
          <w:tcPr>
            <w:tcW w:w="801" w:type="pct"/>
            <w:gridSpan w:val="6"/>
            <w:tcBorders>
              <w:top w:val="nil"/>
              <w:left w:val="single" w:sz="8" w:space="0" w:color="auto"/>
              <w:bottom w:val="single" w:sz="4" w:space="0" w:color="auto"/>
              <w:right w:val="single" w:sz="4" w:space="0" w:color="auto"/>
            </w:tcBorders>
            <w:shd w:val="clear" w:color="auto" w:fill="C7EBF1"/>
            <w:vAlign w:val="center"/>
            <w:hideMark/>
          </w:tcPr>
          <w:p w14:paraId="12F5EFF8" w14:textId="77777777" w:rsidR="00383886" w:rsidRPr="00A80EEE" w:rsidRDefault="00383886" w:rsidP="00FD6B98">
            <w:pPr>
              <w:spacing w:after="0" w:line="240" w:lineRule="auto"/>
              <w:jc w:val="center"/>
              <w:rPr>
                <w:rFonts w:ascii="Arial Narrow" w:eastAsia="Times New Roman" w:hAnsi="Arial Narrow" w:cs="Arial"/>
                <w:bCs/>
                <w:color w:val="000000"/>
                <w:sz w:val="20"/>
                <w:szCs w:val="20"/>
              </w:rPr>
            </w:pPr>
            <w:r w:rsidRPr="00A80EEE">
              <w:rPr>
                <w:rFonts w:ascii="Arial Narrow" w:eastAsia="Times New Roman" w:hAnsi="Arial Narrow" w:cs="Arial"/>
                <w:bCs/>
                <w:color w:val="000000"/>
                <w:sz w:val="20"/>
                <w:szCs w:val="20"/>
              </w:rPr>
              <w:t>Učešće sektora industrije u BDV (B-E)</w:t>
            </w:r>
          </w:p>
        </w:tc>
        <w:tc>
          <w:tcPr>
            <w:tcW w:w="755" w:type="pct"/>
            <w:gridSpan w:val="5"/>
            <w:tcBorders>
              <w:top w:val="nil"/>
              <w:left w:val="nil"/>
              <w:bottom w:val="single" w:sz="4" w:space="0" w:color="auto"/>
              <w:right w:val="single" w:sz="4" w:space="0" w:color="auto"/>
            </w:tcBorders>
            <w:shd w:val="clear" w:color="auto" w:fill="C7EBF1"/>
            <w:vAlign w:val="center"/>
            <w:hideMark/>
          </w:tcPr>
          <w:p w14:paraId="0003ABB4" w14:textId="77777777" w:rsidR="00383886" w:rsidRPr="00A80EEE" w:rsidRDefault="00383886" w:rsidP="00FD6B98">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13,3%</w:t>
            </w:r>
          </w:p>
          <w:p w14:paraId="27DECB1E" w14:textId="77777777" w:rsidR="00383886" w:rsidRPr="00A80EEE" w:rsidRDefault="00383886" w:rsidP="00FD6B98">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(podatk se odnosi na 2020. godinu, izvor: Monstat - BDP za 2020.g.(stalne cijene), septembar 2021.g</w:t>
            </w:r>
          </w:p>
        </w:tc>
        <w:tc>
          <w:tcPr>
            <w:tcW w:w="496" w:type="pct"/>
            <w:gridSpan w:val="5"/>
            <w:tcBorders>
              <w:top w:val="nil"/>
              <w:left w:val="nil"/>
              <w:bottom w:val="single" w:sz="4" w:space="0" w:color="auto"/>
              <w:right w:val="single" w:sz="4" w:space="0" w:color="auto"/>
            </w:tcBorders>
            <w:shd w:val="clear" w:color="auto" w:fill="C7EBF1"/>
            <w:vAlign w:val="center"/>
            <w:hideMark/>
          </w:tcPr>
          <w:p w14:paraId="2923169E" w14:textId="77777777" w:rsidR="00383886" w:rsidRPr="00A80EEE" w:rsidRDefault="00383886" w:rsidP="00FD6B98">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+5%</w:t>
            </w:r>
          </w:p>
          <w:p w14:paraId="42276F19" w14:textId="77777777" w:rsidR="00383886" w:rsidRPr="00A80EEE" w:rsidRDefault="00383886" w:rsidP="00FD6B98">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 xml:space="preserve">Povećanje BDV industrije za </w:t>
            </w:r>
          </w:p>
        </w:tc>
        <w:tc>
          <w:tcPr>
            <w:tcW w:w="483" w:type="pct"/>
            <w:gridSpan w:val="6"/>
            <w:tcBorders>
              <w:top w:val="nil"/>
              <w:left w:val="nil"/>
              <w:bottom w:val="single" w:sz="4" w:space="0" w:color="auto"/>
              <w:right w:val="single" w:sz="4" w:space="0" w:color="auto"/>
            </w:tcBorders>
            <w:shd w:val="clear" w:color="auto" w:fill="C7EBF1"/>
            <w:vAlign w:val="center"/>
          </w:tcPr>
          <w:p w14:paraId="7DDDDD0B" w14:textId="77777777" w:rsidR="00383886" w:rsidRPr="00A80EEE" w:rsidRDefault="00383886" w:rsidP="00FD6B98">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Povećanje BDV industrije za 10%</w:t>
            </w:r>
          </w:p>
        </w:tc>
        <w:tc>
          <w:tcPr>
            <w:tcW w:w="2465" w:type="pct"/>
            <w:gridSpan w:val="14"/>
            <w:tcBorders>
              <w:top w:val="nil"/>
              <w:left w:val="nil"/>
              <w:bottom w:val="single" w:sz="4" w:space="0" w:color="auto"/>
              <w:right w:val="single" w:sz="8" w:space="0" w:color="auto"/>
            </w:tcBorders>
            <w:shd w:val="clear" w:color="auto" w:fill="C7EBF1"/>
            <w:vAlign w:val="center"/>
          </w:tcPr>
          <w:p w14:paraId="4375F81D" w14:textId="77777777" w:rsidR="00383886" w:rsidRPr="00A80EEE" w:rsidRDefault="00383886" w:rsidP="00FD6B98">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Povećanje BDV industrije za 10%</w:t>
            </w:r>
          </w:p>
        </w:tc>
      </w:tr>
      <w:tr w:rsidR="00383886" w:rsidRPr="00383886" w14:paraId="66606BBF"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5"/>
        </w:trPr>
        <w:tc>
          <w:tcPr>
            <w:tcW w:w="801" w:type="pct"/>
            <w:gridSpan w:val="6"/>
            <w:tcBorders>
              <w:top w:val="nil"/>
              <w:left w:val="single" w:sz="8" w:space="0" w:color="auto"/>
              <w:bottom w:val="single" w:sz="4" w:space="0" w:color="auto"/>
              <w:right w:val="single" w:sz="4" w:space="0" w:color="auto"/>
            </w:tcBorders>
            <w:shd w:val="clear" w:color="auto" w:fill="C7EBF1"/>
            <w:vAlign w:val="center"/>
            <w:hideMark/>
          </w:tcPr>
          <w:p w14:paraId="17D3FBA6" w14:textId="77777777" w:rsidR="00383886" w:rsidRPr="00A80EEE" w:rsidRDefault="00383886" w:rsidP="00FD6B98">
            <w:pPr>
              <w:spacing w:after="0" w:line="240" w:lineRule="auto"/>
              <w:jc w:val="center"/>
              <w:rPr>
                <w:rFonts w:ascii="Arial Narrow" w:eastAsia="Times New Roman" w:hAnsi="Arial Narrow" w:cs="Arial"/>
                <w:bCs/>
                <w:color w:val="000000"/>
                <w:sz w:val="20"/>
                <w:szCs w:val="20"/>
              </w:rPr>
            </w:pPr>
            <w:r w:rsidRPr="00A80EEE">
              <w:rPr>
                <w:rFonts w:ascii="Arial Narrow" w:eastAsia="Times New Roman" w:hAnsi="Arial Narrow" w:cs="Arial"/>
                <w:bCs/>
                <w:color w:val="000000"/>
                <w:sz w:val="20"/>
                <w:szCs w:val="20"/>
              </w:rPr>
              <w:t>Broj registrovanih zanatlija u JU Zanatska komora</w:t>
            </w:r>
          </w:p>
        </w:tc>
        <w:tc>
          <w:tcPr>
            <w:tcW w:w="755" w:type="pct"/>
            <w:gridSpan w:val="5"/>
            <w:tcBorders>
              <w:top w:val="nil"/>
              <w:left w:val="nil"/>
              <w:bottom w:val="single" w:sz="4" w:space="0" w:color="auto"/>
              <w:right w:val="single" w:sz="4" w:space="0" w:color="auto"/>
            </w:tcBorders>
            <w:shd w:val="clear" w:color="auto" w:fill="C7EBF1"/>
            <w:vAlign w:val="center"/>
            <w:hideMark/>
          </w:tcPr>
          <w:p w14:paraId="3A69DB82" w14:textId="77777777" w:rsidR="00383886" w:rsidRPr="00A80EEE" w:rsidRDefault="00383886" w:rsidP="00FD6B98">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20</w:t>
            </w:r>
          </w:p>
        </w:tc>
        <w:tc>
          <w:tcPr>
            <w:tcW w:w="496" w:type="pct"/>
            <w:gridSpan w:val="5"/>
            <w:tcBorders>
              <w:top w:val="nil"/>
              <w:left w:val="nil"/>
              <w:bottom w:val="single" w:sz="4" w:space="0" w:color="auto"/>
              <w:right w:val="single" w:sz="4" w:space="0" w:color="auto"/>
            </w:tcBorders>
            <w:shd w:val="clear" w:color="auto" w:fill="C7EBF1"/>
            <w:vAlign w:val="center"/>
            <w:hideMark/>
          </w:tcPr>
          <w:p w14:paraId="0A16D9A7" w14:textId="77777777" w:rsidR="00383886" w:rsidRPr="00A80EEE" w:rsidRDefault="00383886" w:rsidP="00FD6B98">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+20%</w:t>
            </w:r>
          </w:p>
        </w:tc>
        <w:tc>
          <w:tcPr>
            <w:tcW w:w="483" w:type="pct"/>
            <w:gridSpan w:val="6"/>
            <w:tcBorders>
              <w:top w:val="nil"/>
              <w:left w:val="nil"/>
              <w:bottom w:val="single" w:sz="4" w:space="0" w:color="auto"/>
              <w:right w:val="single" w:sz="4" w:space="0" w:color="auto"/>
            </w:tcBorders>
            <w:shd w:val="clear" w:color="auto" w:fill="C7EBF1"/>
            <w:vAlign w:val="center"/>
          </w:tcPr>
          <w:p w14:paraId="29A8A3D3" w14:textId="77777777" w:rsidR="00383886" w:rsidRPr="00A80EEE" w:rsidRDefault="00383886" w:rsidP="00FD6B98">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+50%</w:t>
            </w:r>
          </w:p>
        </w:tc>
        <w:tc>
          <w:tcPr>
            <w:tcW w:w="2465" w:type="pct"/>
            <w:gridSpan w:val="14"/>
            <w:tcBorders>
              <w:top w:val="nil"/>
              <w:left w:val="nil"/>
              <w:bottom w:val="single" w:sz="4" w:space="0" w:color="auto"/>
              <w:right w:val="single" w:sz="8" w:space="0" w:color="auto"/>
            </w:tcBorders>
            <w:shd w:val="clear" w:color="auto" w:fill="C7EBF1"/>
            <w:vAlign w:val="center"/>
          </w:tcPr>
          <w:p w14:paraId="45A1AC6B" w14:textId="77777777" w:rsidR="00383886" w:rsidRPr="00A80EEE" w:rsidRDefault="00383886" w:rsidP="00FD6B98">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100%</w:t>
            </w:r>
          </w:p>
        </w:tc>
      </w:tr>
      <w:bookmarkEnd w:id="28"/>
      <w:tr w:rsidR="002756A4" w:rsidRPr="002756A4" w14:paraId="5CDBA2C4"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5"/>
        </w:trPr>
        <w:tc>
          <w:tcPr>
            <w:tcW w:w="801" w:type="pct"/>
            <w:gridSpan w:val="6"/>
            <w:tcBorders>
              <w:top w:val="single" w:sz="4" w:space="0" w:color="auto"/>
              <w:left w:val="single" w:sz="4" w:space="0" w:color="auto"/>
              <w:bottom w:val="single" w:sz="4" w:space="0" w:color="auto"/>
              <w:right w:val="single" w:sz="4" w:space="0" w:color="auto"/>
            </w:tcBorders>
            <w:shd w:val="clear" w:color="auto" w:fill="DAF2F6"/>
          </w:tcPr>
          <w:p w14:paraId="1C12674A" w14:textId="77777777" w:rsidR="002756A4" w:rsidRPr="002756A4" w:rsidRDefault="002756A4" w:rsidP="00301973">
            <w:pPr>
              <w:spacing w:after="0" w:line="240" w:lineRule="auto"/>
              <w:jc w:val="both"/>
              <w:rPr>
                <w:rFonts w:ascii="Arial Narrow" w:eastAsia="Times New Roman" w:hAnsi="Arial Narrow" w:cs="Arial"/>
                <w:b/>
                <w:bCs/>
                <w:color w:val="000000"/>
                <w:sz w:val="20"/>
                <w:szCs w:val="20"/>
              </w:rPr>
            </w:pPr>
            <w:r w:rsidRPr="002756A4">
              <w:rPr>
                <w:rFonts w:ascii="Arial Narrow" w:hAnsi="Arial Narrow" w:cs="Arial"/>
                <w:sz w:val="20"/>
                <w:szCs w:val="20"/>
              </w:rPr>
              <w:lastRenderedPageBreak/>
              <w:t>1. Broj ukupno dodijeljenih kompanijskih kodova - NCAGE kodova crnogorskim kompanijama (uvećanje od 2% na godišnjem nivou)</w:t>
            </w:r>
          </w:p>
        </w:tc>
        <w:tc>
          <w:tcPr>
            <w:tcW w:w="755" w:type="pct"/>
            <w:gridSpan w:val="5"/>
            <w:tcBorders>
              <w:top w:val="single" w:sz="4" w:space="0" w:color="auto"/>
              <w:left w:val="single" w:sz="4" w:space="0" w:color="auto"/>
              <w:bottom w:val="single" w:sz="4" w:space="0" w:color="auto"/>
              <w:right w:val="single" w:sz="4" w:space="0" w:color="auto"/>
            </w:tcBorders>
            <w:shd w:val="clear" w:color="auto" w:fill="DAF2F6"/>
          </w:tcPr>
          <w:p w14:paraId="091140C0" w14:textId="77777777" w:rsidR="002756A4" w:rsidRPr="002756A4" w:rsidRDefault="002756A4" w:rsidP="002756A4">
            <w:pPr>
              <w:spacing w:after="0" w:line="240" w:lineRule="auto"/>
              <w:jc w:val="center"/>
              <w:rPr>
                <w:rFonts w:ascii="Arial Narrow" w:eastAsia="Times New Roman" w:hAnsi="Arial Narrow" w:cs="Arial"/>
                <w:color w:val="000000"/>
                <w:sz w:val="20"/>
                <w:szCs w:val="20"/>
              </w:rPr>
            </w:pPr>
            <w:r w:rsidRPr="002756A4">
              <w:rPr>
                <w:rFonts w:ascii="Arial Narrow" w:hAnsi="Arial Narrow" w:cs="Arial"/>
                <w:sz w:val="20"/>
                <w:szCs w:val="20"/>
              </w:rPr>
              <w:t>181</w:t>
            </w:r>
          </w:p>
        </w:tc>
        <w:tc>
          <w:tcPr>
            <w:tcW w:w="496" w:type="pct"/>
            <w:gridSpan w:val="5"/>
            <w:tcBorders>
              <w:top w:val="single" w:sz="4" w:space="0" w:color="auto"/>
              <w:left w:val="single" w:sz="4" w:space="0" w:color="auto"/>
              <w:bottom w:val="single" w:sz="4" w:space="0" w:color="auto"/>
              <w:right w:val="single" w:sz="4" w:space="0" w:color="auto"/>
            </w:tcBorders>
            <w:shd w:val="clear" w:color="auto" w:fill="DAF2F6"/>
          </w:tcPr>
          <w:p w14:paraId="75EDC86F" w14:textId="77777777" w:rsidR="002756A4" w:rsidRPr="002756A4" w:rsidRDefault="002756A4" w:rsidP="002756A4">
            <w:pPr>
              <w:spacing w:after="0" w:line="240" w:lineRule="auto"/>
              <w:jc w:val="center"/>
              <w:rPr>
                <w:rFonts w:ascii="Arial Narrow" w:eastAsia="Times New Roman" w:hAnsi="Arial Narrow" w:cs="Arial"/>
                <w:color w:val="000000"/>
                <w:sz w:val="20"/>
                <w:szCs w:val="20"/>
              </w:rPr>
            </w:pPr>
            <w:r w:rsidRPr="002756A4">
              <w:rPr>
                <w:rFonts w:ascii="Arial Narrow" w:hAnsi="Arial Narrow" w:cs="Arial"/>
                <w:sz w:val="20"/>
                <w:szCs w:val="20"/>
              </w:rPr>
              <w:t>185</w:t>
            </w:r>
          </w:p>
        </w:tc>
        <w:tc>
          <w:tcPr>
            <w:tcW w:w="483" w:type="pct"/>
            <w:gridSpan w:val="6"/>
            <w:tcBorders>
              <w:top w:val="single" w:sz="4" w:space="0" w:color="auto"/>
              <w:left w:val="single" w:sz="4" w:space="0" w:color="auto"/>
              <w:bottom w:val="single" w:sz="4" w:space="0" w:color="auto"/>
              <w:right w:val="single" w:sz="4" w:space="0" w:color="auto"/>
            </w:tcBorders>
            <w:shd w:val="clear" w:color="auto" w:fill="DAF2F6"/>
          </w:tcPr>
          <w:p w14:paraId="3E2F3D7D" w14:textId="77777777" w:rsidR="002756A4" w:rsidRPr="002756A4" w:rsidRDefault="002756A4" w:rsidP="002756A4">
            <w:pPr>
              <w:spacing w:after="0" w:line="240" w:lineRule="auto"/>
              <w:jc w:val="center"/>
              <w:rPr>
                <w:rFonts w:ascii="Arial Narrow" w:eastAsia="Times New Roman" w:hAnsi="Arial Narrow" w:cs="Arial"/>
                <w:color w:val="000000"/>
                <w:sz w:val="20"/>
                <w:szCs w:val="20"/>
              </w:rPr>
            </w:pPr>
            <w:r w:rsidRPr="002756A4">
              <w:rPr>
                <w:rFonts w:ascii="Arial Narrow" w:hAnsi="Arial Narrow" w:cs="Arial"/>
                <w:sz w:val="20"/>
                <w:szCs w:val="20"/>
              </w:rPr>
              <w:t>189</w:t>
            </w:r>
          </w:p>
        </w:tc>
        <w:tc>
          <w:tcPr>
            <w:tcW w:w="2465" w:type="pct"/>
            <w:gridSpan w:val="14"/>
            <w:tcBorders>
              <w:top w:val="single" w:sz="4" w:space="0" w:color="auto"/>
              <w:left w:val="single" w:sz="4" w:space="0" w:color="auto"/>
              <w:bottom w:val="single" w:sz="4" w:space="0" w:color="auto"/>
              <w:right w:val="single" w:sz="4" w:space="0" w:color="auto"/>
            </w:tcBorders>
            <w:shd w:val="clear" w:color="auto" w:fill="DAF2F6"/>
          </w:tcPr>
          <w:p w14:paraId="3556C54B" w14:textId="77777777" w:rsidR="002756A4" w:rsidRPr="002756A4" w:rsidRDefault="002756A4" w:rsidP="002756A4">
            <w:pPr>
              <w:spacing w:after="0" w:line="240" w:lineRule="auto"/>
              <w:jc w:val="center"/>
              <w:rPr>
                <w:rFonts w:ascii="Arial Narrow" w:eastAsia="Times New Roman" w:hAnsi="Arial Narrow" w:cs="Arial"/>
                <w:color w:val="000000"/>
                <w:sz w:val="20"/>
                <w:szCs w:val="20"/>
              </w:rPr>
            </w:pPr>
            <w:r w:rsidRPr="002756A4">
              <w:rPr>
                <w:rFonts w:ascii="Arial Narrow" w:hAnsi="Arial Narrow" w:cs="Arial"/>
                <w:sz w:val="20"/>
                <w:szCs w:val="20"/>
              </w:rPr>
              <w:t>193</w:t>
            </w:r>
          </w:p>
        </w:tc>
      </w:tr>
      <w:tr w:rsidR="002756A4" w:rsidRPr="002756A4" w14:paraId="751DA7D5"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5"/>
        </w:trPr>
        <w:tc>
          <w:tcPr>
            <w:tcW w:w="801" w:type="pct"/>
            <w:gridSpan w:val="6"/>
            <w:tcBorders>
              <w:top w:val="single" w:sz="4" w:space="0" w:color="auto"/>
              <w:left w:val="single" w:sz="4" w:space="0" w:color="auto"/>
              <w:bottom w:val="single" w:sz="4" w:space="0" w:color="auto"/>
              <w:right w:val="single" w:sz="4" w:space="0" w:color="auto"/>
            </w:tcBorders>
            <w:shd w:val="clear" w:color="auto" w:fill="DAF2F6"/>
          </w:tcPr>
          <w:p w14:paraId="71000ED8" w14:textId="77777777" w:rsidR="002756A4" w:rsidRPr="002756A4" w:rsidRDefault="002756A4" w:rsidP="00301973">
            <w:pPr>
              <w:spacing w:after="0" w:line="240" w:lineRule="auto"/>
              <w:jc w:val="both"/>
              <w:rPr>
                <w:rFonts w:ascii="Arial Narrow" w:eastAsia="Times New Roman" w:hAnsi="Arial Narrow" w:cs="Arial"/>
                <w:b/>
                <w:bCs/>
                <w:color w:val="000000"/>
                <w:sz w:val="20"/>
                <w:szCs w:val="20"/>
              </w:rPr>
            </w:pPr>
            <w:r w:rsidRPr="002756A4">
              <w:rPr>
                <w:rFonts w:ascii="Arial Narrow" w:hAnsi="Arial Narrow" w:cs="Arial"/>
                <w:sz w:val="20"/>
                <w:szCs w:val="20"/>
              </w:rPr>
              <w:t>2. Broj ukupno dodijeljenih NATO skladišnih brojeva – NSN crnogorskim proizvodima (uvećanje od 5% na godišnjem nivou)</w:t>
            </w:r>
          </w:p>
        </w:tc>
        <w:tc>
          <w:tcPr>
            <w:tcW w:w="755" w:type="pct"/>
            <w:gridSpan w:val="5"/>
            <w:tcBorders>
              <w:top w:val="single" w:sz="4" w:space="0" w:color="auto"/>
              <w:left w:val="single" w:sz="4" w:space="0" w:color="auto"/>
              <w:bottom w:val="single" w:sz="4" w:space="0" w:color="auto"/>
              <w:right w:val="single" w:sz="4" w:space="0" w:color="auto"/>
            </w:tcBorders>
            <w:shd w:val="clear" w:color="auto" w:fill="DAF2F6"/>
          </w:tcPr>
          <w:p w14:paraId="2A4665E9" w14:textId="77777777" w:rsidR="002756A4" w:rsidRPr="002756A4" w:rsidRDefault="002756A4" w:rsidP="002756A4">
            <w:pPr>
              <w:spacing w:after="0" w:line="240" w:lineRule="auto"/>
              <w:jc w:val="center"/>
              <w:rPr>
                <w:rFonts w:ascii="Arial Narrow" w:eastAsia="Times New Roman" w:hAnsi="Arial Narrow" w:cs="Arial"/>
                <w:color w:val="000000"/>
                <w:sz w:val="20"/>
                <w:szCs w:val="20"/>
              </w:rPr>
            </w:pPr>
            <w:r w:rsidRPr="002756A4">
              <w:rPr>
                <w:rFonts w:ascii="Arial Narrow" w:hAnsi="Arial Narrow" w:cs="Arial"/>
                <w:sz w:val="20"/>
                <w:szCs w:val="20"/>
              </w:rPr>
              <w:t>257</w:t>
            </w:r>
          </w:p>
        </w:tc>
        <w:tc>
          <w:tcPr>
            <w:tcW w:w="496" w:type="pct"/>
            <w:gridSpan w:val="5"/>
            <w:tcBorders>
              <w:top w:val="single" w:sz="4" w:space="0" w:color="auto"/>
              <w:left w:val="single" w:sz="4" w:space="0" w:color="auto"/>
              <w:bottom w:val="single" w:sz="4" w:space="0" w:color="auto"/>
              <w:right w:val="single" w:sz="4" w:space="0" w:color="auto"/>
            </w:tcBorders>
            <w:shd w:val="clear" w:color="auto" w:fill="DAF2F6"/>
          </w:tcPr>
          <w:p w14:paraId="69C075C8" w14:textId="77777777" w:rsidR="002756A4" w:rsidRPr="002756A4" w:rsidRDefault="002756A4" w:rsidP="002756A4">
            <w:pPr>
              <w:spacing w:after="0" w:line="240" w:lineRule="auto"/>
              <w:jc w:val="center"/>
              <w:rPr>
                <w:rFonts w:ascii="Arial Narrow" w:eastAsia="Times New Roman" w:hAnsi="Arial Narrow" w:cs="Arial"/>
                <w:color w:val="000000"/>
                <w:sz w:val="20"/>
                <w:szCs w:val="20"/>
              </w:rPr>
            </w:pPr>
            <w:r w:rsidRPr="002756A4">
              <w:rPr>
                <w:rFonts w:ascii="Arial Narrow" w:hAnsi="Arial Narrow" w:cs="Arial"/>
                <w:sz w:val="20"/>
                <w:szCs w:val="20"/>
              </w:rPr>
              <w:t>270</w:t>
            </w:r>
          </w:p>
        </w:tc>
        <w:tc>
          <w:tcPr>
            <w:tcW w:w="483" w:type="pct"/>
            <w:gridSpan w:val="6"/>
            <w:tcBorders>
              <w:top w:val="single" w:sz="4" w:space="0" w:color="auto"/>
              <w:left w:val="single" w:sz="4" w:space="0" w:color="auto"/>
              <w:bottom w:val="single" w:sz="4" w:space="0" w:color="auto"/>
              <w:right w:val="single" w:sz="4" w:space="0" w:color="auto"/>
            </w:tcBorders>
            <w:shd w:val="clear" w:color="auto" w:fill="DAF2F6"/>
          </w:tcPr>
          <w:p w14:paraId="17736734" w14:textId="77777777" w:rsidR="002756A4" w:rsidRPr="002756A4" w:rsidRDefault="002756A4" w:rsidP="002756A4">
            <w:pPr>
              <w:spacing w:after="0" w:line="240" w:lineRule="auto"/>
              <w:jc w:val="center"/>
              <w:rPr>
                <w:rFonts w:ascii="Arial Narrow" w:eastAsia="Times New Roman" w:hAnsi="Arial Narrow" w:cs="Arial"/>
                <w:color w:val="000000"/>
                <w:sz w:val="20"/>
                <w:szCs w:val="20"/>
              </w:rPr>
            </w:pPr>
            <w:r w:rsidRPr="002756A4">
              <w:rPr>
                <w:rFonts w:ascii="Arial Narrow" w:hAnsi="Arial Narrow" w:cs="Arial"/>
                <w:sz w:val="20"/>
                <w:szCs w:val="20"/>
              </w:rPr>
              <w:t>284</w:t>
            </w:r>
          </w:p>
        </w:tc>
        <w:tc>
          <w:tcPr>
            <w:tcW w:w="2465" w:type="pct"/>
            <w:gridSpan w:val="14"/>
            <w:tcBorders>
              <w:top w:val="single" w:sz="4" w:space="0" w:color="auto"/>
              <w:left w:val="single" w:sz="4" w:space="0" w:color="auto"/>
              <w:bottom w:val="single" w:sz="4" w:space="0" w:color="auto"/>
              <w:right w:val="single" w:sz="4" w:space="0" w:color="auto"/>
            </w:tcBorders>
            <w:shd w:val="clear" w:color="auto" w:fill="DAF2F6"/>
          </w:tcPr>
          <w:p w14:paraId="414AFECC" w14:textId="77777777" w:rsidR="002756A4" w:rsidRPr="002756A4" w:rsidRDefault="002756A4" w:rsidP="002756A4">
            <w:pPr>
              <w:spacing w:after="0" w:line="240" w:lineRule="auto"/>
              <w:jc w:val="center"/>
              <w:rPr>
                <w:rFonts w:ascii="Arial Narrow" w:eastAsia="Times New Roman" w:hAnsi="Arial Narrow" w:cs="Arial"/>
                <w:color w:val="000000"/>
                <w:sz w:val="20"/>
                <w:szCs w:val="20"/>
              </w:rPr>
            </w:pPr>
            <w:r w:rsidRPr="002756A4">
              <w:rPr>
                <w:rFonts w:ascii="Arial Narrow" w:hAnsi="Arial Narrow" w:cs="Arial"/>
                <w:sz w:val="20"/>
                <w:szCs w:val="20"/>
              </w:rPr>
              <w:t>298</w:t>
            </w:r>
          </w:p>
        </w:tc>
      </w:tr>
      <w:tr w:rsidR="002756A4" w:rsidRPr="00383886" w14:paraId="106F47D9"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5"/>
        </w:trPr>
        <w:tc>
          <w:tcPr>
            <w:tcW w:w="801" w:type="pct"/>
            <w:gridSpan w:val="6"/>
            <w:tcBorders>
              <w:top w:val="single" w:sz="4" w:space="0" w:color="auto"/>
              <w:left w:val="single" w:sz="8" w:space="0" w:color="auto"/>
              <w:bottom w:val="single" w:sz="8" w:space="0" w:color="auto"/>
              <w:right w:val="single" w:sz="4" w:space="0" w:color="auto"/>
            </w:tcBorders>
            <w:shd w:val="clear" w:color="000000" w:fill="FFF2CC"/>
            <w:vAlign w:val="center"/>
            <w:hideMark/>
          </w:tcPr>
          <w:p w14:paraId="0DBC7A69"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Aktivnosti (direktno doprinose realizaciji cilja i fokusiraju se na reforme, novine itd.) PRV</w:t>
            </w:r>
          </w:p>
        </w:tc>
        <w:tc>
          <w:tcPr>
            <w:tcW w:w="755" w:type="pct"/>
            <w:gridSpan w:val="5"/>
            <w:tcBorders>
              <w:top w:val="single" w:sz="4" w:space="0" w:color="auto"/>
              <w:left w:val="nil"/>
              <w:bottom w:val="single" w:sz="8" w:space="0" w:color="auto"/>
              <w:right w:val="single" w:sz="4" w:space="0" w:color="auto"/>
            </w:tcBorders>
            <w:shd w:val="clear" w:color="000000" w:fill="FFF2CC"/>
            <w:vAlign w:val="center"/>
            <w:hideMark/>
          </w:tcPr>
          <w:p w14:paraId="12B0D481"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Indikator rezultata PRV</w:t>
            </w:r>
          </w:p>
        </w:tc>
        <w:tc>
          <w:tcPr>
            <w:tcW w:w="496" w:type="pct"/>
            <w:gridSpan w:val="5"/>
            <w:tcBorders>
              <w:top w:val="single" w:sz="4" w:space="0" w:color="auto"/>
              <w:left w:val="nil"/>
              <w:bottom w:val="single" w:sz="8" w:space="0" w:color="auto"/>
              <w:right w:val="single" w:sz="4" w:space="0" w:color="auto"/>
            </w:tcBorders>
            <w:shd w:val="clear" w:color="000000" w:fill="FFF2CC"/>
            <w:vAlign w:val="center"/>
            <w:hideMark/>
          </w:tcPr>
          <w:p w14:paraId="24D521D8"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Nadležne institucije i nadležna komisija</w:t>
            </w:r>
          </w:p>
        </w:tc>
        <w:tc>
          <w:tcPr>
            <w:tcW w:w="483" w:type="pct"/>
            <w:gridSpan w:val="6"/>
            <w:tcBorders>
              <w:top w:val="single" w:sz="4" w:space="0" w:color="auto"/>
              <w:left w:val="nil"/>
              <w:bottom w:val="single" w:sz="8" w:space="0" w:color="auto"/>
              <w:right w:val="single" w:sz="4" w:space="0" w:color="auto"/>
            </w:tcBorders>
            <w:shd w:val="clear" w:color="000000" w:fill="FFF2CC"/>
            <w:vAlign w:val="center"/>
            <w:hideMark/>
          </w:tcPr>
          <w:p w14:paraId="1F80322A"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Planirani početak i završetak aktivnosti</w:t>
            </w:r>
          </w:p>
        </w:tc>
        <w:tc>
          <w:tcPr>
            <w:tcW w:w="428" w:type="pct"/>
            <w:gridSpan w:val="4"/>
            <w:tcBorders>
              <w:top w:val="single" w:sz="4" w:space="0" w:color="auto"/>
              <w:left w:val="nil"/>
              <w:bottom w:val="single" w:sz="8" w:space="0" w:color="auto"/>
              <w:right w:val="single" w:sz="4" w:space="0" w:color="auto"/>
            </w:tcBorders>
            <w:shd w:val="clear" w:color="000000" w:fill="FFF2CC"/>
            <w:vAlign w:val="center"/>
            <w:hideMark/>
          </w:tcPr>
          <w:p w14:paraId="14112ECE"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Sredstva za realizaciju  i informacija o izradi RIA</w:t>
            </w:r>
          </w:p>
        </w:tc>
        <w:tc>
          <w:tcPr>
            <w:tcW w:w="495" w:type="pct"/>
            <w:gridSpan w:val="6"/>
            <w:tcBorders>
              <w:top w:val="single" w:sz="4" w:space="0" w:color="auto"/>
              <w:left w:val="nil"/>
              <w:bottom w:val="single" w:sz="8" w:space="0" w:color="auto"/>
              <w:right w:val="single" w:sz="4" w:space="0" w:color="auto"/>
            </w:tcBorders>
            <w:shd w:val="clear" w:color="000000" w:fill="FFF2CC"/>
            <w:vAlign w:val="center"/>
            <w:hideMark/>
          </w:tcPr>
          <w:p w14:paraId="723D5B7E"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 xml:space="preserve"> Izvor finansiranja</w:t>
            </w:r>
          </w:p>
        </w:tc>
        <w:tc>
          <w:tcPr>
            <w:tcW w:w="1542" w:type="pct"/>
            <w:gridSpan w:val="4"/>
            <w:tcBorders>
              <w:top w:val="single" w:sz="4" w:space="0" w:color="auto"/>
              <w:left w:val="nil"/>
              <w:bottom w:val="single" w:sz="8" w:space="0" w:color="auto"/>
              <w:right w:val="single" w:sz="8" w:space="0" w:color="auto"/>
            </w:tcBorders>
            <w:shd w:val="clear" w:color="000000" w:fill="FFF2CC"/>
            <w:vAlign w:val="center"/>
            <w:hideMark/>
          </w:tcPr>
          <w:p w14:paraId="36EBD5A1"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Obrazloženje</w:t>
            </w:r>
          </w:p>
        </w:tc>
      </w:tr>
      <w:tr w:rsidR="002756A4" w:rsidRPr="00383886" w14:paraId="66FCB0D1" w14:textId="77777777" w:rsidTr="00F27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7"/>
        </w:trPr>
        <w:tc>
          <w:tcPr>
            <w:tcW w:w="801" w:type="pct"/>
            <w:gridSpan w:val="6"/>
            <w:tcBorders>
              <w:top w:val="nil"/>
              <w:left w:val="single" w:sz="4" w:space="0" w:color="auto"/>
              <w:bottom w:val="single" w:sz="4" w:space="0" w:color="auto"/>
              <w:right w:val="single" w:sz="4" w:space="0" w:color="auto"/>
            </w:tcBorders>
            <w:shd w:val="clear" w:color="000000" w:fill="FFFFFF"/>
            <w:vAlign w:val="center"/>
            <w:hideMark/>
          </w:tcPr>
          <w:p w14:paraId="182418D1"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1.Strategija regionalnog razvoja Crne Gore 2022-2027. godina </w:t>
            </w:r>
          </w:p>
        </w:tc>
        <w:tc>
          <w:tcPr>
            <w:tcW w:w="755" w:type="pct"/>
            <w:gridSpan w:val="5"/>
            <w:tcBorders>
              <w:top w:val="nil"/>
              <w:left w:val="nil"/>
              <w:bottom w:val="single" w:sz="4" w:space="0" w:color="auto"/>
              <w:right w:val="single" w:sz="4" w:space="0" w:color="auto"/>
            </w:tcBorders>
            <w:shd w:val="clear" w:color="000000" w:fill="FFFFFF"/>
            <w:vAlign w:val="center"/>
            <w:hideMark/>
          </w:tcPr>
          <w:p w14:paraId="3BD8BA41"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Donešen novi strateški okvir politike regionalnog razvoja i implementacija</w:t>
            </w:r>
          </w:p>
        </w:tc>
        <w:tc>
          <w:tcPr>
            <w:tcW w:w="496" w:type="pct"/>
            <w:gridSpan w:val="5"/>
            <w:tcBorders>
              <w:top w:val="nil"/>
              <w:left w:val="nil"/>
              <w:bottom w:val="single" w:sz="4" w:space="0" w:color="auto"/>
              <w:right w:val="single" w:sz="4" w:space="0" w:color="auto"/>
            </w:tcBorders>
            <w:shd w:val="clear" w:color="000000" w:fill="FFFFFF"/>
            <w:vAlign w:val="center"/>
            <w:hideMark/>
          </w:tcPr>
          <w:p w14:paraId="046E2F87"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MER, u saradnji sa svim JLS, i značajnim brojem institucija koje u okvoru svojih nadležnosti podstiču regionlani razvoj </w:t>
            </w:r>
          </w:p>
        </w:tc>
        <w:tc>
          <w:tcPr>
            <w:tcW w:w="483" w:type="pct"/>
            <w:gridSpan w:val="6"/>
            <w:tcBorders>
              <w:top w:val="nil"/>
              <w:left w:val="nil"/>
              <w:bottom w:val="single" w:sz="4" w:space="0" w:color="auto"/>
              <w:right w:val="single" w:sz="4" w:space="0" w:color="auto"/>
            </w:tcBorders>
            <w:shd w:val="clear" w:color="000000" w:fill="FFFFFF"/>
            <w:vAlign w:val="center"/>
            <w:hideMark/>
          </w:tcPr>
          <w:p w14:paraId="1221EE57"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III Q 2021 - II Q 2022</w:t>
            </w:r>
          </w:p>
        </w:tc>
        <w:tc>
          <w:tcPr>
            <w:tcW w:w="428" w:type="pct"/>
            <w:gridSpan w:val="4"/>
            <w:tcBorders>
              <w:top w:val="nil"/>
              <w:left w:val="nil"/>
              <w:bottom w:val="single" w:sz="4" w:space="0" w:color="auto"/>
              <w:right w:val="single" w:sz="4" w:space="0" w:color="auto"/>
            </w:tcBorders>
            <w:shd w:val="clear" w:color="000000" w:fill="FFFFFF"/>
            <w:vAlign w:val="center"/>
            <w:hideMark/>
          </w:tcPr>
          <w:p w14:paraId="3AC13E19"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Izrada Strategije finansirana je u 2021. godini</w:t>
            </w:r>
          </w:p>
        </w:tc>
        <w:tc>
          <w:tcPr>
            <w:tcW w:w="495" w:type="pct"/>
            <w:gridSpan w:val="6"/>
            <w:tcBorders>
              <w:top w:val="nil"/>
              <w:left w:val="nil"/>
              <w:bottom w:val="single" w:sz="4" w:space="0" w:color="auto"/>
              <w:right w:val="single" w:sz="4" w:space="0" w:color="auto"/>
            </w:tcBorders>
            <w:shd w:val="clear" w:color="000000" w:fill="FFFFFF"/>
            <w:vAlign w:val="center"/>
            <w:hideMark/>
          </w:tcPr>
          <w:p w14:paraId="22780B4B"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UNDP sredstva</w:t>
            </w:r>
          </w:p>
        </w:tc>
        <w:tc>
          <w:tcPr>
            <w:tcW w:w="1542" w:type="pct"/>
            <w:gridSpan w:val="4"/>
            <w:tcBorders>
              <w:top w:val="nil"/>
              <w:left w:val="nil"/>
              <w:bottom w:val="single" w:sz="4" w:space="0" w:color="auto"/>
              <w:right w:val="single" w:sz="4" w:space="0" w:color="auto"/>
            </w:tcBorders>
            <w:shd w:val="clear" w:color="000000" w:fill="FFFFFF"/>
            <w:vAlign w:val="center"/>
            <w:hideMark/>
          </w:tcPr>
          <w:p w14:paraId="7255F749"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Donešen novi strateški okvir politike regionalnog razvoja, na čijoj implementaciji će se raditi kontinuirano</w:t>
            </w:r>
          </w:p>
        </w:tc>
      </w:tr>
      <w:tr w:rsidR="002756A4" w:rsidRPr="00383886" w14:paraId="41E492F3"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801" w:type="pct"/>
            <w:gridSpan w:val="6"/>
            <w:tcBorders>
              <w:top w:val="nil"/>
              <w:left w:val="single" w:sz="4" w:space="0" w:color="auto"/>
              <w:bottom w:val="single" w:sz="4" w:space="0" w:color="auto"/>
              <w:right w:val="single" w:sz="4" w:space="0" w:color="auto"/>
            </w:tcBorders>
            <w:shd w:val="clear" w:color="000000" w:fill="FFFFFF"/>
            <w:vAlign w:val="center"/>
            <w:hideMark/>
          </w:tcPr>
          <w:p w14:paraId="0718212A"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2.Izvještaj o implementaciji aktivnosti iz Akcionog plana za implementaciju Industrijske politike 2021-2022, za 2021.g. </w:t>
            </w:r>
          </w:p>
        </w:tc>
        <w:tc>
          <w:tcPr>
            <w:tcW w:w="755" w:type="pct"/>
            <w:gridSpan w:val="5"/>
            <w:tcBorders>
              <w:top w:val="nil"/>
              <w:left w:val="nil"/>
              <w:bottom w:val="single" w:sz="4" w:space="0" w:color="auto"/>
              <w:right w:val="single" w:sz="4" w:space="0" w:color="auto"/>
            </w:tcBorders>
            <w:shd w:val="clear" w:color="000000" w:fill="FFFFFF"/>
            <w:vAlign w:val="center"/>
            <w:hideMark/>
          </w:tcPr>
          <w:p w14:paraId="43BCF690"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Procenat realizacije aktivnosti AP IP za 2021.g.</w:t>
            </w:r>
          </w:p>
        </w:tc>
        <w:tc>
          <w:tcPr>
            <w:tcW w:w="496" w:type="pct"/>
            <w:gridSpan w:val="5"/>
            <w:tcBorders>
              <w:top w:val="nil"/>
              <w:left w:val="nil"/>
              <w:bottom w:val="single" w:sz="4" w:space="0" w:color="auto"/>
              <w:right w:val="single" w:sz="4" w:space="0" w:color="auto"/>
            </w:tcBorders>
            <w:shd w:val="clear" w:color="000000" w:fill="FFFFFF"/>
            <w:vAlign w:val="center"/>
            <w:hideMark/>
          </w:tcPr>
          <w:p w14:paraId="434BD5E4"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NI: MER i sve institucije uključene u sprovođenje aktivnosti Akcionog plana za implementaciju                 NK: KEPIF</w:t>
            </w:r>
          </w:p>
        </w:tc>
        <w:tc>
          <w:tcPr>
            <w:tcW w:w="483" w:type="pct"/>
            <w:gridSpan w:val="6"/>
            <w:tcBorders>
              <w:top w:val="nil"/>
              <w:left w:val="nil"/>
              <w:bottom w:val="single" w:sz="4" w:space="0" w:color="auto"/>
              <w:right w:val="single" w:sz="4" w:space="0" w:color="auto"/>
            </w:tcBorders>
            <w:shd w:val="clear" w:color="000000" w:fill="FFFFFF"/>
            <w:vAlign w:val="center"/>
            <w:hideMark/>
          </w:tcPr>
          <w:p w14:paraId="4F597507"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I Q - II Q 2022</w:t>
            </w:r>
          </w:p>
        </w:tc>
        <w:tc>
          <w:tcPr>
            <w:tcW w:w="428" w:type="pct"/>
            <w:gridSpan w:val="4"/>
            <w:tcBorders>
              <w:top w:val="nil"/>
              <w:left w:val="nil"/>
              <w:bottom w:val="single" w:sz="4" w:space="0" w:color="auto"/>
              <w:right w:val="single" w:sz="4" w:space="0" w:color="auto"/>
            </w:tcBorders>
            <w:shd w:val="clear" w:color="000000" w:fill="FFFFFF"/>
            <w:vAlign w:val="center"/>
            <w:hideMark/>
          </w:tcPr>
          <w:p w14:paraId="35EB6848"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Izvještajem će se utvrditi stepen realizacije i utrošena sredstva za realizaciju za 2021.g.</w:t>
            </w:r>
          </w:p>
        </w:tc>
        <w:tc>
          <w:tcPr>
            <w:tcW w:w="495" w:type="pct"/>
            <w:gridSpan w:val="6"/>
            <w:tcBorders>
              <w:top w:val="nil"/>
              <w:left w:val="nil"/>
              <w:bottom w:val="single" w:sz="4" w:space="0" w:color="auto"/>
              <w:right w:val="single" w:sz="4" w:space="0" w:color="auto"/>
            </w:tcBorders>
            <w:shd w:val="clear" w:color="000000" w:fill="FFFFFF"/>
            <w:vAlign w:val="center"/>
            <w:hideMark/>
          </w:tcPr>
          <w:p w14:paraId="230C6AB9"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Utvrđena obaveza se odnosi na izvještavanje o realizaciji Akcionog plana Industrijske politike za 2021.g. i ista ne podrazumijeva trošak </w:t>
            </w:r>
            <w:r w:rsidRPr="00383886">
              <w:rPr>
                <w:rFonts w:ascii="Arial Narrow" w:eastAsia="Times New Roman" w:hAnsi="Arial Narrow" w:cs="Arial"/>
                <w:sz w:val="20"/>
                <w:szCs w:val="20"/>
              </w:rPr>
              <w:lastRenderedPageBreak/>
              <w:t>sprovođenja u 2022.g.</w:t>
            </w:r>
          </w:p>
        </w:tc>
        <w:tc>
          <w:tcPr>
            <w:tcW w:w="1542" w:type="pct"/>
            <w:gridSpan w:val="4"/>
            <w:tcBorders>
              <w:top w:val="nil"/>
              <w:left w:val="nil"/>
              <w:bottom w:val="single" w:sz="4" w:space="0" w:color="auto"/>
              <w:right w:val="single" w:sz="4" w:space="0" w:color="auto"/>
            </w:tcBorders>
            <w:shd w:val="clear" w:color="000000" w:fill="FFFFFF"/>
            <w:vAlign w:val="center"/>
            <w:hideMark/>
          </w:tcPr>
          <w:p w14:paraId="2E670982"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lastRenderedPageBreak/>
              <w:t>Ovim izvještajem će se dati pregled i stepen realizovanih aktivnosti iz Akcionog plana Industrijske politike 2021-2022. godine, za 2021.godinu, po utvrđenim strateškim ciljevima, u smislu vrednovanja indikatora uspješnosti politike, indikatora učinka na nivou svakog od 4 strateška cilja i pripadajućih operativnih ciljeva, i indikatora rezultata na nivou pojedinačnih aktivnosti.</w:t>
            </w:r>
          </w:p>
        </w:tc>
      </w:tr>
      <w:tr w:rsidR="002756A4" w:rsidRPr="00383886" w14:paraId="660A4022"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0"/>
        </w:trPr>
        <w:tc>
          <w:tcPr>
            <w:tcW w:w="801" w:type="pct"/>
            <w:gridSpan w:val="6"/>
            <w:tcBorders>
              <w:top w:val="nil"/>
              <w:left w:val="single" w:sz="4" w:space="0" w:color="auto"/>
              <w:bottom w:val="single" w:sz="4" w:space="0" w:color="auto"/>
              <w:right w:val="single" w:sz="4" w:space="0" w:color="auto"/>
            </w:tcBorders>
            <w:shd w:val="clear" w:color="000000" w:fill="FFFFFF"/>
            <w:vAlign w:val="center"/>
            <w:hideMark/>
          </w:tcPr>
          <w:p w14:paraId="78E63C21"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3.Program za modernizaciju prerađivačkih kapaciteta </w:t>
            </w:r>
          </w:p>
        </w:tc>
        <w:tc>
          <w:tcPr>
            <w:tcW w:w="755" w:type="pct"/>
            <w:gridSpan w:val="5"/>
            <w:tcBorders>
              <w:top w:val="nil"/>
              <w:left w:val="nil"/>
              <w:bottom w:val="single" w:sz="4" w:space="0" w:color="auto"/>
              <w:right w:val="single" w:sz="4" w:space="0" w:color="auto"/>
            </w:tcBorders>
            <w:shd w:val="clear" w:color="000000" w:fill="FFFFFF"/>
            <w:vAlign w:val="center"/>
            <w:hideMark/>
          </w:tcPr>
          <w:p w14:paraId="339DC59C"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Broj privrednih društava podrzanih kroz grantove/vrijednost ukupne podrške kroz grantove </w:t>
            </w:r>
          </w:p>
        </w:tc>
        <w:tc>
          <w:tcPr>
            <w:tcW w:w="496" w:type="pct"/>
            <w:gridSpan w:val="5"/>
            <w:tcBorders>
              <w:top w:val="nil"/>
              <w:left w:val="nil"/>
              <w:bottom w:val="single" w:sz="4" w:space="0" w:color="auto"/>
              <w:right w:val="single" w:sz="4" w:space="0" w:color="auto"/>
            </w:tcBorders>
            <w:shd w:val="clear" w:color="000000" w:fill="FFFFFF"/>
            <w:vAlign w:val="center"/>
            <w:hideMark/>
          </w:tcPr>
          <w:p w14:paraId="46B2C2D2"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NI: MER                                                               NK: KEPIF</w:t>
            </w:r>
          </w:p>
        </w:tc>
        <w:tc>
          <w:tcPr>
            <w:tcW w:w="483" w:type="pct"/>
            <w:gridSpan w:val="6"/>
            <w:tcBorders>
              <w:top w:val="nil"/>
              <w:left w:val="nil"/>
              <w:bottom w:val="single" w:sz="4" w:space="0" w:color="auto"/>
              <w:right w:val="single" w:sz="4" w:space="0" w:color="auto"/>
            </w:tcBorders>
            <w:shd w:val="clear" w:color="000000" w:fill="FFFFFF"/>
            <w:vAlign w:val="center"/>
            <w:hideMark/>
          </w:tcPr>
          <w:p w14:paraId="52E8C143"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I-IV Q 2022</w:t>
            </w:r>
          </w:p>
        </w:tc>
        <w:tc>
          <w:tcPr>
            <w:tcW w:w="428" w:type="pct"/>
            <w:gridSpan w:val="4"/>
            <w:tcBorders>
              <w:top w:val="nil"/>
              <w:left w:val="nil"/>
              <w:bottom w:val="single" w:sz="4" w:space="0" w:color="auto"/>
              <w:right w:val="single" w:sz="4" w:space="0" w:color="auto"/>
            </w:tcBorders>
            <w:shd w:val="clear" w:color="000000" w:fill="FFFFFF"/>
            <w:vAlign w:val="center"/>
            <w:hideMark/>
          </w:tcPr>
          <w:p w14:paraId="464B126A"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1.000.000</w:t>
            </w:r>
          </w:p>
        </w:tc>
        <w:tc>
          <w:tcPr>
            <w:tcW w:w="495" w:type="pct"/>
            <w:gridSpan w:val="6"/>
            <w:tcBorders>
              <w:top w:val="nil"/>
              <w:left w:val="nil"/>
              <w:bottom w:val="single" w:sz="4" w:space="0" w:color="auto"/>
              <w:right w:val="single" w:sz="4" w:space="0" w:color="auto"/>
            </w:tcBorders>
            <w:shd w:val="clear" w:color="000000" w:fill="FFFFFF"/>
            <w:vAlign w:val="center"/>
            <w:hideMark/>
          </w:tcPr>
          <w:p w14:paraId="490E35A3"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Budzet MER</w:t>
            </w:r>
          </w:p>
        </w:tc>
        <w:tc>
          <w:tcPr>
            <w:tcW w:w="1542" w:type="pct"/>
            <w:gridSpan w:val="4"/>
            <w:tcBorders>
              <w:top w:val="nil"/>
              <w:left w:val="nil"/>
              <w:bottom w:val="single" w:sz="4" w:space="0" w:color="auto"/>
              <w:right w:val="single" w:sz="4" w:space="0" w:color="auto"/>
            </w:tcBorders>
            <w:shd w:val="clear" w:color="000000" w:fill="FFFFFF"/>
            <w:vAlign w:val="center"/>
            <w:hideMark/>
          </w:tcPr>
          <w:p w14:paraId="412C92D8"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Program za modernizaciju prerađivačkih kapaciteta kroz podršku nabavke proizvodne opreme i mašina ima za cilj jačanje konkurentnosti privrednih subjekata, unaprjeđenje poslovanja, produktivnosti i profitabilnosti. Osim smanjenja troškova nabavke opreme kroz subvencionisanje dijela troškova ova podrška dovodi do povećanja obima i vrijednosti prometa i unaprjeđenja tehnoloških procesa, proizvoda i usluga. Dodatan fokus će biti na nabavci mašina i opreme za unapređenje energetske efikasnosti kroz uvođenje alternativnih sistema u proizvodnji energije  za potrebe proizvodnih pogona.</w:t>
            </w:r>
          </w:p>
        </w:tc>
      </w:tr>
      <w:tr w:rsidR="002756A4" w:rsidRPr="00383886" w14:paraId="1E62180C"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0"/>
        </w:trPr>
        <w:tc>
          <w:tcPr>
            <w:tcW w:w="801"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24B461F"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4.Program za tranformaciju klastera i podrška njihovog daljeg razvoja </w:t>
            </w:r>
          </w:p>
        </w:tc>
        <w:tc>
          <w:tcPr>
            <w:tcW w:w="755" w:type="pct"/>
            <w:gridSpan w:val="5"/>
            <w:tcBorders>
              <w:top w:val="single" w:sz="4" w:space="0" w:color="auto"/>
              <w:left w:val="nil"/>
              <w:bottom w:val="single" w:sz="4" w:space="0" w:color="auto"/>
              <w:right w:val="single" w:sz="4" w:space="0" w:color="auto"/>
            </w:tcBorders>
            <w:shd w:val="clear" w:color="000000" w:fill="FFFFFF"/>
            <w:vAlign w:val="center"/>
            <w:hideMark/>
          </w:tcPr>
          <w:p w14:paraId="0CCDF113"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Broj transformisanih klastera </w:t>
            </w:r>
          </w:p>
        </w:tc>
        <w:tc>
          <w:tcPr>
            <w:tcW w:w="496" w:type="pct"/>
            <w:gridSpan w:val="5"/>
            <w:tcBorders>
              <w:top w:val="single" w:sz="4" w:space="0" w:color="auto"/>
              <w:left w:val="nil"/>
              <w:bottom w:val="single" w:sz="4" w:space="0" w:color="auto"/>
              <w:right w:val="single" w:sz="4" w:space="0" w:color="auto"/>
            </w:tcBorders>
            <w:shd w:val="clear" w:color="000000" w:fill="FFFFFF"/>
            <w:vAlign w:val="center"/>
            <w:hideMark/>
          </w:tcPr>
          <w:p w14:paraId="53A62943"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NI: MER                                                               NK: KEPIF</w:t>
            </w:r>
          </w:p>
        </w:tc>
        <w:tc>
          <w:tcPr>
            <w:tcW w:w="483" w:type="pct"/>
            <w:gridSpan w:val="6"/>
            <w:tcBorders>
              <w:top w:val="single" w:sz="4" w:space="0" w:color="auto"/>
              <w:left w:val="nil"/>
              <w:bottom w:val="single" w:sz="4" w:space="0" w:color="auto"/>
              <w:right w:val="single" w:sz="4" w:space="0" w:color="auto"/>
            </w:tcBorders>
            <w:shd w:val="clear" w:color="000000" w:fill="FFFFFF"/>
            <w:vAlign w:val="center"/>
            <w:hideMark/>
          </w:tcPr>
          <w:p w14:paraId="2889D47F"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I-IV Q 2022</w:t>
            </w:r>
          </w:p>
        </w:tc>
        <w:tc>
          <w:tcPr>
            <w:tcW w:w="428" w:type="pct"/>
            <w:gridSpan w:val="4"/>
            <w:tcBorders>
              <w:top w:val="single" w:sz="4" w:space="0" w:color="auto"/>
              <w:left w:val="nil"/>
              <w:bottom w:val="single" w:sz="4" w:space="0" w:color="auto"/>
              <w:right w:val="single" w:sz="4" w:space="0" w:color="auto"/>
            </w:tcBorders>
            <w:shd w:val="clear" w:color="000000" w:fill="FFFFFF"/>
            <w:vAlign w:val="center"/>
            <w:hideMark/>
          </w:tcPr>
          <w:p w14:paraId="4AA9C7DB"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75,000</w:t>
            </w:r>
          </w:p>
        </w:tc>
        <w:tc>
          <w:tcPr>
            <w:tcW w:w="495" w:type="pct"/>
            <w:gridSpan w:val="6"/>
            <w:tcBorders>
              <w:top w:val="single" w:sz="4" w:space="0" w:color="auto"/>
              <w:left w:val="nil"/>
              <w:bottom w:val="single" w:sz="4" w:space="0" w:color="auto"/>
              <w:right w:val="single" w:sz="4" w:space="0" w:color="auto"/>
            </w:tcBorders>
            <w:shd w:val="clear" w:color="000000" w:fill="FFFFFF"/>
            <w:vAlign w:val="center"/>
            <w:hideMark/>
          </w:tcPr>
          <w:p w14:paraId="6E64ED7B"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Budzet MER</w:t>
            </w:r>
          </w:p>
        </w:tc>
        <w:tc>
          <w:tcPr>
            <w:tcW w:w="1542" w:type="pct"/>
            <w:gridSpan w:val="4"/>
            <w:tcBorders>
              <w:top w:val="single" w:sz="4" w:space="0" w:color="auto"/>
              <w:left w:val="nil"/>
              <w:bottom w:val="single" w:sz="4" w:space="0" w:color="auto"/>
              <w:right w:val="single" w:sz="4" w:space="0" w:color="auto"/>
            </w:tcBorders>
            <w:shd w:val="clear" w:color="000000" w:fill="FFFFFF"/>
            <w:vAlign w:val="center"/>
            <w:hideMark/>
          </w:tcPr>
          <w:p w14:paraId="30F7681E"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Program ima za cilj podršku transformacije klaster inicijativa u održive klastere, koji će predstavljati dobru platformu za jačanje konkurentnosti privrede. </w:t>
            </w:r>
          </w:p>
        </w:tc>
      </w:tr>
      <w:tr w:rsidR="002756A4" w:rsidRPr="00383886" w14:paraId="134FC2B0"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801" w:type="pct"/>
            <w:gridSpan w:val="6"/>
            <w:tcBorders>
              <w:top w:val="nil"/>
              <w:left w:val="single" w:sz="4" w:space="0" w:color="auto"/>
              <w:bottom w:val="nil"/>
              <w:right w:val="single" w:sz="4" w:space="0" w:color="auto"/>
            </w:tcBorders>
            <w:shd w:val="clear" w:color="000000" w:fill="FFFFFF"/>
            <w:vAlign w:val="center"/>
            <w:hideMark/>
          </w:tcPr>
          <w:p w14:paraId="34415356"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5.Program za unapređenje i promociju zanatstva </w:t>
            </w:r>
          </w:p>
        </w:tc>
        <w:tc>
          <w:tcPr>
            <w:tcW w:w="755" w:type="pct"/>
            <w:gridSpan w:val="5"/>
            <w:tcBorders>
              <w:top w:val="nil"/>
              <w:left w:val="nil"/>
              <w:bottom w:val="nil"/>
              <w:right w:val="single" w:sz="4" w:space="0" w:color="auto"/>
            </w:tcBorders>
            <w:shd w:val="clear" w:color="000000" w:fill="FFFFFF"/>
            <w:vAlign w:val="center"/>
            <w:hideMark/>
          </w:tcPr>
          <w:p w14:paraId="4926CEF4"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Broj zanatlija koji su podrzani u okviru Programa</w:t>
            </w:r>
          </w:p>
        </w:tc>
        <w:tc>
          <w:tcPr>
            <w:tcW w:w="496" w:type="pct"/>
            <w:gridSpan w:val="5"/>
            <w:tcBorders>
              <w:top w:val="nil"/>
              <w:left w:val="nil"/>
              <w:bottom w:val="nil"/>
              <w:right w:val="single" w:sz="4" w:space="0" w:color="auto"/>
            </w:tcBorders>
            <w:shd w:val="clear" w:color="000000" w:fill="FFFFFF"/>
            <w:vAlign w:val="center"/>
            <w:hideMark/>
          </w:tcPr>
          <w:p w14:paraId="70DE2FC5"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MER</w:t>
            </w:r>
          </w:p>
        </w:tc>
        <w:tc>
          <w:tcPr>
            <w:tcW w:w="483" w:type="pct"/>
            <w:gridSpan w:val="6"/>
            <w:tcBorders>
              <w:top w:val="nil"/>
              <w:left w:val="nil"/>
              <w:bottom w:val="nil"/>
              <w:right w:val="single" w:sz="4" w:space="0" w:color="auto"/>
            </w:tcBorders>
            <w:shd w:val="clear" w:color="000000" w:fill="FFFFFF"/>
            <w:vAlign w:val="center"/>
            <w:hideMark/>
          </w:tcPr>
          <w:p w14:paraId="16DB7D33"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br/>
            </w:r>
            <w:r w:rsidRPr="00383886">
              <w:rPr>
                <w:rFonts w:ascii="Arial Narrow" w:eastAsia="Times New Roman" w:hAnsi="Arial Narrow" w:cs="Arial"/>
                <w:sz w:val="20"/>
                <w:szCs w:val="20"/>
              </w:rPr>
              <w:br/>
              <w:t>I-IV Q 2022</w:t>
            </w:r>
          </w:p>
        </w:tc>
        <w:tc>
          <w:tcPr>
            <w:tcW w:w="428" w:type="pct"/>
            <w:gridSpan w:val="4"/>
            <w:tcBorders>
              <w:top w:val="nil"/>
              <w:left w:val="nil"/>
              <w:bottom w:val="nil"/>
              <w:right w:val="single" w:sz="4" w:space="0" w:color="auto"/>
            </w:tcBorders>
            <w:shd w:val="clear" w:color="000000" w:fill="FFFFFF"/>
            <w:vAlign w:val="center"/>
            <w:hideMark/>
          </w:tcPr>
          <w:p w14:paraId="7D5EBEE7"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175,000</w:t>
            </w:r>
          </w:p>
        </w:tc>
        <w:tc>
          <w:tcPr>
            <w:tcW w:w="495" w:type="pct"/>
            <w:gridSpan w:val="6"/>
            <w:tcBorders>
              <w:top w:val="nil"/>
              <w:left w:val="nil"/>
              <w:bottom w:val="nil"/>
              <w:right w:val="single" w:sz="4" w:space="0" w:color="auto"/>
            </w:tcBorders>
            <w:shd w:val="clear" w:color="000000" w:fill="FFFFFF"/>
            <w:vAlign w:val="center"/>
            <w:hideMark/>
          </w:tcPr>
          <w:p w14:paraId="36CE98A8"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Budzet MER</w:t>
            </w:r>
          </w:p>
        </w:tc>
        <w:tc>
          <w:tcPr>
            <w:tcW w:w="1542" w:type="pct"/>
            <w:gridSpan w:val="4"/>
            <w:tcBorders>
              <w:top w:val="nil"/>
              <w:left w:val="nil"/>
              <w:bottom w:val="nil"/>
              <w:right w:val="single" w:sz="4" w:space="0" w:color="auto"/>
            </w:tcBorders>
            <w:shd w:val="clear" w:color="000000" w:fill="FFFFFF"/>
            <w:vAlign w:val="center"/>
            <w:hideMark/>
          </w:tcPr>
          <w:p w14:paraId="2EC33EDF"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Program za unapređenje zanatstva ima za cilj da doprinese jačanju konkurentnosti crnogorskih zanata kroz pružanje finansijske podrške preduzetnicima i privrednim društvima koja obavljaju zanatsku djelatnost, u smislu podsticanja i omogućavanja nabavke opreme i alata namijenjenih za obavljanje zanatske djelatnosti, kao i da doprinese promociji zanatlija kroz pružanje finansijske podrške preduzetnicima i privrednim društvima koja obavljaju zanatsku djelatnost za organizaciju i učestvovanje na domaćim/međunarodnim sajmovima i manifestacijama.  </w:t>
            </w:r>
          </w:p>
        </w:tc>
      </w:tr>
      <w:tr w:rsidR="002756A4" w:rsidRPr="00383886" w14:paraId="729D6F8F"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5"/>
        </w:trPr>
        <w:tc>
          <w:tcPr>
            <w:tcW w:w="801" w:type="pct"/>
            <w:gridSpan w:val="6"/>
            <w:tcBorders>
              <w:top w:val="single" w:sz="4" w:space="0" w:color="auto"/>
              <w:left w:val="single" w:sz="4" w:space="0" w:color="auto"/>
              <w:bottom w:val="nil"/>
              <w:right w:val="single" w:sz="4" w:space="0" w:color="auto"/>
            </w:tcBorders>
            <w:shd w:val="clear" w:color="000000" w:fill="FFFFFF"/>
            <w:vAlign w:val="center"/>
            <w:hideMark/>
          </w:tcPr>
          <w:p w14:paraId="75EC8CF6"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lastRenderedPageBreak/>
              <w:t xml:space="preserve">6.Odluka o formiranju Partnerskog savjeta za regionalni razvoj </w:t>
            </w:r>
          </w:p>
        </w:tc>
        <w:tc>
          <w:tcPr>
            <w:tcW w:w="755" w:type="pct"/>
            <w:gridSpan w:val="5"/>
            <w:tcBorders>
              <w:top w:val="single" w:sz="4" w:space="0" w:color="auto"/>
              <w:left w:val="nil"/>
              <w:bottom w:val="nil"/>
              <w:right w:val="single" w:sz="4" w:space="0" w:color="auto"/>
            </w:tcBorders>
            <w:shd w:val="clear" w:color="000000" w:fill="FFFFFF"/>
            <w:vAlign w:val="center"/>
            <w:hideMark/>
          </w:tcPr>
          <w:p w14:paraId="0EE8ADF5"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Donešena Odluka o formiranju Partnerskog savjeta za regionalni razvoj i obezbjeđivanje konitnuiranog funkcionisanja Tijela</w:t>
            </w:r>
          </w:p>
        </w:tc>
        <w:tc>
          <w:tcPr>
            <w:tcW w:w="496" w:type="pct"/>
            <w:gridSpan w:val="5"/>
            <w:tcBorders>
              <w:top w:val="single" w:sz="4" w:space="0" w:color="auto"/>
              <w:left w:val="nil"/>
              <w:bottom w:val="nil"/>
              <w:right w:val="single" w:sz="4" w:space="0" w:color="auto"/>
            </w:tcBorders>
            <w:shd w:val="clear" w:color="000000" w:fill="FFFFFF"/>
            <w:vAlign w:val="center"/>
            <w:hideMark/>
          </w:tcPr>
          <w:p w14:paraId="0F665BC2"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MER</w:t>
            </w:r>
          </w:p>
        </w:tc>
        <w:tc>
          <w:tcPr>
            <w:tcW w:w="483" w:type="pct"/>
            <w:gridSpan w:val="6"/>
            <w:tcBorders>
              <w:top w:val="single" w:sz="4" w:space="0" w:color="auto"/>
              <w:left w:val="nil"/>
              <w:bottom w:val="nil"/>
              <w:right w:val="single" w:sz="4" w:space="0" w:color="auto"/>
            </w:tcBorders>
            <w:shd w:val="clear" w:color="000000" w:fill="FFFFFF"/>
            <w:vAlign w:val="center"/>
            <w:hideMark/>
          </w:tcPr>
          <w:p w14:paraId="64DAED74"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Odluka i formiranje tijela II Q - rad Tijela kontinuiran </w:t>
            </w:r>
          </w:p>
        </w:tc>
        <w:tc>
          <w:tcPr>
            <w:tcW w:w="428" w:type="pct"/>
            <w:gridSpan w:val="4"/>
            <w:tcBorders>
              <w:top w:val="single" w:sz="4" w:space="0" w:color="auto"/>
              <w:left w:val="nil"/>
              <w:bottom w:val="nil"/>
              <w:right w:val="single" w:sz="4" w:space="0" w:color="auto"/>
            </w:tcBorders>
            <w:shd w:val="clear" w:color="000000" w:fill="FFFFFF"/>
            <w:vAlign w:val="center"/>
            <w:hideMark/>
          </w:tcPr>
          <w:p w14:paraId="3DD45C06"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150 </w:t>
            </w:r>
          </w:p>
        </w:tc>
        <w:tc>
          <w:tcPr>
            <w:tcW w:w="495" w:type="pct"/>
            <w:gridSpan w:val="6"/>
            <w:tcBorders>
              <w:top w:val="single" w:sz="4" w:space="0" w:color="auto"/>
              <w:left w:val="nil"/>
              <w:bottom w:val="nil"/>
              <w:right w:val="single" w:sz="4" w:space="0" w:color="auto"/>
            </w:tcBorders>
            <w:shd w:val="clear" w:color="000000" w:fill="FFFFFF"/>
            <w:vAlign w:val="center"/>
            <w:hideMark/>
          </w:tcPr>
          <w:p w14:paraId="16DB26B4"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Budžet MER</w:t>
            </w:r>
          </w:p>
        </w:tc>
        <w:tc>
          <w:tcPr>
            <w:tcW w:w="1542" w:type="pct"/>
            <w:gridSpan w:val="4"/>
            <w:tcBorders>
              <w:top w:val="single" w:sz="4" w:space="0" w:color="auto"/>
              <w:left w:val="nil"/>
              <w:bottom w:val="nil"/>
              <w:right w:val="single" w:sz="4" w:space="0" w:color="auto"/>
            </w:tcBorders>
            <w:shd w:val="clear" w:color="000000" w:fill="FFFFFF"/>
            <w:vAlign w:val="center"/>
            <w:hideMark/>
          </w:tcPr>
          <w:p w14:paraId="706876AB"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Formiranje tijela predstavlja obavezu shodno Zakonu o regionalnom razvoju </w:t>
            </w:r>
          </w:p>
        </w:tc>
      </w:tr>
      <w:tr w:rsidR="002756A4" w:rsidRPr="00383886" w14:paraId="328BD2BB"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80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CDC174"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7.Predlog zakona o izmjenama i dopunama Zakona o privrednim društvima</w:t>
            </w:r>
          </w:p>
        </w:tc>
        <w:tc>
          <w:tcPr>
            <w:tcW w:w="755" w:type="pct"/>
            <w:gridSpan w:val="5"/>
            <w:tcBorders>
              <w:top w:val="single" w:sz="4" w:space="0" w:color="auto"/>
              <w:left w:val="nil"/>
              <w:bottom w:val="single" w:sz="4" w:space="0" w:color="auto"/>
              <w:right w:val="single" w:sz="4" w:space="0" w:color="auto"/>
            </w:tcBorders>
            <w:shd w:val="clear" w:color="auto" w:fill="auto"/>
            <w:vAlign w:val="center"/>
            <w:hideMark/>
          </w:tcPr>
          <w:p w14:paraId="1C834666"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Utvrđene izmjene i dopune Zakona o privrednim društvima</w:t>
            </w:r>
          </w:p>
        </w:tc>
        <w:tc>
          <w:tcPr>
            <w:tcW w:w="496" w:type="pct"/>
            <w:gridSpan w:val="5"/>
            <w:tcBorders>
              <w:top w:val="single" w:sz="4" w:space="0" w:color="auto"/>
              <w:left w:val="nil"/>
              <w:bottom w:val="single" w:sz="4" w:space="0" w:color="auto"/>
              <w:right w:val="single" w:sz="4" w:space="0" w:color="auto"/>
            </w:tcBorders>
            <w:shd w:val="clear" w:color="auto" w:fill="auto"/>
            <w:vAlign w:val="center"/>
            <w:hideMark/>
          </w:tcPr>
          <w:p w14:paraId="733086ED"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w:t>
            </w:r>
          </w:p>
        </w:tc>
        <w:tc>
          <w:tcPr>
            <w:tcW w:w="483" w:type="pct"/>
            <w:gridSpan w:val="6"/>
            <w:tcBorders>
              <w:top w:val="single" w:sz="4" w:space="0" w:color="auto"/>
              <w:left w:val="nil"/>
              <w:bottom w:val="single" w:sz="4" w:space="0" w:color="auto"/>
              <w:right w:val="single" w:sz="4" w:space="0" w:color="auto"/>
            </w:tcBorders>
            <w:shd w:val="clear" w:color="auto" w:fill="auto"/>
            <w:vAlign w:val="center"/>
            <w:hideMark/>
          </w:tcPr>
          <w:p w14:paraId="27B52411"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IQ - IVQ 2022</w:t>
            </w:r>
          </w:p>
        </w:tc>
        <w:tc>
          <w:tcPr>
            <w:tcW w:w="428" w:type="pct"/>
            <w:gridSpan w:val="4"/>
            <w:tcBorders>
              <w:top w:val="single" w:sz="4" w:space="0" w:color="auto"/>
              <w:left w:val="nil"/>
              <w:bottom w:val="single" w:sz="4" w:space="0" w:color="auto"/>
              <w:right w:val="single" w:sz="4" w:space="0" w:color="auto"/>
            </w:tcBorders>
            <w:shd w:val="clear" w:color="auto" w:fill="auto"/>
            <w:vAlign w:val="center"/>
            <w:hideMark/>
          </w:tcPr>
          <w:p w14:paraId="6B355E4A"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 20.000 EUR (sredstva dostupna kroz projekat koji realizuje EBRD).                              Za utvrđivanje procjene uticaja propisa će biti urađena RIA.</w:t>
            </w:r>
          </w:p>
        </w:tc>
        <w:tc>
          <w:tcPr>
            <w:tcW w:w="495" w:type="pct"/>
            <w:gridSpan w:val="6"/>
            <w:tcBorders>
              <w:top w:val="single" w:sz="4" w:space="0" w:color="auto"/>
              <w:left w:val="nil"/>
              <w:bottom w:val="single" w:sz="4" w:space="0" w:color="auto"/>
              <w:right w:val="single" w:sz="4" w:space="0" w:color="auto"/>
            </w:tcBorders>
            <w:shd w:val="clear" w:color="auto" w:fill="auto"/>
            <w:vAlign w:val="center"/>
            <w:hideMark/>
          </w:tcPr>
          <w:p w14:paraId="796F2CF9"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IPA 2016</w:t>
            </w:r>
          </w:p>
        </w:tc>
        <w:tc>
          <w:tcPr>
            <w:tcW w:w="1542" w:type="pct"/>
            <w:gridSpan w:val="4"/>
            <w:tcBorders>
              <w:top w:val="single" w:sz="4" w:space="0" w:color="auto"/>
              <w:left w:val="nil"/>
              <w:bottom w:val="single" w:sz="4" w:space="0" w:color="auto"/>
              <w:right w:val="single" w:sz="4" w:space="0" w:color="auto"/>
            </w:tcBorders>
            <w:shd w:val="clear" w:color="auto" w:fill="auto"/>
            <w:vAlign w:val="center"/>
            <w:hideMark/>
          </w:tcPr>
          <w:p w14:paraId="391D4278"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 Izmjenama i dopunama Zakona o privrednim društvima će se obezbijediti potrebno usklađivanje u odnosu na Direktivu (EU) 2019/1151, Direktivu (EU) 2019/2121 i dio Direktive (EU) 2017/828 .  Dodatno, omogućiće se prilagođavanje normi koje su u primjeni a sve u cilju stvaranja uslova poslovanja koji će svim poslovnim subjektima omogućiti da postanu relevantan i ravnopravan učesnik na jedinstvenom ekonomskom prostoru na dobrobit biznisa i svakog građana Crne Gore.</w:t>
            </w:r>
          </w:p>
        </w:tc>
      </w:tr>
      <w:tr w:rsidR="002756A4" w:rsidRPr="00383886" w14:paraId="6D8F4035"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0"/>
        </w:trPr>
        <w:tc>
          <w:tcPr>
            <w:tcW w:w="80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920214E"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8.Predlog zakona o izmjenama i dopunama Zakona o zanatstvu</w:t>
            </w:r>
          </w:p>
        </w:tc>
        <w:tc>
          <w:tcPr>
            <w:tcW w:w="755" w:type="pct"/>
            <w:gridSpan w:val="5"/>
            <w:tcBorders>
              <w:top w:val="single" w:sz="4" w:space="0" w:color="auto"/>
              <w:left w:val="nil"/>
              <w:bottom w:val="single" w:sz="4" w:space="0" w:color="auto"/>
              <w:right w:val="single" w:sz="4" w:space="0" w:color="auto"/>
            </w:tcBorders>
            <w:shd w:val="clear" w:color="auto" w:fill="auto"/>
            <w:vAlign w:val="center"/>
            <w:hideMark/>
          </w:tcPr>
          <w:p w14:paraId="20AA9138"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Utvrđene izmjene i dopune Zakona o zanatstvu</w:t>
            </w:r>
          </w:p>
        </w:tc>
        <w:tc>
          <w:tcPr>
            <w:tcW w:w="496" w:type="pct"/>
            <w:gridSpan w:val="5"/>
            <w:tcBorders>
              <w:top w:val="single" w:sz="4" w:space="0" w:color="auto"/>
              <w:left w:val="nil"/>
              <w:bottom w:val="single" w:sz="4" w:space="0" w:color="auto"/>
              <w:right w:val="single" w:sz="4" w:space="0" w:color="auto"/>
            </w:tcBorders>
            <w:shd w:val="clear" w:color="auto" w:fill="auto"/>
            <w:vAlign w:val="center"/>
            <w:hideMark/>
          </w:tcPr>
          <w:p w14:paraId="4A91C9B1"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 </w:t>
            </w:r>
            <w:r w:rsidRPr="00383886">
              <w:rPr>
                <w:rFonts w:ascii="Arial Narrow" w:eastAsia="Times New Roman" w:hAnsi="Arial Narrow" w:cs="Arial"/>
                <w:color w:val="000000"/>
                <w:sz w:val="20"/>
                <w:szCs w:val="20"/>
              </w:rPr>
              <w:br/>
            </w:r>
            <w:r w:rsidRPr="00383886">
              <w:rPr>
                <w:rFonts w:ascii="Arial Narrow" w:eastAsia="Times New Roman" w:hAnsi="Arial Narrow" w:cs="Arial"/>
                <w:color w:val="000000"/>
                <w:sz w:val="20"/>
                <w:szCs w:val="20"/>
              </w:rPr>
              <w:br/>
              <w:t>NI:MER</w:t>
            </w:r>
            <w:r w:rsidRPr="00383886">
              <w:rPr>
                <w:rFonts w:ascii="Arial Narrow" w:eastAsia="Times New Roman" w:hAnsi="Arial Narrow" w:cs="Arial"/>
                <w:color w:val="000000"/>
                <w:sz w:val="20"/>
                <w:szCs w:val="20"/>
              </w:rPr>
              <w:br/>
            </w:r>
            <w:r w:rsidRPr="00383886">
              <w:rPr>
                <w:rFonts w:ascii="Arial Narrow" w:eastAsia="Times New Roman" w:hAnsi="Arial Narrow" w:cs="Arial"/>
                <w:color w:val="000000"/>
                <w:sz w:val="20"/>
                <w:szCs w:val="20"/>
              </w:rPr>
              <w:br/>
              <w:t>NK: ZKCG</w:t>
            </w:r>
          </w:p>
        </w:tc>
        <w:tc>
          <w:tcPr>
            <w:tcW w:w="483" w:type="pct"/>
            <w:gridSpan w:val="6"/>
            <w:tcBorders>
              <w:top w:val="single" w:sz="4" w:space="0" w:color="auto"/>
              <w:left w:val="nil"/>
              <w:bottom w:val="single" w:sz="4" w:space="0" w:color="auto"/>
              <w:right w:val="single" w:sz="4" w:space="0" w:color="auto"/>
            </w:tcBorders>
            <w:shd w:val="clear" w:color="auto" w:fill="auto"/>
            <w:vAlign w:val="center"/>
            <w:hideMark/>
          </w:tcPr>
          <w:p w14:paraId="55F3558E"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br/>
            </w:r>
            <w:r w:rsidRPr="00383886">
              <w:rPr>
                <w:rFonts w:ascii="Arial Narrow" w:eastAsia="Times New Roman" w:hAnsi="Arial Narrow" w:cs="Arial"/>
                <w:color w:val="000000"/>
                <w:sz w:val="20"/>
                <w:szCs w:val="20"/>
              </w:rPr>
              <w:br/>
              <w:t>IQ - IV Q 2022</w:t>
            </w:r>
          </w:p>
        </w:tc>
        <w:tc>
          <w:tcPr>
            <w:tcW w:w="428" w:type="pct"/>
            <w:gridSpan w:val="4"/>
            <w:tcBorders>
              <w:top w:val="single" w:sz="4" w:space="0" w:color="auto"/>
              <w:left w:val="nil"/>
              <w:bottom w:val="single" w:sz="4" w:space="0" w:color="auto"/>
              <w:right w:val="single" w:sz="4" w:space="0" w:color="auto"/>
            </w:tcBorders>
            <w:shd w:val="clear" w:color="auto" w:fill="auto"/>
            <w:vAlign w:val="center"/>
            <w:hideMark/>
          </w:tcPr>
          <w:p w14:paraId="732602A6"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15.000  € za angazovanje EU konsultanta, </w:t>
            </w:r>
            <w:r w:rsidRPr="00383886">
              <w:rPr>
                <w:rFonts w:ascii="Arial Narrow" w:eastAsia="Times New Roman" w:hAnsi="Arial Narrow" w:cs="Arial"/>
                <w:sz w:val="20"/>
                <w:szCs w:val="20"/>
              </w:rPr>
              <w:br/>
              <w:t>1.000 € za potrebe održavanja javne rasprave</w:t>
            </w:r>
            <w:r w:rsidRPr="00383886">
              <w:rPr>
                <w:rFonts w:ascii="Arial Narrow" w:eastAsia="Times New Roman" w:hAnsi="Arial Narrow" w:cs="Arial"/>
                <w:sz w:val="20"/>
                <w:szCs w:val="20"/>
              </w:rPr>
              <w:br/>
            </w:r>
            <w:r w:rsidRPr="00383886">
              <w:rPr>
                <w:rFonts w:ascii="Arial Narrow" w:eastAsia="Times New Roman" w:hAnsi="Arial Narrow" w:cs="Arial"/>
                <w:sz w:val="20"/>
                <w:szCs w:val="20"/>
              </w:rPr>
              <w:br/>
              <w:t>Za utvrđivanje procjene uticaja propisa će biti urađena RIA.</w:t>
            </w:r>
          </w:p>
        </w:tc>
        <w:tc>
          <w:tcPr>
            <w:tcW w:w="495" w:type="pct"/>
            <w:gridSpan w:val="6"/>
            <w:tcBorders>
              <w:top w:val="single" w:sz="4" w:space="0" w:color="auto"/>
              <w:left w:val="nil"/>
              <w:bottom w:val="single" w:sz="4" w:space="0" w:color="auto"/>
              <w:right w:val="single" w:sz="4" w:space="0" w:color="auto"/>
            </w:tcBorders>
            <w:shd w:val="clear" w:color="auto" w:fill="auto"/>
            <w:vAlign w:val="center"/>
            <w:hideMark/>
          </w:tcPr>
          <w:p w14:paraId="144080E2"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Budzet, </w:t>
            </w:r>
            <w:r w:rsidRPr="00383886">
              <w:rPr>
                <w:rFonts w:ascii="Arial Narrow" w:eastAsia="Times New Roman" w:hAnsi="Arial Narrow" w:cs="Arial"/>
                <w:sz w:val="20"/>
                <w:szCs w:val="20"/>
              </w:rPr>
              <w:br/>
              <w:t xml:space="preserve">UNDP </w:t>
            </w:r>
            <w:r w:rsidRPr="00383886">
              <w:rPr>
                <w:rFonts w:ascii="Arial Narrow" w:eastAsia="Times New Roman" w:hAnsi="Arial Narrow" w:cs="Arial"/>
                <w:sz w:val="20"/>
                <w:szCs w:val="20"/>
              </w:rPr>
              <w:br/>
            </w:r>
            <w:r w:rsidRPr="00383886">
              <w:rPr>
                <w:rFonts w:ascii="Arial Narrow" w:eastAsia="Times New Roman" w:hAnsi="Arial Narrow" w:cs="Arial"/>
                <w:sz w:val="20"/>
                <w:szCs w:val="20"/>
              </w:rPr>
              <w:br/>
              <w:t>Projekat: Unapređenje konkurentnosti privrede u Crnoj Gori za 2022. godinu (MER i UNDP)</w:t>
            </w:r>
          </w:p>
        </w:tc>
        <w:tc>
          <w:tcPr>
            <w:tcW w:w="1542" w:type="pct"/>
            <w:gridSpan w:val="4"/>
            <w:tcBorders>
              <w:top w:val="single" w:sz="4" w:space="0" w:color="auto"/>
              <w:left w:val="nil"/>
              <w:bottom w:val="single" w:sz="4" w:space="0" w:color="auto"/>
              <w:right w:val="single" w:sz="4" w:space="0" w:color="auto"/>
            </w:tcBorders>
            <w:shd w:val="clear" w:color="auto" w:fill="auto"/>
            <w:vAlign w:val="center"/>
            <w:hideMark/>
          </w:tcPr>
          <w:p w14:paraId="099D2B35"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Izmjenama i dopunama o zanatstvu će se obezbijediti potrebno usklađivanje sa Direktivom o uslugama  na unutrašnjem tržištu 2006/123/EZ koju je Crna Gora transponovala donošenjem Zakona o uslugama („Sl. list CG“, broj 71/17), kao i eventualno potrebno usklađivanje sa Direktivom o priznavanju stručnih kvalifikacija. </w:t>
            </w:r>
          </w:p>
        </w:tc>
      </w:tr>
      <w:tr w:rsidR="002756A4" w:rsidRPr="002756A4" w14:paraId="6953B4AF"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0"/>
        </w:trPr>
        <w:tc>
          <w:tcPr>
            <w:tcW w:w="801" w:type="pct"/>
            <w:gridSpan w:val="6"/>
            <w:tcBorders>
              <w:top w:val="single" w:sz="4" w:space="0" w:color="auto"/>
              <w:left w:val="single" w:sz="4" w:space="0" w:color="auto"/>
              <w:bottom w:val="single" w:sz="4" w:space="0" w:color="auto"/>
              <w:right w:val="single" w:sz="4" w:space="0" w:color="auto"/>
            </w:tcBorders>
          </w:tcPr>
          <w:p w14:paraId="2B9F14AF" w14:textId="77777777" w:rsidR="002756A4" w:rsidRPr="002756A4" w:rsidRDefault="00A80EEE" w:rsidP="002756A4">
            <w:pPr>
              <w:spacing w:after="0" w:line="240" w:lineRule="auto"/>
              <w:jc w:val="both"/>
              <w:rPr>
                <w:rFonts w:ascii="Arial Narrow" w:eastAsia="Times New Roman" w:hAnsi="Arial Narrow" w:cs="Arial"/>
                <w:sz w:val="20"/>
                <w:szCs w:val="20"/>
              </w:rPr>
            </w:pPr>
            <w:r>
              <w:rPr>
                <w:rFonts w:ascii="Arial Narrow" w:hAnsi="Arial Narrow" w:cs="Arial"/>
                <w:sz w:val="20"/>
                <w:szCs w:val="20"/>
              </w:rPr>
              <w:lastRenderedPageBreak/>
              <w:t>9.</w:t>
            </w:r>
            <w:r w:rsidR="002756A4" w:rsidRPr="002756A4">
              <w:rPr>
                <w:rFonts w:ascii="Arial Narrow" w:hAnsi="Arial Narrow" w:cs="Arial"/>
                <w:sz w:val="20"/>
                <w:szCs w:val="20"/>
              </w:rPr>
              <w:t>Organizovanje okruglih stolova i info–dana</w:t>
            </w:r>
          </w:p>
        </w:tc>
        <w:tc>
          <w:tcPr>
            <w:tcW w:w="755" w:type="pct"/>
            <w:gridSpan w:val="5"/>
            <w:tcBorders>
              <w:top w:val="single" w:sz="4" w:space="0" w:color="auto"/>
              <w:left w:val="single" w:sz="4" w:space="0" w:color="auto"/>
              <w:bottom w:val="single" w:sz="4" w:space="0" w:color="auto"/>
              <w:right w:val="single" w:sz="4" w:space="0" w:color="auto"/>
            </w:tcBorders>
          </w:tcPr>
          <w:p w14:paraId="10E958EA" w14:textId="77777777" w:rsidR="002756A4" w:rsidRPr="002756A4" w:rsidRDefault="002756A4" w:rsidP="002756A4">
            <w:pPr>
              <w:spacing w:after="0" w:line="240" w:lineRule="auto"/>
              <w:jc w:val="both"/>
              <w:rPr>
                <w:rFonts w:ascii="Arial Narrow" w:eastAsia="Times New Roman" w:hAnsi="Arial Narrow" w:cs="Arial"/>
                <w:sz w:val="20"/>
                <w:szCs w:val="20"/>
              </w:rPr>
            </w:pPr>
            <w:r w:rsidRPr="002756A4">
              <w:rPr>
                <w:rFonts w:ascii="Arial Narrow" w:hAnsi="Arial Narrow" w:cs="Arial"/>
                <w:sz w:val="20"/>
                <w:szCs w:val="20"/>
              </w:rPr>
              <w:t>Broj organizovanih okruglih stolova kao i broj organizovanih info-dana</w:t>
            </w:r>
          </w:p>
        </w:tc>
        <w:tc>
          <w:tcPr>
            <w:tcW w:w="496" w:type="pct"/>
            <w:gridSpan w:val="5"/>
            <w:tcBorders>
              <w:top w:val="single" w:sz="4" w:space="0" w:color="auto"/>
              <w:left w:val="single" w:sz="4" w:space="0" w:color="auto"/>
              <w:bottom w:val="single" w:sz="4" w:space="0" w:color="auto"/>
              <w:right w:val="single" w:sz="4" w:space="0" w:color="auto"/>
            </w:tcBorders>
          </w:tcPr>
          <w:p w14:paraId="6304CC97" w14:textId="77777777" w:rsidR="002756A4" w:rsidRPr="002756A4" w:rsidRDefault="002756A4" w:rsidP="002756A4">
            <w:pPr>
              <w:spacing w:after="0" w:line="240" w:lineRule="auto"/>
              <w:jc w:val="both"/>
              <w:rPr>
                <w:rFonts w:ascii="Arial Narrow" w:eastAsia="Times New Roman" w:hAnsi="Arial Narrow" w:cs="Arial"/>
                <w:color w:val="000000"/>
                <w:sz w:val="20"/>
                <w:szCs w:val="20"/>
              </w:rPr>
            </w:pPr>
            <w:r w:rsidRPr="002756A4">
              <w:rPr>
                <w:rFonts w:ascii="Arial Narrow" w:hAnsi="Arial Narrow" w:cs="Arial"/>
                <w:sz w:val="20"/>
                <w:szCs w:val="20"/>
              </w:rPr>
              <w:t>MEK, PK, MO</w:t>
            </w:r>
          </w:p>
        </w:tc>
        <w:tc>
          <w:tcPr>
            <w:tcW w:w="483" w:type="pct"/>
            <w:gridSpan w:val="6"/>
            <w:tcBorders>
              <w:top w:val="single" w:sz="4" w:space="0" w:color="auto"/>
              <w:left w:val="single" w:sz="4" w:space="0" w:color="auto"/>
              <w:bottom w:val="single" w:sz="4" w:space="0" w:color="auto"/>
              <w:right w:val="single" w:sz="4" w:space="0" w:color="auto"/>
            </w:tcBorders>
          </w:tcPr>
          <w:p w14:paraId="4A29B6EA" w14:textId="77777777" w:rsidR="002756A4" w:rsidRPr="002756A4" w:rsidRDefault="002756A4" w:rsidP="002756A4">
            <w:pPr>
              <w:spacing w:after="0" w:line="240" w:lineRule="auto"/>
              <w:jc w:val="both"/>
              <w:rPr>
                <w:rFonts w:ascii="Arial Narrow" w:eastAsia="Times New Roman" w:hAnsi="Arial Narrow" w:cs="Arial"/>
                <w:color w:val="000000"/>
                <w:sz w:val="20"/>
                <w:szCs w:val="20"/>
              </w:rPr>
            </w:pPr>
            <w:r w:rsidRPr="002756A4">
              <w:rPr>
                <w:rFonts w:ascii="Arial Narrow" w:hAnsi="Arial Narrow" w:cs="Arial"/>
                <w:sz w:val="20"/>
                <w:szCs w:val="20"/>
              </w:rPr>
              <w:t>I-IV Q 2022. g</w:t>
            </w:r>
          </w:p>
        </w:tc>
        <w:tc>
          <w:tcPr>
            <w:tcW w:w="428" w:type="pct"/>
            <w:gridSpan w:val="4"/>
            <w:tcBorders>
              <w:top w:val="single" w:sz="4" w:space="0" w:color="auto"/>
              <w:left w:val="single" w:sz="4" w:space="0" w:color="auto"/>
              <w:bottom w:val="single" w:sz="4" w:space="0" w:color="auto"/>
              <w:right w:val="single" w:sz="4" w:space="0" w:color="auto"/>
            </w:tcBorders>
          </w:tcPr>
          <w:p w14:paraId="3D5B04BA" w14:textId="77777777" w:rsidR="002756A4" w:rsidRPr="002756A4" w:rsidRDefault="002756A4" w:rsidP="002756A4">
            <w:pPr>
              <w:spacing w:after="0" w:line="240" w:lineRule="auto"/>
              <w:jc w:val="both"/>
              <w:rPr>
                <w:rFonts w:ascii="Arial Narrow" w:eastAsia="Times New Roman" w:hAnsi="Arial Narrow" w:cs="Arial"/>
                <w:sz w:val="20"/>
                <w:szCs w:val="20"/>
              </w:rPr>
            </w:pPr>
            <w:r w:rsidRPr="002756A4">
              <w:rPr>
                <w:rFonts w:ascii="Arial Narrow" w:hAnsi="Arial Narrow" w:cstheme="minorHAnsi"/>
                <w:sz w:val="20"/>
                <w:szCs w:val="20"/>
              </w:rPr>
              <w:t>Za realizaciju aktivnosti nijesu potrebna finansijska sredstva</w:t>
            </w:r>
          </w:p>
        </w:tc>
        <w:tc>
          <w:tcPr>
            <w:tcW w:w="495" w:type="pct"/>
            <w:gridSpan w:val="6"/>
            <w:tcBorders>
              <w:top w:val="single" w:sz="4" w:space="0" w:color="auto"/>
              <w:left w:val="single" w:sz="4" w:space="0" w:color="auto"/>
              <w:bottom w:val="single" w:sz="4" w:space="0" w:color="auto"/>
              <w:right w:val="single" w:sz="4" w:space="0" w:color="auto"/>
            </w:tcBorders>
          </w:tcPr>
          <w:p w14:paraId="67D1259D" w14:textId="77777777" w:rsidR="002756A4" w:rsidRPr="002756A4" w:rsidRDefault="002756A4" w:rsidP="002756A4">
            <w:pPr>
              <w:spacing w:after="0" w:line="240" w:lineRule="auto"/>
              <w:jc w:val="both"/>
              <w:rPr>
                <w:rFonts w:ascii="Arial Narrow" w:eastAsia="Times New Roman" w:hAnsi="Arial Narrow" w:cs="Arial"/>
                <w:sz w:val="20"/>
                <w:szCs w:val="20"/>
              </w:rPr>
            </w:pPr>
            <w:r w:rsidRPr="002756A4">
              <w:rPr>
                <w:rFonts w:ascii="Arial Narrow" w:hAnsi="Arial Narrow" w:cs="Arial"/>
                <w:sz w:val="20"/>
                <w:szCs w:val="20"/>
              </w:rPr>
              <w:t>/</w:t>
            </w:r>
          </w:p>
        </w:tc>
        <w:tc>
          <w:tcPr>
            <w:tcW w:w="1542" w:type="pct"/>
            <w:gridSpan w:val="4"/>
            <w:tcBorders>
              <w:top w:val="single" w:sz="4" w:space="0" w:color="auto"/>
              <w:left w:val="single" w:sz="4" w:space="0" w:color="auto"/>
              <w:bottom w:val="single" w:sz="4" w:space="0" w:color="auto"/>
              <w:right w:val="single" w:sz="4" w:space="0" w:color="auto"/>
            </w:tcBorders>
          </w:tcPr>
          <w:p w14:paraId="5D9CF444" w14:textId="77777777" w:rsidR="002756A4" w:rsidRPr="002756A4" w:rsidRDefault="002756A4" w:rsidP="002756A4">
            <w:pPr>
              <w:spacing w:after="0" w:line="240" w:lineRule="auto"/>
              <w:jc w:val="both"/>
              <w:rPr>
                <w:rFonts w:ascii="Arial Narrow" w:eastAsia="Times New Roman" w:hAnsi="Arial Narrow" w:cs="Arial"/>
                <w:sz w:val="20"/>
                <w:szCs w:val="20"/>
              </w:rPr>
            </w:pPr>
            <w:r w:rsidRPr="002756A4">
              <w:rPr>
                <w:rFonts w:ascii="Arial Narrow" w:hAnsi="Arial Narrow" w:cs="Arial"/>
                <w:sz w:val="20"/>
                <w:szCs w:val="20"/>
              </w:rPr>
              <w:t>Organizovanjem okruglih stolova i info-dana kompanije se mogu upoznati sa uslovima za nastup na tržištu Sjeverno-atlantskog saveza</w:t>
            </w:r>
          </w:p>
        </w:tc>
      </w:tr>
      <w:tr w:rsidR="002756A4" w:rsidRPr="002756A4" w14:paraId="18084D23" w14:textId="77777777" w:rsidTr="00275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0"/>
        </w:trPr>
        <w:tc>
          <w:tcPr>
            <w:tcW w:w="801" w:type="pct"/>
            <w:gridSpan w:val="6"/>
            <w:tcBorders>
              <w:top w:val="single" w:sz="4" w:space="0" w:color="auto"/>
              <w:left w:val="single" w:sz="4" w:space="0" w:color="auto"/>
              <w:bottom w:val="single" w:sz="4" w:space="0" w:color="auto"/>
              <w:right w:val="single" w:sz="4" w:space="0" w:color="auto"/>
            </w:tcBorders>
          </w:tcPr>
          <w:p w14:paraId="4B479190" w14:textId="77777777" w:rsidR="002756A4" w:rsidRPr="002756A4" w:rsidRDefault="00A80EEE" w:rsidP="002756A4">
            <w:pPr>
              <w:spacing w:after="0" w:line="240" w:lineRule="auto"/>
              <w:jc w:val="both"/>
              <w:rPr>
                <w:rFonts w:ascii="Arial Narrow" w:eastAsia="Times New Roman" w:hAnsi="Arial Narrow" w:cs="Arial"/>
                <w:sz w:val="20"/>
                <w:szCs w:val="20"/>
              </w:rPr>
            </w:pPr>
            <w:r>
              <w:rPr>
                <w:rFonts w:ascii="Arial Narrow" w:hAnsi="Arial Narrow" w:cs="Arial"/>
                <w:sz w:val="20"/>
                <w:szCs w:val="20"/>
              </w:rPr>
              <w:t>10.</w:t>
            </w:r>
            <w:r w:rsidR="002756A4" w:rsidRPr="002756A4">
              <w:rPr>
                <w:rFonts w:ascii="Arial Narrow" w:hAnsi="Arial Narrow" w:cs="Arial"/>
                <w:sz w:val="20"/>
                <w:szCs w:val="20"/>
              </w:rPr>
              <w:t>Obezbjeđivanje  savjetodavne podrške crnogorskim kompanijama o neophodnim procedurama za dodjelu NATO skladišnog broja - NSN i za dobijanje koda Sjeverno-atlantskog saveza (NCAGE kod)</w:t>
            </w:r>
          </w:p>
        </w:tc>
        <w:tc>
          <w:tcPr>
            <w:tcW w:w="755" w:type="pct"/>
            <w:gridSpan w:val="5"/>
            <w:tcBorders>
              <w:top w:val="single" w:sz="4" w:space="0" w:color="auto"/>
              <w:left w:val="single" w:sz="4" w:space="0" w:color="auto"/>
              <w:bottom w:val="single" w:sz="4" w:space="0" w:color="auto"/>
              <w:right w:val="single" w:sz="4" w:space="0" w:color="auto"/>
            </w:tcBorders>
          </w:tcPr>
          <w:p w14:paraId="13A8220C" w14:textId="77777777" w:rsidR="002756A4" w:rsidRPr="002756A4" w:rsidRDefault="002756A4" w:rsidP="002756A4">
            <w:pPr>
              <w:spacing w:after="0" w:line="240" w:lineRule="auto"/>
              <w:jc w:val="both"/>
              <w:rPr>
                <w:rFonts w:ascii="Arial Narrow" w:eastAsia="Times New Roman" w:hAnsi="Arial Narrow" w:cs="Arial"/>
                <w:sz w:val="20"/>
                <w:szCs w:val="20"/>
              </w:rPr>
            </w:pPr>
            <w:r w:rsidRPr="002756A4">
              <w:rPr>
                <w:rFonts w:ascii="Arial Narrow" w:hAnsi="Arial Narrow" w:cs="Arial"/>
                <w:sz w:val="20"/>
                <w:szCs w:val="20"/>
              </w:rPr>
              <w:t>Broj kompanija upoznatih sa postupkom dobijanja koda Sjeverno-atlantskog saveza (NCAGE kod), odnosno sa postupkom dodjeljivanja NATO skladišnog broja (NSN broj)</w:t>
            </w:r>
          </w:p>
        </w:tc>
        <w:tc>
          <w:tcPr>
            <w:tcW w:w="496" w:type="pct"/>
            <w:gridSpan w:val="5"/>
            <w:tcBorders>
              <w:top w:val="single" w:sz="4" w:space="0" w:color="auto"/>
              <w:left w:val="single" w:sz="4" w:space="0" w:color="auto"/>
              <w:bottom w:val="single" w:sz="4" w:space="0" w:color="auto"/>
              <w:right w:val="single" w:sz="4" w:space="0" w:color="auto"/>
            </w:tcBorders>
          </w:tcPr>
          <w:p w14:paraId="342EECF1" w14:textId="77777777" w:rsidR="002756A4" w:rsidRPr="002756A4" w:rsidRDefault="002756A4" w:rsidP="002756A4">
            <w:pPr>
              <w:spacing w:after="0" w:line="240" w:lineRule="auto"/>
              <w:jc w:val="both"/>
              <w:rPr>
                <w:rFonts w:ascii="Arial Narrow" w:eastAsia="Times New Roman" w:hAnsi="Arial Narrow" w:cs="Arial"/>
                <w:color w:val="000000"/>
                <w:sz w:val="20"/>
                <w:szCs w:val="20"/>
              </w:rPr>
            </w:pPr>
            <w:r w:rsidRPr="002756A4">
              <w:rPr>
                <w:rFonts w:ascii="Arial Narrow" w:hAnsi="Arial Narrow" w:cs="Arial"/>
                <w:sz w:val="20"/>
                <w:szCs w:val="20"/>
              </w:rPr>
              <w:t>MO</w:t>
            </w:r>
          </w:p>
        </w:tc>
        <w:tc>
          <w:tcPr>
            <w:tcW w:w="483" w:type="pct"/>
            <w:gridSpan w:val="6"/>
            <w:tcBorders>
              <w:top w:val="single" w:sz="4" w:space="0" w:color="auto"/>
              <w:left w:val="single" w:sz="4" w:space="0" w:color="auto"/>
              <w:bottom w:val="single" w:sz="4" w:space="0" w:color="auto"/>
              <w:right w:val="single" w:sz="4" w:space="0" w:color="auto"/>
            </w:tcBorders>
          </w:tcPr>
          <w:p w14:paraId="0744B771" w14:textId="77777777" w:rsidR="002756A4" w:rsidRPr="002756A4" w:rsidRDefault="002756A4" w:rsidP="002756A4">
            <w:pPr>
              <w:spacing w:after="0" w:line="240" w:lineRule="auto"/>
              <w:jc w:val="both"/>
              <w:rPr>
                <w:rFonts w:ascii="Arial Narrow" w:eastAsia="Times New Roman" w:hAnsi="Arial Narrow" w:cs="Arial"/>
                <w:color w:val="000000"/>
                <w:sz w:val="20"/>
                <w:szCs w:val="20"/>
              </w:rPr>
            </w:pPr>
            <w:r w:rsidRPr="002756A4">
              <w:rPr>
                <w:rFonts w:ascii="Arial Narrow" w:hAnsi="Arial Narrow" w:cs="Arial"/>
                <w:sz w:val="20"/>
                <w:szCs w:val="20"/>
              </w:rPr>
              <w:t>I-IV Q 2022. g</w:t>
            </w:r>
          </w:p>
        </w:tc>
        <w:tc>
          <w:tcPr>
            <w:tcW w:w="428" w:type="pct"/>
            <w:gridSpan w:val="4"/>
            <w:tcBorders>
              <w:top w:val="single" w:sz="4" w:space="0" w:color="auto"/>
              <w:left w:val="single" w:sz="4" w:space="0" w:color="auto"/>
              <w:bottom w:val="single" w:sz="4" w:space="0" w:color="auto"/>
              <w:right w:val="single" w:sz="4" w:space="0" w:color="auto"/>
            </w:tcBorders>
          </w:tcPr>
          <w:p w14:paraId="723E0E03" w14:textId="77777777" w:rsidR="002756A4" w:rsidRPr="002756A4" w:rsidRDefault="002756A4" w:rsidP="002756A4">
            <w:pPr>
              <w:spacing w:after="0" w:line="240" w:lineRule="auto"/>
              <w:jc w:val="both"/>
              <w:rPr>
                <w:rFonts w:ascii="Arial Narrow" w:eastAsia="Times New Roman" w:hAnsi="Arial Narrow" w:cs="Arial"/>
                <w:sz w:val="20"/>
                <w:szCs w:val="20"/>
              </w:rPr>
            </w:pPr>
            <w:r w:rsidRPr="002756A4">
              <w:rPr>
                <w:rFonts w:ascii="Arial Narrow" w:hAnsi="Arial Narrow" w:cstheme="minorHAnsi"/>
                <w:sz w:val="20"/>
                <w:szCs w:val="20"/>
              </w:rPr>
              <w:t>Za realizaciju aktivnosti nijesu potrebna finansijska sredstva</w:t>
            </w:r>
          </w:p>
        </w:tc>
        <w:tc>
          <w:tcPr>
            <w:tcW w:w="495" w:type="pct"/>
            <w:gridSpan w:val="6"/>
            <w:tcBorders>
              <w:top w:val="single" w:sz="4" w:space="0" w:color="auto"/>
              <w:left w:val="single" w:sz="4" w:space="0" w:color="auto"/>
              <w:bottom w:val="single" w:sz="4" w:space="0" w:color="auto"/>
              <w:right w:val="single" w:sz="4" w:space="0" w:color="auto"/>
            </w:tcBorders>
          </w:tcPr>
          <w:p w14:paraId="51AC907C" w14:textId="77777777" w:rsidR="002756A4" w:rsidRPr="002756A4" w:rsidRDefault="002756A4" w:rsidP="002756A4">
            <w:pPr>
              <w:spacing w:after="0" w:line="240" w:lineRule="auto"/>
              <w:jc w:val="both"/>
              <w:rPr>
                <w:rFonts w:ascii="Arial Narrow" w:eastAsia="Times New Roman" w:hAnsi="Arial Narrow" w:cs="Arial"/>
                <w:sz w:val="20"/>
                <w:szCs w:val="20"/>
              </w:rPr>
            </w:pPr>
            <w:r w:rsidRPr="002756A4">
              <w:rPr>
                <w:rFonts w:ascii="Arial Narrow" w:hAnsi="Arial Narrow" w:cs="Arial"/>
                <w:sz w:val="20"/>
                <w:szCs w:val="20"/>
              </w:rPr>
              <w:t>/</w:t>
            </w:r>
          </w:p>
        </w:tc>
        <w:tc>
          <w:tcPr>
            <w:tcW w:w="1542" w:type="pct"/>
            <w:gridSpan w:val="4"/>
            <w:tcBorders>
              <w:top w:val="single" w:sz="4" w:space="0" w:color="auto"/>
              <w:left w:val="single" w:sz="4" w:space="0" w:color="auto"/>
              <w:bottom w:val="single" w:sz="4" w:space="0" w:color="auto"/>
              <w:right w:val="single" w:sz="4" w:space="0" w:color="auto"/>
            </w:tcBorders>
          </w:tcPr>
          <w:p w14:paraId="642FC793" w14:textId="77777777" w:rsidR="002756A4" w:rsidRPr="002756A4" w:rsidRDefault="002756A4" w:rsidP="002756A4">
            <w:pPr>
              <w:spacing w:after="0" w:line="240" w:lineRule="auto"/>
              <w:jc w:val="both"/>
              <w:rPr>
                <w:rFonts w:ascii="Arial Narrow" w:eastAsia="Times New Roman" w:hAnsi="Arial Narrow" w:cs="Arial"/>
                <w:sz w:val="20"/>
                <w:szCs w:val="20"/>
              </w:rPr>
            </w:pPr>
            <w:r w:rsidRPr="002756A4">
              <w:rPr>
                <w:rFonts w:ascii="Arial Narrow" w:hAnsi="Arial Narrow" w:cs="Arial"/>
                <w:sz w:val="20"/>
                <w:szCs w:val="20"/>
              </w:rPr>
              <w:t>Obezbjeđivanjem  savjetodavne podrške crnogorskim kompanijama olakšava se  postupak dobijanja koda Sjeverno-atlantskog saveza (NCAGE kod), odnosno NATO skladišnog broja (NSN broj) za  proizvode koji proizvode ili distribuiraju. Na taj način kompanije i njihovi poroizvodi postaju vidljivi u NMCRL katalogu (NATO glavni katalog referenci snabdijevanja)</w:t>
            </w:r>
          </w:p>
        </w:tc>
      </w:tr>
      <w:tr w:rsidR="002756A4" w:rsidRPr="00383886" w14:paraId="14EB2E55" w14:textId="77777777" w:rsidTr="002756A4">
        <w:trPr>
          <w:trHeight w:val="300"/>
        </w:trPr>
        <w:tc>
          <w:tcPr>
            <w:tcW w:w="1556" w:type="pct"/>
            <w:gridSpan w:val="11"/>
            <w:tcBorders>
              <w:top w:val="single" w:sz="4" w:space="0" w:color="auto"/>
            </w:tcBorders>
            <w:shd w:val="clear" w:color="000000" w:fill="DEEAF6"/>
            <w:vAlign w:val="center"/>
            <w:hideMark/>
          </w:tcPr>
          <w:p w14:paraId="1183FF6D"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bookmarkStart w:id="29" w:name="_Hlk89633127"/>
          </w:p>
          <w:p w14:paraId="0FEAA58F"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 xml:space="preserve">CILJ </w:t>
            </w:r>
            <w:r>
              <w:rPr>
                <w:rFonts w:ascii="Arial Narrow" w:eastAsia="Times New Roman" w:hAnsi="Arial Narrow" w:cs="Arial"/>
                <w:b/>
                <w:bCs/>
                <w:color w:val="000000"/>
                <w:sz w:val="20"/>
                <w:szCs w:val="20"/>
              </w:rPr>
              <w:t>2.</w:t>
            </w:r>
            <w:r w:rsidRPr="00383886">
              <w:rPr>
                <w:rFonts w:ascii="Arial Narrow" w:eastAsia="Times New Roman" w:hAnsi="Arial Narrow" w:cs="Arial"/>
                <w:b/>
                <w:bCs/>
                <w:color w:val="000000"/>
                <w:sz w:val="20"/>
                <w:szCs w:val="20"/>
              </w:rPr>
              <w:t>7</w:t>
            </w:r>
            <w:r>
              <w:rPr>
                <w:rFonts w:ascii="Arial Narrow" w:eastAsia="Times New Roman" w:hAnsi="Arial Narrow" w:cs="Arial"/>
                <w:b/>
                <w:bCs/>
                <w:color w:val="000000"/>
                <w:sz w:val="20"/>
                <w:szCs w:val="20"/>
              </w:rPr>
              <w:t>.</w:t>
            </w:r>
          </w:p>
          <w:p w14:paraId="37DE11D4" w14:textId="77777777" w:rsidR="002756A4" w:rsidRPr="00383886" w:rsidRDefault="002756A4" w:rsidP="002756A4">
            <w:pPr>
              <w:spacing w:after="0" w:line="240" w:lineRule="auto"/>
              <w:rPr>
                <w:rFonts w:ascii="Arial Narrow" w:eastAsia="Times New Roman" w:hAnsi="Arial Narrow" w:cs="Arial"/>
                <w:b/>
                <w:bCs/>
                <w:color w:val="000000"/>
                <w:sz w:val="20"/>
                <w:szCs w:val="20"/>
              </w:rPr>
            </w:pPr>
          </w:p>
        </w:tc>
        <w:tc>
          <w:tcPr>
            <w:tcW w:w="3444" w:type="pct"/>
            <w:gridSpan w:val="25"/>
            <w:tcBorders>
              <w:top w:val="single" w:sz="4" w:space="0" w:color="auto"/>
            </w:tcBorders>
            <w:shd w:val="clear" w:color="000000" w:fill="DEEAF6"/>
            <w:vAlign w:val="center"/>
            <w:hideMark/>
          </w:tcPr>
          <w:p w14:paraId="5D5EB24D" w14:textId="77777777" w:rsidR="002756A4" w:rsidRPr="00383886" w:rsidRDefault="002756A4" w:rsidP="002756A4">
            <w:pPr>
              <w:spacing w:after="0" w:line="240" w:lineRule="auto"/>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Jačanje konkurentnosti crnogorske privrede i kreiranja preduzetničkog eko-sistema</w:t>
            </w:r>
            <w:r w:rsidR="00F8548F">
              <w:rPr>
                <w:rFonts w:ascii="Arial Narrow" w:eastAsia="Times New Roman" w:hAnsi="Arial Narrow" w:cs="Arial"/>
                <w:b/>
                <w:bCs/>
                <w:color w:val="000000"/>
                <w:sz w:val="20"/>
                <w:szCs w:val="20"/>
              </w:rPr>
              <w:t>, uz snažnu aktivnost ekonomske diplomatije</w:t>
            </w:r>
          </w:p>
        </w:tc>
      </w:tr>
      <w:tr w:rsidR="002756A4" w:rsidRPr="00383886" w14:paraId="67B549D0" w14:textId="77777777" w:rsidTr="002756A4">
        <w:trPr>
          <w:trHeight w:val="688"/>
        </w:trPr>
        <w:tc>
          <w:tcPr>
            <w:tcW w:w="1556" w:type="pct"/>
            <w:gridSpan w:val="11"/>
            <w:shd w:val="clear" w:color="000000" w:fill="DAF2F6"/>
            <w:vAlign w:val="center"/>
            <w:hideMark/>
          </w:tcPr>
          <w:p w14:paraId="1D5D3E1C"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Indikator učinka</w:t>
            </w:r>
          </w:p>
        </w:tc>
        <w:tc>
          <w:tcPr>
            <w:tcW w:w="1019" w:type="pct"/>
            <w:gridSpan w:val="12"/>
            <w:shd w:val="clear" w:color="000000" w:fill="DAF2F6"/>
            <w:vAlign w:val="center"/>
            <w:hideMark/>
          </w:tcPr>
          <w:p w14:paraId="1D2479BD"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 xml:space="preserve">Polazna vrijednost – </w:t>
            </w:r>
          </w:p>
          <w:p w14:paraId="1B5EF8AA"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2021. g.</w:t>
            </w:r>
          </w:p>
        </w:tc>
        <w:tc>
          <w:tcPr>
            <w:tcW w:w="812" w:type="pct"/>
            <w:gridSpan w:val="8"/>
            <w:shd w:val="clear" w:color="000000" w:fill="DAF2F6"/>
            <w:vAlign w:val="center"/>
            <w:hideMark/>
          </w:tcPr>
          <w:p w14:paraId="257663A8"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 xml:space="preserve">Prelazna vrijednost – </w:t>
            </w:r>
          </w:p>
          <w:p w14:paraId="49D9EBF6"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2022. g.</w:t>
            </w:r>
          </w:p>
        </w:tc>
        <w:tc>
          <w:tcPr>
            <w:tcW w:w="507" w:type="pct"/>
            <w:gridSpan w:val="4"/>
            <w:shd w:val="clear" w:color="000000" w:fill="DAF2F6"/>
            <w:vAlign w:val="center"/>
            <w:hideMark/>
          </w:tcPr>
          <w:p w14:paraId="483E2498"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 xml:space="preserve">Prelazna vrijednost – </w:t>
            </w:r>
          </w:p>
          <w:p w14:paraId="130EA819"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2023. g.</w:t>
            </w:r>
          </w:p>
        </w:tc>
        <w:tc>
          <w:tcPr>
            <w:tcW w:w="1106" w:type="pct"/>
            <w:shd w:val="clear" w:color="000000" w:fill="DAF2F6"/>
            <w:vAlign w:val="center"/>
            <w:hideMark/>
          </w:tcPr>
          <w:p w14:paraId="3453887F"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 xml:space="preserve">Ciljna vrijednost – </w:t>
            </w:r>
          </w:p>
          <w:p w14:paraId="03A83992"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2024. g.</w:t>
            </w:r>
          </w:p>
        </w:tc>
      </w:tr>
      <w:tr w:rsidR="002756A4" w:rsidRPr="00383886" w14:paraId="5FBDA4ED" w14:textId="77777777" w:rsidTr="002756A4">
        <w:trPr>
          <w:trHeight w:val="468"/>
        </w:trPr>
        <w:tc>
          <w:tcPr>
            <w:tcW w:w="1556" w:type="pct"/>
            <w:gridSpan w:val="11"/>
            <w:shd w:val="clear" w:color="000000" w:fill="DAF2F6"/>
            <w:vAlign w:val="center"/>
            <w:hideMark/>
          </w:tcPr>
          <w:p w14:paraId="30DD9E1C" w14:textId="77777777" w:rsidR="002756A4" w:rsidRPr="00A80EEE" w:rsidRDefault="002756A4" w:rsidP="002756A4">
            <w:pPr>
              <w:spacing w:after="0" w:line="240" w:lineRule="auto"/>
              <w:jc w:val="center"/>
              <w:rPr>
                <w:rFonts w:ascii="Arial Narrow" w:eastAsia="Times New Roman" w:hAnsi="Arial Narrow" w:cs="Arial"/>
                <w:bCs/>
                <w:color w:val="000000"/>
                <w:sz w:val="20"/>
                <w:szCs w:val="20"/>
              </w:rPr>
            </w:pPr>
            <w:r w:rsidRPr="00A80EEE">
              <w:rPr>
                <w:rFonts w:ascii="Arial Narrow" w:eastAsia="Times New Roman" w:hAnsi="Arial Narrow" w:cs="Arial"/>
                <w:bCs/>
                <w:color w:val="000000"/>
                <w:sz w:val="20"/>
                <w:szCs w:val="20"/>
              </w:rPr>
              <w:t xml:space="preserve">Broj MMSP </w:t>
            </w:r>
          </w:p>
        </w:tc>
        <w:tc>
          <w:tcPr>
            <w:tcW w:w="1019" w:type="pct"/>
            <w:gridSpan w:val="12"/>
            <w:shd w:val="clear" w:color="000000" w:fill="DAF2F6"/>
            <w:vAlign w:val="center"/>
            <w:hideMark/>
          </w:tcPr>
          <w:p w14:paraId="41076114" w14:textId="77777777" w:rsidR="002756A4" w:rsidRPr="00A80EEE" w:rsidRDefault="002756A4" w:rsidP="002756A4">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 xml:space="preserve">37 217 (podatak se odnosi na 2020) </w:t>
            </w:r>
          </w:p>
          <w:p w14:paraId="53240BFD" w14:textId="77777777" w:rsidR="002756A4" w:rsidRPr="00A80EEE" w:rsidRDefault="002756A4" w:rsidP="002756A4">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Izvor: Monstat</w:t>
            </w:r>
          </w:p>
        </w:tc>
        <w:tc>
          <w:tcPr>
            <w:tcW w:w="812" w:type="pct"/>
            <w:gridSpan w:val="8"/>
            <w:shd w:val="clear" w:color="000000" w:fill="DAF2F6"/>
            <w:vAlign w:val="center"/>
            <w:hideMark/>
          </w:tcPr>
          <w:p w14:paraId="28ECCCF1" w14:textId="77777777" w:rsidR="002756A4" w:rsidRPr="00A80EEE" w:rsidRDefault="002756A4" w:rsidP="002756A4">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+10% više u odnosu na 2021.god.</w:t>
            </w:r>
          </w:p>
        </w:tc>
        <w:tc>
          <w:tcPr>
            <w:tcW w:w="507" w:type="pct"/>
            <w:gridSpan w:val="4"/>
            <w:shd w:val="clear" w:color="000000" w:fill="DAF2F6"/>
            <w:vAlign w:val="center"/>
            <w:hideMark/>
          </w:tcPr>
          <w:p w14:paraId="1F7EFFD6" w14:textId="77777777" w:rsidR="002756A4" w:rsidRPr="00A80EEE" w:rsidRDefault="002756A4" w:rsidP="002756A4">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+5% više u odnosu na 2022.god.</w:t>
            </w:r>
          </w:p>
        </w:tc>
        <w:tc>
          <w:tcPr>
            <w:tcW w:w="1106" w:type="pct"/>
            <w:shd w:val="clear" w:color="000000" w:fill="DAF2F6"/>
            <w:vAlign w:val="center"/>
            <w:hideMark/>
          </w:tcPr>
          <w:p w14:paraId="662976C1" w14:textId="77777777" w:rsidR="002756A4" w:rsidRPr="00A80EEE" w:rsidRDefault="002756A4" w:rsidP="002756A4">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+5% više u odnosu na 2023.god.</w:t>
            </w:r>
          </w:p>
        </w:tc>
      </w:tr>
      <w:tr w:rsidR="002756A4" w:rsidRPr="00383886" w14:paraId="78600D14" w14:textId="77777777" w:rsidTr="002756A4">
        <w:trPr>
          <w:trHeight w:val="468"/>
        </w:trPr>
        <w:tc>
          <w:tcPr>
            <w:tcW w:w="1556" w:type="pct"/>
            <w:gridSpan w:val="11"/>
            <w:shd w:val="clear" w:color="000000" w:fill="DAF2F6"/>
            <w:vAlign w:val="center"/>
          </w:tcPr>
          <w:p w14:paraId="096CF7A3" w14:textId="77777777" w:rsidR="002756A4" w:rsidRPr="00A80EEE" w:rsidRDefault="002756A4" w:rsidP="002756A4">
            <w:pPr>
              <w:spacing w:after="0" w:line="240" w:lineRule="auto"/>
              <w:jc w:val="both"/>
              <w:rPr>
                <w:rFonts w:ascii="Arial Narrow" w:eastAsia="Times New Roman" w:hAnsi="Arial Narrow" w:cs="Arial"/>
                <w:bCs/>
                <w:color w:val="000000"/>
                <w:sz w:val="20"/>
                <w:szCs w:val="20"/>
              </w:rPr>
            </w:pPr>
            <w:r w:rsidRPr="00A80EEE">
              <w:rPr>
                <w:rFonts w:ascii="Arial Narrow" w:eastAsia="Times New Roman" w:hAnsi="Arial Narrow" w:cs="Arial"/>
                <w:bCs/>
                <w:color w:val="000000"/>
                <w:sz w:val="20"/>
                <w:szCs w:val="20"/>
              </w:rPr>
              <w:t>Broj sprovedenih inicijativa od značaja za promociju investicionih potencijala Crne Gore i podsticanje izvoza proizvoda i usluga crnogorskih kompanija (Izvor podataka: Godišnji izvještaj o radu MVP; Izvještaji sa sjednica mješovitih komisija; sajt MVP-Vlade)</w:t>
            </w:r>
          </w:p>
        </w:tc>
        <w:tc>
          <w:tcPr>
            <w:tcW w:w="1019" w:type="pct"/>
            <w:gridSpan w:val="12"/>
            <w:shd w:val="clear" w:color="000000" w:fill="DAF2F6"/>
            <w:vAlign w:val="center"/>
          </w:tcPr>
          <w:p w14:paraId="3464CC08" w14:textId="77777777" w:rsidR="002756A4" w:rsidRPr="00A80EEE" w:rsidRDefault="002756A4" w:rsidP="002756A4">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6</w:t>
            </w:r>
          </w:p>
        </w:tc>
        <w:tc>
          <w:tcPr>
            <w:tcW w:w="812" w:type="pct"/>
            <w:gridSpan w:val="8"/>
            <w:shd w:val="clear" w:color="000000" w:fill="DAF2F6"/>
            <w:vAlign w:val="center"/>
          </w:tcPr>
          <w:p w14:paraId="19F42201" w14:textId="77777777" w:rsidR="002756A4" w:rsidRPr="00A80EEE" w:rsidRDefault="002756A4" w:rsidP="002756A4">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7</w:t>
            </w:r>
          </w:p>
        </w:tc>
        <w:tc>
          <w:tcPr>
            <w:tcW w:w="507" w:type="pct"/>
            <w:gridSpan w:val="4"/>
            <w:shd w:val="clear" w:color="000000" w:fill="DAF2F6"/>
            <w:vAlign w:val="center"/>
          </w:tcPr>
          <w:p w14:paraId="45C944B3" w14:textId="77777777" w:rsidR="002756A4" w:rsidRPr="00A80EEE" w:rsidRDefault="002756A4" w:rsidP="002756A4">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8</w:t>
            </w:r>
          </w:p>
        </w:tc>
        <w:tc>
          <w:tcPr>
            <w:tcW w:w="1106" w:type="pct"/>
            <w:shd w:val="clear" w:color="000000" w:fill="DAF2F6"/>
            <w:vAlign w:val="center"/>
          </w:tcPr>
          <w:p w14:paraId="555D53AE" w14:textId="77777777" w:rsidR="002756A4" w:rsidRPr="00A80EEE" w:rsidRDefault="002756A4" w:rsidP="002756A4">
            <w:pPr>
              <w:spacing w:after="0" w:line="240" w:lineRule="auto"/>
              <w:jc w:val="center"/>
              <w:rPr>
                <w:rFonts w:ascii="Arial Narrow" w:eastAsia="Times New Roman" w:hAnsi="Arial Narrow" w:cs="Arial"/>
                <w:color w:val="000000"/>
                <w:sz w:val="20"/>
                <w:szCs w:val="20"/>
              </w:rPr>
            </w:pPr>
            <w:r w:rsidRPr="00A80EEE">
              <w:rPr>
                <w:rFonts w:ascii="Arial Narrow" w:eastAsia="Times New Roman" w:hAnsi="Arial Narrow" w:cs="Arial"/>
                <w:color w:val="000000"/>
                <w:sz w:val="20"/>
                <w:szCs w:val="20"/>
              </w:rPr>
              <w:t>9</w:t>
            </w:r>
          </w:p>
        </w:tc>
      </w:tr>
      <w:bookmarkEnd w:id="29"/>
      <w:tr w:rsidR="002756A4" w:rsidRPr="00383886" w14:paraId="603CA90E" w14:textId="77777777" w:rsidTr="002756A4">
        <w:trPr>
          <w:trHeight w:val="1116"/>
        </w:trPr>
        <w:tc>
          <w:tcPr>
            <w:tcW w:w="759" w:type="pct"/>
            <w:gridSpan w:val="3"/>
            <w:shd w:val="clear" w:color="000000" w:fill="FFF2CC"/>
            <w:vAlign w:val="center"/>
            <w:hideMark/>
          </w:tcPr>
          <w:p w14:paraId="17E2B46D"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Aktivnosti (direktno doprinose realizaciji cilja i fokusiraju se na reforme, novine itd.) PRV</w:t>
            </w:r>
          </w:p>
        </w:tc>
        <w:tc>
          <w:tcPr>
            <w:tcW w:w="797" w:type="pct"/>
            <w:gridSpan w:val="8"/>
            <w:shd w:val="clear" w:color="000000" w:fill="FFF2CC"/>
            <w:vAlign w:val="center"/>
            <w:hideMark/>
          </w:tcPr>
          <w:p w14:paraId="6F306C52"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Indikator rezultata PRV</w:t>
            </w:r>
          </w:p>
        </w:tc>
        <w:tc>
          <w:tcPr>
            <w:tcW w:w="664" w:type="pct"/>
            <w:gridSpan w:val="6"/>
            <w:shd w:val="clear" w:color="000000" w:fill="FFF2CC"/>
            <w:vAlign w:val="center"/>
            <w:hideMark/>
          </w:tcPr>
          <w:p w14:paraId="2FB884DE"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Nadležne institucije i nadležna komisija</w:t>
            </w:r>
          </w:p>
        </w:tc>
        <w:tc>
          <w:tcPr>
            <w:tcW w:w="356" w:type="pct"/>
            <w:gridSpan w:val="6"/>
            <w:shd w:val="clear" w:color="000000" w:fill="FFF2CC"/>
            <w:vAlign w:val="center"/>
            <w:hideMark/>
          </w:tcPr>
          <w:p w14:paraId="54CE14E2"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Planirani početak i završetak aktivnosti</w:t>
            </w:r>
          </w:p>
        </w:tc>
        <w:tc>
          <w:tcPr>
            <w:tcW w:w="396" w:type="pct"/>
            <w:gridSpan w:val="4"/>
            <w:shd w:val="clear" w:color="000000" w:fill="FFF2CC"/>
            <w:vAlign w:val="center"/>
            <w:hideMark/>
          </w:tcPr>
          <w:p w14:paraId="010412F3"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Sredstva za realizaciju  i informacija o izradi RIA</w:t>
            </w:r>
          </w:p>
        </w:tc>
        <w:tc>
          <w:tcPr>
            <w:tcW w:w="416" w:type="pct"/>
            <w:gridSpan w:val="4"/>
            <w:shd w:val="clear" w:color="000000" w:fill="FFF2CC"/>
            <w:vAlign w:val="center"/>
            <w:hideMark/>
          </w:tcPr>
          <w:p w14:paraId="14579686"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 xml:space="preserve"> Izvor finansiranja</w:t>
            </w:r>
          </w:p>
        </w:tc>
        <w:tc>
          <w:tcPr>
            <w:tcW w:w="1613" w:type="pct"/>
            <w:gridSpan w:val="5"/>
            <w:shd w:val="clear" w:color="000000" w:fill="FFF2CC"/>
            <w:vAlign w:val="center"/>
            <w:hideMark/>
          </w:tcPr>
          <w:p w14:paraId="7F364687" w14:textId="77777777" w:rsidR="002756A4" w:rsidRPr="00383886" w:rsidRDefault="002756A4" w:rsidP="002756A4">
            <w:pPr>
              <w:spacing w:after="0" w:line="240" w:lineRule="auto"/>
              <w:jc w:val="center"/>
              <w:rPr>
                <w:rFonts w:ascii="Arial Narrow" w:eastAsia="Times New Roman" w:hAnsi="Arial Narrow" w:cs="Arial"/>
                <w:b/>
                <w:bCs/>
                <w:color w:val="000000"/>
                <w:sz w:val="20"/>
                <w:szCs w:val="20"/>
              </w:rPr>
            </w:pPr>
            <w:r w:rsidRPr="00383886">
              <w:rPr>
                <w:rFonts w:ascii="Arial Narrow" w:eastAsia="Times New Roman" w:hAnsi="Arial Narrow" w:cs="Arial"/>
                <w:b/>
                <w:bCs/>
                <w:color w:val="000000"/>
                <w:sz w:val="20"/>
                <w:szCs w:val="20"/>
              </w:rPr>
              <w:t>Obrazloženje</w:t>
            </w:r>
          </w:p>
        </w:tc>
      </w:tr>
      <w:tr w:rsidR="002756A4" w:rsidRPr="00383886" w14:paraId="7CDB0BD3" w14:textId="77777777" w:rsidTr="002756A4">
        <w:trPr>
          <w:trHeight w:val="876"/>
        </w:trPr>
        <w:tc>
          <w:tcPr>
            <w:tcW w:w="759" w:type="pct"/>
            <w:gridSpan w:val="3"/>
            <w:shd w:val="clear" w:color="auto" w:fill="auto"/>
            <w:hideMark/>
          </w:tcPr>
          <w:p w14:paraId="122E77FF"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1.Usvajanje Zakona o izmjeni i dopunama Zakona o stranim investicijama</w:t>
            </w:r>
          </w:p>
        </w:tc>
        <w:tc>
          <w:tcPr>
            <w:tcW w:w="797" w:type="pct"/>
            <w:gridSpan w:val="8"/>
            <w:shd w:val="clear" w:color="auto" w:fill="auto"/>
            <w:hideMark/>
          </w:tcPr>
          <w:p w14:paraId="1BBE396C"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 xml:space="preserve">Poboljšanje poslovnog ambijenta koje će doprinijeti povećanju stranih investicija. </w:t>
            </w:r>
          </w:p>
        </w:tc>
        <w:tc>
          <w:tcPr>
            <w:tcW w:w="664" w:type="pct"/>
            <w:gridSpan w:val="6"/>
            <w:shd w:val="clear" w:color="auto" w:fill="auto"/>
            <w:hideMark/>
          </w:tcPr>
          <w:p w14:paraId="6BAD9828"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Ministarstvo ekonomskog razvoja</w:t>
            </w:r>
          </w:p>
        </w:tc>
        <w:tc>
          <w:tcPr>
            <w:tcW w:w="356" w:type="pct"/>
            <w:gridSpan w:val="6"/>
            <w:shd w:val="clear" w:color="auto" w:fill="auto"/>
            <w:hideMark/>
          </w:tcPr>
          <w:p w14:paraId="7DB33202" w14:textId="77777777" w:rsidR="002756A4" w:rsidRPr="00383886" w:rsidRDefault="002756A4" w:rsidP="002756A4">
            <w:pPr>
              <w:spacing w:after="0" w:line="240" w:lineRule="auto"/>
              <w:jc w:val="center"/>
              <w:rPr>
                <w:rFonts w:ascii="Arial Narrow" w:eastAsia="Times New Roman" w:hAnsi="Arial Narrow" w:cs="Arial"/>
                <w:i/>
                <w:iCs/>
                <w:color w:val="FF0000"/>
                <w:sz w:val="20"/>
                <w:szCs w:val="20"/>
              </w:rPr>
            </w:pPr>
            <w:r w:rsidRPr="00383886">
              <w:rPr>
                <w:rFonts w:ascii="Arial Narrow" w:eastAsia="Times New Roman" w:hAnsi="Arial Narrow" w:cs="Arial"/>
                <w:i/>
                <w:iCs/>
                <w:color w:val="FF0000"/>
                <w:sz w:val="20"/>
                <w:szCs w:val="20"/>
              </w:rPr>
              <w:br/>
            </w:r>
            <w:r w:rsidRPr="00383886">
              <w:rPr>
                <w:rFonts w:ascii="Arial Narrow" w:eastAsia="Times New Roman" w:hAnsi="Arial Narrow" w:cs="Arial"/>
                <w:sz w:val="20"/>
                <w:szCs w:val="20"/>
              </w:rPr>
              <w:t>IV Q 2022.</w:t>
            </w:r>
          </w:p>
        </w:tc>
        <w:tc>
          <w:tcPr>
            <w:tcW w:w="396" w:type="pct"/>
            <w:gridSpan w:val="4"/>
            <w:shd w:val="clear" w:color="auto" w:fill="auto"/>
            <w:vAlign w:val="center"/>
            <w:hideMark/>
          </w:tcPr>
          <w:p w14:paraId="5E92841D" w14:textId="77777777" w:rsidR="002756A4" w:rsidRPr="00383886" w:rsidRDefault="002756A4" w:rsidP="002756A4">
            <w:pPr>
              <w:spacing w:after="0" w:line="240" w:lineRule="auto"/>
              <w:jc w:val="center"/>
              <w:rPr>
                <w:rFonts w:ascii="Arial Narrow" w:eastAsia="Times New Roman" w:hAnsi="Arial Narrow" w:cs="Arial"/>
                <w:i/>
                <w:iCs/>
                <w:color w:val="FF0000"/>
                <w:sz w:val="20"/>
                <w:szCs w:val="20"/>
              </w:rPr>
            </w:pPr>
            <w:r w:rsidRPr="00383886">
              <w:rPr>
                <w:rFonts w:ascii="Arial Narrow" w:eastAsia="Times New Roman" w:hAnsi="Arial Narrow" w:cs="Arial"/>
                <w:i/>
                <w:iCs/>
                <w:sz w:val="20"/>
                <w:szCs w:val="20"/>
              </w:rPr>
              <w:t>5000</w:t>
            </w:r>
          </w:p>
        </w:tc>
        <w:tc>
          <w:tcPr>
            <w:tcW w:w="416" w:type="pct"/>
            <w:gridSpan w:val="4"/>
            <w:shd w:val="clear" w:color="auto" w:fill="auto"/>
            <w:hideMark/>
          </w:tcPr>
          <w:p w14:paraId="35E34373"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Budžet</w:t>
            </w:r>
          </w:p>
        </w:tc>
        <w:tc>
          <w:tcPr>
            <w:tcW w:w="1613" w:type="pct"/>
            <w:gridSpan w:val="5"/>
            <w:shd w:val="clear" w:color="auto" w:fill="auto"/>
            <w:hideMark/>
          </w:tcPr>
          <w:p w14:paraId="6A9F505E"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Postojeći Zakon nije usklađen sa Zakonom o privatno-javnom partnerstvu. </w:t>
            </w:r>
          </w:p>
        </w:tc>
      </w:tr>
      <w:tr w:rsidR="002756A4" w:rsidRPr="00383886" w14:paraId="1DBABB65" w14:textId="77777777" w:rsidTr="002756A4">
        <w:trPr>
          <w:trHeight w:val="1164"/>
        </w:trPr>
        <w:tc>
          <w:tcPr>
            <w:tcW w:w="759" w:type="pct"/>
            <w:gridSpan w:val="3"/>
            <w:shd w:val="clear" w:color="auto" w:fill="auto"/>
            <w:hideMark/>
          </w:tcPr>
          <w:p w14:paraId="7A618A25"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lastRenderedPageBreak/>
              <w:t>2.Usvajanje Zakona o izmjeni i dopunama Zakona o spoljnoj trgovini naoružanjem i vojnom opremom</w:t>
            </w:r>
          </w:p>
        </w:tc>
        <w:tc>
          <w:tcPr>
            <w:tcW w:w="797" w:type="pct"/>
            <w:gridSpan w:val="8"/>
            <w:shd w:val="clear" w:color="auto" w:fill="auto"/>
            <w:hideMark/>
          </w:tcPr>
          <w:p w14:paraId="0AFDAE3F"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 xml:space="preserve">Poboljšanje poslovnog ambijenta kroz bolje regulisanje spoljne trgovine naoružanjem i vojnom opremom. </w:t>
            </w:r>
          </w:p>
        </w:tc>
        <w:tc>
          <w:tcPr>
            <w:tcW w:w="664" w:type="pct"/>
            <w:gridSpan w:val="6"/>
            <w:shd w:val="clear" w:color="auto" w:fill="auto"/>
            <w:hideMark/>
          </w:tcPr>
          <w:p w14:paraId="411263A7"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Ministarstvo ekonomskog razvoja</w:t>
            </w:r>
          </w:p>
        </w:tc>
        <w:tc>
          <w:tcPr>
            <w:tcW w:w="356" w:type="pct"/>
            <w:gridSpan w:val="6"/>
            <w:shd w:val="clear" w:color="auto" w:fill="auto"/>
            <w:hideMark/>
          </w:tcPr>
          <w:p w14:paraId="7985E36B" w14:textId="77777777" w:rsidR="002756A4" w:rsidRPr="00383886" w:rsidRDefault="002756A4" w:rsidP="002756A4">
            <w:pPr>
              <w:spacing w:after="0" w:line="240" w:lineRule="auto"/>
              <w:jc w:val="center"/>
              <w:rPr>
                <w:rFonts w:ascii="Arial Narrow" w:eastAsia="Times New Roman" w:hAnsi="Arial Narrow" w:cs="Arial"/>
                <w:i/>
                <w:iCs/>
                <w:color w:val="FF0000"/>
                <w:sz w:val="20"/>
                <w:szCs w:val="20"/>
              </w:rPr>
            </w:pPr>
            <w:r w:rsidRPr="00383886">
              <w:rPr>
                <w:rFonts w:ascii="Arial Narrow" w:eastAsia="Times New Roman" w:hAnsi="Arial Narrow" w:cs="Arial"/>
                <w:i/>
                <w:iCs/>
                <w:color w:val="FF0000"/>
                <w:sz w:val="20"/>
                <w:szCs w:val="20"/>
              </w:rPr>
              <w:br/>
            </w:r>
            <w:r w:rsidRPr="00383886">
              <w:rPr>
                <w:rFonts w:ascii="Arial Narrow" w:eastAsia="Times New Roman" w:hAnsi="Arial Narrow" w:cs="Arial"/>
                <w:sz w:val="20"/>
                <w:szCs w:val="20"/>
              </w:rPr>
              <w:t>IV Q 2022.</w:t>
            </w:r>
          </w:p>
        </w:tc>
        <w:tc>
          <w:tcPr>
            <w:tcW w:w="396" w:type="pct"/>
            <w:gridSpan w:val="4"/>
            <w:shd w:val="clear" w:color="auto" w:fill="auto"/>
            <w:vAlign w:val="center"/>
            <w:hideMark/>
          </w:tcPr>
          <w:p w14:paraId="20727356" w14:textId="77777777" w:rsidR="002756A4" w:rsidRPr="00383886" w:rsidRDefault="002756A4" w:rsidP="002756A4">
            <w:pPr>
              <w:spacing w:after="0" w:line="240" w:lineRule="auto"/>
              <w:jc w:val="center"/>
              <w:rPr>
                <w:rFonts w:ascii="Arial Narrow" w:eastAsia="Times New Roman" w:hAnsi="Arial Narrow" w:cs="Arial"/>
                <w:i/>
                <w:iCs/>
                <w:color w:val="FF0000"/>
                <w:sz w:val="20"/>
                <w:szCs w:val="20"/>
              </w:rPr>
            </w:pPr>
            <w:r w:rsidRPr="00383886">
              <w:rPr>
                <w:rFonts w:ascii="Arial Narrow" w:eastAsia="Times New Roman" w:hAnsi="Arial Narrow" w:cs="Arial"/>
                <w:i/>
                <w:iCs/>
                <w:color w:val="FF0000"/>
                <w:sz w:val="20"/>
                <w:szCs w:val="20"/>
              </w:rPr>
              <w:t> </w:t>
            </w:r>
          </w:p>
        </w:tc>
        <w:tc>
          <w:tcPr>
            <w:tcW w:w="416" w:type="pct"/>
            <w:gridSpan w:val="4"/>
            <w:shd w:val="clear" w:color="auto" w:fill="auto"/>
            <w:hideMark/>
          </w:tcPr>
          <w:p w14:paraId="61BF80A2"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Budžet</w:t>
            </w:r>
          </w:p>
        </w:tc>
        <w:tc>
          <w:tcPr>
            <w:tcW w:w="1613" w:type="pct"/>
            <w:gridSpan w:val="5"/>
            <w:shd w:val="clear" w:color="auto" w:fill="auto"/>
            <w:hideMark/>
          </w:tcPr>
          <w:p w14:paraId="0AB6B141"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Postojeći Zakon ima manjih nedostatak koji stvara određene nedomice. </w:t>
            </w:r>
          </w:p>
        </w:tc>
      </w:tr>
      <w:tr w:rsidR="002756A4" w:rsidRPr="00383886" w14:paraId="22CE682B" w14:textId="77777777" w:rsidTr="002756A4">
        <w:trPr>
          <w:trHeight w:val="876"/>
        </w:trPr>
        <w:tc>
          <w:tcPr>
            <w:tcW w:w="759" w:type="pct"/>
            <w:gridSpan w:val="3"/>
            <w:shd w:val="clear" w:color="auto" w:fill="auto"/>
            <w:hideMark/>
          </w:tcPr>
          <w:p w14:paraId="1FB3CEAF"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3.Informacija o slobodnim zonama</w:t>
            </w:r>
          </w:p>
        </w:tc>
        <w:tc>
          <w:tcPr>
            <w:tcW w:w="797" w:type="pct"/>
            <w:gridSpan w:val="8"/>
            <w:shd w:val="clear" w:color="auto" w:fill="auto"/>
            <w:hideMark/>
          </w:tcPr>
          <w:p w14:paraId="500CE3DE"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Poboljšanje operativnosti slobodnih zona</w:t>
            </w:r>
          </w:p>
        </w:tc>
        <w:tc>
          <w:tcPr>
            <w:tcW w:w="664" w:type="pct"/>
            <w:gridSpan w:val="6"/>
            <w:shd w:val="clear" w:color="auto" w:fill="auto"/>
            <w:hideMark/>
          </w:tcPr>
          <w:p w14:paraId="198EA2C1"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Ministarstvo ekonomskog razvoja</w:t>
            </w:r>
          </w:p>
        </w:tc>
        <w:tc>
          <w:tcPr>
            <w:tcW w:w="356" w:type="pct"/>
            <w:gridSpan w:val="6"/>
            <w:shd w:val="clear" w:color="auto" w:fill="auto"/>
            <w:hideMark/>
          </w:tcPr>
          <w:p w14:paraId="10067732"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i/>
                <w:iCs/>
                <w:sz w:val="20"/>
                <w:szCs w:val="20"/>
              </w:rPr>
              <w:t>II Q 2022</w:t>
            </w:r>
          </w:p>
        </w:tc>
        <w:tc>
          <w:tcPr>
            <w:tcW w:w="396" w:type="pct"/>
            <w:gridSpan w:val="4"/>
            <w:shd w:val="clear" w:color="auto" w:fill="auto"/>
            <w:vAlign w:val="center"/>
            <w:hideMark/>
          </w:tcPr>
          <w:p w14:paraId="63176BAA"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i/>
                <w:iCs/>
                <w:sz w:val="20"/>
                <w:szCs w:val="20"/>
              </w:rPr>
              <w:t> </w:t>
            </w:r>
          </w:p>
        </w:tc>
        <w:tc>
          <w:tcPr>
            <w:tcW w:w="416" w:type="pct"/>
            <w:gridSpan w:val="4"/>
            <w:shd w:val="clear" w:color="auto" w:fill="auto"/>
            <w:hideMark/>
          </w:tcPr>
          <w:p w14:paraId="148A42EF"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 </w:t>
            </w:r>
          </w:p>
        </w:tc>
        <w:tc>
          <w:tcPr>
            <w:tcW w:w="1613" w:type="pct"/>
            <w:gridSpan w:val="5"/>
            <w:shd w:val="clear" w:color="auto" w:fill="auto"/>
            <w:hideMark/>
          </w:tcPr>
          <w:p w14:paraId="17368D10"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Kroz informaciju i analizu utvrditi da li su potrebne dopune i izmjene Zakona</w:t>
            </w:r>
          </w:p>
        </w:tc>
      </w:tr>
      <w:tr w:rsidR="002756A4" w:rsidRPr="00383886" w14:paraId="1F77E5B7" w14:textId="77777777" w:rsidTr="002756A4">
        <w:trPr>
          <w:trHeight w:val="1740"/>
        </w:trPr>
        <w:tc>
          <w:tcPr>
            <w:tcW w:w="759" w:type="pct"/>
            <w:gridSpan w:val="3"/>
            <w:shd w:val="clear" w:color="auto" w:fill="auto"/>
            <w:hideMark/>
          </w:tcPr>
          <w:p w14:paraId="637F0CCA"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 xml:space="preserve">4.Usvajanje Zakona o izmjenama i dopunama Zakona o proizvodnji naoružanja i vojne opreme </w:t>
            </w:r>
          </w:p>
        </w:tc>
        <w:tc>
          <w:tcPr>
            <w:tcW w:w="797" w:type="pct"/>
            <w:gridSpan w:val="8"/>
            <w:shd w:val="clear" w:color="auto" w:fill="auto"/>
            <w:hideMark/>
          </w:tcPr>
          <w:p w14:paraId="1C1A930D"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 xml:space="preserve">Poboljšanje poslovnog ambijenta kroz bolje regulisanje proizvodnje naoružanja i vojne opreme. </w:t>
            </w:r>
          </w:p>
        </w:tc>
        <w:tc>
          <w:tcPr>
            <w:tcW w:w="664" w:type="pct"/>
            <w:gridSpan w:val="6"/>
            <w:shd w:val="clear" w:color="auto" w:fill="auto"/>
            <w:hideMark/>
          </w:tcPr>
          <w:p w14:paraId="42882241"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Ministarstvo ekonomskog razvoja</w:t>
            </w:r>
          </w:p>
        </w:tc>
        <w:tc>
          <w:tcPr>
            <w:tcW w:w="356" w:type="pct"/>
            <w:gridSpan w:val="6"/>
            <w:shd w:val="clear" w:color="auto" w:fill="auto"/>
            <w:hideMark/>
          </w:tcPr>
          <w:p w14:paraId="7B96EADB"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i/>
                <w:iCs/>
                <w:sz w:val="20"/>
                <w:szCs w:val="20"/>
              </w:rPr>
              <w:br/>
            </w:r>
            <w:r w:rsidRPr="00383886">
              <w:rPr>
                <w:rFonts w:ascii="Arial Narrow" w:eastAsia="Times New Roman" w:hAnsi="Arial Narrow" w:cs="Arial"/>
                <w:sz w:val="20"/>
                <w:szCs w:val="20"/>
              </w:rPr>
              <w:t>IV Q 2022.</w:t>
            </w:r>
          </w:p>
        </w:tc>
        <w:tc>
          <w:tcPr>
            <w:tcW w:w="396" w:type="pct"/>
            <w:gridSpan w:val="4"/>
            <w:shd w:val="clear" w:color="auto" w:fill="auto"/>
            <w:vAlign w:val="center"/>
            <w:hideMark/>
          </w:tcPr>
          <w:p w14:paraId="67BCCC31"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3000</w:t>
            </w:r>
          </w:p>
        </w:tc>
        <w:tc>
          <w:tcPr>
            <w:tcW w:w="416" w:type="pct"/>
            <w:gridSpan w:val="4"/>
            <w:shd w:val="clear" w:color="auto" w:fill="auto"/>
            <w:hideMark/>
          </w:tcPr>
          <w:p w14:paraId="50F25EB9"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BAFA</w:t>
            </w:r>
            <w:r w:rsidRPr="00383886">
              <w:rPr>
                <w:rFonts w:ascii="Arial Narrow" w:eastAsia="Times New Roman" w:hAnsi="Arial Narrow" w:cs="Arial"/>
                <w:sz w:val="20"/>
                <w:szCs w:val="20"/>
              </w:rPr>
              <w:br/>
              <w:t xml:space="preserve"> (njemačka agencija koja se bavi pitanjim naoružanja i odbrane)</w:t>
            </w:r>
          </w:p>
        </w:tc>
        <w:tc>
          <w:tcPr>
            <w:tcW w:w="1613" w:type="pct"/>
            <w:gridSpan w:val="5"/>
            <w:shd w:val="clear" w:color="auto" w:fill="auto"/>
            <w:hideMark/>
          </w:tcPr>
          <w:p w14:paraId="7D28C0C3"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Postojeći Zakon je zastario obzirom da se radi o Zakonu iz 2005. iz perioda Srbije i Crne Gore. Kao potreba nameće se modernije zakonsko rješenje koje će bolje urediti ovu oblast i djelovati stimulativno na poboljšanje poslovnog ambijenta. </w:t>
            </w:r>
          </w:p>
        </w:tc>
      </w:tr>
      <w:tr w:rsidR="002756A4" w:rsidRPr="00383886" w14:paraId="577D5CD8" w14:textId="77777777" w:rsidTr="002756A4">
        <w:trPr>
          <w:trHeight w:val="1740"/>
        </w:trPr>
        <w:tc>
          <w:tcPr>
            <w:tcW w:w="759" w:type="pct"/>
            <w:gridSpan w:val="3"/>
            <w:shd w:val="clear" w:color="auto" w:fill="auto"/>
          </w:tcPr>
          <w:p w14:paraId="55B44E1C"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color w:val="000000"/>
                <w:sz w:val="20"/>
                <w:szCs w:val="20"/>
              </w:rPr>
              <w:t>5.Izrada Programa za unapređenje konkurentnosti privrede za 2022</w:t>
            </w:r>
          </w:p>
        </w:tc>
        <w:tc>
          <w:tcPr>
            <w:tcW w:w="797" w:type="pct"/>
            <w:gridSpan w:val="8"/>
            <w:shd w:val="clear" w:color="auto" w:fill="auto"/>
          </w:tcPr>
          <w:p w14:paraId="01255D98"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Broj podržanih preduzeća;</w:t>
            </w:r>
          </w:p>
          <w:p w14:paraId="11844665" w14:textId="77777777" w:rsidR="002756A4" w:rsidRPr="00383886" w:rsidRDefault="002756A4" w:rsidP="002756A4">
            <w:pPr>
              <w:spacing w:after="0" w:line="240" w:lineRule="auto"/>
              <w:rPr>
                <w:rFonts w:ascii="Arial Narrow" w:eastAsia="Times New Roman" w:hAnsi="Arial Narrow" w:cs="Arial"/>
                <w:sz w:val="20"/>
                <w:szCs w:val="20"/>
              </w:rPr>
            </w:pPr>
          </w:p>
          <w:p w14:paraId="1A8D50AF"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Broj podržanih žena/mladih</w:t>
            </w:r>
          </w:p>
        </w:tc>
        <w:tc>
          <w:tcPr>
            <w:tcW w:w="664" w:type="pct"/>
            <w:gridSpan w:val="6"/>
            <w:shd w:val="clear" w:color="auto" w:fill="auto"/>
          </w:tcPr>
          <w:p w14:paraId="3A5D0D33" w14:textId="77777777" w:rsidR="002756A4" w:rsidRPr="00383886" w:rsidRDefault="00301973" w:rsidP="00301973">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NI: MER</w:t>
            </w:r>
          </w:p>
          <w:p w14:paraId="1ED02187" w14:textId="77777777" w:rsidR="002756A4" w:rsidRPr="00383886" w:rsidRDefault="00301973" w:rsidP="002756A4">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 xml:space="preserve">  </w:t>
            </w:r>
            <w:r w:rsidR="002756A4" w:rsidRPr="00383886">
              <w:rPr>
                <w:rFonts w:ascii="Arial Narrow" w:eastAsia="Times New Roman" w:hAnsi="Arial Narrow" w:cs="Arial"/>
                <w:sz w:val="20"/>
                <w:szCs w:val="20"/>
              </w:rPr>
              <w:t>NK: KEPIF</w:t>
            </w:r>
          </w:p>
        </w:tc>
        <w:tc>
          <w:tcPr>
            <w:tcW w:w="356" w:type="pct"/>
            <w:gridSpan w:val="6"/>
            <w:tcBorders>
              <w:top w:val="nil"/>
              <w:left w:val="single" w:sz="8" w:space="0" w:color="auto"/>
              <w:bottom w:val="single" w:sz="8" w:space="0" w:color="000000"/>
              <w:right w:val="single" w:sz="8" w:space="0" w:color="auto"/>
            </w:tcBorders>
            <w:shd w:val="clear" w:color="auto" w:fill="auto"/>
            <w:vAlign w:val="center"/>
          </w:tcPr>
          <w:p w14:paraId="31A2F87C"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II - IV Q 2022.</w:t>
            </w:r>
          </w:p>
        </w:tc>
        <w:tc>
          <w:tcPr>
            <w:tcW w:w="396" w:type="pct"/>
            <w:gridSpan w:val="4"/>
            <w:tcBorders>
              <w:top w:val="nil"/>
              <w:left w:val="nil"/>
              <w:bottom w:val="nil"/>
              <w:right w:val="single" w:sz="8" w:space="0" w:color="auto"/>
            </w:tcBorders>
            <w:shd w:val="clear" w:color="auto" w:fill="auto"/>
            <w:vAlign w:val="center"/>
          </w:tcPr>
          <w:p w14:paraId="5423689D"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5.000.000</w:t>
            </w:r>
          </w:p>
        </w:tc>
        <w:tc>
          <w:tcPr>
            <w:tcW w:w="416" w:type="pct"/>
            <w:gridSpan w:val="4"/>
            <w:tcBorders>
              <w:top w:val="single" w:sz="8" w:space="0" w:color="auto"/>
              <w:left w:val="single" w:sz="8" w:space="0" w:color="auto"/>
              <w:bottom w:val="single" w:sz="8" w:space="0" w:color="000000"/>
              <w:right w:val="single" w:sz="8" w:space="0" w:color="000000"/>
            </w:tcBorders>
            <w:shd w:val="clear" w:color="auto" w:fill="auto"/>
            <w:vAlign w:val="center"/>
          </w:tcPr>
          <w:p w14:paraId="6D713862"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w:t>
            </w:r>
          </w:p>
          <w:p w14:paraId="2B8CF047" w14:textId="77777777" w:rsidR="002756A4" w:rsidRPr="00383886" w:rsidRDefault="002756A4" w:rsidP="002756A4">
            <w:pPr>
              <w:spacing w:after="0" w:line="240" w:lineRule="auto"/>
              <w:jc w:val="center"/>
              <w:rPr>
                <w:rFonts w:ascii="Arial Narrow" w:eastAsia="Times New Roman" w:hAnsi="Arial Narrow" w:cs="Arial"/>
                <w:sz w:val="20"/>
                <w:szCs w:val="20"/>
              </w:rPr>
            </w:pPr>
          </w:p>
          <w:p w14:paraId="58EAA431"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color w:val="000000"/>
                <w:sz w:val="20"/>
                <w:szCs w:val="20"/>
              </w:rPr>
              <w:t>Za utvrđivanje procjene uticaja propisa će biti urađena RIA</w:t>
            </w:r>
          </w:p>
        </w:tc>
        <w:tc>
          <w:tcPr>
            <w:tcW w:w="1613" w:type="pct"/>
            <w:gridSpan w:val="5"/>
            <w:tcBorders>
              <w:top w:val="nil"/>
              <w:left w:val="single" w:sz="8" w:space="0" w:color="auto"/>
              <w:bottom w:val="single" w:sz="8" w:space="0" w:color="000000"/>
              <w:right w:val="single" w:sz="8" w:space="0" w:color="auto"/>
            </w:tcBorders>
            <w:shd w:val="clear" w:color="auto" w:fill="auto"/>
            <w:vAlign w:val="center"/>
          </w:tcPr>
          <w:p w14:paraId="3CA9C1D2"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color w:val="000000"/>
                <w:sz w:val="20"/>
                <w:szCs w:val="20"/>
              </w:rPr>
              <w:t>Implementacija mjera fianansijske  i nefinansijske podrške potencijalnim i postojećim preduzetnicima, mikro, malim i srednjim preduzećima ima za cilj povećanje  konkurentnosti domaćih proizvoda i usluga na domaćem i ino tržištu,  unapređenja razvojnih i biznis performansi privrednih subjekata, povećanje nivoa produktivnosti rada preduzeća i otvaranja novih radnih mjesta, sa posebnim osvrtom na ranjive ciljne grupe, žene i mlade.</w:t>
            </w:r>
          </w:p>
        </w:tc>
      </w:tr>
      <w:tr w:rsidR="002756A4" w:rsidRPr="00383886" w14:paraId="7EEF7CBF" w14:textId="77777777" w:rsidTr="002756A4">
        <w:trPr>
          <w:trHeight w:val="1740"/>
        </w:trPr>
        <w:tc>
          <w:tcPr>
            <w:tcW w:w="759" w:type="pct"/>
            <w:gridSpan w:val="3"/>
            <w:shd w:val="clear" w:color="auto" w:fill="auto"/>
          </w:tcPr>
          <w:p w14:paraId="7F5FB636"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color w:val="000000"/>
                <w:sz w:val="20"/>
                <w:szCs w:val="20"/>
              </w:rPr>
              <w:t>6.Uspostavljanje Kreditno -garantnog fonda</w:t>
            </w:r>
          </w:p>
        </w:tc>
        <w:tc>
          <w:tcPr>
            <w:tcW w:w="797" w:type="pct"/>
            <w:gridSpan w:val="8"/>
            <w:shd w:val="clear" w:color="auto" w:fill="auto"/>
          </w:tcPr>
          <w:p w14:paraId="15DE3D77"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 xml:space="preserve">-Broj garantovanih zajmova; </w:t>
            </w:r>
          </w:p>
          <w:p w14:paraId="09E8BDD9"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-Broj novootvorenih radnh mjesta;</w:t>
            </w:r>
          </w:p>
          <w:p w14:paraId="40C7E97A"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color w:val="000000"/>
                <w:sz w:val="20"/>
                <w:szCs w:val="20"/>
              </w:rPr>
              <w:t xml:space="preserve">- Povećan broj učešća preduzeća u vlasništvu žena u ukupnom broju preduzeća u Crnoj Gori za 1%  </w:t>
            </w:r>
          </w:p>
        </w:tc>
        <w:tc>
          <w:tcPr>
            <w:tcW w:w="664" w:type="pct"/>
            <w:gridSpan w:val="6"/>
            <w:shd w:val="clear" w:color="auto" w:fill="auto"/>
          </w:tcPr>
          <w:p w14:paraId="5054B746" w14:textId="77777777" w:rsidR="002756A4" w:rsidRPr="00383886" w:rsidRDefault="00301973" w:rsidP="00301973">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NI: MER i MFSS</w:t>
            </w:r>
          </w:p>
          <w:p w14:paraId="5D07DCFB" w14:textId="77777777" w:rsidR="002756A4" w:rsidRPr="00383886" w:rsidRDefault="00301973" w:rsidP="00301973">
            <w:p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 xml:space="preserve">      </w:t>
            </w:r>
            <w:r w:rsidR="002756A4" w:rsidRPr="00383886">
              <w:rPr>
                <w:rFonts w:ascii="Arial Narrow" w:eastAsia="Times New Roman" w:hAnsi="Arial Narrow" w:cs="Arial"/>
                <w:sz w:val="20"/>
                <w:szCs w:val="20"/>
              </w:rPr>
              <w:t>NK: KEPIF</w:t>
            </w:r>
          </w:p>
        </w:tc>
        <w:tc>
          <w:tcPr>
            <w:tcW w:w="356" w:type="pct"/>
            <w:gridSpan w:val="6"/>
            <w:shd w:val="clear" w:color="auto" w:fill="auto"/>
          </w:tcPr>
          <w:p w14:paraId="11B5803F"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I-IV Q 2022.</w:t>
            </w:r>
          </w:p>
        </w:tc>
        <w:tc>
          <w:tcPr>
            <w:tcW w:w="396" w:type="pct"/>
            <w:gridSpan w:val="4"/>
            <w:shd w:val="clear" w:color="auto" w:fill="auto"/>
            <w:vAlign w:val="center"/>
          </w:tcPr>
          <w:p w14:paraId="7B05BC69"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10.400.000</w:t>
            </w:r>
          </w:p>
          <w:p w14:paraId="261A0BF2" w14:textId="77777777" w:rsidR="002756A4" w:rsidRPr="00383886" w:rsidRDefault="002756A4" w:rsidP="002756A4">
            <w:pPr>
              <w:rPr>
                <w:rFonts w:ascii="Arial Narrow" w:eastAsia="Times New Roman" w:hAnsi="Arial Narrow" w:cs="Arial"/>
                <w:color w:val="000000"/>
                <w:sz w:val="20"/>
                <w:szCs w:val="20"/>
              </w:rPr>
            </w:pPr>
          </w:p>
          <w:p w14:paraId="504909DF" w14:textId="77777777" w:rsidR="002756A4" w:rsidRPr="00383886" w:rsidRDefault="002756A4" w:rsidP="002756A4">
            <w:pPr>
              <w:rPr>
                <w:rFonts w:ascii="Arial Narrow" w:eastAsia="Times New Roman" w:hAnsi="Arial Narrow" w:cs="Arial"/>
                <w:color w:val="000000"/>
                <w:sz w:val="20"/>
                <w:szCs w:val="20"/>
              </w:rPr>
            </w:pPr>
          </w:p>
          <w:p w14:paraId="1D0C8A61" w14:textId="77777777" w:rsidR="002756A4" w:rsidRPr="00383886" w:rsidRDefault="002756A4" w:rsidP="002756A4">
            <w:pPr>
              <w:rPr>
                <w:rFonts w:ascii="Arial Narrow" w:eastAsia="Times New Roman" w:hAnsi="Arial Narrow" w:cs="Arial"/>
                <w:sz w:val="20"/>
                <w:szCs w:val="20"/>
              </w:rPr>
            </w:pPr>
          </w:p>
        </w:tc>
        <w:tc>
          <w:tcPr>
            <w:tcW w:w="416" w:type="pct"/>
            <w:gridSpan w:val="4"/>
            <w:shd w:val="clear" w:color="auto" w:fill="auto"/>
          </w:tcPr>
          <w:p w14:paraId="052560F7"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0605A047"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w:t>
            </w:r>
          </w:p>
          <w:p w14:paraId="20E26E48"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29AD7342"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7E2B802B"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color w:val="000000"/>
                <w:sz w:val="20"/>
                <w:szCs w:val="20"/>
              </w:rPr>
              <w:t>Za utvrđivanje procjene uticaja propisa će biti urađena RIA</w:t>
            </w:r>
          </w:p>
        </w:tc>
        <w:tc>
          <w:tcPr>
            <w:tcW w:w="1613" w:type="pct"/>
            <w:gridSpan w:val="5"/>
            <w:shd w:val="clear" w:color="auto" w:fill="auto"/>
          </w:tcPr>
          <w:p w14:paraId="65E0DF9D"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Uspostavljanje KGF-a predstavljaće snažnu finansijsku podršku razvoju i jačanju mikro, malih i srednjih preduzeća u Crnoj Gori. Pove</w:t>
            </w:r>
            <w:r w:rsidRPr="00383886">
              <w:rPr>
                <w:rFonts w:ascii="Arial Narrow" w:eastAsia="Times New Roman" w:hAnsi="Arial Narrow" w:cs="Arial Narrow"/>
                <w:sz w:val="20"/>
                <w:szCs w:val="20"/>
              </w:rPr>
              <w:t>ć</w:t>
            </w:r>
            <w:r w:rsidRPr="00383886">
              <w:rPr>
                <w:rFonts w:ascii="Arial Narrow" w:eastAsia="Times New Roman" w:hAnsi="Arial Narrow" w:cs="Arial"/>
                <w:sz w:val="20"/>
                <w:szCs w:val="20"/>
              </w:rPr>
              <w:t>anjem dostupnosti finansijskim sredstvima do</w:t>
            </w:r>
            <w:r w:rsidRPr="00383886">
              <w:rPr>
                <w:rFonts w:ascii="Arial Narrow" w:eastAsia="Times New Roman" w:hAnsi="Arial Narrow" w:cs="Arial Narrow"/>
                <w:sz w:val="20"/>
                <w:szCs w:val="20"/>
              </w:rPr>
              <w:t>ć</w:t>
            </w:r>
            <w:r w:rsidRPr="00383886">
              <w:rPr>
                <w:rFonts w:ascii="Arial Narrow" w:eastAsia="Times New Roman" w:hAnsi="Arial Narrow" w:cs="Arial"/>
                <w:sz w:val="20"/>
                <w:szCs w:val="20"/>
              </w:rPr>
              <w:t xml:space="preserve">i </w:t>
            </w:r>
            <w:r w:rsidRPr="00383886">
              <w:rPr>
                <w:rFonts w:ascii="Arial Narrow" w:eastAsia="Times New Roman" w:hAnsi="Arial Narrow" w:cs="Arial Narrow"/>
                <w:sz w:val="20"/>
                <w:szCs w:val="20"/>
              </w:rPr>
              <w:t>ć</w:t>
            </w:r>
            <w:r w:rsidRPr="00383886">
              <w:rPr>
                <w:rFonts w:ascii="Arial Narrow" w:eastAsia="Times New Roman" w:hAnsi="Arial Narrow" w:cs="Arial"/>
                <w:sz w:val="20"/>
                <w:szCs w:val="20"/>
              </w:rPr>
              <w:t>e do ja</w:t>
            </w:r>
            <w:r w:rsidRPr="00383886">
              <w:rPr>
                <w:rFonts w:ascii="Arial Narrow" w:eastAsia="Times New Roman" w:hAnsi="Arial Narrow" w:cs="Arial Narrow"/>
                <w:sz w:val="20"/>
                <w:szCs w:val="20"/>
              </w:rPr>
              <w:t>č</w:t>
            </w:r>
            <w:r w:rsidRPr="00383886">
              <w:rPr>
                <w:rFonts w:ascii="Arial Narrow" w:eastAsia="Times New Roman" w:hAnsi="Arial Narrow" w:cs="Arial"/>
                <w:sz w:val="20"/>
                <w:szCs w:val="20"/>
              </w:rPr>
              <w:t>anja pozicije MMSP, a u tom smislu uticaće se i na konkurentnost crnogorskih preduzeća (posebno malih i srednjih). Navedeno će imati za rezultat i bolje rangiranje Crne Gore u međunarodnim izvještajima. Finansijske institucije očekuju najveću podršku od KGF-a u finansiranju klijenata koji nemaju dovoljno sredstava obezbjeđenja, imaju ograničenu evidenciju i/ili kreditnu istoriju, start-up preduzeća, preduzeća u vlasništvu žena i projekte u poljoprivredi, turizmu, IT i drugim oblastima inovacija</w:t>
            </w:r>
          </w:p>
        </w:tc>
      </w:tr>
      <w:tr w:rsidR="002756A4" w:rsidRPr="00383886" w14:paraId="7A646980" w14:textId="77777777" w:rsidTr="002756A4">
        <w:tc>
          <w:tcPr>
            <w:tcW w:w="759" w:type="pct"/>
            <w:gridSpan w:val="3"/>
            <w:vMerge w:val="restart"/>
            <w:tcBorders>
              <w:top w:val="single" w:sz="4" w:space="0" w:color="auto"/>
              <w:left w:val="single" w:sz="8" w:space="0" w:color="auto"/>
              <w:right w:val="single" w:sz="8" w:space="0" w:color="auto"/>
            </w:tcBorders>
            <w:shd w:val="clear" w:color="auto" w:fill="auto"/>
            <w:vAlign w:val="center"/>
          </w:tcPr>
          <w:p w14:paraId="4491AF1C"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color w:val="000000"/>
                <w:sz w:val="20"/>
                <w:szCs w:val="20"/>
              </w:rPr>
              <w:t xml:space="preserve">7. Informacija o zastupljenosti crnogorskih proizvoda na regionalnim </w:t>
            </w:r>
            <w:r w:rsidRPr="00383886">
              <w:rPr>
                <w:rFonts w:ascii="Arial Narrow" w:eastAsia="Times New Roman" w:hAnsi="Arial Narrow" w:cs="Arial"/>
                <w:color w:val="000000"/>
                <w:sz w:val="20"/>
                <w:szCs w:val="20"/>
              </w:rPr>
              <w:lastRenderedPageBreak/>
              <w:t>tržištima-„Kuća crnogorskih proizvoda“</w:t>
            </w:r>
          </w:p>
        </w:tc>
        <w:tc>
          <w:tcPr>
            <w:tcW w:w="797" w:type="pct"/>
            <w:gridSpan w:val="8"/>
            <w:vMerge w:val="restart"/>
            <w:tcBorders>
              <w:top w:val="single" w:sz="4" w:space="0" w:color="auto"/>
              <w:left w:val="single" w:sz="8" w:space="0" w:color="auto"/>
              <w:right w:val="single" w:sz="8" w:space="0" w:color="auto"/>
            </w:tcBorders>
            <w:shd w:val="clear" w:color="auto" w:fill="auto"/>
            <w:vAlign w:val="center"/>
          </w:tcPr>
          <w:p w14:paraId="23F7AB9A"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color w:val="000000"/>
                <w:sz w:val="20"/>
                <w:szCs w:val="20"/>
              </w:rPr>
              <w:lastRenderedPageBreak/>
              <w:t xml:space="preserve">Sprovodeno istraživanje  u cilju utvrđivanja preferencija inostrane javnosti u vezi sa </w:t>
            </w:r>
            <w:r w:rsidRPr="00383886">
              <w:rPr>
                <w:rFonts w:ascii="Arial Narrow" w:eastAsia="Times New Roman" w:hAnsi="Arial Narrow" w:cs="Arial"/>
                <w:color w:val="000000"/>
                <w:sz w:val="20"/>
                <w:szCs w:val="20"/>
              </w:rPr>
              <w:lastRenderedPageBreak/>
              <w:t>crnogorskim proizvodima ( minimum 2 regionalna tržišta)</w:t>
            </w:r>
          </w:p>
        </w:tc>
        <w:tc>
          <w:tcPr>
            <w:tcW w:w="664" w:type="pct"/>
            <w:gridSpan w:val="6"/>
            <w:vMerge w:val="restart"/>
            <w:tcBorders>
              <w:top w:val="single" w:sz="4" w:space="0" w:color="auto"/>
            </w:tcBorders>
            <w:shd w:val="clear" w:color="auto" w:fill="auto"/>
          </w:tcPr>
          <w:p w14:paraId="6F7EF208" w14:textId="77777777" w:rsidR="00301973" w:rsidRDefault="00301973" w:rsidP="002756A4">
            <w:pPr>
              <w:spacing w:after="0" w:line="240" w:lineRule="auto"/>
              <w:jc w:val="center"/>
              <w:rPr>
                <w:rFonts w:ascii="Arial Narrow" w:eastAsia="Times New Roman" w:hAnsi="Arial Narrow" w:cs="Arial"/>
                <w:sz w:val="20"/>
                <w:szCs w:val="20"/>
              </w:rPr>
            </w:pPr>
          </w:p>
          <w:p w14:paraId="74181ADC" w14:textId="77777777" w:rsidR="00301973" w:rsidRDefault="00301973" w:rsidP="002756A4">
            <w:pPr>
              <w:spacing w:after="0" w:line="240" w:lineRule="auto"/>
              <w:jc w:val="center"/>
              <w:rPr>
                <w:rFonts w:ascii="Arial Narrow" w:eastAsia="Times New Roman" w:hAnsi="Arial Narrow" w:cs="Arial"/>
                <w:sz w:val="20"/>
                <w:szCs w:val="20"/>
              </w:rPr>
            </w:pPr>
          </w:p>
          <w:p w14:paraId="5BCB50CC" w14:textId="77777777" w:rsidR="00301973" w:rsidRDefault="00301973" w:rsidP="002756A4">
            <w:pPr>
              <w:spacing w:after="0" w:line="240" w:lineRule="auto"/>
              <w:jc w:val="center"/>
              <w:rPr>
                <w:rFonts w:ascii="Arial Narrow" w:eastAsia="Times New Roman" w:hAnsi="Arial Narrow" w:cs="Arial"/>
                <w:sz w:val="20"/>
                <w:szCs w:val="20"/>
              </w:rPr>
            </w:pPr>
          </w:p>
          <w:p w14:paraId="21E78B16" w14:textId="77777777" w:rsidR="00301973" w:rsidRDefault="00301973" w:rsidP="002756A4">
            <w:pPr>
              <w:spacing w:after="0" w:line="240" w:lineRule="auto"/>
              <w:jc w:val="center"/>
              <w:rPr>
                <w:rFonts w:ascii="Arial Narrow" w:eastAsia="Times New Roman" w:hAnsi="Arial Narrow" w:cs="Arial"/>
                <w:sz w:val="20"/>
                <w:szCs w:val="20"/>
              </w:rPr>
            </w:pPr>
          </w:p>
          <w:p w14:paraId="4ACF90D3" w14:textId="77777777" w:rsidR="00301973" w:rsidRDefault="00301973" w:rsidP="002756A4">
            <w:pPr>
              <w:spacing w:after="0" w:line="240" w:lineRule="auto"/>
              <w:jc w:val="center"/>
              <w:rPr>
                <w:rFonts w:ascii="Arial Narrow" w:eastAsia="Times New Roman" w:hAnsi="Arial Narrow" w:cs="Arial"/>
                <w:sz w:val="20"/>
                <w:szCs w:val="20"/>
              </w:rPr>
            </w:pPr>
          </w:p>
          <w:p w14:paraId="17F3D395" w14:textId="77777777" w:rsidR="00301973" w:rsidRDefault="00301973" w:rsidP="002756A4">
            <w:pPr>
              <w:spacing w:after="0" w:line="240" w:lineRule="auto"/>
              <w:jc w:val="center"/>
              <w:rPr>
                <w:rFonts w:ascii="Arial Narrow" w:eastAsia="Times New Roman" w:hAnsi="Arial Narrow" w:cs="Arial"/>
                <w:sz w:val="20"/>
                <w:szCs w:val="20"/>
              </w:rPr>
            </w:pPr>
          </w:p>
          <w:p w14:paraId="0008C84F" w14:textId="77777777" w:rsidR="00301973" w:rsidRDefault="00301973" w:rsidP="002756A4">
            <w:pPr>
              <w:spacing w:after="0" w:line="240" w:lineRule="auto"/>
              <w:jc w:val="center"/>
              <w:rPr>
                <w:rFonts w:ascii="Arial Narrow" w:eastAsia="Times New Roman" w:hAnsi="Arial Narrow" w:cs="Arial"/>
                <w:sz w:val="20"/>
                <w:szCs w:val="20"/>
              </w:rPr>
            </w:pPr>
          </w:p>
          <w:p w14:paraId="6BF9359F" w14:textId="77777777" w:rsidR="00301973" w:rsidRDefault="00301973" w:rsidP="002756A4">
            <w:pPr>
              <w:spacing w:after="0" w:line="240" w:lineRule="auto"/>
              <w:jc w:val="center"/>
              <w:rPr>
                <w:rFonts w:ascii="Arial Narrow" w:eastAsia="Times New Roman" w:hAnsi="Arial Narrow" w:cs="Arial"/>
                <w:sz w:val="20"/>
                <w:szCs w:val="20"/>
              </w:rPr>
            </w:pPr>
          </w:p>
          <w:p w14:paraId="528AF412" w14:textId="77777777" w:rsidR="00301973" w:rsidRDefault="00301973" w:rsidP="002756A4">
            <w:pPr>
              <w:spacing w:after="0" w:line="240" w:lineRule="auto"/>
              <w:jc w:val="center"/>
              <w:rPr>
                <w:rFonts w:ascii="Arial Narrow" w:eastAsia="Times New Roman" w:hAnsi="Arial Narrow" w:cs="Arial"/>
                <w:sz w:val="20"/>
                <w:szCs w:val="20"/>
              </w:rPr>
            </w:pPr>
          </w:p>
          <w:p w14:paraId="37C23FF7" w14:textId="77777777" w:rsidR="00301973" w:rsidRDefault="00301973" w:rsidP="002756A4">
            <w:pPr>
              <w:spacing w:after="0" w:line="240" w:lineRule="auto"/>
              <w:jc w:val="center"/>
              <w:rPr>
                <w:rFonts w:ascii="Arial Narrow" w:eastAsia="Times New Roman" w:hAnsi="Arial Narrow" w:cs="Arial"/>
                <w:sz w:val="20"/>
                <w:szCs w:val="20"/>
              </w:rPr>
            </w:pPr>
          </w:p>
          <w:p w14:paraId="321CB003" w14:textId="77777777" w:rsidR="00301973" w:rsidRDefault="00301973" w:rsidP="002756A4">
            <w:pPr>
              <w:spacing w:after="0" w:line="240" w:lineRule="auto"/>
              <w:jc w:val="center"/>
              <w:rPr>
                <w:rFonts w:ascii="Arial Narrow" w:eastAsia="Times New Roman" w:hAnsi="Arial Narrow" w:cs="Arial"/>
                <w:sz w:val="20"/>
                <w:szCs w:val="20"/>
              </w:rPr>
            </w:pPr>
          </w:p>
          <w:p w14:paraId="11992F4C" w14:textId="77777777" w:rsidR="00301973" w:rsidRDefault="00301973" w:rsidP="002756A4">
            <w:pPr>
              <w:spacing w:after="0" w:line="240" w:lineRule="auto"/>
              <w:jc w:val="center"/>
              <w:rPr>
                <w:rFonts w:ascii="Arial Narrow" w:eastAsia="Times New Roman" w:hAnsi="Arial Narrow" w:cs="Arial"/>
                <w:sz w:val="20"/>
                <w:szCs w:val="20"/>
              </w:rPr>
            </w:pPr>
          </w:p>
          <w:p w14:paraId="3CB81FAC" w14:textId="77777777" w:rsidR="002756A4" w:rsidRPr="00383886" w:rsidRDefault="00301973" w:rsidP="00301973">
            <w:p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 xml:space="preserve">          </w:t>
            </w:r>
            <w:r w:rsidR="002756A4" w:rsidRPr="00383886">
              <w:rPr>
                <w:rFonts w:ascii="Arial Narrow" w:eastAsia="Times New Roman" w:hAnsi="Arial Narrow" w:cs="Arial"/>
                <w:sz w:val="20"/>
                <w:szCs w:val="20"/>
              </w:rPr>
              <w:t>NI: MER</w:t>
            </w:r>
          </w:p>
          <w:p w14:paraId="7EA3D1A3" w14:textId="77777777" w:rsidR="002756A4" w:rsidRPr="00383886" w:rsidRDefault="00301973" w:rsidP="00301973">
            <w:p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 xml:space="preserve">         </w:t>
            </w:r>
            <w:r w:rsidR="002756A4" w:rsidRPr="00383886">
              <w:rPr>
                <w:rFonts w:ascii="Arial Narrow" w:eastAsia="Times New Roman" w:hAnsi="Arial Narrow" w:cs="Arial"/>
                <w:sz w:val="20"/>
                <w:szCs w:val="20"/>
              </w:rPr>
              <w:t>NK: KEPIF</w:t>
            </w:r>
          </w:p>
        </w:tc>
        <w:tc>
          <w:tcPr>
            <w:tcW w:w="356" w:type="pct"/>
            <w:gridSpan w:val="6"/>
            <w:vMerge w:val="restart"/>
            <w:tcBorders>
              <w:top w:val="single" w:sz="4" w:space="0" w:color="auto"/>
            </w:tcBorders>
            <w:shd w:val="clear" w:color="auto" w:fill="auto"/>
          </w:tcPr>
          <w:p w14:paraId="6DAE5758" w14:textId="77777777" w:rsidR="00301973" w:rsidRDefault="00301973" w:rsidP="002756A4">
            <w:pPr>
              <w:spacing w:after="0" w:line="240" w:lineRule="auto"/>
              <w:jc w:val="center"/>
              <w:rPr>
                <w:rFonts w:ascii="Arial Narrow" w:eastAsia="Times New Roman" w:hAnsi="Arial Narrow" w:cs="Arial"/>
                <w:i/>
                <w:iCs/>
                <w:sz w:val="20"/>
                <w:szCs w:val="20"/>
              </w:rPr>
            </w:pPr>
          </w:p>
          <w:p w14:paraId="5459B1FF" w14:textId="77777777" w:rsidR="00301973" w:rsidRDefault="00301973" w:rsidP="002756A4">
            <w:pPr>
              <w:spacing w:after="0" w:line="240" w:lineRule="auto"/>
              <w:jc w:val="center"/>
              <w:rPr>
                <w:rFonts w:ascii="Arial Narrow" w:eastAsia="Times New Roman" w:hAnsi="Arial Narrow" w:cs="Arial"/>
                <w:i/>
                <w:iCs/>
                <w:sz w:val="20"/>
                <w:szCs w:val="20"/>
              </w:rPr>
            </w:pPr>
          </w:p>
          <w:p w14:paraId="100E5430" w14:textId="77777777" w:rsidR="00301973" w:rsidRDefault="00301973" w:rsidP="002756A4">
            <w:pPr>
              <w:spacing w:after="0" w:line="240" w:lineRule="auto"/>
              <w:jc w:val="center"/>
              <w:rPr>
                <w:rFonts w:ascii="Arial Narrow" w:eastAsia="Times New Roman" w:hAnsi="Arial Narrow" w:cs="Arial"/>
                <w:i/>
                <w:iCs/>
                <w:sz w:val="20"/>
                <w:szCs w:val="20"/>
              </w:rPr>
            </w:pPr>
          </w:p>
          <w:p w14:paraId="10C07308" w14:textId="77777777" w:rsidR="00301973" w:rsidRDefault="00301973" w:rsidP="002756A4">
            <w:pPr>
              <w:spacing w:after="0" w:line="240" w:lineRule="auto"/>
              <w:jc w:val="center"/>
              <w:rPr>
                <w:rFonts w:ascii="Arial Narrow" w:eastAsia="Times New Roman" w:hAnsi="Arial Narrow" w:cs="Arial"/>
                <w:i/>
                <w:iCs/>
                <w:sz w:val="20"/>
                <w:szCs w:val="20"/>
              </w:rPr>
            </w:pPr>
          </w:p>
          <w:p w14:paraId="4209B939" w14:textId="77777777" w:rsidR="00301973" w:rsidRDefault="00301973" w:rsidP="002756A4">
            <w:pPr>
              <w:spacing w:after="0" w:line="240" w:lineRule="auto"/>
              <w:jc w:val="center"/>
              <w:rPr>
                <w:rFonts w:ascii="Arial Narrow" w:eastAsia="Times New Roman" w:hAnsi="Arial Narrow" w:cs="Arial"/>
                <w:i/>
                <w:iCs/>
                <w:sz w:val="20"/>
                <w:szCs w:val="20"/>
              </w:rPr>
            </w:pPr>
          </w:p>
          <w:p w14:paraId="0A1385D8" w14:textId="77777777" w:rsidR="00301973" w:rsidRDefault="00301973" w:rsidP="002756A4">
            <w:pPr>
              <w:spacing w:after="0" w:line="240" w:lineRule="auto"/>
              <w:jc w:val="center"/>
              <w:rPr>
                <w:rFonts w:ascii="Arial Narrow" w:eastAsia="Times New Roman" w:hAnsi="Arial Narrow" w:cs="Arial"/>
                <w:i/>
                <w:iCs/>
                <w:sz w:val="20"/>
                <w:szCs w:val="20"/>
              </w:rPr>
            </w:pPr>
          </w:p>
          <w:p w14:paraId="2A02638C" w14:textId="77777777" w:rsidR="00301973" w:rsidRDefault="00301973" w:rsidP="002756A4">
            <w:pPr>
              <w:spacing w:after="0" w:line="240" w:lineRule="auto"/>
              <w:jc w:val="center"/>
              <w:rPr>
                <w:rFonts w:ascii="Arial Narrow" w:eastAsia="Times New Roman" w:hAnsi="Arial Narrow" w:cs="Arial"/>
                <w:i/>
                <w:iCs/>
                <w:sz w:val="20"/>
                <w:szCs w:val="20"/>
              </w:rPr>
            </w:pPr>
          </w:p>
          <w:p w14:paraId="38B1AE8D" w14:textId="77777777" w:rsidR="00301973" w:rsidRDefault="00301973" w:rsidP="002756A4">
            <w:pPr>
              <w:spacing w:after="0" w:line="240" w:lineRule="auto"/>
              <w:jc w:val="center"/>
              <w:rPr>
                <w:rFonts w:ascii="Arial Narrow" w:eastAsia="Times New Roman" w:hAnsi="Arial Narrow" w:cs="Arial"/>
                <w:i/>
                <w:iCs/>
                <w:sz w:val="20"/>
                <w:szCs w:val="20"/>
              </w:rPr>
            </w:pPr>
          </w:p>
          <w:p w14:paraId="13823603" w14:textId="77777777" w:rsidR="00301973" w:rsidRDefault="00301973" w:rsidP="002756A4">
            <w:pPr>
              <w:spacing w:after="0" w:line="240" w:lineRule="auto"/>
              <w:jc w:val="center"/>
              <w:rPr>
                <w:rFonts w:ascii="Arial Narrow" w:eastAsia="Times New Roman" w:hAnsi="Arial Narrow" w:cs="Arial"/>
                <w:i/>
                <w:iCs/>
                <w:sz w:val="20"/>
                <w:szCs w:val="20"/>
              </w:rPr>
            </w:pPr>
          </w:p>
          <w:p w14:paraId="055EBBF4" w14:textId="77777777" w:rsidR="00301973" w:rsidRDefault="00301973" w:rsidP="002756A4">
            <w:pPr>
              <w:spacing w:after="0" w:line="240" w:lineRule="auto"/>
              <w:jc w:val="center"/>
              <w:rPr>
                <w:rFonts w:ascii="Arial Narrow" w:eastAsia="Times New Roman" w:hAnsi="Arial Narrow" w:cs="Arial"/>
                <w:i/>
                <w:iCs/>
                <w:sz w:val="20"/>
                <w:szCs w:val="20"/>
              </w:rPr>
            </w:pPr>
          </w:p>
          <w:p w14:paraId="1E5D2F39" w14:textId="77777777" w:rsidR="00301973" w:rsidRDefault="00301973" w:rsidP="002756A4">
            <w:pPr>
              <w:spacing w:after="0" w:line="240" w:lineRule="auto"/>
              <w:jc w:val="center"/>
              <w:rPr>
                <w:rFonts w:ascii="Arial Narrow" w:eastAsia="Times New Roman" w:hAnsi="Arial Narrow" w:cs="Arial"/>
                <w:i/>
                <w:iCs/>
                <w:sz w:val="20"/>
                <w:szCs w:val="20"/>
              </w:rPr>
            </w:pPr>
          </w:p>
          <w:p w14:paraId="77E95E4B" w14:textId="77777777" w:rsidR="00301973" w:rsidRDefault="00301973" w:rsidP="002756A4">
            <w:pPr>
              <w:spacing w:after="0" w:line="240" w:lineRule="auto"/>
              <w:jc w:val="center"/>
              <w:rPr>
                <w:rFonts w:ascii="Arial Narrow" w:eastAsia="Times New Roman" w:hAnsi="Arial Narrow" w:cs="Arial"/>
                <w:i/>
                <w:iCs/>
                <w:sz w:val="20"/>
                <w:szCs w:val="20"/>
              </w:rPr>
            </w:pPr>
          </w:p>
          <w:p w14:paraId="4ED3531D"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i/>
                <w:iCs/>
                <w:sz w:val="20"/>
                <w:szCs w:val="20"/>
              </w:rPr>
              <w:t>II - IV Q 2022.</w:t>
            </w:r>
          </w:p>
        </w:tc>
        <w:tc>
          <w:tcPr>
            <w:tcW w:w="396" w:type="pct"/>
            <w:gridSpan w:val="4"/>
            <w:vMerge w:val="restart"/>
            <w:tcBorders>
              <w:top w:val="single" w:sz="4" w:space="0" w:color="auto"/>
            </w:tcBorders>
            <w:shd w:val="clear" w:color="auto" w:fill="auto"/>
            <w:vAlign w:val="center"/>
          </w:tcPr>
          <w:p w14:paraId="1C2860B8"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i/>
                <w:iCs/>
                <w:sz w:val="20"/>
                <w:szCs w:val="20"/>
              </w:rPr>
              <w:lastRenderedPageBreak/>
              <w:t>50000</w:t>
            </w:r>
          </w:p>
          <w:p w14:paraId="54133CDF" w14:textId="77777777" w:rsidR="002756A4" w:rsidRPr="00383886" w:rsidRDefault="002756A4" w:rsidP="002756A4">
            <w:pPr>
              <w:spacing w:after="0" w:line="240" w:lineRule="auto"/>
              <w:jc w:val="center"/>
              <w:rPr>
                <w:rFonts w:ascii="Arial Narrow" w:eastAsia="Times New Roman" w:hAnsi="Arial Narrow" w:cs="Arial"/>
                <w:i/>
                <w:iCs/>
                <w:sz w:val="20"/>
                <w:szCs w:val="20"/>
              </w:rPr>
            </w:pPr>
          </w:p>
          <w:p w14:paraId="0113228A" w14:textId="77777777" w:rsidR="002756A4" w:rsidRPr="00383886" w:rsidRDefault="002756A4" w:rsidP="002756A4">
            <w:pPr>
              <w:spacing w:after="0" w:line="240" w:lineRule="auto"/>
              <w:jc w:val="center"/>
              <w:rPr>
                <w:rFonts w:ascii="Arial Narrow" w:eastAsia="Times New Roman" w:hAnsi="Arial Narrow" w:cs="Arial"/>
                <w:i/>
                <w:iCs/>
                <w:sz w:val="20"/>
                <w:szCs w:val="20"/>
              </w:rPr>
            </w:pPr>
          </w:p>
          <w:p w14:paraId="5620AE58"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i/>
                <w:iCs/>
                <w:sz w:val="20"/>
                <w:szCs w:val="20"/>
              </w:rPr>
              <w:lastRenderedPageBreak/>
              <w:t>20000</w:t>
            </w:r>
          </w:p>
        </w:tc>
        <w:tc>
          <w:tcPr>
            <w:tcW w:w="416" w:type="pct"/>
            <w:gridSpan w:val="4"/>
            <w:tcBorders>
              <w:top w:val="single" w:sz="4" w:space="0" w:color="auto"/>
            </w:tcBorders>
            <w:shd w:val="clear" w:color="auto" w:fill="auto"/>
          </w:tcPr>
          <w:p w14:paraId="3ECD583C" w14:textId="77777777" w:rsidR="002756A4" w:rsidRPr="00383886" w:rsidRDefault="002756A4" w:rsidP="002756A4">
            <w:pPr>
              <w:spacing w:after="0" w:line="240" w:lineRule="auto"/>
              <w:jc w:val="center"/>
              <w:rPr>
                <w:rFonts w:ascii="Arial Narrow" w:eastAsia="Times New Roman" w:hAnsi="Arial Narrow" w:cs="Arial"/>
                <w:sz w:val="20"/>
                <w:szCs w:val="20"/>
              </w:rPr>
            </w:pPr>
          </w:p>
          <w:p w14:paraId="66BEDB2C" w14:textId="77777777" w:rsidR="002756A4" w:rsidRPr="00383886" w:rsidRDefault="002756A4" w:rsidP="002756A4">
            <w:pPr>
              <w:spacing w:after="0" w:line="240" w:lineRule="auto"/>
              <w:jc w:val="center"/>
              <w:rPr>
                <w:rFonts w:ascii="Arial Narrow" w:eastAsia="Times New Roman" w:hAnsi="Arial Narrow" w:cs="Arial"/>
                <w:sz w:val="20"/>
                <w:szCs w:val="20"/>
              </w:rPr>
            </w:pPr>
          </w:p>
          <w:p w14:paraId="42EB1DF8" w14:textId="77777777" w:rsidR="002756A4" w:rsidRPr="00383886" w:rsidRDefault="002756A4" w:rsidP="002756A4">
            <w:pPr>
              <w:spacing w:after="0" w:line="240" w:lineRule="auto"/>
              <w:jc w:val="center"/>
              <w:rPr>
                <w:rFonts w:ascii="Arial Narrow" w:eastAsia="Times New Roman" w:hAnsi="Arial Narrow" w:cs="Arial"/>
                <w:sz w:val="20"/>
                <w:szCs w:val="20"/>
              </w:rPr>
            </w:pPr>
          </w:p>
          <w:p w14:paraId="50E99E04" w14:textId="77777777" w:rsidR="002756A4" w:rsidRPr="00383886" w:rsidRDefault="002756A4" w:rsidP="002756A4">
            <w:pPr>
              <w:spacing w:after="0" w:line="240" w:lineRule="auto"/>
              <w:jc w:val="center"/>
              <w:rPr>
                <w:rFonts w:ascii="Arial Narrow" w:eastAsia="Times New Roman" w:hAnsi="Arial Narrow" w:cs="Arial"/>
                <w:sz w:val="20"/>
                <w:szCs w:val="20"/>
              </w:rPr>
            </w:pPr>
          </w:p>
          <w:p w14:paraId="2D5FE103" w14:textId="77777777" w:rsidR="002756A4" w:rsidRPr="00383886" w:rsidRDefault="002756A4" w:rsidP="00301973">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Budžet</w:t>
            </w:r>
          </w:p>
          <w:p w14:paraId="5247F699" w14:textId="77777777" w:rsidR="002756A4" w:rsidRPr="00383886" w:rsidRDefault="002756A4" w:rsidP="002756A4">
            <w:pPr>
              <w:spacing w:after="0" w:line="240" w:lineRule="auto"/>
              <w:jc w:val="center"/>
              <w:rPr>
                <w:rFonts w:ascii="Arial Narrow" w:eastAsia="Times New Roman" w:hAnsi="Arial Narrow" w:cs="Arial"/>
                <w:sz w:val="20"/>
                <w:szCs w:val="20"/>
              </w:rPr>
            </w:pPr>
          </w:p>
          <w:p w14:paraId="2DCC2280" w14:textId="77777777" w:rsidR="002756A4" w:rsidRPr="00383886" w:rsidRDefault="002756A4" w:rsidP="002756A4">
            <w:pPr>
              <w:spacing w:after="0" w:line="240" w:lineRule="auto"/>
              <w:jc w:val="center"/>
              <w:rPr>
                <w:rFonts w:ascii="Arial Narrow" w:eastAsia="Times New Roman" w:hAnsi="Arial Narrow" w:cs="Arial"/>
                <w:sz w:val="20"/>
                <w:szCs w:val="20"/>
              </w:rPr>
            </w:pPr>
          </w:p>
          <w:p w14:paraId="0B5456F4" w14:textId="77777777" w:rsidR="002756A4" w:rsidRPr="00383886" w:rsidRDefault="002756A4" w:rsidP="002756A4">
            <w:pPr>
              <w:spacing w:after="0" w:line="240" w:lineRule="auto"/>
              <w:jc w:val="center"/>
              <w:rPr>
                <w:rFonts w:ascii="Arial Narrow" w:eastAsia="Times New Roman" w:hAnsi="Arial Narrow" w:cs="Arial"/>
                <w:sz w:val="20"/>
                <w:szCs w:val="20"/>
              </w:rPr>
            </w:pPr>
          </w:p>
          <w:p w14:paraId="3D9888EF" w14:textId="77777777" w:rsidR="002756A4" w:rsidRPr="00383886" w:rsidRDefault="002756A4" w:rsidP="002756A4">
            <w:pPr>
              <w:spacing w:after="0" w:line="240" w:lineRule="auto"/>
              <w:jc w:val="center"/>
              <w:rPr>
                <w:rFonts w:ascii="Arial Narrow" w:eastAsia="Times New Roman" w:hAnsi="Arial Narrow" w:cs="Arial"/>
                <w:sz w:val="20"/>
                <w:szCs w:val="20"/>
              </w:rPr>
            </w:pPr>
          </w:p>
          <w:p w14:paraId="1FCA1ECE" w14:textId="77777777" w:rsidR="002756A4" w:rsidRPr="00383886" w:rsidRDefault="002756A4" w:rsidP="002756A4">
            <w:pPr>
              <w:spacing w:after="0" w:line="240" w:lineRule="auto"/>
              <w:jc w:val="center"/>
              <w:rPr>
                <w:rFonts w:ascii="Arial Narrow" w:eastAsia="Times New Roman" w:hAnsi="Arial Narrow" w:cs="Arial"/>
                <w:sz w:val="20"/>
                <w:szCs w:val="20"/>
              </w:rPr>
            </w:pPr>
          </w:p>
          <w:p w14:paraId="280C807B" w14:textId="77777777" w:rsidR="002756A4" w:rsidRPr="00383886" w:rsidRDefault="002756A4" w:rsidP="002756A4">
            <w:pPr>
              <w:spacing w:after="0" w:line="240" w:lineRule="auto"/>
              <w:jc w:val="center"/>
              <w:rPr>
                <w:rFonts w:ascii="Arial Narrow" w:eastAsia="Times New Roman" w:hAnsi="Arial Narrow" w:cs="Arial"/>
                <w:sz w:val="20"/>
                <w:szCs w:val="20"/>
              </w:rPr>
            </w:pPr>
          </w:p>
          <w:p w14:paraId="02A9B8A4"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 xml:space="preserve">Donatorska </w:t>
            </w:r>
          </w:p>
        </w:tc>
        <w:tc>
          <w:tcPr>
            <w:tcW w:w="1613" w:type="pct"/>
            <w:gridSpan w:val="5"/>
            <w:vMerge w:val="restart"/>
            <w:shd w:val="clear" w:color="auto" w:fill="auto"/>
          </w:tcPr>
          <w:p w14:paraId="441D29C5" w14:textId="77777777" w:rsidR="00301973" w:rsidRDefault="00301973" w:rsidP="002756A4">
            <w:pPr>
              <w:spacing w:after="0" w:line="240" w:lineRule="auto"/>
              <w:jc w:val="both"/>
              <w:rPr>
                <w:rFonts w:ascii="Arial Narrow" w:eastAsia="Times New Roman" w:hAnsi="Arial Narrow" w:cs="Arial"/>
                <w:sz w:val="20"/>
                <w:szCs w:val="20"/>
              </w:rPr>
            </w:pPr>
          </w:p>
          <w:p w14:paraId="2DD83B45" w14:textId="77777777" w:rsidR="00301973" w:rsidRDefault="00301973" w:rsidP="002756A4">
            <w:pPr>
              <w:spacing w:after="0" w:line="240" w:lineRule="auto"/>
              <w:jc w:val="both"/>
              <w:rPr>
                <w:rFonts w:ascii="Arial Narrow" w:eastAsia="Times New Roman" w:hAnsi="Arial Narrow" w:cs="Arial"/>
                <w:sz w:val="20"/>
                <w:szCs w:val="20"/>
              </w:rPr>
            </w:pPr>
          </w:p>
          <w:p w14:paraId="5B66823C" w14:textId="77777777" w:rsidR="00301973" w:rsidRDefault="00301973" w:rsidP="002756A4">
            <w:pPr>
              <w:spacing w:after="0" w:line="240" w:lineRule="auto"/>
              <w:jc w:val="both"/>
              <w:rPr>
                <w:rFonts w:ascii="Arial Narrow" w:eastAsia="Times New Roman" w:hAnsi="Arial Narrow" w:cs="Arial"/>
                <w:sz w:val="20"/>
                <w:szCs w:val="20"/>
              </w:rPr>
            </w:pPr>
          </w:p>
          <w:p w14:paraId="069F0C2C" w14:textId="77777777" w:rsidR="00301973" w:rsidRDefault="00301973" w:rsidP="002756A4">
            <w:pPr>
              <w:spacing w:after="0" w:line="240" w:lineRule="auto"/>
              <w:jc w:val="both"/>
              <w:rPr>
                <w:rFonts w:ascii="Arial Narrow" w:eastAsia="Times New Roman" w:hAnsi="Arial Narrow" w:cs="Arial"/>
                <w:sz w:val="20"/>
                <w:szCs w:val="20"/>
              </w:rPr>
            </w:pPr>
          </w:p>
          <w:p w14:paraId="1EA29554" w14:textId="77777777" w:rsidR="00301973" w:rsidRDefault="00301973" w:rsidP="002756A4">
            <w:pPr>
              <w:spacing w:after="0" w:line="240" w:lineRule="auto"/>
              <w:jc w:val="both"/>
              <w:rPr>
                <w:rFonts w:ascii="Arial Narrow" w:eastAsia="Times New Roman" w:hAnsi="Arial Narrow" w:cs="Arial"/>
                <w:sz w:val="20"/>
                <w:szCs w:val="20"/>
              </w:rPr>
            </w:pPr>
          </w:p>
          <w:p w14:paraId="5E478AD6" w14:textId="77777777" w:rsidR="00301973" w:rsidRDefault="00301973" w:rsidP="002756A4">
            <w:pPr>
              <w:spacing w:after="0" w:line="240" w:lineRule="auto"/>
              <w:jc w:val="both"/>
              <w:rPr>
                <w:rFonts w:ascii="Arial Narrow" w:eastAsia="Times New Roman" w:hAnsi="Arial Narrow" w:cs="Arial"/>
                <w:sz w:val="20"/>
                <w:szCs w:val="20"/>
              </w:rPr>
            </w:pPr>
          </w:p>
          <w:p w14:paraId="79A60CFB" w14:textId="77777777" w:rsidR="00301973" w:rsidRDefault="00301973" w:rsidP="002756A4">
            <w:pPr>
              <w:spacing w:after="0" w:line="240" w:lineRule="auto"/>
              <w:jc w:val="both"/>
              <w:rPr>
                <w:rFonts w:ascii="Arial Narrow" w:eastAsia="Times New Roman" w:hAnsi="Arial Narrow" w:cs="Arial"/>
                <w:sz w:val="20"/>
                <w:szCs w:val="20"/>
              </w:rPr>
            </w:pPr>
          </w:p>
          <w:p w14:paraId="724CDFD5" w14:textId="77777777" w:rsidR="00301973" w:rsidRDefault="00301973" w:rsidP="002756A4">
            <w:pPr>
              <w:spacing w:after="0" w:line="240" w:lineRule="auto"/>
              <w:jc w:val="both"/>
              <w:rPr>
                <w:rFonts w:ascii="Arial Narrow" w:eastAsia="Times New Roman" w:hAnsi="Arial Narrow" w:cs="Arial"/>
                <w:sz w:val="20"/>
                <w:szCs w:val="20"/>
              </w:rPr>
            </w:pPr>
          </w:p>
          <w:p w14:paraId="0A33E8E4" w14:textId="77777777" w:rsidR="00301973" w:rsidRDefault="00301973" w:rsidP="002756A4">
            <w:pPr>
              <w:spacing w:after="0" w:line="240" w:lineRule="auto"/>
              <w:jc w:val="both"/>
              <w:rPr>
                <w:rFonts w:ascii="Arial Narrow" w:eastAsia="Times New Roman" w:hAnsi="Arial Narrow" w:cs="Arial"/>
                <w:sz w:val="20"/>
                <w:szCs w:val="20"/>
              </w:rPr>
            </w:pPr>
          </w:p>
          <w:p w14:paraId="047A25B5" w14:textId="77777777" w:rsidR="00301973" w:rsidRDefault="00301973" w:rsidP="002756A4">
            <w:pPr>
              <w:spacing w:after="0" w:line="240" w:lineRule="auto"/>
              <w:jc w:val="both"/>
              <w:rPr>
                <w:rFonts w:ascii="Arial Narrow" w:eastAsia="Times New Roman" w:hAnsi="Arial Narrow" w:cs="Arial"/>
                <w:sz w:val="20"/>
                <w:szCs w:val="20"/>
              </w:rPr>
            </w:pPr>
          </w:p>
          <w:p w14:paraId="5D05510A" w14:textId="77777777" w:rsidR="00301973" w:rsidRDefault="00301973" w:rsidP="002756A4">
            <w:pPr>
              <w:spacing w:after="0" w:line="240" w:lineRule="auto"/>
              <w:jc w:val="both"/>
              <w:rPr>
                <w:rFonts w:ascii="Arial Narrow" w:eastAsia="Times New Roman" w:hAnsi="Arial Narrow" w:cs="Arial"/>
                <w:sz w:val="20"/>
                <w:szCs w:val="20"/>
              </w:rPr>
            </w:pPr>
          </w:p>
          <w:p w14:paraId="3002E6FE"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 xml:space="preserve">Projekat „Kuća crnogorskih proizvoda“ (Crnogorska kuća) bi imao za cilj povećanje vidljivosti i prepoznatljivosti Crne Gore i komuniciranje vrijednosti njenog nacionalnog brenda kroz plasman tradicionalnih domaćih proizvoda (prehrambenih, tekstilnih, proizvoda kreativnih industrija, kozmetičkih itd.)  posredstvom otvaranja prepoznatljivih objekata u regionu i u zemlji koji bi predstavljali „državu u malom“ odnosno promotivnu i prodajnu sponu između Crne Gore i međunarodnog tržišta.  </w:t>
            </w:r>
          </w:p>
        </w:tc>
      </w:tr>
      <w:tr w:rsidR="002756A4" w:rsidRPr="00383886" w14:paraId="265FBF26" w14:textId="77777777" w:rsidTr="002756A4">
        <w:trPr>
          <w:trHeight w:val="3198"/>
        </w:trPr>
        <w:tc>
          <w:tcPr>
            <w:tcW w:w="759" w:type="pct"/>
            <w:gridSpan w:val="3"/>
            <w:vMerge/>
            <w:tcBorders>
              <w:left w:val="single" w:sz="8" w:space="0" w:color="auto"/>
              <w:bottom w:val="single" w:sz="8" w:space="0" w:color="000000"/>
              <w:right w:val="single" w:sz="8" w:space="0" w:color="auto"/>
            </w:tcBorders>
            <w:shd w:val="clear" w:color="auto" w:fill="auto"/>
            <w:vAlign w:val="center"/>
          </w:tcPr>
          <w:p w14:paraId="79303B6C" w14:textId="77777777" w:rsidR="002756A4" w:rsidRPr="00383886" w:rsidRDefault="002756A4" w:rsidP="002756A4">
            <w:pPr>
              <w:spacing w:after="0" w:line="240" w:lineRule="auto"/>
              <w:rPr>
                <w:rFonts w:ascii="Arial Narrow" w:eastAsia="Times New Roman" w:hAnsi="Arial Narrow" w:cs="Arial"/>
                <w:color w:val="000000"/>
                <w:sz w:val="20"/>
                <w:szCs w:val="20"/>
              </w:rPr>
            </w:pPr>
          </w:p>
        </w:tc>
        <w:tc>
          <w:tcPr>
            <w:tcW w:w="797" w:type="pct"/>
            <w:gridSpan w:val="8"/>
            <w:vMerge/>
            <w:tcBorders>
              <w:left w:val="single" w:sz="8" w:space="0" w:color="auto"/>
              <w:bottom w:val="single" w:sz="8" w:space="0" w:color="000000"/>
              <w:right w:val="single" w:sz="8" w:space="0" w:color="auto"/>
            </w:tcBorders>
            <w:shd w:val="clear" w:color="auto" w:fill="auto"/>
            <w:vAlign w:val="center"/>
          </w:tcPr>
          <w:p w14:paraId="4A649C0A" w14:textId="77777777" w:rsidR="002756A4" w:rsidRPr="00383886" w:rsidRDefault="002756A4" w:rsidP="002756A4">
            <w:pPr>
              <w:spacing w:after="0" w:line="240" w:lineRule="auto"/>
              <w:rPr>
                <w:rFonts w:ascii="Arial Narrow" w:eastAsia="Times New Roman" w:hAnsi="Arial Narrow" w:cs="Arial"/>
                <w:color w:val="000000"/>
                <w:sz w:val="20"/>
                <w:szCs w:val="20"/>
              </w:rPr>
            </w:pPr>
          </w:p>
        </w:tc>
        <w:tc>
          <w:tcPr>
            <w:tcW w:w="664" w:type="pct"/>
            <w:gridSpan w:val="6"/>
            <w:vMerge/>
            <w:shd w:val="clear" w:color="auto" w:fill="auto"/>
          </w:tcPr>
          <w:p w14:paraId="10C30493" w14:textId="77777777" w:rsidR="002756A4" w:rsidRPr="00383886" w:rsidRDefault="002756A4" w:rsidP="002756A4">
            <w:pPr>
              <w:spacing w:after="0" w:line="240" w:lineRule="auto"/>
              <w:jc w:val="center"/>
              <w:rPr>
                <w:rFonts w:ascii="Arial Narrow" w:eastAsia="Times New Roman" w:hAnsi="Arial Narrow" w:cs="Arial"/>
                <w:sz w:val="20"/>
                <w:szCs w:val="20"/>
              </w:rPr>
            </w:pPr>
          </w:p>
        </w:tc>
        <w:tc>
          <w:tcPr>
            <w:tcW w:w="356" w:type="pct"/>
            <w:gridSpan w:val="6"/>
            <w:vMerge/>
            <w:shd w:val="clear" w:color="auto" w:fill="auto"/>
          </w:tcPr>
          <w:p w14:paraId="2493462F" w14:textId="77777777" w:rsidR="002756A4" w:rsidRPr="00383886" w:rsidRDefault="002756A4" w:rsidP="002756A4">
            <w:pPr>
              <w:spacing w:after="0" w:line="240" w:lineRule="auto"/>
              <w:jc w:val="center"/>
              <w:rPr>
                <w:rFonts w:ascii="Arial Narrow" w:eastAsia="Times New Roman" w:hAnsi="Arial Narrow" w:cs="Arial"/>
                <w:i/>
                <w:iCs/>
                <w:sz w:val="20"/>
                <w:szCs w:val="20"/>
              </w:rPr>
            </w:pPr>
          </w:p>
        </w:tc>
        <w:tc>
          <w:tcPr>
            <w:tcW w:w="396" w:type="pct"/>
            <w:gridSpan w:val="4"/>
            <w:vMerge/>
            <w:shd w:val="clear" w:color="auto" w:fill="auto"/>
            <w:vAlign w:val="center"/>
          </w:tcPr>
          <w:p w14:paraId="40F83731" w14:textId="77777777" w:rsidR="002756A4" w:rsidRPr="00383886" w:rsidRDefault="002756A4" w:rsidP="002756A4">
            <w:pPr>
              <w:spacing w:after="0" w:line="240" w:lineRule="auto"/>
              <w:jc w:val="center"/>
              <w:rPr>
                <w:rFonts w:ascii="Arial Narrow" w:eastAsia="Times New Roman" w:hAnsi="Arial Narrow" w:cs="Arial"/>
                <w:i/>
                <w:iCs/>
                <w:sz w:val="20"/>
                <w:szCs w:val="20"/>
              </w:rPr>
            </w:pPr>
          </w:p>
        </w:tc>
        <w:tc>
          <w:tcPr>
            <w:tcW w:w="416" w:type="pct"/>
            <w:gridSpan w:val="4"/>
            <w:tcBorders>
              <w:top w:val="single" w:sz="4" w:space="0" w:color="auto"/>
            </w:tcBorders>
            <w:shd w:val="clear" w:color="auto" w:fill="auto"/>
          </w:tcPr>
          <w:p w14:paraId="0D6A1C89"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 xml:space="preserve"> sredstva</w:t>
            </w:r>
          </w:p>
        </w:tc>
        <w:tc>
          <w:tcPr>
            <w:tcW w:w="1613" w:type="pct"/>
            <w:gridSpan w:val="5"/>
            <w:vMerge/>
            <w:shd w:val="clear" w:color="auto" w:fill="auto"/>
          </w:tcPr>
          <w:p w14:paraId="3AD55D0E" w14:textId="77777777" w:rsidR="002756A4" w:rsidRPr="00383886" w:rsidRDefault="002756A4" w:rsidP="002756A4">
            <w:pPr>
              <w:spacing w:after="0" w:line="240" w:lineRule="auto"/>
              <w:jc w:val="both"/>
              <w:rPr>
                <w:rFonts w:ascii="Arial Narrow" w:eastAsia="Times New Roman" w:hAnsi="Arial Narrow" w:cs="Arial"/>
                <w:sz w:val="20"/>
                <w:szCs w:val="20"/>
              </w:rPr>
            </w:pPr>
          </w:p>
        </w:tc>
      </w:tr>
      <w:tr w:rsidR="002756A4" w:rsidRPr="00383886" w14:paraId="07AEB015" w14:textId="77777777" w:rsidTr="002756A4">
        <w:trPr>
          <w:trHeight w:val="1740"/>
        </w:trPr>
        <w:tc>
          <w:tcPr>
            <w:tcW w:w="759" w:type="pct"/>
            <w:gridSpan w:val="3"/>
            <w:tcBorders>
              <w:top w:val="nil"/>
              <w:left w:val="single" w:sz="8" w:space="0" w:color="auto"/>
              <w:bottom w:val="single" w:sz="8" w:space="0" w:color="000000"/>
              <w:right w:val="single" w:sz="8" w:space="0" w:color="auto"/>
            </w:tcBorders>
            <w:vAlign w:val="center"/>
          </w:tcPr>
          <w:p w14:paraId="4234DF35"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8. Izmjene /dopune Uredbe o Biznis zonama</w:t>
            </w:r>
          </w:p>
        </w:tc>
        <w:tc>
          <w:tcPr>
            <w:tcW w:w="797" w:type="pct"/>
            <w:gridSpan w:val="8"/>
            <w:tcBorders>
              <w:top w:val="nil"/>
              <w:left w:val="single" w:sz="8" w:space="0" w:color="auto"/>
              <w:bottom w:val="single" w:sz="8" w:space="0" w:color="000000"/>
              <w:right w:val="single" w:sz="8" w:space="0" w:color="auto"/>
            </w:tcBorders>
            <w:vAlign w:val="center"/>
          </w:tcPr>
          <w:p w14:paraId="0163DC42"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Unaprijeđen regulatorni okvir za poslovanje biznis zona kroz izmjenu postojeće Uredbe o biznis zonama;</w:t>
            </w:r>
          </w:p>
          <w:p w14:paraId="6F0587F2" w14:textId="77777777" w:rsidR="002756A4" w:rsidRPr="00383886" w:rsidRDefault="002756A4" w:rsidP="002756A4">
            <w:pPr>
              <w:spacing w:after="0" w:line="240" w:lineRule="auto"/>
              <w:rPr>
                <w:rFonts w:ascii="Arial Narrow" w:eastAsia="Times New Roman" w:hAnsi="Arial Narrow" w:cs="Arial"/>
                <w:sz w:val="20"/>
                <w:szCs w:val="20"/>
              </w:rPr>
            </w:pPr>
          </w:p>
          <w:p w14:paraId="423D430E"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sz w:val="20"/>
                <w:szCs w:val="20"/>
              </w:rPr>
              <w:t>Uspostavljen model praćenja rada, izvještavanja i monitoringa</w:t>
            </w:r>
          </w:p>
          <w:p w14:paraId="434243EE" w14:textId="77777777" w:rsidR="002756A4" w:rsidRPr="00383886" w:rsidRDefault="002756A4" w:rsidP="002756A4">
            <w:pPr>
              <w:spacing w:after="0" w:line="240" w:lineRule="auto"/>
              <w:rPr>
                <w:rFonts w:ascii="Arial Narrow" w:eastAsia="Times New Roman" w:hAnsi="Arial Narrow" w:cs="Arial"/>
                <w:sz w:val="20"/>
                <w:szCs w:val="20"/>
              </w:rPr>
            </w:pPr>
          </w:p>
          <w:p w14:paraId="6034E51D"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Uspostavljen registar biznis zona</w:t>
            </w:r>
          </w:p>
          <w:p w14:paraId="684679B3" w14:textId="77777777" w:rsidR="002756A4" w:rsidRPr="00383886" w:rsidRDefault="002756A4" w:rsidP="002756A4">
            <w:pPr>
              <w:spacing w:after="0" w:line="240" w:lineRule="auto"/>
              <w:rPr>
                <w:rFonts w:ascii="Arial Narrow" w:eastAsia="Times New Roman" w:hAnsi="Arial Narrow" w:cs="Arial"/>
                <w:sz w:val="20"/>
                <w:szCs w:val="20"/>
              </w:rPr>
            </w:pPr>
          </w:p>
        </w:tc>
        <w:tc>
          <w:tcPr>
            <w:tcW w:w="664" w:type="pct"/>
            <w:gridSpan w:val="6"/>
            <w:shd w:val="clear" w:color="auto" w:fill="auto"/>
          </w:tcPr>
          <w:p w14:paraId="72B7C501" w14:textId="77777777" w:rsidR="00301973" w:rsidRDefault="00301973" w:rsidP="002756A4">
            <w:pPr>
              <w:spacing w:after="0" w:line="240" w:lineRule="auto"/>
              <w:jc w:val="center"/>
              <w:rPr>
                <w:rFonts w:ascii="Arial Narrow" w:eastAsia="Times New Roman" w:hAnsi="Arial Narrow" w:cs="Arial"/>
                <w:sz w:val="20"/>
                <w:szCs w:val="20"/>
              </w:rPr>
            </w:pPr>
          </w:p>
          <w:p w14:paraId="0F0DB6AB" w14:textId="77777777" w:rsidR="00301973" w:rsidRDefault="00301973" w:rsidP="002756A4">
            <w:pPr>
              <w:spacing w:after="0" w:line="240" w:lineRule="auto"/>
              <w:jc w:val="center"/>
              <w:rPr>
                <w:rFonts w:ascii="Arial Narrow" w:eastAsia="Times New Roman" w:hAnsi="Arial Narrow" w:cs="Arial"/>
                <w:sz w:val="20"/>
                <w:szCs w:val="20"/>
              </w:rPr>
            </w:pPr>
          </w:p>
          <w:p w14:paraId="1C2588FA" w14:textId="77777777" w:rsidR="002756A4" w:rsidRPr="00383886" w:rsidRDefault="00301973" w:rsidP="00301973">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NI: MER</w:t>
            </w:r>
          </w:p>
          <w:p w14:paraId="6704A3E7" w14:textId="77777777" w:rsidR="002756A4" w:rsidRPr="00383886" w:rsidRDefault="00301973" w:rsidP="002756A4">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 xml:space="preserve">   </w:t>
            </w:r>
            <w:r w:rsidR="002756A4" w:rsidRPr="00383886">
              <w:rPr>
                <w:rFonts w:ascii="Arial Narrow" w:eastAsia="Times New Roman" w:hAnsi="Arial Narrow" w:cs="Arial"/>
                <w:sz w:val="20"/>
                <w:szCs w:val="20"/>
              </w:rPr>
              <w:t>NK: KEPIF</w:t>
            </w:r>
          </w:p>
        </w:tc>
        <w:tc>
          <w:tcPr>
            <w:tcW w:w="356" w:type="pct"/>
            <w:gridSpan w:val="6"/>
            <w:shd w:val="clear" w:color="auto" w:fill="auto"/>
          </w:tcPr>
          <w:p w14:paraId="3810C0E4" w14:textId="77777777" w:rsidR="00301973" w:rsidRDefault="00301973" w:rsidP="002756A4">
            <w:pPr>
              <w:spacing w:after="0" w:line="240" w:lineRule="auto"/>
              <w:jc w:val="center"/>
              <w:rPr>
                <w:rFonts w:ascii="Arial Narrow" w:eastAsia="Times New Roman" w:hAnsi="Arial Narrow" w:cs="Arial"/>
                <w:sz w:val="20"/>
                <w:szCs w:val="20"/>
              </w:rPr>
            </w:pPr>
          </w:p>
          <w:p w14:paraId="75C4BAD9" w14:textId="77777777" w:rsidR="00301973" w:rsidRDefault="00301973" w:rsidP="002756A4">
            <w:pPr>
              <w:spacing w:after="0" w:line="240" w:lineRule="auto"/>
              <w:jc w:val="center"/>
              <w:rPr>
                <w:rFonts w:ascii="Arial Narrow" w:eastAsia="Times New Roman" w:hAnsi="Arial Narrow" w:cs="Arial"/>
                <w:sz w:val="20"/>
                <w:szCs w:val="20"/>
              </w:rPr>
            </w:pPr>
          </w:p>
          <w:p w14:paraId="174116BD" w14:textId="77777777" w:rsidR="00301973" w:rsidRDefault="00301973" w:rsidP="002756A4">
            <w:pPr>
              <w:spacing w:after="0" w:line="240" w:lineRule="auto"/>
              <w:jc w:val="center"/>
              <w:rPr>
                <w:rFonts w:ascii="Arial Narrow" w:eastAsia="Times New Roman" w:hAnsi="Arial Narrow" w:cs="Arial"/>
                <w:sz w:val="20"/>
                <w:szCs w:val="20"/>
              </w:rPr>
            </w:pPr>
          </w:p>
          <w:p w14:paraId="37120689"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I -IVQ 2022</w:t>
            </w:r>
          </w:p>
        </w:tc>
        <w:tc>
          <w:tcPr>
            <w:tcW w:w="396" w:type="pct"/>
            <w:gridSpan w:val="4"/>
            <w:shd w:val="clear" w:color="auto" w:fill="auto"/>
            <w:vAlign w:val="center"/>
          </w:tcPr>
          <w:p w14:paraId="4991803F"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i/>
                <w:iCs/>
                <w:sz w:val="20"/>
                <w:szCs w:val="20"/>
              </w:rPr>
              <w:t>-</w:t>
            </w:r>
          </w:p>
        </w:tc>
        <w:tc>
          <w:tcPr>
            <w:tcW w:w="416" w:type="pct"/>
            <w:gridSpan w:val="4"/>
            <w:shd w:val="clear" w:color="auto" w:fill="auto"/>
          </w:tcPr>
          <w:p w14:paraId="6DF1DFDA"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Dobijena podrška u vidu tehničke pomoći preko EBRD</w:t>
            </w:r>
          </w:p>
        </w:tc>
        <w:tc>
          <w:tcPr>
            <w:tcW w:w="1613" w:type="pct"/>
            <w:gridSpan w:val="5"/>
            <w:shd w:val="clear" w:color="auto" w:fill="auto"/>
          </w:tcPr>
          <w:p w14:paraId="7325AEC5"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Postojeća Uredba o biznis zonama je vremenski ograničila usklađivanje poslovanja biznis zona. Registrovane su određene manjkavosti u smislu nepostojanja utemeljenja za postupke neblagovremenog izvještavanja, nepoštovanja procedura, i sl. Stoga je neophodno izvršiti dopunu/izmjenu Uredbe i unaprijediti poslovanje BZ</w:t>
            </w:r>
          </w:p>
        </w:tc>
      </w:tr>
      <w:tr w:rsidR="002756A4" w:rsidRPr="00383886" w14:paraId="3BBBC226" w14:textId="77777777" w:rsidTr="00A80EEE">
        <w:trPr>
          <w:trHeight w:val="1740"/>
        </w:trPr>
        <w:tc>
          <w:tcPr>
            <w:tcW w:w="759" w:type="pct"/>
            <w:gridSpan w:val="3"/>
            <w:tcBorders>
              <w:top w:val="single" w:sz="4" w:space="0" w:color="auto"/>
              <w:left w:val="single" w:sz="8" w:space="0" w:color="auto"/>
              <w:bottom w:val="single" w:sz="8" w:space="0" w:color="000000"/>
              <w:right w:val="single" w:sz="8" w:space="0" w:color="auto"/>
            </w:tcBorders>
            <w:vAlign w:val="center"/>
          </w:tcPr>
          <w:p w14:paraId="53A5DA7D"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color w:val="000000"/>
                <w:sz w:val="20"/>
                <w:szCs w:val="20"/>
              </w:rPr>
              <w:lastRenderedPageBreak/>
              <w:t>9. Informacija o sprovedenim mjerama i aktivnostima usmjerenim ka unapređenju finansijske pismenosti mladih</w:t>
            </w:r>
          </w:p>
        </w:tc>
        <w:tc>
          <w:tcPr>
            <w:tcW w:w="797" w:type="pct"/>
            <w:gridSpan w:val="8"/>
            <w:tcBorders>
              <w:top w:val="single" w:sz="4" w:space="0" w:color="auto"/>
              <w:left w:val="single" w:sz="8" w:space="0" w:color="auto"/>
              <w:bottom w:val="single" w:sz="8" w:space="0" w:color="000000"/>
              <w:right w:val="single" w:sz="8" w:space="0" w:color="auto"/>
            </w:tcBorders>
            <w:vAlign w:val="center"/>
          </w:tcPr>
          <w:p w14:paraId="1CBBC47B"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Broj održaninih okruglih stolova/konferencija/studentskih debata</w:t>
            </w:r>
          </w:p>
          <w:p w14:paraId="6A6D58B4" w14:textId="77777777" w:rsidR="002756A4" w:rsidRPr="00383886" w:rsidRDefault="002756A4" w:rsidP="002756A4">
            <w:pPr>
              <w:spacing w:after="0" w:line="240" w:lineRule="auto"/>
              <w:rPr>
                <w:rFonts w:ascii="Arial Narrow" w:eastAsia="Times New Roman" w:hAnsi="Arial Narrow" w:cs="Arial"/>
                <w:sz w:val="20"/>
                <w:szCs w:val="20"/>
              </w:rPr>
            </w:pPr>
          </w:p>
          <w:p w14:paraId="7FF0F02A"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Broj učesnika ( učenika i studenata)</w:t>
            </w:r>
          </w:p>
          <w:p w14:paraId="593A8859" w14:textId="77777777" w:rsidR="002756A4" w:rsidRPr="00383886" w:rsidRDefault="002756A4" w:rsidP="002756A4">
            <w:pPr>
              <w:spacing w:after="0" w:line="240" w:lineRule="auto"/>
              <w:rPr>
                <w:rFonts w:ascii="Arial Narrow" w:eastAsia="Times New Roman" w:hAnsi="Arial Narrow" w:cs="Arial"/>
                <w:sz w:val="20"/>
                <w:szCs w:val="20"/>
              </w:rPr>
            </w:pPr>
          </w:p>
          <w:p w14:paraId="358D995F"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color w:val="000000"/>
                <w:sz w:val="20"/>
                <w:szCs w:val="20"/>
              </w:rPr>
              <w:t>Broj izdatih edukativnih materijala</w:t>
            </w:r>
          </w:p>
        </w:tc>
        <w:tc>
          <w:tcPr>
            <w:tcW w:w="664" w:type="pct"/>
            <w:gridSpan w:val="6"/>
            <w:shd w:val="clear" w:color="auto" w:fill="auto"/>
          </w:tcPr>
          <w:p w14:paraId="14419F97" w14:textId="77777777" w:rsidR="00301973" w:rsidRDefault="00301973" w:rsidP="00301973">
            <w:p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 xml:space="preserve">           </w:t>
            </w:r>
          </w:p>
          <w:p w14:paraId="349421AC" w14:textId="77777777" w:rsidR="00301973" w:rsidRDefault="00301973" w:rsidP="00301973">
            <w:pPr>
              <w:spacing w:after="0" w:line="240" w:lineRule="auto"/>
              <w:rPr>
                <w:rFonts w:ascii="Arial Narrow" w:eastAsia="Times New Roman" w:hAnsi="Arial Narrow" w:cs="Arial"/>
                <w:sz w:val="20"/>
                <w:szCs w:val="20"/>
              </w:rPr>
            </w:pPr>
          </w:p>
          <w:p w14:paraId="31DC97B4" w14:textId="77777777" w:rsidR="00301973" w:rsidRDefault="00301973" w:rsidP="00301973">
            <w:pPr>
              <w:spacing w:after="0" w:line="240" w:lineRule="auto"/>
              <w:rPr>
                <w:rFonts w:ascii="Arial Narrow" w:eastAsia="Times New Roman" w:hAnsi="Arial Narrow" w:cs="Arial"/>
                <w:sz w:val="20"/>
                <w:szCs w:val="20"/>
              </w:rPr>
            </w:pPr>
          </w:p>
          <w:p w14:paraId="76B4B485" w14:textId="77777777" w:rsidR="002756A4" w:rsidRPr="00383886" w:rsidRDefault="00301973" w:rsidP="00301973">
            <w:p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 xml:space="preserve">           NI: MER</w:t>
            </w:r>
          </w:p>
          <w:p w14:paraId="0D7E543F"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NK: KEPIF</w:t>
            </w:r>
          </w:p>
        </w:tc>
        <w:tc>
          <w:tcPr>
            <w:tcW w:w="356" w:type="pct"/>
            <w:gridSpan w:val="6"/>
            <w:shd w:val="clear" w:color="auto" w:fill="auto"/>
            <w:vAlign w:val="center"/>
          </w:tcPr>
          <w:p w14:paraId="4272A72A"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II -IVQ 2022</w:t>
            </w:r>
          </w:p>
        </w:tc>
        <w:tc>
          <w:tcPr>
            <w:tcW w:w="396" w:type="pct"/>
            <w:gridSpan w:val="4"/>
            <w:shd w:val="clear" w:color="auto" w:fill="auto"/>
            <w:vAlign w:val="center"/>
          </w:tcPr>
          <w:p w14:paraId="4383CB87"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i/>
                <w:iCs/>
                <w:sz w:val="20"/>
                <w:szCs w:val="20"/>
              </w:rPr>
              <w:t>5000</w:t>
            </w:r>
          </w:p>
        </w:tc>
        <w:tc>
          <w:tcPr>
            <w:tcW w:w="416" w:type="pct"/>
            <w:gridSpan w:val="4"/>
            <w:shd w:val="clear" w:color="auto" w:fill="auto"/>
          </w:tcPr>
          <w:p w14:paraId="3223C8A5"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21D52A2D"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09BFB7B9"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1AF7F09A"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34D606DB"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color w:val="000000"/>
                <w:sz w:val="20"/>
                <w:szCs w:val="20"/>
              </w:rPr>
              <w:t>Donatorska sredstva-UNDP</w:t>
            </w:r>
          </w:p>
        </w:tc>
        <w:tc>
          <w:tcPr>
            <w:tcW w:w="1613" w:type="pct"/>
            <w:gridSpan w:val="5"/>
            <w:shd w:val="clear" w:color="auto" w:fill="auto"/>
          </w:tcPr>
          <w:p w14:paraId="11D1E145"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Finansijsko obrazovanje je postala potreba za uspješno funkcionisanje na tržištu rada jer se mladi  sve ranije suočavaju sa značajnim finansijskim izazovima, odgovornostima i odlukama koje treba da donesu.Potrebno je ukazati na  značaj povezivanja finansijske pismenosti sa drugim ključnim kompetencijama kao i na značaj međuresorske saradnje. Informacija će obuhvatiti aktivnosti koje se sprovode na planu jačanja finansijske pismenosti i dalje pravce djelovanja na nivou formalnog i neformalnog obrazovanja u skladu sa politikom cjeloživotnog preduzetničkog učenja.</w:t>
            </w:r>
          </w:p>
        </w:tc>
      </w:tr>
      <w:tr w:rsidR="002756A4" w:rsidRPr="00383886" w14:paraId="5D37DEDF" w14:textId="77777777" w:rsidTr="002756A4">
        <w:trPr>
          <w:trHeight w:val="1740"/>
        </w:trPr>
        <w:tc>
          <w:tcPr>
            <w:tcW w:w="759" w:type="pct"/>
            <w:gridSpan w:val="3"/>
            <w:shd w:val="clear" w:color="auto" w:fill="auto"/>
          </w:tcPr>
          <w:p w14:paraId="2D13FA7B"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color w:val="000000"/>
                <w:sz w:val="20"/>
                <w:szCs w:val="20"/>
              </w:rPr>
              <w:t>10.Usvajanje Zakona o unapređenju poslovnog ambijenta</w:t>
            </w:r>
          </w:p>
        </w:tc>
        <w:tc>
          <w:tcPr>
            <w:tcW w:w="797" w:type="pct"/>
            <w:gridSpan w:val="8"/>
            <w:shd w:val="clear" w:color="auto" w:fill="auto"/>
            <w:vAlign w:val="center"/>
          </w:tcPr>
          <w:p w14:paraId="727D0FE1"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color w:val="000000"/>
                <w:sz w:val="20"/>
                <w:szCs w:val="20"/>
              </w:rPr>
              <w:t>Usvojen Zakon o unapređenju poslovnog ambijenta</w:t>
            </w:r>
          </w:p>
        </w:tc>
        <w:tc>
          <w:tcPr>
            <w:tcW w:w="664" w:type="pct"/>
            <w:gridSpan w:val="6"/>
            <w:shd w:val="clear" w:color="auto" w:fill="auto"/>
            <w:vAlign w:val="center"/>
          </w:tcPr>
          <w:p w14:paraId="42D72AB7" w14:textId="77777777" w:rsidR="002756A4" w:rsidRPr="00383886" w:rsidRDefault="00301973" w:rsidP="00301973">
            <w:pPr>
              <w:spacing w:after="0" w:line="240" w:lineRule="auto"/>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            </w:t>
            </w:r>
            <w:r w:rsidR="002756A4" w:rsidRPr="00383886">
              <w:rPr>
                <w:rFonts w:ascii="Arial Narrow" w:eastAsia="Times New Roman" w:hAnsi="Arial Narrow" w:cs="Arial"/>
                <w:color w:val="000000"/>
                <w:sz w:val="20"/>
                <w:szCs w:val="20"/>
              </w:rPr>
              <w:t xml:space="preserve">NI: MER </w:t>
            </w:r>
          </w:p>
          <w:p w14:paraId="538E919C"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color w:val="000000"/>
                <w:sz w:val="20"/>
                <w:szCs w:val="20"/>
              </w:rPr>
              <w:t>NK: KEPIF</w:t>
            </w:r>
          </w:p>
        </w:tc>
        <w:tc>
          <w:tcPr>
            <w:tcW w:w="356" w:type="pct"/>
            <w:gridSpan w:val="6"/>
            <w:shd w:val="clear" w:color="auto" w:fill="auto"/>
          </w:tcPr>
          <w:p w14:paraId="1F74F36D"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64AB69B2"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1F02CE59"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49B2E966"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IVQ 2022</w:t>
            </w:r>
          </w:p>
        </w:tc>
        <w:tc>
          <w:tcPr>
            <w:tcW w:w="396" w:type="pct"/>
            <w:gridSpan w:val="4"/>
            <w:shd w:val="clear" w:color="auto" w:fill="auto"/>
            <w:vAlign w:val="center"/>
          </w:tcPr>
          <w:p w14:paraId="6FB0C951"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i/>
                <w:iCs/>
                <w:sz w:val="20"/>
                <w:szCs w:val="20"/>
              </w:rPr>
              <w:t>-</w:t>
            </w:r>
          </w:p>
        </w:tc>
        <w:tc>
          <w:tcPr>
            <w:tcW w:w="416" w:type="pct"/>
            <w:gridSpan w:val="4"/>
            <w:shd w:val="clear" w:color="auto" w:fill="auto"/>
          </w:tcPr>
          <w:p w14:paraId="6C280B67"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w:t>
            </w:r>
          </w:p>
        </w:tc>
        <w:tc>
          <w:tcPr>
            <w:tcW w:w="1613" w:type="pct"/>
            <w:gridSpan w:val="5"/>
            <w:shd w:val="clear" w:color="auto" w:fill="auto"/>
          </w:tcPr>
          <w:p w14:paraId="574A6CAC"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color w:val="000000"/>
                <w:sz w:val="20"/>
                <w:szCs w:val="20"/>
              </w:rPr>
              <w:t>Imajući u vidu potrebu jačanja veze sa lokalnim organima i predstavnicima poslovne zajednice, doprinos daljem jačanju regulatornog i transparentnog poslovnog okruženja, nastala je potreba za usvajanjem Zakona za unapređenjem poslovnog ambijenta. Implementacija navedenog Zakona predstavljaće još jedan alat u cilju pospješivanja konkurentnosti privrede, stvaranja podsticajnog poslovnog okruženja, a samim tim i poboljšanja kvaliteta života svih građana.</w:t>
            </w:r>
          </w:p>
        </w:tc>
      </w:tr>
      <w:tr w:rsidR="002756A4" w:rsidRPr="00383886" w14:paraId="544201D6" w14:textId="77777777" w:rsidTr="002756A4">
        <w:trPr>
          <w:trHeight w:val="1740"/>
        </w:trPr>
        <w:tc>
          <w:tcPr>
            <w:tcW w:w="759" w:type="pct"/>
            <w:gridSpan w:val="3"/>
            <w:shd w:val="clear" w:color="auto" w:fill="auto"/>
          </w:tcPr>
          <w:p w14:paraId="436DE96D"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color w:val="000000"/>
                <w:sz w:val="20"/>
                <w:szCs w:val="20"/>
              </w:rPr>
              <w:t>11. Priprema i usvajanje Akcionog plana za realizaciju Strategije razvoja nacionalnog brenda 2022-2026, za 2023. godinu sa Izvještajem o realizaciji AP za 2022. godinu</w:t>
            </w:r>
          </w:p>
        </w:tc>
        <w:tc>
          <w:tcPr>
            <w:tcW w:w="797" w:type="pct"/>
            <w:gridSpan w:val="8"/>
            <w:shd w:val="clear" w:color="auto" w:fill="auto"/>
          </w:tcPr>
          <w:p w14:paraId="6AA0E152"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Usvojen AP za 2023. sa Izvještajem o realizaciji AP za 2022. Godinu</w:t>
            </w:r>
          </w:p>
          <w:p w14:paraId="38F1081E" w14:textId="77777777" w:rsidR="002756A4" w:rsidRPr="00383886" w:rsidRDefault="002756A4" w:rsidP="002756A4">
            <w:pPr>
              <w:spacing w:after="0" w:line="240" w:lineRule="auto"/>
              <w:rPr>
                <w:rFonts w:ascii="Arial Narrow" w:eastAsia="Times New Roman" w:hAnsi="Arial Narrow" w:cs="Arial"/>
                <w:color w:val="000000"/>
                <w:sz w:val="20"/>
                <w:szCs w:val="20"/>
              </w:rPr>
            </w:pPr>
          </w:p>
          <w:p w14:paraId="11D12E02" w14:textId="77777777" w:rsidR="002756A4" w:rsidRPr="00383886" w:rsidRDefault="002756A4" w:rsidP="002756A4">
            <w:pPr>
              <w:spacing w:after="0" w:line="240" w:lineRule="auto"/>
              <w:rPr>
                <w:rFonts w:ascii="Arial Narrow" w:eastAsia="Times New Roman" w:hAnsi="Arial Narrow" w:cs="Arial"/>
                <w:sz w:val="20"/>
                <w:szCs w:val="20"/>
              </w:rPr>
            </w:pPr>
            <w:r w:rsidRPr="00383886">
              <w:rPr>
                <w:rFonts w:ascii="Arial Narrow" w:eastAsia="Times New Roman" w:hAnsi="Arial Narrow" w:cs="Arial"/>
                <w:color w:val="000000"/>
                <w:sz w:val="20"/>
                <w:szCs w:val="20"/>
              </w:rPr>
              <w:t>-Broj realizovanih aktivnosti predviđenih AP za 2022. najmanje 60% od ukupnog broja planiranih aktivnosti za 2022. godinu</w:t>
            </w:r>
          </w:p>
        </w:tc>
        <w:tc>
          <w:tcPr>
            <w:tcW w:w="664" w:type="pct"/>
            <w:gridSpan w:val="6"/>
            <w:shd w:val="clear" w:color="auto" w:fill="auto"/>
            <w:vAlign w:val="center"/>
          </w:tcPr>
          <w:p w14:paraId="20DEC4AA" w14:textId="77777777" w:rsidR="002756A4" w:rsidRPr="00383886" w:rsidRDefault="002756A4" w:rsidP="00301973">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w:t>
            </w:r>
            <w:r w:rsidR="00301973">
              <w:rPr>
                <w:rFonts w:ascii="Arial Narrow" w:eastAsia="Times New Roman" w:hAnsi="Arial Narrow" w:cs="Arial"/>
                <w:color w:val="000000"/>
                <w:sz w:val="20"/>
                <w:szCs w:val="20"/>
              </w:rPr>
              <w:t xml:space="preserve"> MER </w:t>
            </w:r>
          </w:p>
          <w:p w14:paraId="1D2B819B" w14:textId="77777777" w:rsidR="002756A4" w:rsidRPr="00383886" w:rsidRDefault="00301973" w:rsidP="002756A4">
            <w:pPr>
              <w:spacing w:after="0" w:line="240" w:lineRule="auto"/>
              <w:jc w:val="center"/>
              <w:rPr>
                <w:rFonts w:ascii="Arial Narrow" w:eastAsia="Times New Roman" w:hAnsi="Arial Narrow" w:cs="Arial"/>
                <w:sz w:val="20"/>
                <w:szCs w:val="20"/>
              </w:rPr>
            </w:pPr>
            <w:r>
              <w:rPr>
                <w:rFonts w:ascii="Arial Narrow" w:eastAsia="Times New Roman" w:hAnsi="Arial Narrow" w:cs="Arial"/>
                <w:color w:val="000000"/>
                <w:sz w:val="20"/>
                <w:szCs w:val="20"/>
              </w:rPr>
              <w:t xml:space="preserve">  </w:t>
            </w:r>
            <w:r w:rsidR="002756A4" w:rsidRPr="00383886">
              <w:rPr>
                <w:rFonts w:ascii="Arial Narrow" w:eastAsia="Times New Roman" w:hAnsi="Arial Narrow" w:cs="Arial"/>
                <w:color w:val="000000"/>
                <w:sz w:val="20"/>
                <w:szCs w:val="20"/>
              </w:rPr>
              <w:t>NK: KEPIF</w:t>
            </w:r>
          </w:p>
        </w:tc>
        <w:tc>
          <w:tcPr>
            <w:tcW w:w="356" w:type="pct"/>
            <w:gridSpan w:val="6"/>
            <w:shd w:val="clear" w:color="auto" w:fill="auto"/>
          </w:tcPr>
          <w:p w14:paraId="2917D49A"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1243E1C1"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5138595E"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79C94416"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III-IV Q 2022</w:t>
            </w:r>
          </w:p>
        </w:tc>
        <w:tc>
          <w:tcPr>
            <w:tcW w:w="396" w:type="pct"/>
            <w:gridSpan w:val="4"/>
            <w:shd w:val="clear" w:color="auto" w:fill="auto"/>
            <w:vAlign w:val="center"/>
          </w:tcPr>
          <w:p w14:paraId="3945F122"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i/>
                <w:iCs/>
                <w:sz w:val="20"/>
                <w:szCs w:val="20"/>
              </w:rPr>
              <w:t>87.000</w:t>
            </w:r>
          </w:p>
          <w:p w14:paraId="4B4089FB" w14:textId="77777777" w:rsidR="002756A4" w:rsidRPr="00383886" w:rsidRDefault="002756A4" w:rsidP="002756A4">
            <w:pPr>
              <w:spacing w:after="0" w:line="240" w:lineRule="auto"/>
              <w:jc w:val="center"/>
              <w:rPr>
                <w:rFonts w:ascii="Arial Narrow" w:eastAsia="Times New Roman" w:hAnsi="Arial Narrow" w:cs="Arial"/>
                <w:i/>
                <w:iCs/>
                <w:sz w:val="20"/>
                <w:szCs w:val="20"/>
              </w:rPr>
            </w:pPr>
          </w:p>
          <w:p w14:paraId="05FA39DB"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i/>
                <w:iCs/>
                <w:sz w:val="20"/>
                <w:szCs w:val="20"/>
              </w:rPr>
              <w:t>Za utvrđivanje procjene uticaja propisa će biti urađena RIA</w:t>
            </w:r>
          </w:p>
        </w:tc>
        <w:tc>
          <w:tcPr>
            <w:tcW w:w="416" w:type="pct"/>
            <w:gridSpan w:val="4"/>
            <w:shd w:val="clear" w:color="auto" w:fill="auto"/>
          </w:tcPr>
          <w:p w14:paraId="6B8A279A"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Budžet</w:t>
            </w:r>
          </w:p>
        </w:tc>
        <w:tc>
          <w:tcPr>
            <w:tcW w:w="1613" w:type="pct"/>
            <w:gridSpan w:val="5"/>
            <w:shd w:val="clear" w:color="auto" w:fill="auto"/>
          </w:tcPr>
          <w:p w14:paraId="2E1E1CC2"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color w:val="000000"/>
                <w:sz w:val="20"/>
                <w:szCs w:val="20"/>
              </w:rPr>
              <w:t xml:space="preserve">Akcionim planom za 2022-2023. godinu će se definisati aktivnosti u okviru 3 postavljena operativna cilja, definisana strate škim dokumentom- Strategijom za razvoj nacionalnog brenda 2022-2026, kako bi se kroz njihovu realizaciju doprinjelo stvaranju jakog nacionalnog brenda radi unapre]enja konkurentnosti i imidža države.  </w:t>
            </w:r>
          </w:p>
        </w:tc>
      </w:tr>
      <w:tr w:rsidR="002756A4" w:rsidRPr="00383886" w14:paraId="1BA32975" w14:textId="77777777" w:rsidTr="002756A4">
        <w:trPr>
          <w:trHeight w:val="699"/>
        </w:trPr>
        <w:tc>
          <w:tcPr>
            <w:tcW w:w="759" w:type="pct"/>
            <w:gridSpan w:val="3"/>
            <w:shd w:val="clear" w:color="auto" w:fill="auto"/>
            <w:vAlign w:val="center"/>
          </w:tcPr>
          <w:p w14:paraId="034D53E6"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12. Priprema i usvajanje Strategije cirkularne ekonomije do 2030. sa Akcionim planom za punu primjenu za 2023-2024.</w:t>
            </w:r>
          </w:p>
        </w:tc>
        <w:tc>
          <w:tcPr>
            <w:tcW w:w="797" w:type="pct"/>
            <w:gridSpan w:val="8"/>
            <w:shd w:val="clear" w:color="auto" w:fill="auto"/>
            <w:vAlign w:val="center"/>
          </w:tcPr>
          <w:p w14:paraId="48985A46"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Kreirana Strategija cirkularne ekonomije do 2030.</w:t>
            </w:r>
          </w:p>
          <w:p w14:paraId="17CC005B" w14:textId="77777777" w:rsidR="002756A4" w:rsidRPr="00383886" w:rsidRDefault="002756A4" w:rsidP="002756A4">
            <w:pPr>
              <w:spacing w:after="0" w:line="240" w:lineRule="auto"/>
              <w:rPr>
                <w:rFonts w:ascii="Arial Narrow" w:eastAsia="Times New Roman" w:hAnsi="Arial Narrow" w:cs="Arial"/>
                <w:color w:val="000000"/>
                <w:sz w:val="20"/>
                <w:szCs w:val="20"/>
              </w:rPr>
            </w:pPr>
          </w:p>
          <w:p w14:paraId="08367422"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Usvojen AP za punu primjenu za 2023-2024.</w:t>
            </w:r>
          </w:p>
        </w:tc>
        <w:tc>
          <w:tcPr>
            <w:tcW w:w="664" w:type="pct"/>
            <w:gridSpan w:val="6"/>
            <w:shd w:val="clear" w:color="auto" w:fill="auto"/>
            <w:vAlign w:val="center"/>
          </w:tcPr>
          <w:p w14:paraId="2C12045C" w14:textId="77777777" w:rsidR="002756A4" w:rsidRPr="00383886" w:rsidRDefault="00301973" w:rsidP="00301973">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NI: MER/MEPG</w:t>
            </w:r>
          </w:p>
          <w:p w14:paraId="4A3E0640" w14:textId="77777777" w:rsidR="002756A4" w:rsidRPr="00383886" w:rsidRDefault="00301973" w:rsidP="00301973">
            <w:pPr>
              <w:spacing w:after="0" w:line="240" w:lineRule="auto"/>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      </w:t>
            </w:r>
            <w:r w:rsidR="002756A4" w:rsidRPr="00383886">
              <w:rPr>
                <w:rFonts w:ascii="Arial Narrow" w:eastAsia="Times New Roman" w:hAnsi="Arial Narrow" w:cs="Arial"/>
                <w:color w:val="000000"/>
                <w:sz w:val="20"/>
                <w:szCs w:val="20"/>
              </w:rPr>
              <w:t>NK: KEPIF</w:t>
            </w:r>
          </w:p>
        </w:tc>
        <w:tc>
          <w:tcPr>
            <w:tcW w:w="356" w:type="pct"/>
            <w:gridSpan w:val="6"/>
            <w:shd w:val="clear" w:color="auto" w:fill="auto"/>
            <w:vAlign w:val="center"/>
          </w:tcPr>
          <w:p w14:paraId="4882B45E"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IVQ 2022</w:t>
            </w:r>
          </w:p>
        </w:tc>
        <w:tc>
          <w:tcPr>
            <w:tcW w:w="396" w:type="pct"/>
            <w:gridSpan w:val="4"/>
            <w:shd w:val="clear" w:color="auto" w:fill="auto"/>
            <w:vAlign w:val="center"/>
          </w:tcPr>
          <w:p w14:paraId="594E624C"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Donatorska sredstva</w:t>
            </w:r>
          </w:p>
          <w:p w14:paraId="2F1DE9E2"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29A248A3"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Za utvrđivanje procjene uticaja propisa će biti urađena RIA</w:t>
            </w:r>
          </w:p>
        </w:tc>
        <w:tc>
          <w:tcPr>
            <w:tcW w:w="416" w:type="pct"/>
            <w:gridSpan w:val="4"/>
            <w:shd w:val="clear" w:color="auto" w:fill="auto"/>
          </w:tcPr>
          <w:p w14:paraId="51C95E45" w14:textId="77777777" w:rsidR="002756A4" w:rsidRPr="00383886" w:rsidRDefault="002756A4" w:rsidP="002756A4">
            <w:pPr>
              <w:spacing w:after="0" w:line="240" w:lineRule="auto"/>
              <w:jc w:val="center"/>
              <w:rPr>
                <w:rFonts w:ascii="Arial Narrow" w:eastAsia="Times New Roman" w:hAnsi="Arial Narrow" w:cs="Arial"/>
                <w:sz w:val="20"/>
                <w:szCs w:val="20"/>
              </w:rPr>
            </w:pPr>
          </w:p>
        </w:tc>
        <w:tc>
          <w:tcPr>
            <w:tcW w:w="1613" w:type="pct"/>
            <w:gridSpan w:val="5"/>
            <w:shd w:val="clear" w:color="auto" w:fill="auto"/>
            <w:vAlign w:val="center"/>
          </w:tcPr>
          <w:p w14:paraId="35325ABA"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U skladu sa Akcionim planom za Zelenu Agendu zemlje Zapadnog Balkana preuzele su obavezu da do 2023. godine usvoje strategije (cirkularne ekonomije), koje će obuhvatiti cjelokupan životni ciklus proizvoda.</w:t>
            </w:r>
          </w:p>
          <w:p w14:paraId="67CF6D5B"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color w:val="000000"/>
                <w:sz w:val="20"/>
                <w:szCs w:val="20"/>
              </w:rPr>
              <w:t>Cilj uspostavljanja Strategije cirkularne ekonomije do 2030. je podsticanje konkurentnosti uz optimizaciju postojećih resursa, stvaranje novih radnih mjesta i uspostavljanje sistema održivog ekonomskog rasta i razvoja.</w:t>
            </w:r>
          </w:p>
        </w:tc>
      </w:tr>
      <w:tr w:rsidR="002756A4" w:rsidRPr="00383886" w14:paraId="243A0E11" w14:textId="77777777" w:rsidTr="002756A4">
        <w:trPr>
          <w:trHeight w:val="557"/>
        </w:trPr>
        <w:tc>
          <w:tcPr>
            <w:tcW w:w="759" w:type="pct"/>
            <w:gridSpan w:val="3"/>
            <w:shd w:val="clear" w:color="auto" w:fill="auto"/>
            <w:vAlign w:val="center"/>
          </w:tcPr>
          <w:p w14:paraId="5D7A2879"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13.Priprema i usvajanje Izvještaja o realizaciji Akcionog plana za </w:t>
            </w:r>
            <w:r w:rsidRPr="00383886">
              <w:rPr>
                <w:rFonts w:ascii="Arial Narrow" w:eastAsia="Times New Roman" w:hAnsi="Arial Narrow" w:cs="Arial"/>
                <w:color w:val="000000"/>
                <w:sz w:val="20"/>
                <w:szCs w:val="20"/>
              </w:rPr>
              <w:lastRenderedPageBreak/>
              <w:t>sprovođenje Strategije za cjeloživotno preduzetničko učenje 2020-2024, za 2021.godinu.</w:t>
            </w:r>
          </w:p>
        </w:tc>
        <w:tc>
          <w:tcPr>
            <w:tcW w:w="797" w:type="pct"/>
            <w:gridSpan w:val="8"/>
            <w:shd w:val="clear" w:color="auto" w:fill="auto"/>
            <w:vAlign w:val="center"/>
          </w:tcPr>
          <w:p w14:paraId="326F81ED"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 Izvještaj o realizaciji Akcionog plana za 2021. godinu</w:t>
            </w:r>
          </w:p>
        </w:tc>
        <w:tc>
          <w:tcPr>
            <w:tcW w:w="664" w:type="pct"/>
            <w:gridSpan w:val="6"/>
            <w:shd w:val="clear" w:color="auto" w:fill="auto"/>
            <w:vAlign w:val="center"/>
          </w:tcPr>
          <w:p w14:paraId="7AD81E03" w14:textId="77777777" w:rsidR="002756A4" w:rsidRPr="00383886" w:rsidRDefault="00301973" w:rsidP="00301973">
            <w:pPr>
              <w:spacing w:after="0" w:line="240" w:lineRule="auto"/>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           </w:t>
            </w:r>
            <w:r w:rsidR="002756A4" w:rsidRPr="00383886">
              <w:rPr>
                <w:rFonts w:ascii="Arial Narrow" w:eastAsia="Times New Roman" w:hAnsi="Arial Narrow" w:cs="Arial"/>
                <w:color w:val="000000"/>
                <w:sz w:val="20"/>
                <w:szCs w:val="20"/>
              </w:rPr>
              <w:t xml:space="preserve">NI: MER </w:t>
            </w:r>
          </w:p>
          <w:p w14:paraId="50044CC7"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NK: KEPIF</w:t>
            </w:r>
          </w:p>
        </w:tc>
        <w:tc>
          <w:tcPr>
            <w:tcW w:w="356" w:type="pct"/>
            <w:gridSpan w:val="6"/>
            <w:shd w:val="clear" w:color="auto" w:fill="auto"/>
          </w:tcPr>
          <w:p w14:paraId="50025984"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IIQ 2022</w:t>
            </w:r>
          </w:p>
        </w:tc>
        <w:tc>
          <w:tcPr>
            <w:tcW w:w="396" w:type="pct"/>
            <w:gridSpan w:val="4"/>
            <w:shd w:val="clear" w:color="auto" w:fill="auto"/>
            <w:vAlign w:val="center"/>
          </w:tcPr>
          <w:p w14:paraId="0530F406"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 </w:t>
            </w:r>
          </w:p>
        </w:tc>
        <w:tc>
          <w:tcPr>
            <w:tcW w:w="416" w:type="pct"/>
            <w:gridSpan w:val="4"/>
            <w:shd w:val="clear" w:color="auto" w:fill="auto"/>
          </w:tcPr>
          <w:p w14:paraId="420E4034"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color w:val="000000"/>
                <w:sz w:val="20"/>
                <w:szCs w:val="20"/>
              </w:rPr>
              <w:t>Nisu potrebna budžetska sredstva</w:t>
            </w:r>
          </w:p>
        </w:tc>
        <w:tc>
          <w:tcPr>
            <w:tcW w:w="1613" w:type="pct"/>
            <w:gridSpan w:val="5"/>
            <w:shd w:val="clear" w:color="auto" w:fill="auto"/>
            <w:vAlign w:val="center"/>
          </w:tcPr>
          <w:p w14:paraId="37C1E34F"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color w:val="000000"/>
                <w:sz w:val="20"/>
                <w:szCs w:val="20"/>
              </w:rPr>
              <w:t xml:space="preserve"> Izvještajem će se prikazati stepen realizacije operativnih ciljeva, mjera i aktivnosti definisanih Akcionim planom za  period 2020-2021. godina, uz osvrt na planirana i utrošena finansijska </w:t>
            </w:r>
            <w:r w:rsidRPr="00383886">
              <w:rPr>
                <w:rFonts w:ascii="Arial Narrow" w:eastAsia="Times New Roman" w:hAnsi="Arial Narrow" w:cs="Arial"/>
                <w:color w:val="000000"/>
                <w:sz w:val="20"/>
                <w:szCs w:val="20"/>
              </w:rPr>
              <w:lastRenderedPageBreak/>
              <w:t>sredstva, kao i preporuke za naredni period u cilju daljeg unapređenja politike cjeloživotnog preduzetničkog učenja.</w:t>
            </w:r>
          </w:p>
        </w:tc>
      </w:tr>
      <w:tr w:rsidR="002756A4" w:rsidRPr="00383886" w14:paraId="439BE6FD" w14:textId="77777777" w:rsidTr="002756A4">
        <w:trPr>
          <w:trHeight w:val="1740"/>
        </w:trPr>
        <w:tc>
          <w:tcPr>
            <w:tcW w:w="759" w:type="pct"/>
            <w:gridSpan w:val="3"/>
            <w:shd w:val="clear" w:color="auto" w:fill="auto"/>
            <w:vAlign w:val="center"/>
          </w:tcPr>
          <w:p w14:paraId="623A56C6"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14. Izrada Akcionoga plana za sprovođenje Strategije za cjeloživotno preduzetničko učenje 2020-2024. godina, za period 2022-2023.</w:t>
            </w:r>
          </w:p>
        </w:tc>
        <w:tc>
          <w:tcPr>
            <w:tcW w:w="797" w:type="pct"/>
            <w:gridSpan w:val="8"/>
            <w:shd w:val="clear" w:color="auto" w:fill="auto"/>
            <w:vAlign w:val="center"/>
          </w:tcPr>
          <w:p w14:paraId="731FD766"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 Akcioni plan za sprovođenje Strategije za cjeloživotno preduzetničko učenje 2020-2024. godina, za period 2022-2023.</w:t>
            </w:r>
          </w:p>
        </w:tc>
        <w:tc>
          <w:tcPr>
            <w:tcW w:w="664" w:type="pct"/>
            <w:gridSpan w:val="6"/>
            <w:shd w:val="clear" w:color="auto" w:fill="auto"/>
            <w:vAlign w:val="center"/>
          </w:tcPr>
          <w:p w14:paraId="27974C5B" w14:textId="77777777" w:rsidR="002756A4" w:rsidRPr="00383886" w:rsidRDefault="00301973" w:rsidP="00301973">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NI: MER </w:t>
            </w:r>
          </w:p>
          <w:p w14:paraId="725912E7" w14:textId="77777777" w:rsidR="002756A4" w:rsidRPr="00383886" w:rsidRDefault="00301973" w:rsidP="002756A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  </w:t>
            </w:r>
            <w:r w:rsidR="002756A4" w:rsidRPr="00383886">
              <w:rPr>
                <w:rFonts w:ascii="Arial Narrow" w:eastAsia="Times New Roman" w:hAnsi="Arial Narrow" w:cs="Arial"/>
                <w:color w:val="000000"/>
                <w:sz w:val="20"/>
                <w:szCs w:val="20"/>
              </w:rPr>
              <w:t>NK: KEPIF</w:t>
            </w:r>
          </w:p>
        </w:tc>
        <w:tc>
          <w:tcPr>
            <w:tcW w:w="356" w:type="pct"/>
            <w:gridSpan w:val="6"/>
            <w:shd w:val="clear" w:color="auto" w:fill="auto"/>
          </w:tcPr>
          <w:p w14:paraId="5E370B92"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00C3D05C"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731D179C"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3E1FB2BC"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6118AD70" w14:textId="77777777" w:rsidR="002756A4" w:rsidRPr="00383886" w:rsidRDefault="002756A4" w:rsidP="00301973">
            <w:pPr>
              <w:spacing w:after="0" w:line="240" w:lineRule="auto"/>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IIQ 2022</w:t>
            </w:r>
          </w:p>
        </w:tc>
        <w:tc>
          <w:tcPr>
            <w:tcW w:w="396" w:type="pct"/>
            <w:gridSpan w:val="4"/>
            <w:shd w:val="clear" w:color="auto" w:fill="auto"/>
            <w:vAlign w:val="center"/>
          </w:tcPr>
          <w:p w14:paraId="0AC2850C"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 </w:t>
            </w:r>
          </w:p>
        </w:tc>
        <w:tc>
          <w:tcPr>
            <w:tcW w:w="416" w:type="pct"/>
            <w:gridSpan w:val="4"/>
            <w:shd w:val="clear" w:color="auto" w:fill="auto"/>
          </w:tcPr>
          <w:p w14:paraId="6376CB4A"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sz w:val="20"/>
                <w:szCs w:val="20"/>
              </w:rPr>
              <w:t>Budžet, donatorska sredstva, privatni izvori fiansiranja</w:t>
            </w:r>
          </w:p>
        </w:tc>
        <w:tc>
          <w:tcPr>
            <w:tcW w:w="1613" w:type="pct"/>
            <w:gridSpan w:val="5"/>
            <w:shd w:val="clear" w:color="auto" w:fill="auto"/>
            <w:vAlign w:val="center"/>
          </w:tcPr>
          <w:p w14:paraId="5F61BCFC"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sz w:val="20"/>
                <w:szCs w:val="20"/>
              </w:rPr>
              <w:t>Akcionim planom za 2022-2023. godinu će se definisati aktivnosti u okviru 3 postavljena operativna cilja, definisana strate škim dokumentom- Strategijom za cjeloživotno preduzetničko učenje 2020-2024. godina, kako bi se kroz njihovu realizaciju doprinjelo daljem unapređenju preduzetničkih znanja, vještina i kompetencijau okviru formalnog i neformalnog obrazovnog sistema.</w:t>
            </w:r>
          </w:p>
        </w:tc>
      </w:tr>
      <w:tr w:rsidR="002756A4" w:rsidRPr="00383886" w14:paraId="75B882F9" w14:textId="77777777" w:rsidTr="002756A4">
        <w:trPr>
          <w:trHeight w:val="1740"/>
        </w:trPr>
        <w:tc>
          <w:tcPr>
            <w:tcW w:w="759" w:type="pct"/>
            <w:gridSpan w:val="3"/>
            <w:shd w:val="clear" w:color="auto" w:fill="auto"/>
            <w:vAlign w:val="center"/>
          </w:tcPr>
          <w:p w14:paraId="4EF950C6"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15. Priprema i usvajanje Izvještaja o realizaciji Akcionog plana za sprovođenje Strategije za MMSP 2018-2022., za 2021.godinu</w:t>
            </w:r>
          </w:p>
        </w:tc>
        <w:tc>
          <w:tcPr>
            <w:tcW w:w="797" w:type="pct"/>
            <w:gridSpan w:val="8"/>
            <w:shd w:val="clear" w:color="auto" w:fill="auto"/>
            <w:vAlign w:val="center"/>
          </w:tcPr>
          <w:p w14:paraId="4D9CA61A"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Izvještaj o realizaciji Akcionog plana za 2021. godinu</w:t>
            </w:r>
          </w:p>
        </w:tc>
        <w:tc>
          <w:tcPr>
            <w:tcW w:w="664" w:type="pct"/>
            <w:gridSpan w:val="6"/>
            <w:shd w:val="clear" w:color="auto" w:fill="auto"/>
            <w:vAlign w:val="center"/>
          </w:tcPr>
          <w:p w14:paraId="0D9D1C0C" w14:textId="77777777" w:rsidR="002756A4" w:rsidRPr="00383886" w:rsidRDefault="00301973" w:rsidP="00301973">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NI: MER </w:t>
            </w:r>
          </w:p>
          <w:p w14:paraId="5F49C1B6" w14:textId="77777777" w:rsidR="002756A4" w:rsidRPr="00383886" w:rsidRDefault="00301973" w:rsidP="002756A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   </w:t>
            </w:r>
            <w:r w:rsidR="002756A4" w:rsidRPr="00383886">
              <w:rPr>
                <w:rFonts w:ascii="Arial Narrow" w:eastAsia="Times New Roman" w:hAnsi="Arial Narrow" w:cs="Arial"/>
                <w:color w:val="000000"/>
                <w:sz w:val="20"/>
                <w:szCs w:val="20"/>
              </w:rPr>
              <w:t>NK: KEPIF</w:t>
            </w:r>
          </w:p>
        </w:tc>
        <w:tc>
          <w:tcPr>
            <w:tcW w:w="356" w:type="pct"/>
            <w:gridSpan w:val="6"/>
            <w:shd w:val="clear" w:color="auto" w:fill="auto"/>
          </w:tcPr>
          <w:p w14:paraId="2B995CA7"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35843DF9"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2D4A41FD"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14D25A29" w14:textId="77777777" w:rsidR="002756A4" w:rsidRPr="00383886" w:rsidRDefault="002756A4" w:rsidP="002756A4">
            <w:pPr>
              <w:spacing w:after="0" w:line="240" w:lineRule="auto"/>
              <w:jc w:val="center"/>
              <w:rPr>
                <w:rFonts w:ascii="Arial Narrow" w:eastAsia="Times New Roman" w:hAnsi="Arial Narrow" w:cs="Arial"/>
                <w:i/>
                <w:iCs/>
                <w:sz w:val="20"/>
                <w:szCs w:val="20"/>
              </w:rPr>
            </w:pPr>
            <w:r w:rsidRPr="00383886">
              <w:rPr>
                <w:rFonts w:ascii="Arial Narrow" w:eastAsia="Times New Roman" w:hAnsi="Arial Narrow" w:cs="Arial"/>
                <w:color w:val="000000"/>
                <w:sz w:val="20"/>
                <w:szCs w:val="20"/>
              </w:rPr>
              <w:t>IIQ 2022</w:t>
            </w:r>
          </w:p>
        </w:tc>
        <w:tc>
          <w:tcPr>
            <w:tcW w:w="396" w:type="pct"/>
            <w:gridSpan w:val="4"/>
            <w:shd w:val="clear" w:color="auto" w:fill="auto"/>
            <w:vAlign w:val="center"/>
          </w:tcPr>
          <w:p w14:paraId="64D982CD"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w:t>
            </w:r>
          </w:p>
        </w:tc>
        <w:tc>
          <w:tcPr>
            <w:tcW w:w="416" w:type="pct"/>
            <w:gridSpan w:val="4"/>
            <w:shd w:val="clear" w:color="auto" w:fill="auto"/>
          </w:tcPr>
          <w:p w14:paraId="077BDD40" w14:textId="77777777" w:rsidR="002756A4" w:rsidRPr="00383886" w:rsidRDefault="002756A4" w:rsidP="002756A4">
            <w:pPr>
              <w:spacing w:after="0" w:line="240" w:lineRule="auto"/>
              <w:jc w:val="center"/>
              <w:rPr>
                <w:rFonts w:ascii="Arial Narrow" w:eastAsia="Times New Roman" w:hAnsi="Arial Narrow" w:cs="Arial"/>
                <w:sz w:val="20"/>
                <w:szCs w:val="20"/>
              </w:rPr>
            </w:pPr>
            <w:r w:rsidRPr="00383886">
              <w:rPr>
                <w:rFonts w:ascii="Arial Narrow" w:eastAsia="Times New Roman" w:hAnsi="Arial Narrow" w:cs="Arial"/>
                <w:color w:val="000000"/>
                <w:sz w:val="20"/>
                <w:szCs w:val="20"/>
              </w:rPr>
              <w:t>Nisu potrebna budžetska sredstva</w:t>
            </w:r>
          </w:p>
        </w:tc>
        <w:tc>
          <w:tcPr>
            <w:tcW w:w="1613" w:type="pct"/>
            <w:gridSpan w:val="5"/>
            <w:shd w:val="clear" w:color="auto" w:fill="auto"/>
            <w:vAlign w:val="center"/>
          </w:tcPr>
          <w:p w14:paraId="35E38D82" w14:textId="77777777" w:rsidR="002756A4" w:rsidRPr="00383886" w:rsidRDefault="002756A4" w:rsidP="002756A4">
            <w:pPr>
              <w:spacing w:after="0" w:line="240" w:lineRule="auto"/>
              <w:jc w:val="both"/>
              <w:rPr>
                <w:rFonts w:ascii="Arial Narrow" w:eastAsia="Times New Roman" w:hAnsi="Arial Narrow" w:cs="Arial"/>
                <w:sz w:val="20"/>
                <w:szCs w:val="20"/>
              </w:rPr>
            </w:pPr>
            <w:r w:rsidRPr="00383886">
              <w:rPr>
                <w:rFonts w:ascii="Arial Narrow" w:eastAsia="Times New Roman" w:hAnsi="Arial Narrow" w:cs="Arial"/>
                <w:color w:val="000000"/>
                <w:sz w:val="20"/>
                <w:szCs w:val="20"/>
              </w:rPr>
              <w:t>Izvještajem će se prikazati stepen realizacije operativnih ciljeva, mjera i aktivnosti definisanih Akcionim planom za  period 2021-2022. godina, uz osvrt na planirana i utrošena finansijska sredstva, kao i preporuke za naredni period u cilju daljeg unapređenja i razvoja politike MMSP.</w:t>
            </w:r>
          </w:p>
        </w:tc>
      </w:tr>
      <w:tr w:rsidR="002756A4" w:rsidRPr="00383886" w14:paraId="40C35551" w14:textId="77777777" w:rsidTr="002756A4">
        <w:trPr>
          <w:trHeight w:val="1740"/>
        </w:trPr>
        <w:tc>
          <w:tcPr>
            <w:tcW w:w="759" w:type="pct"/>
            <w:gridSpan w:val="3"/>
            <w:shd w:val="clear" w:color="auto" w:fill="auto"/>
            <w:vAlign w:val="center"/>
          </w:tcPr>
          <w:p w14:paraId="428586FD"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16. Izvještaj o realizaciji Akcionog plana za sprovođenje Strategije za razvoj ženskog preduzetništva 2021-2024., za 2021.godinu</w:t>
            </w:r>
          </w:p>
        </w:tc>
        <w:tc>
          <w:tcPr>
            <w:tcW w:w="797" w:type="pct"/>
            <w:gridSpan w:val="8"/>
            <w:shd w:val="clear" w:color="auto" w:fill="auto"/>
            <w:vAlign w:val="center"/>
          </w:tcPr>
          <w:p w14:paraId="17986D8E"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Izvještaj o realizaciji Akcionog plana za 2021. godinu</w:t>
            </w:r>
          </w:p>
        </w:tc>
        <w:tc>
          <w:tcPr>
            <w:tcW w:w="664" w:type="pct"/>
            <w:gridSpan w:val="6"/>
            <w:shd w:val="clear" w:color="auto" w:fill="auto"/>
            <w:vAlign w:val="center"/>
          </w:tcPr>
          <w:p w14:paraId="4DAFABAA" w14:textId="77777777" w:rsidR="002756A4" w:rsidRPr="00383886" w:rsidRDefault="00301973" w:rsidP="00301973">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NI: MER </w:t>
            </w:r>
          </w:p>
          <w:p w14:paraId="675972BF" w14:textId="77777777" w:rsidR="002756A4" w:rsidRPr="00383886" w:rsidRDefault="00301973" w:rsidP="002756A4">
            <w:pPr>
              <w:spacing w:after="0" w:line="240" w:lineRule="auto"/>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  </w:t>
            </w:r>
            <w:r w:rsidR="002756A4" w:rsidRPr="00383886">
              <w:rPr>
                <w:rFonts w:ascii="Arial Narrow" w:eastAsia="Times New Roman" w:hAnsi="Arial Narrow" w:cs="Arial"/>
                <w:color w:val="000000"/>
                <w:sz w:val="20"/>
                <w:szCs w:val="20"/>
              </w:rPr>
              <w:t>NK: KEPIF</w:t>
            </w:r>
          </w:p>
        </w:tc>
        <w:tc>
          <w:tcPr>
            <w:tcW w:w="356" w:type="pct"/>
            <w:gridSpan w:val="6"/>
            <w:shd w:val="clear" w:color="auto" w:fill="auto"/>
          </w:tcPr>
          <w:p w14:paraId="6D93E8FE"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5E5E4FC8"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6327A111"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025AFB39"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IIQ 2022</w:t>
            </w:r>
          </w:p>
        </w:tc>
        <w:tc>
          <w:tcPr>
            <w:tcW w:w="396" w:type="pct"/>
            <w:gridSpan w:val="4"/>
            <w:shd w:val="clear" w:color="auto" w:fill="auto"/>
            <w:vAlign w:val="center"/>
          </w:tcPr>
          <w:p w14:paraId="7764585A"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w:t>
            </w:r>
          </w:p>
        </w:tc>
        <w:tc>
          <w:tcPr>
            <w:tcW w:w="416" w:type="pct"/>
            <w:gridSpan w:val="4"/>
            <w:shd w:val="clear" w:color="auto" w:fill="auto"/>
          </w:tcPr>
          <w:p w14:paraId="5F9E59B3"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Nisu potrebna budžetska sredstva</w:t>
            </w:r>
          </w:p>
        </w:tc>
        <w:tc>
          <w:tcPr>
            <w:tcW w:w="1613" w:type="pct"/>
            <w:gridSpan w:val="5"/>
            <w:shd w:val="clear" w:color="auto" w:fill="auto"/>
            <w:vAlign w:val="center"/>
          </w:tcPr>
          <w:p w14:paraId="58E41340"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Izvještajem će se prikazati stepen realizacije operativnih ciljeva, mjera i aktivnosti definisanih Akcionim planom za  period 2021-2022. godina, uz osvrt na planirana i utrošena finansijska sredstva, kao i preporuke za naredni period u cilju daljeg unapređenja ženskog preduzetništva u Crnoj Gori.</w:t>
            </w:r>
          </w:p>
        </w:tc>
      </w:tr>
      <w:tr w:rsidR="002756A4" w:rsidRPr="00383886" w14:paraId="0E868AFC" w14:textId="77777777" w:rsidTr="002756A4">
        <w:trPr>
          <w:trHeight w:val="1740"/>
        </w:trPr>
        <w:tc>
          <w:tcPr>
            <w:tcW w:w="759" w:type="pct"/>
            <w:gridSpan w:val="3"/>
            <w:shd w:val="clear" w:color="auto" w:fill="auto"/>
            <w:vAlign w:val="center"/>
          </w:tcPr>
          <w:p w14:paraId="20ACE0D1"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17. Potpisivanje Sporazuma sa Evropskom komisijom za učešće Crne Gore u novom Programu EU – Single Market Program (SMP) 2021-2027</w:t>
            </w:r>
          </w:p>
        </w:tc>
        <w:tc>
          <w:tcPr>
            <w:tcW w:w="797" w:type="pct"/>
            <w:gridSpan w:val="8"/>
            <w:shd w:val="clear" w:color="auto" w:fill="auto"/>
            <w:vAlign w:val="center"/>
          </w:tcPr>
          <w:p w14:paraId="233963FB"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Započeti pregovori sa EK</w:t>
            </w:r>
          </w:p>
          <w:p w14:paraId="6BBD548B" w14:textId="77777777" w:rsidR="002756A4" w:rsidRPr="00383886" w:rsidRDefault="002756A4" w:rsidP="002756A4">
            <w:pPr>
              <w:spacing w:after="0" w:line="240" w:lineRule="auto"/>
              <w:rPr>
                <w:rFonts w:ascii="Arial Narrow" w:eastAsia="Times New Roman" w:hAnsi="Arial Narrow" w:cs="Arial"/>
                <w:color w:val="000000"/>
                <w:sz w:val="20"/>
                <w:szCs w:val="20"/>
              </w:rPr>
            </w:pPr>
          </w:p>
          <w:p w14:paraId="596159D2" w14:textId="77777777" w:rsidR="002756A4" w:rsidRPr="00383886" w:rsidRDefault="002756A4" w:rsidP="002756A4">
            <w:pPr>
              <w:spacing w:after="0" w:line="240" w:lineRule="auto"/>
              <w:rPr>
                <w:rFonts w:ascii="Arial Narrow" w:eastAsia="Times New Roman" w:hAnsi="Arial Narrow" w:cs="Arial"/>
                <w:color w:val="000000"/>
                <w:sz w:val="20"/>
                <w:szCs w:val="20"/>
              </w:rPr>
            </w:pPr>
          </w:p>
          <w:p w14:paraId="06BFBAEA"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Potpisan Sporazum i verifikovan na Vladi CG</w:t>
            </w:r>
          </w:p>
          <w:p w14:paraId="04724C86" w14:textId="77777777" w:rsidR="002756A4" w:rsidRPr="00383886" w:rsidRDefault="002756A4" w:rsidP="002756A4">
            <w:pPr>
              <w:spacing w:after="0" w:line="240" w:lineRule="auto"/>
              <w:rPr>
                <w:rFonts w:ascii="Arial Narrow" w:eastAsia="Times New Roman" w:hAnsi="Arial Narrow" w:cs="Arial"/>
                <w:color w:val="000000"/>
                <w:sz w:val="20"/>
                <w:szCs w:val="20"/>
              </w:rPr>
            </w:pPr>
          </w:p>
          <w:p w14:paraId="2FEE55EC" w14:textId="77777777" w:rsidR="002756A4" w:rsidRPr="00383886" w:rsidRDefault="002756A4" w:rsidP="002756A4">
            <w:pPr>
              <w:spacing w:after="0" w:line="240" w:lineRule="auto"/>
              <w:rPr>
                <w:rFonts w:ascii="Arial Narrow" w:eastAsia="Times New Roman" w:hAnsi="Arial Narrow" w:cs="Arial"/>
                <w:color w:val="000000"/>
                <w:sz w:val="20"/>
                <w:szCs w:val="20"/>
              </w:rPr>
            </w:pPr>
          </w:p>
          <w:p w14:paraId="6562FCC6"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Organizovan info dan</w:t>
            </w:r>
          </w:p>
        </w:tc>
        <w:tc>
          <w:tcPr>
            <w:tcW w:w="664" w:type="pct"/>
            <w:gridSpan w:val="6"/>
            <w:shd w:val="clear" w:color="auto" w:fill="auto"/>
            <w:vAlign w:val="center"/>
          </w:tcPr>
          <w:p w14:paraId="2188210E"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NI: MER, KEI</w:t>
            </w:r>
          </w:p>
        </w:tc>
        <w:tc>
          <w:tcPr>
            <w:tcW w:w="356" w:type="pct"/>
            <w:gridSpan w:val="6"/>
            <w:shd w:val="clear" w:color="auto" w:fill="auto"/>
          </w:tcPr>
          <w:p w14:paraId="7E68E9DA"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19E0533F"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4DE665E3"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p w14:paraId="1ADF92AE"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 -III Q 2022</w:t>
            </w:r>
          </w:p>
        </w:tc>
        <w:tc>
          <w:tcPr>
            <w:tcW w:w="396" w:type="pct"/>
            <w:gridSpan w:val="4"/>
            <w:shd w:val="clear" w:color="auto" w:fill="auto"/>
            <w:vAlign w:val="center"/>
          </w:tcPr>
          <w:p w14:paraId="0E0ACF31"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Iznos godišnje članarine će se definisati u toku pregovora za učešće CG u SMP</w:t>
            </w:r>
          </w:p>
        </w:tc>
        <w:tc>
          <w:tcPr>
            <w:tcW w:w="416" w:type="pct"/>
            <w:gridSpan w:val="4"/>
            <w:shd w:val="clear" w:color="auto" w:fill="auto"/>
          </w:tcPr>
          <w:p w14:paraId="4FBB4432"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Iznos godišnje članarine će se definisati u toku pregovora za učešće CG u SMP</w:t>
            </w:r>
          </w:p>
        </w:tc>
        <w:tc>
          <w:tcPr>
            <w:tcW w:w="1613" w:type="pct"/>
            <w:gridSpan w:val="5"/>
            <w:shd w:val="clear" w:color="auto" w:fill="auto"/>
            <w:vAlign w:val="center"/>
          </w:tcPr>
          <w:p w14:paraId="5E34113F"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Ministarstvo ekonomskog razvoja je iskazalo interesovanje za učešće u EU Programu  - SMP za novu finansijsku perspektivu 2021-2027. Program sadrži 6 stubova podrške, i pored ranijeg COSME (Program aza konkurentnost i MSP) obuhvata i podršku za klastere, zaštitu potrošača, statistiku, lanac ishrane, i sl. Tokom pregovora, MER će iskazati interesovanje za učešće u jednom ili više stubova.</w:t>
            </w:r>
          </w:p>
        </w:tc>
      </w:tr>
      <w:tr w:rsidR="002756A4" w:rsidRPr="00383886" w14:paraId="34F6780E" w14:textId="77777777" w:rsidTr="002756A4">
        <w:trPr>
          <w:trHeight w:val="1740"/>
        </w:trPr>
        <w:tc>
          <w:tcPr>
            <w:tcW w:w="759" w:type="pct"/>
            <w:gridSpan w:val="3"/>
            <w:shd w:val="clear" w:color="auto" w:fill="FFFFFF" w:themeFill="background1"/>
            <w:vAlign w:val="center"/>
          </w:tcPr>
          <w:p w14:paraId="5A8EAB01"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lastRenderedPageBreak/>
              <w:t>18.</w:t>
            </w:r>
            <w:r w:rsidRPr="00383886">
              <w:rPr>
                <w:rFonts w:ascii="Arial Narrow" w:hAnsi="Arial Narrow"/>
                <w:sz w:val="20"/>
                <w:szCs w:val="20"/>
              </w:rPr>
              <w:t xml:space="preserve"> </w:t>
            </w:r>
            <w:r w:rsidRPr="00383886">
              <w:rPr>
                <w:rFonts w:ascii="Arial Narrow" w:eastAsia="Times New Roman" w:hAnsi="Arial Narrow" w:cs="Arial"/>
                <w:color w:val="000000"/>
                <w:sz w:val="20"/>
                <w:szCs w:val="20"/>
              </w:rPr>
              <w:t>Sprovođenje inicijativa za podsticanje stranih direktnih investicija i povećanja izvoza crnogorskih kompanija</w:t>
            </w:r>
          </w:p>
        </w:tc>
        <w:tc>
          <w:tcPr>
            <w:tcW w:w="797" w:type="pct"/>
            <w:gridSpan w:val="8"/>
            <w:shd w:val="clear" w:color="auto" w:fill="FFFFFF" w:themeFill="background1"/>
            <w:vAlign w:val="center"/>
          </w:tcPr>
          <w:p w14:paraId="2E432DD1"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Pokrenute najmanje tri inicijative</w:t>
            </w:r>
          </w:p>
        </w:tc>
        <w:tc>
          <w:tcPr>
            <w:tcW w:w="664" w:type="pct"/>
            <w:gridSpan w:val="6"/>
            <w:shd w:val="clear" w:color="auto" w:fill="FFFFFF" w:themeFill="background1"/>
            <w:vAlign w:val="center"/>
          </w:tcPr>
          <w:p w14:paraId="62416658"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MVP</w:t>
            </w:r>
          </w:p>
        </w:tc>
        <w:tc>
          <w:tcPr>
            <w:tcW w:w="356" w:type="pct"/>
            <w:gridSpan w:val="6"/>
            <w:shd w:val="clear" w:color="auto" w:fill="FFFFFF" w:themeFill="background1"/>
          </w:tcPr>
          <w:p w14:paraId="02001963"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58DA8F27"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53B2C11B"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0BA715E8"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Q1 i Q4 2022.</w:t>
            </w:r>
          </w:p>
        </w:tc>
        <w:tc>
          <w:tcPr>
            <w:tcW w:w="396" w:type="pct"/>
            <w:gridSpan w:val="4"/>
            <w:shd w:val="clear" w:color="auto" w:fill="FFFFFF" w:themeFill="background1"/>
            <w:vAlign w:val="center"/>
          </w:tcPr>
          <w:p w14:paraId="24002ABE"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tc>
        <w:tc>
          <w:tcPr>
            <w:tcW w:w="416" w:type="pct"/>
            <w:gridSpan w:val="4"/>
            <w:shd w:val="clear" w:color="auto" w:fill="FFFFFF" w:themeFill="background1"/>
          </w:tcPr>
          <w:p w14:paraId="35747D1C"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 MVP</w:t>
            </w:r>
          </w:p>
        </w:tc>
        <w:tc>
          <w:tcPr>
            <w:tcW w:w="1613" w:type="pct"/>
            <w:gridSpan w:val="5"/>
            <w:shd w:val="clear" w:color="auto" w:fill="FFFFFF" w:themeFill="background1"/>
            <w:vAlign w:val="center"/>
          </w:tcPr>
          <w:p w14:paraId="50F07CF4"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Aktivnosti doprinose snažnijoj vidljivosti Crne Gore, kao atraktivne destinacije za investiranje, a ujedno pomažu da crnogorske kompanije budu prepoznatljivije na inostranim tržištima</w:t>
            </w:r>
          </w:p>
        </w:tc>
      </w:tr>
      <w:tr w:rsidR="002756A4" w:rsidRPr="00383886" w14:paraId="7C297AD4" w14:textId="77777777" w:rsidTr="002756A4">
        <w:trPr>
          <w:trHeight w:val="1740"/>
        </w:trPr>
        <w:tc>
          <w:tcPr>
            <w:tcW w:w="759" w:type="pct"/>
            <w:gridSpan w:val="3"/>
            <w:shd w:val="clear" w:color="auto" w:fill="FFFFFF" w:themeFill="background1"/>
            <w:vAlign w:val="center"/>
          </w:tcPr>
          <w:p w14:paraId="6E687BA3"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19.</w:t>
            </w:r>
            <w:r w:rsidRPr="00383886">
              <w:rPr>
                <w:rFonts w:ascii="Arial Narrow" w:hAnsi="Arial Narrow"/>
                <w:sz w:val="20"/>
                <w:szCs w:val="20"/>
              </w:rPr>
              <w:t xml:space="preserve"> </w:t>
            </w:r>
            <w:r w:rsidRPr="00383886">
              <w:rPr>
                <w:rFonts w:ascii="Arial Narrow" w:eastAsia="Times New Roman" w:hAnsi="Arial Narrow" w:cs="Arial"/>
                <w:color w:val="000000"/>
                <w:sz w:val="20"/>
                <w:szCs w:val="20"/>
              </w:rPr>
              <w:t>Sprovođenje inicijativa za održavanje bilateralnih mješovitih komisija za ekonomsku saradnju i ekonomske konsultacije</w:t>
            </w:r>
          </w:p>
        </w:tc>
        <w:tc>
          <w:tcPr>
            <w:tcW w:w="797" w:type="pct"/>
            <w:gridSpan w:val="8"/>
            <w:shd w:val="clear" w:color="auto" w:fill="FFFFFF" w:themeFill="background1"/>
            <w:vAlign w:val="center"/>
          </w:tcPr>
          <w:p w14:paraId="395C1227"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Pokrenute najmanje tri inicijative</w:t>
            </w:r>
          </w:p>
        </w:tc>
        <w:tc>
          <w:tcPr>
            <w:tcW w:w="664" w:type="pct"/>
            <w:gridSpan w:val="6"/>
            <w:shd w:val="clear" w:color="auto" w:fill="FFFFFF" w:themeFill="background1"/>
            <w:vAlign w:val="center"/>
          </w:tcPr>
          <w:p w14:paraId="1C31386A"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MVP</w:t>
            </w:r>
          </w:p>
          <w:p w14:paraId="274DF09C"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MER</w:t>
            </w:r>
          </w:p>
        </w:tc>
        <w:tc>
          <w:tcPr>
            <w:tcW w:w="356" w:type="pct"/>
            <w:gridSpan w:val="6"/>
            <w:shd w:val="clear" w:color="auto" w:fill="FFFFFF" w:themeFill="background1"/>
          </w:tcPr>
          <w:p w14:paraId="741449B1"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495BEDE8"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66C2B89E"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57316F59"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Q1 i Q4 2022.</w:t>
            </w:r>
          </w:p>
        </w:tc>
        <w:tc>
          <w:tcPr>
            <w:tcW w:w="396" w:type="pct"/>
            <w:gridSpan w:val="4"/>
            <w:shd w:val="clear" w:color="auto" w:fill="FFFFFF" w:themeFill="background1"/>
            <w:vAlign w:val="center"/>
          </w:tcPr>
          <w:p w14:paraId="1E897D08"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tc>
        <w:tc>
          <w:tcPr>
            <w:tcW w:w="416" w:type="pct"/>
            <w:gridSpan w:val="4"/>
            <w:shd w:val="clear" w:color="auto" w:fill="FFFFFF" w:themeFill="background1"/>
          </w:tcPr>
          <w:p w14:paraId="1B8E4B43"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 MVP</w:t>
            </w:r>
          </w:p>
        </w:tc>
        <w:tc>
          <w:tcPr>
            <w:tcW w:w="1613" w:type="pct"/>
            <w:gridSpan w:val="5"/>
            <w:shd w:val="clear" w:color="auto" w:fill="FFFFFF" w:themeFill="background1"/>
            <w:vAlign w:val="center"/>
          </w:tcPr>
          <w:p w14:paraId="3CEA1B63"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Doprinos boljem povezivanju i jačanju ekonomske saradnje</w:t>
            </w:r>
          </w:p>
        </w:tc>
      </w:tr>
      <w:tr w:rsidR="002756A4" w:rsidRPr="00383886" w14:paraId="0578918D" w14:textId="77777777" w:rsidTr="002756A4">
        <w:trPr>
          <w:trHeight w:val="1740"/>
        </w:trPr>
        <w:tc>
          <w:tcPr>
            <w:tcW w:w="759" w:type="pct"/>
            <w:gridSpan w:val="3"/>
            <w:shd w:val="clear" w:color="auto" w:fill="FFFFFF" w:themeFill="background1"/>
            <w:vAlign w:val="center"/>
          </w:tcPr>
          <w:p w14:paraId="5E5A1D5C"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20.</w:t>
            </w:r>
            <w:r w:rsidRPr="00383886">
              <w:rPr>
                <w:rFonts w:ascii="Arial Narrow" w:hAnsi="Arial Narrow"/>
                <w:sz w:val="20"/>
                <w:szCs w:val="20"/>
              </w:rPr>
              <w:t xml:space="preserve"> </w:t>
            </w:r>
            <w:r w:rsidRPr="00383886">
              <w:rPr>
                <w:rFonts w:ascii="Arial Narrow" w:eastAsia="Times New Roman" w:hAnsi="Arial Narrow" w:cs="Arial"/>
                <w:color w:val="000000"/>
                <w:sz w:val="20"/>
                <w:szCs w:val="20"/>
              </w:rPr>
              <w:t>Izrada publikacije Montenegro investment and business opportunities (MIBO)</w:t>
            </w:r>
          </w:p>
        </w:tc>
        <w:tc>
          <w:tcPr>
            <w:tcW w:w="797" w:type="pct"/>
            <w:gridSpan w:val="8"/>
            <w:shd w:val="clear" w:color="auto" w:fill="FFFFFF" w:themeFill="background1"/>
            <w:vAlign w:val="center"/>
          </w:tcPr>
          <w:p w14:paraId="4225467C"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Calibri" w:hAnsi="Arial Narrow" w:cs="Calibri"/>
                <w:sz w:val="20"/>
                <w:szCs w:val="20"/>
              </w:rPr>
              <w:t>Šesto izdanje publikacije</w:t>
            </w:r>
          </w:p>
        </w:tc>
        <w:tc>
          <w:tcPr>
            <w:tcW w:w="664" w:type="pct"/>
            <w:gridSpan w:val="6"/>
            <w:shd w:val="clear" w:color="auto" w:fill="FFFFFF" w:themeFill="background1"/>
            <w:vAlign w:val="center"/>
          </w:tcPr>
          <w:p w14:paraId="2B0DEAC0" w14:textId="77777777" w:rsidR="002756A4" w:rsidRPr="00383886" w:rsidRDefault="002756A4" w:rsidP="002756A4">
            <w:pPr>
              <w:spacing w:after="0" w:line="240" w:lineRule="auto"/>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 xml:space="preserve">     </w:t>
            </w:r>
            <w:r w:rsidR="00301973">
              <w:rPr>
                <w:rFonts w:ascii="Arial Narrow" w:eastAsia="Times New Roman" w:hAnsi="Arial Narrow" w:cs="Arial"/>
                <w:color w:val="000000"/>
                <w:sz w:val="20"/>
                <w:szCs w:val="20"/>
              </w:rPr>
              <w:t xml:space="preserve">         </w:t>
            </w:r>
            <w:r w:rsidRPr="00383886">
              <w:rPr>
                <w:rFonts w:ascii="Arial Narrow" w:eastAsia="Times New Roman" w:hAnsi="Arial Narrow" w:cs="Arial"/>
                <w:color w:val="000000"/>
                <w:sz w:val="20"/>
                <w:szCs w:val="20"/>
              </w:rPr>
              <w:t xml:space="preserve"> MVP</w:t>
            </w:r>
          </w:p>
        </w:tc>
        <w:tc>
          <w:tcPr>
            <w:tcW w:w="356" w:type="pct"/>
            <w:gridSpan w:val="6"/>
            <w:shd w:val="clear" w:color="auto" w:fill="FFFFFF" w:themeFill="background1"/>
          </w:tcPr>
          <w:p w14:paraId="4FF38A36"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4D0A17E0"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1742D98C" w14:textId="77777777" w:rsidR="00301973" w:rsidRDefault="00301973" w:rsidP="002756A4">
            <w:pPr>
              <w:spacing w:after="0" w:line="240" w:lineRule="auto"/>
              <w:jc w:val="center"/>
              <w:rPr>
                <w:rFonts w:ascii="Arial Narrow" w:eastAsia="Times New Roman" w:hAnsi="Arial Narrow" w:cs="Arial"/>
                <w:color w:val="000000"/>
                <w:sz w:val="20"/>
                <w:szCs w:val="20"/>
              </w:rPr>
            </w:pPr>
          </w:p>
          <w:p w14:paraId="7AA09C48"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Q1 i Q4 2022.</w:t>
            </w:r>
          </w:p>
        </w:tc>
        <w:tc>
          <w:tcPr>
            <w:tcW w:w="396" w:type="pct"/>
            <w:gridSpan w:val="4"/>
            <w:shd w:val="clear" w:color="auto" w:fill="FFFFFF" w:themeFill="background1"/>
            <w:vAlign w:val="center"/>
          </w:tcPr>
          <w:p w14:paraId="7E9880D8"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p>
        </w:tc>
        <w:tc>
          <w:tcPr>
            <w:tcW w:w="416" w:type="pct"/>
            <w:gridSpan w:val="4"/>
            <w:shd w:val="clear" w:color="auto" w:fill="FFFFFF" w:themeFill="background1"/>
          </w:tcPr>
          <w:p w14:paraId="3B93E710" w14:textId="77777777" w:rsidR="002756A4" w:rsidRPr="00383886" w:rsidRDefault="002756A4" w:rsidP="002756A4">
            <w:pPr>
              <w:spacing w:after="0" w:line="240" w:lineRule="auto"/>
              <w:jc w:val="center"/>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Budžet MVP</w:t>
            </w:r>
          </w:p>
        </w:tc>
        <w:tc>
          <w:tcPr>
            <w:tcW w:w="1613" w:type="pct"/>
            <w:gridSpan w:val="5"/>
            <w:shd w:val="clear" w:color="auto" w:fill="FFFFFF" w:themeFill="background1"/>
            <w:vAlign w:val="center"/>
          </w:tcPr>
          <w:p w14:paraId="34142FBF" w14:textId="77777777" w:rsidR="002756A4" w:rsidRPr="00383886" w:rsidRDefault="002756A4" w:rsidP="002756A4">
            <w:pPr>
              <w:spacing w:after="0" w:line="240" w:lineRule="auto"/>
              <w:jc w:val="both"/>
              <w:rPr>
                <w:rFonts w:ascii="Arial Narrow" w:eastAsia="Times New Roman" w:hAnsi="Arial Narrow" w:cs="Arial"/>
                <w:color w:val="000000"/>
                <w:sz w:val="20"/>
                <w:szCs w:val="20"/>
              </w:rPr>
            </w:pPr>
            <w:r w:rsidRPr="00383886">
              <w:rPr>
                <w:rFonts w:ascii="Arial Narrow" w:eastAsia="Times New Roman" w:hAnsi="Arial Narrow" w:cs="Arial"/>
                <w:color w:val="000000"/>
                <w:sz w:val="20"/>
                <w:szCs w:val="20"/>
              </w:rPr>
              <w:t>MIBO je namijenjen stranim investitorima i sadrži ključne informacije o investicionim potencijalima i ekonomskim pokazateljima od značaja za poslovanje u Crnoj Gori</w:t>
            </w:r>
          </w:p>
        </w:tc>
      </w:tr>
    </w:tbl>
    <w:tbl>
      <w:tblPr>
        <w:tblStyle w:val="TableGrid41"/>
        <w:tblW w:w="14940" w:type="dxa"/>
        <w:tblInd w:w="-905" w:type="dxa"/>
        <w:tblLayout w:type="fixed"/>
        <w:tblLook w:val="04A0" w:firstRow="1" w:lastRow="0" w:firstColumn="1" w:lastColumn="0" w:noHBand="0" w:noVBand="1"/>
      </w:tblPr>
      <w:tblGrid>
        <w:gridCol w:w="3021"/>
        <w:gridCol w:w="2686"/>
        <w:gridCol w:w="521"/>
        <w:gridCol w:w="1318"/>
        <w:gridCol w:w="1698"/>
        <w:gridCol w:w="1862"/>
        <w:gridCol w:w="845"/>
        <w:gridCol w:w="715"/>
        <w:gridCol w:w="2274"/>
      </w:tblGrid>
      <w:tr w:rsidR="00383886" w:rsidRPr="00383886" w14:paraId="0305DB54" w14:textId="77777777" w:rsidTr="00FD6B98">
        <w:tc>
          <w:tcPr>
            <w:tcW w:w="3021" w:type="dxa"/>
            <w:shd w:val="clear" w:color="auto" w:fill="DEEAF6" w:themeFill="accent5" w:themeFillTint="33"/>
          </w:tcPr>
          <w:p w14:paraId="7D74758E" w14:textId="77777777" w:rsidR="00383886" w:rsidRPr="00383886" w:rsidRDefault="00383886" w:rsidP="00AE274D">
            <w:pPr>
              <w:spacing w:before="40" w:after="40"/>
              <w:jc w:val="center"/>
              <w:rPr>
                <w:rFonts w:cs="Arial"/>
                <w:b/>
                <w:sz w:val="20"/>
                <w:szCs w:val="20"/>
              </w:rPr>
            </w:pPr>
            <w:bookmarkStart w:id="30" w:name="_Hlk89633146"/>
            <w:r w:rsidRPr="00383886">
              <w:rPr>
                <w:rFonts w:cs="Arial"/>
                <w:b/>
                <w:sz w:val="20"/>
                <w:szCs w:val="20"/>
              </w:rPr>
              <w:t xml:space="preserve">Cilj </w:t>
            </w:r>
            <w:r w:rsidR="00AE274D">
              <w:rPr>
                <w:rFonts w:cs="Arial"/>
                <w:b/>
                <w:sz w:val="20"/>
                <w:szCs w:val="20"/>
              </w:rPr>
              <w:t>2.</w:t>
            </w:r>
            <w:r w:rsidRPr="00383886">
              <w:rPr>
                <w:rFonts w:cs="Arial"/>
                <w:b/>
                <w:sz w:val="20"/>
                <w:szCs w:val="20"/>
              </w:rPr>
              <w:t>8</w:t>
            </w:r>
            <w:r w:rsidR="00AE274D">
              <w:rPr>
                <w:rFonts w:cs="Arial"/>
                <w:b/>
                <w:sz w:val="20"/>
                <w:szCs w:val="20"/>
              </w:rPr>
              <w:t>.</w:t>
            </w:r>
          </w:p>
          <w:p w14:paraId="77CED6A6" w14:textId="77777777" w:rsidR="00383886" w:rsidRPr="00383886" w:rsidRDefault="00383886" w:rsidP="00FD6B98">
            <w:pPr>
              <w:spacing w:before="40" w:after="40"/>
              <w:jc w:val="both"/>
              <w:rPr>
                <w:rFonts w:cs="Arial"/>
                <w:b/>
                <w:sz w:val="20"/>
                <w:szCs w:val="20"/>
              </w:rPr>
            </w:pPr>
          </w:p>
        </w:tc>
        <w:tc>
          <w:tcPr>
            <w:tcW w:w="11919" w:type="dxa"/>
            <w:gridSpan w:val="8"/>
            <w:shd w:val="clear" w:color="auto" w:fill="DEEAF6" w:themeFill="accent5" w:themeFillTint="33"/>
          </w:tcPr>
          <w:p w14:paraId="550D8721" w14:textId="77777777" w:rsidR="00383886" w:rsidRPr="00383886" w:rsidRDefault="005965AE" w:rsidP="00FD6B98">
            <w:pPr>
              <w:spacing w:before="40" w:after="40"/>
              <w:jc w:val="both"/>
              <w:rPr>
                <w:rFonts w:cs="Arial"/>
                <w:b/>
                <w:sz w:val="20"/>
                <w:szCs w:val="20"/>
              </w:rPr>
            </w:pPr>
            <w:r w:rsidRPr="00383886">
              <w:rPr>
                <w:rFonts w:cs="Arial"/>
                <w:b/>
                <w:sz w:val="20"/>
                <w:szCs w:val="20"/>
              </w:rPr>
              <w:t>P</w:t>
            </w:r>
            <w:r w:rsidR="00AE274D" w:rsidRPr="00383886">
              <w:rPr>
                <w:rFonts w:cs="Arial"/>
                <w:b/>
                <w:sz w:val="20"/>
                <w:szCs w:val="20"/>
              </w:rPr>
              <w:t>oboljšanje dostupnosti, bezbjednosti i sigurnosti</w:t>
            </w:r>
            <w:r w:rsidR="00AE274D">
              <w:rPr>
                <w:rFonts w:cs="Arial"/>
                <w:b/>
                <w:sz w:val="20"/>
                <w:szCs w:val="20"/>
              </w:rPr>
              <w:t xml:space="preserve"> saobraćaja</w:t>
            </w:r>
          </w:p>
        </w:tc>
      </w:tr>
      <w:tr w:rsidR="00383886" w:rsidRPr="00383886" w14:paraId="327AEE6F" w14:textId="77777777" w:rsidTr="00FD6B98">
        <w:tc>
          <w:tcPr>
            <w:tcW w:w="3021" w:type="dxa"/>
            <w:shd w:val="clear" w:color="auto" w:fill="DAF2F6"/>
          </w:tcPr>
          <w:p w14:paraId="12BBCCEE" w14:textId="77777777" w:rsidR="00383886" w:rsidRPr="00383886" w:rsidRDefault="00383886" w:rsidP="00FD6B98">
            <w:pPr>
              <w:spacing w:before="40" w:after="40"/>
              <w:jc w:val="both"/>
              <w:rPr>
                <w:rFonts w:cs="Arial"/>
                <w:b/>
                <w:sz w:val="20"/>
                <w:szCs w:val="20"/>
              </w:rPr>
            </w:pPr>
            <w:r w:rsidRPr="00383886">
              <w:rPr>
                <w:rFonts w:cs="Arial"/>
                <w:b/>
                <w:sz w:val="20"/>
                <w:szCs w:val="20"/>
              </w:rPr>
              <w:t>Indikator učinka</w:t>
            </w:r>
          </w:p>
        </w:tc>
        <w:tc>
          <w:tcPr>
            <w:tcW w:w="3207" w:type="dxa"/>
            <w:gridSpan w:val="2"/>
            <w:shd w:val="clear" w:color="auto" w:fill="DAF2F6"/>
          </w:tcPr>
          <w:p w14:paraId="49B18EC5" w14:textId="77777777" w:rsidR="00383886" w:rsidRPr="00383886" w:rsidRDefault="00383886" w:rsidP="00FD6B98">
            <w:pPr>
              <w:spacing w:before="40" w:after="40"/>
              <w:jc w:val="center"/>
              <w:rPr>
                <w:rFonts w:cs="Arial"/>
                <w:b/>
                <w:sz w:val="20"/>
                <w:szCs w:val="20"/>
              </w:rPr>
            </w:pPr>
            <w:r w:rsidRPr="00383886">
              <w:rPr>
                <w:rFonts w:cs="Arial"/>
                <w:b/>
                <w:sz w:val="20"/>
                <w:szCs w:val="20"/>
              </w:rPr>
              <w:t>Polazna vrijednost –</w:t>
            </w:r>
          </w:p>
          <w:p w14:paraId="3BBEF0E9" w14:textId="77777777" w:rsidR="00383886" w:rsidRPr="00383886" w:rsidRDefault="00383886" w:rsidP="00FD6B98">
            <w:pPr>
              <w:spacing w:before="40" w:after="40"/>
              <w:jc w:val="center"/>
              <w:rPr>
                <w:rFonts w:cs="Arial"/>
                <w:b/>
                <w:sz w:val="20"/>
                <w:szCs w:val="20"/>
              </w:rPr>
            </w:pPr>
            <w:r w:rsidRPr="00383886">
              <w:rPr>
                <w:rFonts w:cs="Arial"/>
                <w:b/>
                <w:sz w:val="20"/>
                <w:szCs w:val="20"/>
              </w:rPr>
              <w:t>2021. g.</w:t>
            </w:r>
          </w:p>
        </w:tc>
        <w:tc>
          <w:tcPr>
            <w:tcW w:w="3016" w:type="dxa"/>
            <w:gridSpan w:val="2"/>
            <w:shd w:val="clear" w:color="auto" w:fill="DAF2F6"/>
            <w:vAlign w:val="center"/>
          </w:tcPr>
          <w:p w14:paraId="272CF037" w14:textId="77777777" w:rsidR="00383886" w:rsidRPr="00383886" w:rsidRDefault="00383886" w:rsidP="00FD6B98">
            <w:pPr>
              <w:spacing w:before="40" w:after="40"/>
              <w:jc w:val="center"/>
              <w:rPr>
                <w:rFonts w:cs="Arial"/>
                <w:b/>
                <w:sz w:val="20"/>
                <w:szCs w:val="20"/>
              </w:rPr>
            </w:pPr>
            <w:r w:rsidRPr="00383886">
              <w:rPr>
                <w:rFonts w:cs="Arial"/>
                <w:b/>
                <w:sz w:val="20"/>
                <w:szCs w:val="20"/>
              </w:rPr>
              <w:t>Prelazna vrijednost –</w:t>
            </w:r>
          </w:p>
          <w:p w14:paraId="02083218" w14:textId="77777777" w:rsidR="00383886" w:rsidRPr="00383886" w:rsidRDefault="00383886" w:rsidP="00FD6B98">
            <w:pPr>
              <w:spacing w:before="40" w:after="40"/>
              <w:jc w:val="center"/>
              <w:rPr>
                <w:rFonts w:cs="Arial"/>
                <w:b/>
                <w:sz w:val="20"/>
                <w:szCs w:val="20"/>
              </w:rPr>
            </w:pPr>
            <w:r w:rsidRPr="00383886">
              <w:rPr>
                <w:rFonts w:cs="Arial"/>
                <w:b/>
                <w:sz w:val="20"/>
                <w:szCs w:val="20"/>
              </w:rPr>
              <w:t>2022. g.</w:t>
            </w:r>
          </w:p>
        </w:tc>
        <w:tc>
          <w:tcPr>
            <w:tcW w:w="2707" w:type="dxa"/>
            <w:gridSpan w:val="2"/>
            <w:tcBorders>
              <w:bottom w:val="single" w:sz="4" w:space="0" w:color="FFFFFF" w:themeColor="background1"/>
            </w:tcBorders>
            <w:shd w:val="clear" w:color="auto" w:fill="DAF2F6"/>
            <w:vAlign w:val="center"/>
          </w:tcPr>
          <w:p w14:paraId="0F767A78" w14:textId="77777777" w:rsidR="00383886" w:rsidRPr="00383886" w:rsidRDefault="00383886" w:rsidP="00FD6B98">
            <w:pPr>
              <w:spacing w:before="40" w:after="40"/>
              <w:jc w:val="center"/>
              <w:rPr>
                <w:rFonts w:cs="Arial"/>
                <w:b/>
                <w:sz w:val="20"/>
                <w:szCs w:val="20"/>
              </w:rPr>
            </w:pPr>
            <w:r w:rsidRPr="00383886">
              <w:rPr>
                <w:rFonts w:cs="Arial"/>
                <w:b/>
                <w:sz w:val="20"/>
                <w:szCs w:val="20"/>
              </w:rPr>
              <w:t>Prelazna vrijednost – 2023. g.</w:t>
            </w:r>
          </w:p>
        </w:tc>
        <w:tc>
          <w:tcPr>
            <w:tcW w:w="2989" w:type="dxa"/>
            <w:gridSpan w:val="2"/>
            <w:tcBorders>
              <w:bottom w:val="single" w:sz="4" w:space="0" w:color="FFFFFF" w:themeColor="background1"/>
            </w:tcBorders>
            <w:shd w:val="clear" w:color="auto" w:fill="DAF2F6"/>
            <w:vAlign w:val="center"/>
          </w:tcPr>
          <w:p w14:paraId="4F450677" w14:textId="77777777" w:rsidR="00383886" w:rsidRPr="00383886" w:rsidRDefault="00383886" w:rsidP="00FD6B98">
            <w:pPr>
              <w:spacing w:before="40" w:after="40"/>
              <w:jc w:val="center"/>
              <w:rPr>
                <w:rFonts w:cs="Arial"/>
                <w:b/>
                <w:sz w:val="20"/>
                <w:szCs w:val="20"/>
              </w:rPr>
            </w:pPr>
            <w:r w:rsidRPr="00383886">
              <w:rPr>
                <w:rFonts w:cs="Arial"/>
                <w:b/>
                <w:sz w:val="20"/>
                <w:szCs w:val="20"/>
              </w:rPr>
              <w:t>Ciljna vrijednost –</w:t>
            </w:r>
          </w:p>
          <w:p w14:paraId="2615EEE8" w14:textId="77777777" w:rsidR="00383886" w:rsidRPr="00383886" w:rsidRDefault="00383886" w:rsidP="00FD6B98">
            <w:pPr>
              <w:spacing w:before="40" w:after="40"/>
              <w:jc w:val="center"/>
              <w:rPr>
                <w:rFonts w:cs="Arial"/>
                <w:b/>
                <w:sz w:val="20"/>
                <w:szCs w:val="20"/>
              </w:rPr>
            </w:pPr>
            <w:r w:rsidRPr="00383886">
              <w:rPr>
                <w:rFonts w:cs="Arial"/>
                <w:b/>
                <w:sz w:val="20"/>
                <w:szCs w:val="20"/>
              </w:rPr>
              <w:t>2024. g.</w:t>
            </w:r>
          </w:p>
        </w:tc>
      </w:tr>
      <w:tr w:rsidR="00383886" w:rsidRPr="00383886" w14:paraId="6C86A194" w14:textId="77777777" w:rsidTr="00FD6B98">
        <w:tc>
          <w:tcPr>
            <w:tcW w:w="3021" w:type="dxa"/>
            <w:shd w:val="clear" w:color="auto" w:fill="DAF2F6"/>
          </w:tcPr>
          <w:p w14:paraId="3119DBFC" w14:textId="77777777" w:rsidR="00383886" w:rsidRPr="00AE274D" w:rsidRDefault="00383886" w:rsidP="00FD6B98">
            <w:pPr>
              <w:spacing w:before="40" w:after="40"/>
              <w:contextualSpacing/>
              <w:rPr>
                <w:rFonts w:cs="Arial"/>
                <w:bCs/>
                <w:iCs/>
                <w:sz w:val="20"/>
                <w:szCs w:val="20"/>
              </w:rPr>
            </w:pPr>
            <w:r w:rsidRPr="00AE274D">
              <w:rPr>
                <w:rFonts w:cs="Arial"/>
                <w:bCs/>
                <w:iCs/>
                <w:sz w:val="20"/>
                <w:szCs w:val="20"/>
              </w:rPr>
              <w:t>Vrijednost sredstava investiranih u izgradnju i rekonstrukciju željezničke mreže</w:t>
            </w:r>
            <w:r w:rsidRPr="00AE274D">
              <w:rPr>
                <w:rFonts w:cs="Arial"/>
                <w:bCs/>
                <w:iCs/>
                <w:sz w:val="20"/>
                <w:szCs w:val="20"/>
                <w:vertAlign w:val="superscript"/>
              </w:rPr>
              <w:footnoteReference w:id="18"/>
            </w:r>
          </w:p>
        </w:tc>
        <w:tc>
          <w:tcPr>
            <w:tcW w:w="3207" w:type="dxa"/>
            <w:gridSpan w:val="2"/>
            <w:shd w:val="clear" w:color="auto" w:fill="DAF2F6"/>
          </w:tcPr>
          <w:p w14:paraId="48192D36" w14:textId="77777777" w:rsidR="00383886" w:rsidRPr="00383886" w:rsidRDefault="00383886" w:rsidP="00FD6B98">
            <w:pPr>
              <w:spacing w:before="40" w:after="40"/>
              <w:jc w:val="center"/>
              <w:rPr>
                <w:rFonts w:cs="Arial"/>
                <w:iCs/>
                <w:sz w:val="20"/>
                <w:szCs w:val="20"/>
              </w:rPr>
            </w:pPr>
            <w:r w:rsidRPr="00383886">
              <w:rPr>
                <w:rFonts w:cs="Arial"/>
                <w:iCs/>
                <w:sz w:val="20"/>
                <w:szCs w:val="20"/>
              </w:rPr>
              <w:t>7 mil €</w:t>
            </w:r>
          </w:p>
        </w:tc>
        <w:tc>
          <w:tcPr>
            <w:tcW w:w="3016" w:type="dxa"/>
            <w:gridSpan w:val="2"/>
            <w:shd w:val="clear" w:color="auto" w:fill="DAF2F6"/>
          </w:tcPr>
          <w:p w14:paraId="08E84238" w14:textId="77777777" w:rsidR="00383886" w:rsidRPr="00383886" w:rsidRDefault="00383886" w:rsidP="00FD6B98">
            <w:pPr>
              <w:spacing w:before="40" w:after="40"/>
              <w:jc w:val="center"/>
              <w:rPr>
                <w:rFonts w:cs="Arial"/>
                <w:iCs/>
                <w:sz w:val="20"/>
                <w:szCs w:val="20"/>
              </w:rPr>
            </w:pPr>
            <w:r w:rsidRPr="00383886">
              <w:rPr>
                <w:rFonts w:cs="Arial"/>
                <w:iCs/>
                <w:sz w:val="20"/>
                <w:szCs w:val="20"/>
              </w:rPr>
              <w:t>8 mil €</w:t>
            </w:r>
          </w:p>
        </w:tc>
        <w:tc>
          <w:tcPr>
            <w:tcW w:w="2707" w:type="dxa"/>
            <w:gridSpan w:val="2"/>
            <w:shd w:val="clear" w:color="auto" w:fill="DAF2F6"/>
          </w:tcPr>
          <w:p w14:paraId="51410A67" w14:textId="77777777" w:rsidR="00383886" w:rsidRPr="00383886" w:rsidRDefault="00383886" w:rsidP="00FD6B98">
            <w:pPr>
              <w:spacing w:before="40" w:after="40"/>
              <w:jc w:val="center"/>
              <w:rPr>
                <w:rFonts w:cs="Arial"/>
                <w:iCs/>
                <w:sz w:val="20"/>
                <w:szCs w:val="20"/>
              </w:rPr>
            </w:pPr>
            <w:r w:rsidRPr="00383886">
              <w:rPr>
                <w:rFonts w:cs="Arial"/>
                <w:iCs/>
                <w:sz w:val="20"/>
                <w:szCs w:val="20"/>
              </w:rPr>
              <w:t>9 mil €</w:t>
            </w:r>
          </w:p>
        </w:tc>
        <w:tc>
          <w:tcPr>
            <w:tcW w:w="2989" w:type="dxa"/>
            <w:gridSpan w:val="2"/>
            <w:shd w:val="clear" w:color="auto" w:fill="DAF2F6"/>
          </w:tcPr>
          <w:p w14:paraId="4738E3C4" w14:textId="77777777" w:rsidR="00383886" w:rsidRPr="00383886" w:rsidRDefault="00383886" w:rsidP="00FD6B98">
            <w:pPr>
              <w:spacing w:before="40" w:after="40"/>
              <w:jc w:val="center"/>
              <w:rPr>
                <w:rFonts w:cs="Arial"/>
                <w:iCs/>
                <w:sz w:val="20"/>
                <w:szCs w:val="20"/>
              </w:rPr>
            </w:pPr>
            <w:r w:rsidRPr="00383886">
              <w:rPr>
                <w:rFonts w:cs="Arial"/>
                <w:iCs/>
                <w:sz w:val="20"/>
                <w:szCs w:val="20"/>
              </w:rPr>
              <w:t>10 €</w:t>
            </w:r>
          </w:p>
        </w:tc>
      </w:tr>
      <w:tr w:rsidR="00383886" w:rsidRPr="00383886" w14:paraId="29B622E1" w14:textId="77777777" w:rsidTr="00FD6B98">
        <w:tc>
          <w:tcPr>
            <w:tcW w:w="3021" w:type="dxa"/>
            <w:shd w:val="clear" w:color="auto" w:fill="DAF2F6"/>
          </w:tcPr>
          <w:p w14:paraId="03F1A0A2" w14:textId="77777777" w:rsidR="00383886" w:rsidRPr="00AE274D" w:rsidRDefault="00383886" w:rsidP="00FD6B98">
            <w:pPr>
              <w:spacing w:before="40" w:after="40"/>
              <w:contextualSpacing/>
              <w:rPr>
                <w:rFonts w:cs="Arial"/>
                <w:bCs/>
                <w:iCs/>
                <w:sz w:val="20"/>
                <w:szCs w:val="20"/>
              </w:rPr>
            </w:pPr>
            <w:bookmarkStart w:id="31" w:name="_Hlk89419252"/>
            <w:r w:rsidRPr="00AE274D">
              <w:rPr>
                <w:rFonts w:cs="Arial"/>
                <w:bCs/>
                <w:iCs/>
                <w:sz w:val="20"/>
                <w:szCs w:val="20"/>
              </w:rPr>
              <w:t xml:space="preserve">Vrijednost sredstava investiranih u izgradnju i rekonstrukciju putne mreže </w:t>
            </w:r>
          </w:p>
        </w:tc>
        <w:tc>
          <w:tcPr>
            <w:tcW w:w="3207" w:type="dxa"/>
            <w:gridSpan w:val="2"/>
            <w:shd w:val="clear" w:color="auto" w:fill="DAF2F6"/>
          </w:tcPr>
          <w:p w14:paraId="67AC0FAF" w14:textId="77777777" w:rsidR="00383886" w:rsidRPr="00383886" w:rsidRDefault="00383886" w:rsidP="00FD6B98">
            <w:pPr>
              <w:spacing w:before="20" w:after="20"/>
              <w:jc w:val="center"/>
              <w:rPr>
                <w:rFonts w:cs="Arial"/>
                <w:iCs/>
                <w:sz w:val="20"/>
                <w:szCs w:val="20"/>
              </w:rPr>
            </w:pPr>
            <w:r w:rsidRPr="00383886">
              <w:rPr>
                <w:rFonts w:cs="Arial"/>
                <w:iCs/>
                <w:sz w:val="20"/>
                <w:szCs w:val="20"/>
              </w:rPr>
              <w:t>85 mil. €</w:t>
            </w:r>
          </w:p>
        </w:tc>
        <w:tc>
          <w:tcPr>
            <w:tcW w:w="3016" w:type="dxa"/>
            <w:gridSpan w:val="2"/>
            <w:shd w:val="clear" w:color="auto" w:fill="DAF2F6"/>
          </w:tcPr>
          <w:p w14:paraId="4EE2AC8D" w14:textId="77777777" w:rsidR="00383886" w:rsidRPr="00383886" w:rsidRDefault="00383886" w:rsidP="00FD6B98">
            <w:pPr>
              <w:spacing w:before="20" w:after="20"/>
              <w:jc w:val="center"/>
              <w:rPr>
                <w:rFonts w:cs="Arial"/>
                <w:iCs/>
                <w:sz w:val="20"/>
                <w:szCs w:val="20"/>
              </w:rPr>
            </w:pPr>
            <w:r w:rsidRPr="00383886">
              <w:rPr>
                <w:rFonts w:cs="Arial"/>
                <w:iCs/>
                <w:sz w:val="20"/>
                <w:szCs w:val="20"/>
              </w:rPr>
              <w:t>90 mil. €</w:t>
            </w:r>
          </w:p>
        </w:tc>
        <w:tc>
          <w:tcPr>
            <w:tcW w:w="2707" w:type="dxa"/>
            <w:gridSpan w:val="2"/>
            <w:shd w:val="clear" w:color="auto" w:fill="DAF2F6"/>
          </w:tcPr>
          <w:p w14:paraId="6902805A" w14:textId="77777777" w:rsidR="00383886" w:rsidRPr="00383886" w:rsidRDefault="00383886" w:rsidP="00FD6B98">
            <w:pPr>
              <w:spacing w:before="20" w:after="20"/>
              <w:jc w:val="center"/>
              <w:rPr>
                <w:rFonts w:cs="Arial"/>
                <w:iCs/>
                <w:sz w:val="20"/>
                <w:szCs w:val="20"/>
              </w:rPr>
            </w:pPr>
            <w:r w:rsidRPr="00383886">
              <w:rPr>
                <w:rFonts w:cs="Arial"/>
                <w:iCs/>
                <w:sz w:val="20"/>
                <w:szCs w:val="20"/>
              </w:rPr>
              <w:t>90 mil. €</w:t>
            </w:r>
          </w:p>
        </w:tc>
        <w:tc>
          <w:tcPr>
            <w:tcW w:w="2989" w:type="dxa"/>
            <w:gridSpan w:val="2"/>
            <w:shd w:val="clear" w:color="auto" w:fill="DAF2F6"/>
          </w:tcPr>
          <w:p w14:paraId="2002E273" w14:textId="77777777" w:rsidR="00383886" w:rsidRPr="00383886" w:rsidRDefault="00383886" w:rsidP="00FD6B98">
            <w:pPr>
              <w:spacing w:before="20" w:after="20"/>
              <w:jc w:val="center"/>
              <w:rPr>
                <w:rFonts w:cs="Arial"/>
                <w:iCs/>
                <w:sz w:val="20"/>
                <w:szCs w:val="20"/>
              </w:rPr>
            </w:pPr>
            <w:r w:rsidRPr="00383886">
              <w:rPr>
                <w:rFonts w:cs="Arial"/>
                <w:iCs/>
                <w:sz w:val="20"/>
                <w:szCs w:val="20"/>
              </w:rPr>
              <w:t>85 mil. €</w:t>
            </w:r>
          </w:p>
        </w:tc>
      </w:tr>
      <w:tr w:rsidR="00383886" w:rsidRPr="00383886" w14:paraId="0B2C2813" w14:textId="77777777" w:rsidTr="00FD6B98">
        <w:tc>
          <w:tcPr>
            <w:tcW w:w="3021" w:type="dxa"/>
            <w:shd w:val="clear" w:color="auto" w:fill="DAF2F6"/>
          </w:tcPr>
          <w:p w14:paraId="4B64E80E" w14:textId="77777777" w:rsidR="00383886" w:rsidRPr="00AE274D" w:rsidRDefault="00383886" w:rsidP="00FD6B98">
            <w:pPr>
              <w:spacing w:before="40" w:after="40"/>
              <w:contextualSpacing/>
              <w:rPr>
                <w:rFonts w:cs="Arial"/>
                <w:bCs/>
                <w:iCs/>
                <w:sz w:val="20"/>
                <w:szCs w:val="20"/>
              </w:rPr>
            </w:pPr>
            <w:r w:rsidRPr="00AE274D">
              <w:rPr>
                <w:rFonts w:cs="Arial"/>
                <w:bCs/>
                <w:iCs/>
                <w:sz w:val="20"/>
                <w:szCs w:val="20"/>
              </w:rPr>
              <w:t>Vrijednost ulaganja u bezbjednosti na putevima, kroz inspekcijski nadzor</w:t>
            </w:r>
          </w:p>
        </w:tc>
        <w:tc>
          <w:tcPr>
            <w:tcW w:w="3207" w:type="dxa"/>
            <w:gridSpan w:val="2"/>
            <w:shd w:val="clear" w:color="auto" w:fill="DAF2F6"/>
          </w:tcPr>
          <w:p w14:paraId="79274483" w14:textId="77777777" w:rsidR="00383886" w:rsidRPr="00383886" w:rsidRDefault="00383886" w:rsidP="00FD6B98">
            <w:pPr>
              <w:spacing w:before="20" w:after="20"/>
              <w:jc w:val="center"/>
              <w:rPr>
                <w:rFonts w:cs="Arial"/>
                <w:iCs/>
                <w:sz w:val="20"/>
                <w:szCs w:val="20"/>
              </w:rPr>
            </w:pPr>
            <w:r w:rsidRPr="00383886">
              <w:rPr>
                <w:rFonts w:cs="Arial"/>
                <w:iCs/>
                <w:sz w:val="20"/>
                <w:szCs w:val="20"/>
              </w:rPr>
              <w:t>0 €</w:t>
            </w:r>
          </w:p>
        </w:tc>
        <w:tc>
          <w:tcPr>
            <w:tcW w:w="3016" w:type="dxa"/>
            <w:gridSpan w:val="2"/>
            <w:shd w:val="clear" w:color="auto" w:fill="DAF2F6"/>
          </w:tcPr>
          <w:p w14:paraId="727C5737" w14:textId="77777777" w:rsidR="00383886" w:rsidRPr="00383886" w:rsidRDefault="00383886" w:rsidP="00FD6B98">
            <w:pPr>
              <w:spacing w:before="20" w:after="20"/>
              <w:jc w:val="center"/>
              <w:rPr>
                <w:rFonts w:cs="Arial"/>
                <w:iCs/>
                <w:sz w:val="20"/>
                <w:szCs w:val="20"/>
              </w:rPr>
            </w:pPr>
            <w:r w:rsidRPr="00383886">
              <w:rPr>
                <w:rFonts w:cs="Arial"/>
                <w:iCs/>
                <w:sz w:val="20"/>
                <w:szCs w:val="20"/>
              </w:rPr>
              <w:t>0,1 mil €</w:t>
            </w:r>
          </w:p>
        </w:tc>
        <w:tc>
          <w:tcPr>
            <w:tcW w:w="2707" w:type="dxa"/>
            <w:gridSpan w:val="2"/>
            <w:shd w:val="clear" w:color="auto" w:fill="DAF2F6"/>
          </w:tcPr>
          <w:p w14:paraId="272ABC1D" w14:textId="77777777" w:rsidR="00383886" w:rsidRPr="00383886" w:rsidRDefault="00383886" w:rsidP="00FD6B98">
            <w:pPr>
              <w:spacing w:before="20" w:after="20"/>
              <w:jc w:val="center"/>
              <w:rPr>
                <w:rFonts w:cs="Arial"/>
                <w:iCs/>
                <w:sz w:val="20"/>
                <w:szCs w:val="20"/>
              </w:rPr>
            </w:pPr>
            <w:r w:rsidRPr="00383886">
              <w:rPr>
                <w:rFonts w:cs="Arial"/>
                <w:iCs/>
                <w:sz w:val="20"/>
                <w:szCs w:val="20"/>
              </w:rPr>
              <w:t>0,2 mil. €</w:t>
            </w:r>
          </w:p>
        </w:tc>
        <w:tc>
          <w:tcPr>
            <w:tcW w:w="2989" w:type="dxa"/>
            <w:gridSpan w:val="2"/>
            <w:shd w:val="clear" w:color="auto" w:fill="DAF2F6"/>
          </w:tcPr>
          <w:p w14:paraId="2D7F6400" w14:textId="77777777" w:rsidR="00383886" w:rsidRPr="00383886" w:rsidRDefault="00383886" w:rsidP="00FD6B98">
            <w:pPr>
              <w:spacing w:before="20" w:after="20"/>
              <w:jc w:val="center"/>
              <w:rPr>
                <w:rFonts w:cs="Arial"/>
                <w:iCs/>
                <w:sz w:val="20"/>
                <w:szCs w:val="20"/>
              </w:rPr>
            </w:pPr>
            <w:r w:rsidRPr="00383886">
              <w:rPr>
                <w:rFonts w:cs="Arial"/>
                <w:iCs/>
                <w:sz w:val="20"/>
                <w:szCs w:val="20"/>
              </w:rPr>
              <w:t>0,2 mil. €</w:t>
            </w:r>
          </w:p>
        </w:tc>
      </w:tr>
      <w:tr w:rsidR="00383886" w:rsidRPr="00383886" w14:paraId="1F11000F" w14:textId="77777777" w:rsidTr="00FD6B98">
        <w:tc>
          <w:tcPr>
            <w:tcW w:w="3021" w:type="dxa"/>
            <w:shd w:val="clear" w:color="auto" w:fill="DAF2F6"/>
          </w:tcPr>
          <w:p w14:paraId="380A0CBC" w14:textId="77777777" w:rsidR="00383886" w:rsidRPr="00AE274D" w:rsidRDefault="00383886" w:rsidP="00FD6B98">
            <w:pPr>
              <w:spacing w:before="40" w:after="40"/>
              <w:contextualSpacing/>
              <w:rPr>
                <w:rFonts w:cs="Arial"/>
                <w:bCs/>
                <w:iCs/>
                <w:sz w:val="20"/>
                <w:szCs w:val="20"/>
              </w:rPr>
            </w:pPr>
            <w:r w:rsidRPr="00AE274D">
              <w:rPr>
                <w:rFonts w:cs="Arial"/>
                <w:bCs/>
                <w:iCs/>
                <w:sz w:val="20"/>
                <w:szCs w:val="20"/>
              </w:rPr>
              <w:t>Broj pomorskih nezgoda i nesreća</w:t>
            </w:r>
            <w:r w:rsidRPr="00AE274D">
              <w:rPr>
                <w:rFonts w:cs="Arial"/>
                <w:bCs/>
                <w:iCs/>
                <w:sz w:val="20"/>
                <w:szCs w:val="20"/>
                <w:vertAlign w:val="superscript"/>
              </w:rPr>
              <w:footnoteReference w:id="19"/>
            </w:r>
          </w:p>
        </w:tc>
        <w:tc>
          <w:tcPr>
            <w:tcW w:w="3207" w:type="dxa"/>
            <w:gridSpan w:val="2"/>
            <w:shd w:val="clear" w:color="auto" w:fill="DAF2F6"/>
          </w:tcPr>
          <w:p w14:paraId="74976C19" w14:textId="77777777" w:rsidR="00383886" w:rsidRPr="00383886" w:rsidRDefault="00383886" w:rsidP="00FD6B98">
            <w:pPr>
              <w:spacing w:before="20" w:after="20"/>
              <w:jc w:val="center"/>
              <w:rPr>
                <w:rFonts w:cs="Arial"/>
                <w:iCs/>
                <w:sz w:val="20"/>
                <w:szCs w:val="20"/>
              </w:rPr>
            </w:pPr>
            <w:r w:rsidRPr="00383886">
              <w:rPr>
                <w:rFonts w:cs="Arial"/>
                <w:iCs/>
                <w:sz w:val="20"/>
                <w:szCs w:val="20"/>
              </w:rPr>
              <w:t>5</w:t>
            </w:r>
          </w:p>
        </w:tc>
        <w:tc>
          <w:tcPr>
            <w:tcW w:w="3016" w:type="dxa"/>
            <w:gridSpan w:val="2"/>
            <w:shd w:val="clear" w:color="auto" w:fill="DAF2F6"/>
          </w:tcPr>
          <w:p w14:paraId="701AF92F" w14:textId="77777777" w:rsidR="00383886" w:rsidRPr="00383886" w:rsidRDefault="00383886" w:rsidP="00FD6B98">
            <w:pPr>
              <w:spacing w:before="20" w:after="20"/>
              <w:jc w:val="center"/>
              <w:rPr>
                <w:rFonts w:cs="Arial"/>
                <w:iCs/>
                <w:sz w:val="20"/>
                <w:szCs w:val="20"/>
              </w:rPr>
            </w:pPr>
            <w:r w:rsidRPr="00383886">
              <w:rPr>
                <w:rFonts w:cs="Arial"/>
                <w:iCs/>
                <w:sz w:val="20"/>
                <w:szCs w:val="20"/>
              </w:rPr>
              <w:t>4</w:t>
            </w:r>
          </w:p>
        </w:tc>
        <w:tc>
          <w:tcPr>
            <w:tcW w:w="2707" w:type="dxa"/>
            <w:gridSpan w:val="2"/>
            <w:shd w:val="clear" w:color="auto" w:fill="DAF2F6"/>
          </w:tcPr>
          <w:p w14:paraId="55D674E3" w14:textId="77777777" w:rsidR="00383886" w:rsidRPr="00383886" w:rsidRDefault="00383886" w:rsidP="00FD6B98">
            <w:pPr>
              <w:spacing w:before="20" w:after="20"/>
              <w:jc w:val="center"/>
              <w:rPr>
                <w:rFonts w:cs="Arial"/>
                <w:iCs/>
                <w:sz w:val="20"/>
                <w:szCs w:val="20"/>
              </w:rPr>
            </w:pPr>
            <w:r w:rsidRPr="00383886">
              <w:rPr>
                <w:rFonts w:cs="Arial"/>
                <w:iCs/>
                <w:sz w:val="20"/>
                <w:szCs w:val="20"/>
              </w:rPr>
              <w:t>3</w:t>
            </w:r>
          </w:p>
        </w:tc>
        <w:tc>
          <w:tcPr>
            <w:tcW w:w="2989" w:type="dxa"/>
            <w:gridSpan w:val="2"/>
            <w:shd w:val="clear" w:color="auto" w:fill="DAF2F6"/>
          </w:tcPr>
          <w:p w14:paraId="1F4F0933" w14:textId="77777777" w:rsidR="00383886" w:rsidRPr="00383886" w:rsidRDefault="00383886" w:rsidP="00FD6B98">
            <w:pPr>
              <w:spacing w:before="20" w:after="20"/>
              <w:jc w:val="center"/>
              <w:rPr>
                <w:rFonts w:cs="Arial"/>
                <w:iCs/>
                <w:sz w:val="20"/>
                <w:szCs w:val="20"/>
              </w:rPr>
            </w:pPr>
            <w:r w:rsidRPr="00383886">
              <w:rPr>
                <w:rFonts w:cs="Arial"/>
                <w:iCs/>
                <w:sz w:val="20"/>
                <w:szCs w:val="20"/>
              </w:rPr>
              <w:t>2</w:t>
            </w:r>
          </w:p>
          <w:p w14:paraId="3620B01C" w14:textId="77777777" w:rsidR="00383886" w:rsidRPr="00383886" w:rsidRDefault="00383886" w:rsidP="00FD6B98">
            <w:pPr>
              <w:spacing w:before="20" w:after="20"/>
              <w:jc w:val="center"/>
              <w:rPr>
                <w:rFonts w:cs="Arial"/>
                <w:iCs/>
                <w:sz w:val="20"/>
                <w:szCs w:val="20"/>
              </w:rPr>
            </w:pPr>
          </w:p>
        </w:tc>
      </w:tr>
      <w:bookmarkEnd w:id="30"/>
      <w:bookmarkEnd w:id="31"/>
      <w:tr w:rsidR="00383886" w:rsidRPr="00383886" w14:paraId="3F3A483F" w14:textId="77777777" w:rsidTr="00FD6B98">
        <w:tc>
          <w:tcPr>
            <w:tcW w:w="3021" w:type="dxa"/>
            <w:shd w:val="clear" w:color="auto" w:fill="FFF2CC" w:themeFill="accent4" w:themeFillTint="33"/>
            <w:vAlign w:val="center"/>
          </w:tcPr>
          <w:p w14:paraId="6A3C09C7" w14:textId="77777777" w:rsidR="00383886" w:rsidRPr="00383886" w:rsidRDefault="00383886" w:rsidP="00FD6B98">
            <w:pPr>
              <w:spacing w:before="20" w:after="20"/>
              <w:jc w:val="both"/>
              <w:rPr>
                <w:rFonts w:cs="Arial"/>
                <w:b/>
                <w:iCs/>
                <w:sz w:val="20"/>
                <w:szCs w:val="20"/>
              </w:rPr>
            </w:pPr>
            <w:r w:rsidRPr="00383886">
              <w:rPr>
                <w:rFonts w:cs="Arial"/>
                <w:b/>
                <w:iCs/>
                <w:sz w:val="20"/>
                <w:szCs w:val="20"/>
              </w:rPr>
              <w:lastRenderedPageBreak/>
              <w:t>Aktivnosti</w:t>
            </w:r>
          </w:p>
        </w:tc>
        <w:tc>
          <w:tcPr>
            <w:tcW w:w="2686" w:type="dxa"/>
            <w:shd w:val="clear" w:color="auto" w:fill="FFF2CC" w:themeFill="accent4" w:themeFillTint="33"/>
            <w:vAlign w:val="center"/>
          </w:tcPr>
          <w:p w14:paraId="1C4FF854" w14:textId="77777777" w:rsidR="00383886" w:rsidRPr="00383886" w:rsidRDefault="00383886" w:rsidP="00FD6B98">
            <w:pPr>
              <w:spacing w:before="20" w:after="20"/>
              <w:jc w:val="both"/>
              <w:rPr>
                <w:rFonts w:cs="Arial"/>
                <w:b/>
                <w:iCs/>
                <w:sz w:val="20"/>
                <w:szCs w:val="20"/>
              </w:rPr>
            </w:pPr>
            <w:r w:rsidRPr="00383886">
              <w:rPr>
                <w:rFonts w:cs="Arial"/>
                <w:b/>
                <w:iCs/>
                <w:sz w:val="20"/>
                <w:szCs w:val="20"/>
              </w:rPr>
              <w:t>Indikator rezultata</w:t>
            </w:r>
          </w:p>
        </w:tc>
        <w:tc>
          <w:tcPr>
            <w:tcW w:w="1839" w:type="dxa"/>
            <w:gridSpan w:val="2"/>
            <w:shd w:val="clear" w:color="auto" w:fill="FFF2CC" w:themeFill="accent4" w:themeFillTint="33"/>
            <w:vAlign w:val="center"/>
          </w:tcPr>
          <w:p w14:paraId="42F66A9C" w14:textId="77777777" w:rsidR="00383886" w:rsidRPr="00383886" w:rsidRDefault="00383886" w:rsidP="00FD6B98">
            <w:pPr>
              <w:spacing w:before="20" w:after="20"/>
              <w:jc w:val="both"/>
              <w:rPr>
                <w:rFonts w:cs="Arial"/>
                <w:b/>
                <w:iCs/>
                <w:sz w:val="20"/>
                <w:szCs w:val="20"/>
              </w:rPr>
            </w:pPr>
            <w:r w:rsidRPr="00383886">
              <w:rPr>
                <w:rFonts w:cs="Arial"/>
                <w:b/>
                <w:iCs/>
                <w:sz w:val="20"/>
                <w:szCs w:val="20"/>
              </w:rPr>
              <w:t>Nadležne institucije i nadležna komisija</w:t>
            </w:r>
          </w:p>
        </w:tc>
        <w:tc>
          <w:tcPr>
            <w:tcW w:w="1698" w:type="dxa"/>
            <w:shd w:val="clear" w:color="auto" w:fill="FFF2CC" w:themeFill="accent4" w:themeFillTint="33"/>
            <w:vAlign w:val="center"/>
          </w:tcPr>
          <w:p w14:paraId="0264B014" w14:textId="77777777" w:rsidR="00383886" w:rsidRPr="00383886" w:rsidRDefault="00383886" w:rsidP="00FD6B98">
            <w:pPr>
              <w:spacing w:before="20" w:after="20"/>
              <w:jc w:val="both"/>
              <w:rPr>
                <w:rFonts w:cs="Arial"/>
                <w:b/>
                <w:iCs/>
                <w:sz w:val="20"/>
                <w:szCs w:val="20"/>
              </w:rPr>
            </w:pPr>
            <w:r w:rsidRPr="00383886">
              <w:rPr>
                <w:rFonts w:cs="Arial"/>
                <w:b/>
                <w:iCs/>
                <w:sz w:val="20"/>
                <w:szCs w:val="20"/>
              </w:rPr>
              <w:t>Planirani početak i završetak aktivnosti</w:t>
            </w:r>
          </w:p>
        </w:tc>
        <w:tc>
          <w:tcPr>
            <w:tcW w:w="1862" w:type="dxa"/>
            <w:shd w:val="clear" w:color="auto" w:fill="FFF2CC" w:themeFill="accent4" w:themeFillTint="33"/>
            <w:vAlign w:val="center"/>
          </w:tcPr>
          <w:p w14:paraId="6BC394BA" w14:textId="77777777" w:rsidR="00383886" w:rsidRPr="00383886" w:rsidRDefault="00383886" w:rsidP="00FD6B98">
            <w:pPr>
              <w:spacing w:before="20" w:after="20"/>
              <w:jc w:val="both"/>
              <w:rPr>
                <w:rFonts w:cs="Arial"/>
                <w:b/>
                <w:iCs/>
                <w:sz w:val="20"/>
                <w:szCs w:val="20"/>
              </w:rPr>
            </w:pPr>
            <w:r w:rsidRPr="00383886">
              <w:rPr>
                <w:rFonts w:cs="Arial"/>
                <w:b/>
                <w:iCs/>
                <w:sz w:val="20"/>
                <w:szCs w:val="20"/>
              </w:rPr>
              <w:t>Sredstva za realizaciju  i informacija o izradi RIA</w:t>
            </w:r>
          </w:p>
        </w:tc>
        <w:tc>
          <w:tcPr>
            <w:tcW w:w="1560" w:type="dxa"/>
            <w:gridSpan w:val="2"/>
            <w:shd w:val="clear" w:color="auto" w:fill="FFF2CC" w:themeFill="accent4" w:themeFillTint="33"/>
            <w:vAlign w:val="center"/>
          </w:tcPr>
          <w:p w14:paraId="492D9CE2" w14:textId="77777777" w:rsidR="00383886" w:rsidRPr="00383886" w:rsidRDefault="00383886" w:rsidP="00FD6B98">
            <w:pPr>
              <w:spacing w:before="20" w:after="20"/>
              <w:jc w:val="both"/>
              <w:rPr>
                <w:rFonts w:cs="Arial"/>
                <w:b/>
                <w:iCs/>
                <w:sz w:val="20"/>
                <w:szCs w:val="20"/>
              </w:rPr>
            </w:pPr>
            <w:r w:rsidRPr="00383886">
              <w:rPr>
                <w:rFonts w:cs="Arial"/>
                <w:b/>
                <w:iCs/>
                <w:sz w:val="20"/>
                <w:szCs w:val="20"/>
              </w:rPr>
              <w:t xml:space="preserve"> Izvor finansiranja</w:t>
            </w:r>
          </w:p>
        </w:tc>
        <w:tc>
          <w:tcPr>
            <w:tcW w:w="2274" w:type="dxa"/>
            <w:shd w:val="clear" w:color="auto" w:fill="FFF2CC" w:themeFill="accent4" w:themeFillTint="33"/>
            <w:vAlign w:val="center"/>
          </w:tcPr>
          <w:p w14:paraId="75E85780" w14:textId="77777777" w:rsidR="00383886" w:rsidRPr="00383886" w:rsidRDefault="00383886" w:rsidP="00FD6B98">
            <w:pPr>
              <w:spacing w:before="20" w:after="20"/>
              <w:jc w:val="both"/>
              <w:rPr>
                <w:rFonts w:cs="Arial"/>
                <w:b/>
                <w:iCs/>
                <w:sz w:val="20"/>
                <w:szCs w:val="20"/>
              </w:rPr>
            </w:pPr>
          </w:p>
          <w:p w14:paraId="6D71BBB0" w14:textId="77777777" w:rsidR="00383886" w:rsidRPr="00383886" w:rsidRDefault="00383886" w:rsidP="00FD6B98">
            <w:pPr>
              <w:spacing w:before="20" w:after="20"/>
              <w:jc w:val="both"/>
              <w:rPr>
                <w:rFonts w:cs="Arial"/>
                <w:b/>
                <w:iCs/>
                <w:sz w:val="20"/>
                <w:szCs w:val="20"/>
              </w:rPr>
            </w:pPr>
            <w:r w:rsidRPr="00383886">
              <w:rPr>
                <w:rFonts w:cs="Arial"/>
                <w:b/>
                <w:iCs/>
                <w:sz w:val="20"/>
                <w:szCs w:val="20"/>
              </w:rPr>
              <w:t>Obrazloženje</w:t>
            </w:r>
          </w:p>
        </w:tc>
      </w:tr>
    </w:tbl>
    <w:tbl>
      <w:tblPr>
        <w:tblStyle w:val="TableGrid3"/>
        <w:tblW w:w="14940" w:type="dxa"/>
        <w:tblInd w:w="-905" w:type="dxa"/>
        <w:tblLook w:val="04A0" w:firstRow="1" w:lastRow="0" w:firstColumn="1" w:lastColumn="0" w:noHBand="0" w:noVBand="1"/>
      </w:tblPr>
      <w:tblGrid>
        <w:gridCol w:w="784"/>
        <w:gridCol w:w="2237"/>
        <w:gridCol w:w="2686"/>
        <w:gridCol w:w="1839"/>
        <w:gridCol w:w="1698"/>
        <w:gridCol w:w="2087"/>
        <w:gridCol w:w="1198"/>
        <w:gridCol w:w="2411"/>
      </w:tblGrid>
      <w:tr w:rsidR="00383886" w:rsidRPr="00383886" w14:paraId="1AD04B00" w14:textId="77777777" w:rsidTr="00FD6B98">
        <w:tc>
          <w:tcPr>
            <w:tcW w:w="784" w:type="dxa"/>
          </w:tcPr>
          <w:p w14:paraId="39F275B9" w14:textId="77777777" w:rsidR="00383886" w:rsidRPr="00383886" w:rsidRDefault="00383886" w:rsidP="00FD6B98">
            <w:pPr>
              <w:spacing w:before="20" w:after="20"/>
              <w:rPr>
                <w:rFonts w:cs="Arial"/>
                <w:sz w:val="20"/>
              </w:rPr>
            </w:pPr>
            <w:r w:rsidRPr="00383886">
              <w:rPr>
                <w:rFonts w:cs="Arial"/>
                <w:sz w:val="20"/>
              </w:rPr>
              <w:t>1.</w:t>
            </w:r>
          </w:p>
        </w:tc>
        <w:tc>
          <w:tcPr>
            <w:tcW w:w="2237" w:type="dxa"/>
          </w:tcPr>
          <w:p w14:paraId="259B1612" w14:textId="77777777" w:rsidR="00383886" w:rsidRPr="00383886" w:rsidRDefault="00383886" w:rsidP="00FD6B98">
            <w:pPr>
              <w:spacing w:before="20" w:after="20"/>
              <w:rPr>
                <w:rFonts w:cs="Arial"/>
                <w:iCs/>
                <w:sz w:val="20"/>
              </w:rPr>
            </w:pPr>
            <w:r w:rsidRPr="00383886">
              <w:rPr>
                <w:rFonts w:cs="Arial"/>
                <w:iCs/>
                <w:sz w:val="20"/>
              </w:rPr>
              <w:t>Usvajanje  Zakona o lukama</w:t>
            </w:r>
          </w:p>
        </w:tc>
        <w:tc>
          <w:tcPr>
            <w:tcW w:w="2686" w:type="dxa"/>
          </w:tcPr>
          <w:p w14:paraId="49AA7E8A" w14:textId="77777777" w:rsidR="00383886" w:rsidRPr="00383886" w:rsidRDefault="00383886" w:rsidP="00FD6B98">
            <w:pPr>
              <w:spacing w:before="20" w:after="20"/>
              <w:rPr>
                <w:rFonts w:cs="Arial"/>
                <w:sz w:val="20"/>
              </w:rPr>
            </w:pPr>
            <w:r w:rsidRPr="00383886">
              <w:rPr>
                <w:rFonts w:cs="Arial"/>
                <w:sz w:val="20"/>
              </w:rPr>
              <w:t>Broj zaključenih ugovora u skladu sa Zakonom o lukama</w:t>
            </w:r>
          </w:p>
        </w:tc>
        <w:tc>
          <w:tcPr>
            <w:tcW w:w="1839" w:type="dxa"/>
          </w:tcPr>
          <w:p w14:paraId="2CC55158" w14:textId="77777777" w:rsidR="00383886" w:rsidRPr="00383886" w:rsidRDefault="00383886" w:rsidP="00FD6B98">
            <w:pPr>
              <w:spacing w:before="20" w:after="20"/>
              <w:rPr>
                <w:rFonts w:cs="Arial"/>
                <w:sz w:val="20"/>
              </w:rPr>
            </w:pPr>
            <w:r w:rsidRPr="00383886">
              <w:rPr>
                <w:rFonts w:cs="Arial"/>
                <w:sz w:val="20"/>
              </w:rPr>
              <w:t>Ministarstvo kapitalnih investicija, Uprava pomorske sigurnosti i upravljanja lukama</w:t>
            </w:r>
          </w:p>
        </w:tc>
        <w:tc>
          <w:tcPr>
            <w:tcW w:w="1698" w:type="dxa"/>
          </w:tcPr>
          <w:p w14:paraId="28CE7550" w14:textId="77777777" w:rsidR="00383886" w:rsidRPr="00383886" w:rsidRDefault="00383886" w:rsidP="00FD6B98">
            <w:pPr>
              <w:spacing w:before="20" w:after="20"/>
              <w:rPr>
                <w:rFonts w:cs="Arial"/>
                <w:sz w:val="20"/>
              </w:rPr>
            </w:pPr>
            <w:r w:rsidRPr="00383886">
              <w:rPr>
                <w:rFonts w:cs="Arial"/>
                <w:sz w:val="20"/>
              </w:rPr>
              <w:t>Početak III /Q 2021</w:t>
            </w:r>
          </w:p>
          <w:p w14:paraId="13773776" w14:textId="77777777" w:rsidR="00383886" w:rsidRPr="00383886" w:rsidRDefault="00383886" w:rsidP="00FD6B98">
            <w:pPr>
              <w:spacing w:before="20" w:after="20"/>
              <w:rPr>
                <w:rFonts w:cs="Arial"/>
                <w:sz w:val="20"/>
              </w:rPr>
            </w:pPr>
            <w:r w:rsidRPr="00383886">
              <w:rPr>
                <w:rFonts w:cs="Arial"/>
                <w:sz w:val="20"/>
              </w:rPr>
              <w:t>Završetak IV/Q 2022</w:t>
            </w:r>
          </w:p>
        </w:tc>
        <w:tc>
          <w:tcPr>
            <w:tcW w:w="2087" w:type="dxa"/>
          </w:tcPr>
          <w:p w14:paraId="5F976296" w14:textId="77777777" w:rsidR="00383886" w:rsidRPr="00383886" w:rsidRDefault="00383886" w:rsidP="00FD6B98">
            <w:pPr>
              <w:spacing w:before="20" w:after="20"/>
              <w:rPr>
                <w:rFonts w:cs="Arial"/>
                <w:sz w:val="20"/>
              </w:rPr>
            </w:pPr>
            <w:r w:rsidRPr="00383886">
              <w:rPr>
                <w:rFonts w:cs="Arial"/>
                <w:sz w:val="20"/>
              </w:rPr>
              <w:t>Redovni troškovi koji se planiraju Budžetom.</w:t>
            </w:r>
          </w:p>
          <w:p w14:paraId="4DAE0196" w14:textId="77777777" w:rsidR="00383886" w:rsidRPr="00383886" w:rsidRDefault="00383886" w:rsidP="00FD6B98">
            <w:pPr>
              <w:spacing w:before="20" w:after="20"/>
              <w:rPr>
                <w:rFonts w:cs="Arial"/>
                <w:sz w:val="20"/>
              </w:rPr>
            </w:pPr>
          </w:p>
          <w:p w14:paraId="277FC351" w14:textId="77777777" w:rsidR="00383886" w:rsidRPr="00383886" w:rsidRDefault="00383886" w:rsidP="00FD6B98">
            <w:pPr>
              <w:spacing w:before="20" w:after="20"/>
              <w:rPr>
                <w:rFonts w:cs="Arial"/>
                <w:sz w:val="20"/>
              </w:rPr>
            </w:pPr>
            <w:r w:rsidRPr="00383886">
              <w:rPr>
                <w:rFonts w:cs="Arial"/>
                <w:sz w:val="20"/>
              </w:rPr>
              <w:t>U ovoj fazi izrade Predloga zakona ne možemo dati preciznu informaciju kada je u pitanju izrada RIA obrasca</w:t>
            </w:r>
          </w:p>
        </w:tc>
        <w:tc>
          <w:tcPr>
            <w:tcW w:w="1198" w:type="dxa"/>
          </w:tcPr>
          <w:p w14:paraId="6B74BC83" w14:textId="77777777" w:rsidR="00383886" w:rsidRPr="00383886" w:rsidRDefault="00383886" w:rsidP="00FD6B98">
            <w:pPr>
              <w:spacing w:before="20" w:after="20"/>
              <w:rPr>
                <w:rFonts w:cs="Arial"/>
                <w:sz w:val="20"/>
              </w:rPr>
            </w:pPr>
            <w:r w:rsidRPr="00383886">
              <w:rPr>
                <w:rFonts w:cs="Arial"/>
                <w:sz w:val="20"/>
              </w:rPr>
              <w:t>Budzet CG</w:t>
            </w:r>
          </w:p>
        </w:tc>
        <w:tc>
          <w:tcPr>
            <w:tcW w:w="2411" w:type="dxa"/>
          </w:tcPr>
          <w:p w14:paraId="7870CF5E" w14:textId="77777777" w:rsidR="00383886" w:rsidRPr="00383886" w:rsidRDefault="00383886" w:rsidP="00FD6B98">
            <w:pPr>
              <w:spacing w:before="20" w:after="20"/>
              <w:jc w:val="both"/>
              <w:rPr>
                <w:rFonts w:cs="Arial"/>
                <w:sz w:val="20"/>
              </w:rPr>
            </w:pPr>
            <w:r w:rsidRPr="00383886">
              <w:rPr>
                <w:rFonts w:cs="Arial"/>
                <w:sz w:val="20"/>
              </w:rPr>
              <w:t xml:space="preserve">Shodno Izvještaju EK za 2020 godinu, Predlog zakona o lukama će se uskladiti sa EU legislativom koja se odnosi na lučke uređaje za prihvat i isporuku brodskog otpada,  siguranog  ukrcaja i iskrcaja brodova za rasuti teret, uspostavljanje okvira za pružanje lučkih usluga i zajedničkih pravila o finansijskoj transparentnosti.  </w:t>
            </w:r>
          </w:p>
        </w:tc>
      </w:tr>
      <w:tr w:rsidR="00383886" w:rsidRPr="00383886" w14:paraId="7AB3D85E" w14:textId="77777777" w:rsidTr="00FD6B98">
        <w:tc>
          <w:tcPr>
            <w:tcW w:w="784" w:type="dxa"/>
          </w:tcPr>
          <w:p w14:paraId="43DA1099" w14:textId="77777777" w:rsidR="00383886" w:rsidRPr="00383886" w:rsidRDefault="00383886" w:rsidP="00FD6B98">
            <w:pPr>
              <w:spacing w:before="20" w:after="20"/>
              <w:rPr>
                <w:rFonts w:cs="Arial"/>
                <w:sz w:val="20"/>
              </w:rPr>
            </w:pPr>
            <w:r w:rsidRPr="00383886">
              <w:rPr>
                <w:rFonts w:cs="Arial"/>
                <w:sz w:val="20"/>
              </w:rPr>
              <w:t>2.</w:t>
            </w:r>
          </w:p>
        </w:tc>
        <w:tc>
          <w:tcPr>
            <w:tcW w:w="2237" w:type="dxa"/>
          </w:tcPr>
          <w:p w14:paraId="1FBB9001" w14:textId="77777777" w:rsidR="00383886" w:rsidRPr="00383886" w:rsidRDefault="00383886" w:rsidP="00FD6B98">
            <w:pPr>
              <w:spacing w:before="20" w:after="20"/>
              <w:rPr>
                <w:rFonts w:cs="Arial"/>
                <w:iCs/>
                <w:sz w:val="20"/>
              </w:rPr>
            </w:pPr>
            <w:r w:rsidRPr="00383886">
              <w:rPr>
                <w:rFonts w:cs="Arial"/>
                <w:iCs/>
                <w:sz w:val="20"/>
              </w:rPr>
              <w:t>Usvajanje Zakon o unutrašnjim plovnim putevima</w:t>
            </w:r>
          </w:p>
        </w:tc>
        <w:tc>
          <w:tcPr>
            <w:tcW w:w="2686" w:type="dxa"/>
          </w:tcPr>
          <w:p w14:paraId="799048B5" w14:textId="77777777" w:rsidR="00383886" w:rsidRPr="00383886" w:rsidRDefault="00383886" w:rsidP="00FD6B98">
            <w:pPr>
              <w:spacing w:before="20" w:after="20"/>
              <w:rPr>
                <w:rFonts w:cs="Arial"/>
                <w:sz w:val="20"/>
              </w:rPr>
            </w:pPr>
            <w:r w:rsidRPr="00383886">
              <w:rPr>
                <w:rFonts w:cs="Arial"/>
                <w:sz w:val="20"/>
              </w:rPr>
              <w:t>Pregovaračko poglavlje 14 – saobraćajna politika</w:t>
            </w:r>
          </w:p>
        </w:tc>
        <w:tc>
          <w:tcPr>
            <w:tcW w:w="1839" w:type="dxa"/>
          </w:tcPr>
          <w:p w14:paraId="2F42397F" w14:textId="77777777" w:rsidR="00383886" w:rsidRPr="00383886" w:rsidRDefault="00383886" w:rsidP="00FD6B98">
            <w:pPr>
              <w:spacing w:before="20" w:after="20"/>
              <w:rPr>
                <w:rFonts w:cs="Arial"/>
                <w:sz w:val="20"/>
              </w:rPr>
            </w:pPr>
            <w:r w:rsidRPr="00383886">
              <w:rPr>
                <w:rFonts w:cs="Arial"/>
                <w:sz w:val="20"/>
              </w:rPr>
              <w:t>Ministarstvo kapitalnih investicija, Uprava pomorske sigurnosti i upravljanja lukama</w:t>
            </w:r>
          </w:p>
        </w:tc>
        <w:tc>
          <w:tcPr>
            <w:tcW w:w="1698" w:type="dxa"/>
          </w:tcPr>
          <w:p w14:paraId="1AA48CCA" w14:textId="77777777" w:rsidR="00383886" w:rsidRPr="00383886" w:rsidRDefault="00383886" w:rsidP="00FD6B98">
            <w:pPr>
              <w:spacing w:before="20" w:after="20"/>
              <w:rPr>
                <w:rFonts w:cs="Arial"/>
                <w:sz w:val="20"/>
              </w:rPr>
            </w:pPr>
            <w:r w:rsidRPr="00383886">
              <w:rPr>
                <w:rFonts w:cs="Arial"/>
                <w:sz w:val="20"/>
              </w:rPr>
              <w:t>Početak III/Q 2021</w:t>
            </w:r>
          </w:p>
          <w:p w14:paraId="35B9D815" w14:textId="77777777" w:rsidR="00383886" w:rsidRPr="00383886" w:rsidRDefault="00383886" w:rsidP="00FD6B98">
            <w:pPr>
              <w:spacing w:before="20" w:after="20"/>
              <w:rPr>
                <w:rFonts w:cs="Arial"/>
                <w:sz w:val="20"/>
              </w:rPr>
            </w:pPr>
            <w:r w:rsidRPr="00383886">
              <w:rPr>
                <w:rFonts w:cs="Arial"/>
                <w:sz w:val="20"/>
              </w:rPr>
              <w:t>Završetak IV/Q 2022</w:t>
            </w:r>
          </w:p>
        </w:tc>
        <w:tc>
          <w:tcPr>
            <w:tcW w:w="2087" w:type="dxa"/>
          </w:tcPr>
          <w:p w14:paraId="35A36809" w14:textId="77777777" w:rsidR="00383886" w:rsidRPr="00383886" w:rsidRDefault="00383886" w:rsidP="00FD6B98">
            <w:pPr>
              <w:spacing w:before="20" w:after="20"/>
              <w:rPr>
                <w:rFonts w:cs="Arial"/>
                <w:sz w:val="20"/>
              </w:rPr>
            </w:pPr>
            <w:r w:rsidRPr="00383886">
              <w:rPr>
                <w:rFonts w:cs="Arial"/>
                <w:sz w:val="20"/>
              </w:rPr>
              <w:t>Redovni troškovi koji se planiraju Budžetom</w:t>
            </w:r>
          </w:p>
          <w:p w14:paraId="58DAE2E8" w14:textId="77777777" w:rsidR="00383886" w:rsidRPr="00383886" w:rsidRDefault="00383886" w:rsidP="00FD6B98">
            <w:pPr>
              <w:spacing w:before="20" w:after="20"/>
              <w:rPr>
                <w:rFonts w:cs="Arial"/>
                <w:sz w:val="20"/>
              </w:rPr>
            </w:pPr>
          </w:p>
          <w:p w14:paraId="603FBC9D" w14:textId="77777777" w:rsidR="00383886" w:rsidRPr="00383886" w:rsidRDefault="00383886" w:rsidP="00FD6B98">
            <w:pPr>
              <w:spacing w:before="20" w:after="20"/>
              <w:rPr>
                <w:rFonts w:cs="Arial"/>
                <w:sz w:val="20"/>
              </w:rPr>
            </w:pPr>
            <w:r w:rsidRPr="00383886">
              <w:rPr>
                <w:rFonts w:cs="Arial"/>
                <w:sz w:val="20"/>
              </w:rPr>
              <w:t>U ovoj fazi izrade Predloga zakona ne možemo dati preciznu informaciju kada je u pitanju izrada RIA obrasca</w:t>
            </w:r>
          </w:p>
        </w:tc>
        <w:tc>
          <w:tcPr>
            <w:tcW w:w="1198" w:type="dxa"/>
          </w:tcPr>
          <w:p w14:paraId="0833C72E" w14:textId="77777777" w:rsidR="00383886" w:rsidRPr="00383886" w:rsidRDefault="00383886" w:rsidP="00FD6B98">
            <w:pPr>
              <w:spacing w:before="20" w:after="20"/>
              <w:rPr>
                <w:rFonts w:cs="Arial"/>
                <w:sz w:val="20"/>
              </w:rPr>
            </w:pPr>
            <w:r w:rsidRPr="00383886">
              <w:rPr>
                <w:rFonts w:cs="Arial"/>
                <w:sz w:val="20"/>
              </w:rPr>
              <w:t>Budzet CG</w:t>
            </w:r>
          </w:p>
        </w:tc>
        <w:tc>
          <w:tcPr>
            <w:tcW w:w="2411" w:type="dxa"/>
          </w:tcPr>
          <w:p w14:paraId="456CD1A7" w14:textId="77777777" w:rsidR="00383886" w:rsidRPr="00383886" w:rsidRDefault="00383886" w:rsidP="00FD6B98">
            <w:pPr>
              <w:spacing w:before="20" w:after="20"/>
              <w:jc w:val="both"/>
              <w:rPr>
                <w:rFonts w:cs="Arial"/>
                <w:sz w:val="20"/>
              </w:rPr>
            </w:pPr>
            <w:r w:rsidRPr="00383886">
              <w:rPr>
                <w:rFonts w:cs="Arial"/>
                <w:sz w:val="20"/>
              </w:rPr>
              <w:t>Shodno preporukama iz Izvještaja EK za Crnu Goru za 2020 godinu,ovim zakonom urediće  se  uslovi  i postupci za izdavanje svjedočanstava o stručnoj osposobljenosti lica koja upravljaju plovnim objektima na unutrašnjim plovnim putevima, međusobno priznavanje svjedočanstava o sposobnosti za plovidbu plovnih objekata unutrašnje plovidbe, tehnička pravila za plovne objekte u unutrašnjoj plovidbi.</w:t>
            </w:r>
          </w:p>
        </w:tc>
      </w:tr>
      <w:tr w:rsidR="00383886" w:rsidRPr="00383886" w14:paraId="52E34DDF" w14:textId="77777777" w:rsidTr="00FD6B98">
        <w:tc>
          <w:tcPr>
            <w:tcW w:w="784" w:type="dxa"/>
          </w:tcPr>
          <w:p w14:paraId="60809325" w14:textId="77777777" w:rsidR="00383886" w:rsidRPr="00383886" w:rsidRDefault="00383886" w:rsidP="00FD6B98">
            <w:pPr>
              <w:spacing w:before="20" w:after="20"/>
              <w:rPr>
                <w:rFonts w:cs="Arial"/>
                <w:sz w:val="20"/>
              </w:rPr>
            </w:pPr>
            <w:r w:rsidRPr="00383886">
              <w:rPr>
                <w:rFonts w:cs="Arial"/>
                <w:sz w:val="20"/>
              </w:rPr>
              <w:t>3.</w:t>
            </w:r>
          </w:p>
        </w:tc>
        <w:tc>
          <w:tcPr>
            <w:tcW w:w="2237" w:type="dxa"/>
          </w:tcPr>
          <w:p w14:paraId="3F99DC2A" w14:textId="77777777" w:rsidR="00383886" w:rsidRPr="00383886" w:rsidRDefault="00383886" w:rsidP="00FD6B98">
            <w:pPr>
              <w:spacing w:before="20" w:after="20"/>
              <w:rPr>
                <w:rFonts w:cs="Arial"/>
                <w:iCs/>
                <w:sz w:val="20"/>
              </w:rPr>
            </w:pPr>
            <w:r w:rsidRPr="00383886">
              <w:rPr>
                <w:rFonts w:cs="Arial"/>
                <w:iCs/>
                <w:sz w:val="20"/>
              </w:rPr>
              <w:t>Usvojanje Zakona o zaštiti mora od zagađenja sa pomorskih objekata</w:t>
            </w:r>
          </w:p>
        </w:tc>
        <w:tc>
          <w:tcPr>
            <w:tcW w:w="2686" w:type="dxa"/>
          </w:tcPr>
          <w:p w14:paraId="0CA01C6A" w14:textId="77777777" w:rsidR="00383886" w:rsidRPr="00383886" w:rsidRDefault="00383886" w:rsidP="00FD6B98">
            <w:pPr>
              <w:spacing w:before="20" w:after="20"/>
              <w:rPr>
                <w:rFonts w:cs="Arial"/>
                <w:sz w:val="20"/>
              </w:rPr>
            </w:pPr>
            <w:r w:rsidRPr="00383886">
              <w:rPr>
                <w:rFonts w:cs="Arial"/>
                <w:sz w:val="20"/>
              </w:rPr>
              <w:t>Izvršen inspekcijski nadzor u 100% podnesenih prijava.</w:t>
            </w:r>
          </w:p>
          <w:p w14:paraId="756ECA39" w14:textId="77777777" w:rsidR="00383886" w:rsidRPr="00383886" w:rsidRDefault="00383886" w:rsidP="00FD6B98">
            <w:pPr>
              <w:spacing w:before="20" w:after="20"/>
              <w:rPr>
                <w:rFonts w:cs="Arial"/>
                <w:sz w:val="20"/>
              </w:rPr>
            </w:pPr>
            <w:r w:rsidRPr="00383886">
              <w:rPr>
                <w:rFonts w:cs="Arial"/>
                <w:sz w:val="20"/>
              </w:rPr>
              <w:t xml:space="preserve"> i za iste pokrenuti  prekršajni postupci . </w:t>
            </w:r>
          </w:p>
          <w:p w14:paraId="3650E3FE" w14:textId="77777777" w:rsidR="00383886" w:rsidRPr="00383886" w:rsidRDefault="00383886" w:rsidP="00FD6B98">
            <w:pPr>
              <w:spacing w:before="20" w:after="20"/>
              <w:rPr>
                <w:rFonts w:cs="Arial"/>
                <w:sz w:val="20"/>
              </w:rPr>
            </w:pPr>
          </w:p>
        </w:tc>
        <w:tc>
          <w:tcPr>
            <w:tcW w:w="1839" w:type="dxa"/>
          </w:tcPr>
          <w:p w14:paraId="584767B4" w14:textId="77777777" w:rsidR="00383886" w:rsidRPr="00383886" w:rsidRDefault="00383886" w:rsidP="00FD6B98">
            <w:pPr>
              <w:spacing w:before="20" w:after="20"/>
              <w:rPr>
                <w:rFonts w:cs="Arial"/>
                <w:sz w:val="20"/>
              </w:rPr>
            </w:pPr>
            <w:r w:rsidRPr="00383886">
              <w:rPr>
                <w:rFonts w:cs="Arial"/>
                <w:sz w:val="20"/>
              </w:rPr>
              <w:t>Ministarstvo kapitalnih investicija, Uprava pomorske sigurnosti i upravljanja lukama</w:t>
            </w:r>
          </w:p>
        </w:tc>
        <w:tc>
          <w:tcPr>
            <w:tcW w:w="1698" w:type="dxa"/>
          </w:tcPr>
          <w:p w14:paraId="46625BD4" w14:textId="77777777" w:rsidR="00383886" w:rsidRPr="00383886" w:rsidRDefault="00383886" w:rsidP="00FD6B98">
            <w:pPr>
              <w:spacing w:before="20" w:after="20"/>
              <w:rPr>
                <w:rFonts w:cs="Arial"/>
                <w:sz w:val="20"/>
              </w:rPr>
            </w:pPr>
            <w:r w:rsidRPr="00383886">
              <w:rPr>
                <w:rFonts w:cs="Arial"/>
                <w:sz w:val="20"/>
              </w:rPr>
              <w:t>Početak IV/Q 2021</w:t>
            </w:r>
          </w:p>
          <w:p w14:paraId="46699C06" w14:textId="77777777" w:rsidR="00383886" w:rsidRPr="00383886" w:rsidRDefault="00383886" w:rsidP="00FD6B98">
            <w:pPr>
              <w:spacing w:before="20" w:after="20"/>
              <w:rPr>
                <w:rFonts w:cs="Arial"/>
                <w:sz w:val="20"/>
              </w:rPr>
            </w:pPr>
            <w:r w:rsidRPr="00383886">
              <w:rPr>
                <w:rFonts w:cs="Arial"/>
                <w:sz w:val="20"/>
              </w:rPr>
              <w:t>Završetak IV/Q 2022</w:t>
            </w:r>
          </w:p>
        </w:tc>
        <w:tc>
          <w:tcPr>
            <w:tcW w:w="2087" w:type="dxa"/>
          </w:tcPr>
          <w:p w14:paraId="5C935B02" w14:textId="77777777" w:rsidR="00383886" w:rsidRPr="00383886" w:rsidRDefault="00383886" w:rsidP="00FD6B98">
            <w:pPr>
              <w:spacing w:before="20" w:after="20"/>
              <w:rPr>
                <w:rFonts w:cs="Arial"/>
                <w:sz w:val="20"/>
              </w:rPr>
            </w:pPr>
            <w:r w:rsidRPr="00383886">
              <w:rPr>
                <w:rFonts w:cs="Arial"/>
                <w:sz w:val="20"/>
              </w:rPr>
              <w:t>Redovni troškovi koji se planiraju Budžetom</w:t>
            </w:r>
          </w:p>
          <w:p w14:paraId="1C174AD9" w14:textId="77777777" w:rsidR="00383886" w:rsidRPr="00383886" w:rsidRDefault="00383886" w:rsidP="00FD6B98">
            <w:pPr>
              <w:spacing w:before="20" w:after="20"/>
              <w:rPr>
                <w:rFonts w:cs="Arial"/>
                <w:sz w:val="20"/>
              </w:rPr>
            </w:pPr>
          </w:p>
          <w:p w14:paraId="449F289E" w14:textId="77777777" w:rsidR="00383886" w:rsidRPr="00383886" w:rsidRDefault="00383886" w:rsidP="00FD6B98">
            <w:pPr>
              <w:spacing w:before="20" w:after="20"/>
              <w:rPr>
                <w:rFonts w:cs="Arial"/>
                <w:sz w:val="20"/>
              </w:rPr>
            </w:pPr>
            <w:r w:rsidRPr="00383886">
              <w:rPr>
                <w:rFonts w:cs="Arial"/>
                <w:sz w:val="20"/>
              </w:rPr>
              <w:t xml:space="preserve">U ovoj početnoj  fazi izrade Predloga zakona ne možemo dati preciznu informaciju kada je u </w:t>
            </w:r>
            <w:r w:rsidRPr="00383886">
              <w:rPr>
                <w:rFonts w:cs="Arial"/>
                <w:sz w:val="20"/>
              </w:rPr>
              <w:lastRenderedPageBreak/>
              <w:t>pitanju izrada RIA obrasca</w:t>
            </w:r>
          </w:p>
        </w:tc>
        <w:tc>
          <w:tcPr>
            <w:tcW w:w="1198" w:type="dxa"/>
          </w:tcPr>
          <w:p w14:paraId="28E621AC" w14:textId="77777777" w:rsidR="00383886" w:rsidRPr="00383886" w:rsidRDefault="00383886" w:rsidP="00FD6B98">
            <w:pPr>
              <w:spacing w:before="20" w:after="20"/>
              <w:rPr>
                <w:rFonts w:cs="Arial"/>
                <w:sz w:val="20"/>
              </w:rPr>
            </w:pPr>
            <w:r w:rsidRPr="00383886">
              <w:rPr>
                <w:rFonts w:cs="Arial"/>
                <w:sz w:val="20"/>
              </w:rPr>
              <w:lastRenderedPageBreak/>
              <w:t>Budzet CG</w:t>
            </w:r>
          </w:p>
        </w:tc>
        <w:tc>
          <w:tcPr>
            <w:tcW w:w="2411" w:type="dxa"/>
          </w:tcPr>
          <w:p w14:paraId="1FA68905" w14:textId="77777777" w:rsidR="00383886" w:rsidRPr="00383886" w:rsidRDefault="00383886" w:rsidP="00FD6B98">
            <w:pPr>
              <w:spacing w:before="20" w:after="20"/>
              <w:jc w:val="both"/>
              <w:rPr>
                <w:rFonts w:cs="Arial"/>
                <w:sz w:val="20"/>
              </w:rPr>
            </w:pPr>
            <w:r w:rsidRPr="00383886">
              <w:rPr>
                <w:rFonts w:cs="Arial"/>
                <w:sz w:val="20"/>
              </w:rPr>
              <w:t xml:space="preserve">Zakonom o zaštiti mora od zagađenja sa pomorskih objekata unaprijediće se oblast zaštite mora stvaranjem adekvatnih preventivnih  uslova i jačanjem kaznene politike prema zagađivaču - pomorskom objektu, koji </w:t>
            </w:r>
            <w:r w:rsidRPr="00383886">
              <w:rPr>
                <w:rFonts w:cs="Arial"/>
                <w:sz w:val="20"/>
              </w:rPr>
              <w:lastRenderedPageBreak/>
              <w:t>uključuje plovne objekte i instalacije za proizvodnju ugljovodonika, usaglašavanjem sa  EU legislativom  koja se odnosi na zagađenje mora sa brodova i uvođenje sankcija za prekršaje, recikliranje brodova, zabrani organskih jedinjenja na brodovima, uvođenju zahtjeva za dvostrukom oplatom ili ekvivalentnih projektnih zahtjeva za tankere za ulje s jednostrukom oplatom.</w:t>
            </w:r>
          </w:p>
        </w:tc>
      </w:tr>
    </w:tbl>
    <w:tbl>
      <w:tblPr>
        <w:tblStyle w:val="TableGrid41"/>
        <w:tblW w:w="14940" w:type="dxa"/>
        <w:tblInd w:w="-905" w:type="dxa"/>
        <w:tblLook w:val="04A0" w:firstRow="1" w:lastRow="0" w:firstColumn="1" w:lastColumn="0" w:noHBand="0" w:noVBand="1"/>
      </w:tblPr>
      <w:tblGrid>
        <w:gridCol w:w="784"/>
        <w:gridCol w:w="2237"/>
        <w:gridCol w:w="2686"/>
        <w:gridCol w:w="1839"/>
        <w:gridCol w:w="1698"/>
        <w:gridCol w:w="2096"/>
        <w:gridCol w:w="1170"/>
        <w:gridCol w:w="2430"/>
      </w:tblGrid>
      <w:tr w:rsidR="00383886" w:rsidRPr="00383886" w14:paraId="047A91CF" w14:textId="77777777" w:rsidTr="00FD6B98">
        <w:tc>
          <w:tcPr>
            <w:tcW w:w="784" w:type="dxa"/>
          </w:tcPr>
          <w:p w14:paraId="752F41AB" w14:textId="77777777" w:rsidR="00383886" w:rsidRPr="00383886" w:rsidRDefault="00383886" w:rsidP="00FD6B98">
            <w:pPr>
              <w:spacing w:before="20" w:after="20"/>
              <w:jc w:val="both"/>
              <w:rPr>
                <w:rFonts w:cs="Arial"/>
                <w:sz w:val="20"/>
                <w:szCs w:val="20"/>
              </w:rPr>
            </w:pPr>
            <w:r w:rsidRPr="00383886">
              <w:rPr>
                <w:rFonts w:cs="Arial"/>
                <w:sz w:val="20"/>
                <w:szCs w:val="20"/>
              </w:rPr>
              <w:t>4.</w:t>
            </w:r>
          </w:p>
        </w:tc>
        <w:tc>
          <w:tcPr>
            <w:tcW w:w="2237" w:type="dxa"/>
          </w:tcPr>
          <w:p w14:paraId="30F73F46" w14:textId="77777777" w:rsidR="00383886" w:rsidRPr="00383886" w:rsidRDefault="00383886" w:rsidP="00FD6B98">
            <w:pPr>
              <w:spacing w:before="20" w:after="20"/>
              <w:jc w:val="both"/>
              <w:rPr>
                <w:rFonts w:cs="Arial"/>
                <w:iCs/>
                <w:sz w:val="20"/>
                <w:szCs w:val="20"/>
              </w:rPr>
            </w:pPr>
            <w:r w:rsidRPr="00383886">
              <w:rPr>
                <w:rFonts w:cs="Arial"/>
                <w:iCs/>
                <w:sz w:val="20"/>
                <w:szCs w:val="20"/>
              </w:rPr>
              <w:t>Godišnji izvještaj o „Izgradnja i rekonstrukcija mreže državnih puteva“</w:t>
            </w:r>
          </w:p>
        </w:tc>
        <w:tc>
          <w:tcPr>
            <w:tcW w:w="2686" w:type="dxa"/>
          </w:tcPr>
          <w:p w14:paraId="1843278A" w14:textId="77777777" w:rsidR="00383886" w:rsidRPr="00383886" w:rsidRDefault="00383886" w:rsidP="00FD6B98">
            <w:pPr>
              <w:spacing w:before="20" w:after="20"/>
              <w:jc w:val="both"/>
              <w:rPr>
                <w:rFonts w:cs="Arial"/>
                <w:iCs/>
                <w:sz w:val="20"/>
                <w:szCs w:val="20"/>
              </w:rPr>
            </w:pPr>
            <w:r w:rsidRPr="00383886">
              <w:rPr>
                <w:rFonts w:cs="Arial"/>
                <w:iCs/>
                <w:sz w:val="20"/>
                <w:szCs w:val="20"/>
              </w:rPr>
              <w:t xml:space="preserve">Usvajen plan za tekuću godinu sa izvještajem o realizaciji za prethodnu godinu </w:t>
            </w:r>
          </w:p>
        </w:tc>
        <w:tc>
          <w:tcPr>
            <w:tcW w:w="1839" w:type="dxa"/>
          </w:tcPr>
          <w:p w14:paraId="63509B11" w14:textId="77777777" w:rsidR="00383886" w:rsidRPr="00383886" w:rsidRDefault="00383886" w:rsidP="00FD6B98">
            <w:pPr>
              <w:spacing w:before="20" w:after="20"/>
              <w:jc w:val="both"/>
              <w:rPr>
                <w:rFonts w:cs="Arial"/>
                <w:iCs/>
                <w:sz w:val="20"/>
                <w:szCs w:val="20"/>
              </w:rPr>
            </w:pPr>
            <w:r w:rsidRPr="00383886">
              <w:rPr>
                <w:rFonts w:cs="Arial"/>
                <w:iCs/>
                <w:sz w:val="20"/>
                <w:szCs w:val="20"/>
              </w:rPr>
              <w:t>Ministarstvo kapitalnih investicija, Uprava za saobraćaj</w:t>
            </w:r>
          </w:p>
          <w:p w14:paraId="2659D563" w14:textId="77777777" w:rsidR="00383886" w:rsidRPr="00383886" w:rsidRDefault="00383886" w:rsidP="00FD6B98">
            <w:pPr>
              <w:spacing w:before="20" w:after="20"/>
              <w:jc w:val="both"/>
              <w:rPr>
                <w:rFonts w:cs="Arial"/>
                <w:iCs/>
                <w:sz w:val="20"/>
                <w:szCs w:val="20"/>
              </w:rPr>
            </w:pPr>
            <w:r w:rsidRPr="00383886">
              <w:rPr>
                <w:rFonts w:cs="Arial"/>
                <w:iCs/>
                <w:sz w:val="20"/>
                <w:szCs w:val="20"/>
              </w:rPr>
              <w:t>MKI</w:t>
            </w:r>
          </w:p>
          <w:p w14:paraId="5F5BF441" w14:textId="77777777" w:rsidR="00383886" w:rsidRPr="00383886" w:rsidRDefault="00383886" w:rsidP="00FD6B98">
            <w:pPr>
              <w:spacing w:before="20" w:after="20"/>
              <w:jc w:val="both"/>
              <w:rPr>
                <w:rFonts w:cs="Arial"/>
                <w:sz w:val="20"/>
                <w:szCs w:val="20"/>
              </w:rPr>
            </w:pPr>
            <w:r w:rsidRPr="00383886">
              <w:rPr>
                <w:rFonts w:cs="Arial"/>
                <w:sz w:val="20"/>
                <w:szCs w:val="20"/>
              </w:rPr>
              <w:t>MKI</w:t>
            </w:r>
          </w:p>
          <w:p w14:paraId="65B651C7" w14:textId="77777777" w:rsidR="00383886" w:rsidRPr="00383886" w:rsidRDefault="00383886" w:rsidP="00FD6B98">
            <w:pPr>
              <w:spacing w:before="20" w:after="20"/>
              <w:jc w:val="both"/>
              <w:rPr>
                <w:rFonts w:cs="Arial"/>
                <w:iCs/>
                <w:sz w:val="20"/>
                <w:szCs w:val="20"/>
              </w:rPr>
            </w:pPr>
          </w:p>
          <w:p w14:paraId="1E6C3C47" w14:textId="77777777" w:rsidR="00383886" w:rsidRPr="00383886" w:rsidRDefault="00383886" w:rsidP="00FD6B98">
            <w:pPr>
              <w:spacing w:before="20" w:after="20"/>
              <w:jc w:val="both"/>
              <w:rPr>
                <w:rFonts w:cs="Arial"/>
                <w:iCs/>
                <w:sz w:val="20"/>
                <w:szCs w:val="20"/>
              </w:rPr>
            </w:pPr>
          </w:p>
          <w:p w14:paraId="3951225F" w14:textId="77777777" w:rsidR="00383886" w:rsidRPr="00383886" w:rsidRDefault="00383886" w:rsidP="00FD6B98">
            <w:pPr>
              <w:spacing w:before="20" w:after="20"/>
              <w:jc w:val="both"/>
              <w:rPr>
                <w:rFonts w:cs="Arial"/>
                <w:iCs/>
                <w:sz w:val="20"/>
                <w:szCs w:val="20"/>
              </w:rPr>
            </w:pPr>
          </w:p>
        </w:tc>
        <w:tc>
          <w:tcPr>
            <w:tcW w:w="1698" w:type="dxa"/>
          </w:tcPr>
          <w:p w14:paraId="78A06149" w14:textId="77777777" w:rsidR="00383886" w:rsidRPr="00383886" w:rsidRDefault="00383886" w:rsidP="00FD6B98">
            <w:pPr>
              <w:spacing w:before="20" w:after="20"/>
              <w:jc w:val="both"/>
              <w:rPr>
                <w:rFonts w:cs="Arial"/>
                <w:iCs/>
                <w:sz w:val="20"/>
                <w:szCs w:val="20"/>
              </w:rPr>
            </w:pPr>
            <w:r w:rsidRPr="00383886">
              <w:rPr>
                <w:rFonts w:cs="Arial"/>
                <w:iCs/>
                <w:sz w:val="20"/>
                <w:szCs w:val="20"/>
              </w:rPr>
              <w:t xml:space="preserve">IQ2022 </w:t>
            </w:r>
          </w:p>
          <w:p w14:paraId="3BC1385D" w14:textId="77777777" w:rsidR="00383886" w:rsidRPr="00383886" w:rsidRDefault="00383886" w:rsidP="00FD6B98">
            <w:pPr>
              <w:spacing w:before="20" w:after="20"/>
              <w:jc w:val="both"/>
              <w:rPr>
                <w:rFonts w:cs="Arial"/>
                <w:iCs/>
                <w:sz w:val="20"/>
                <w:szCs w:val="20"/>
              </w:rPr>
            </w:pPr>
          </w:p>
          <w:p w14:paraId="7E9C1196" w14:textId="77777777" w:rsidR="00383886" w:rsidRPr="00383886" w:rsidRDefault="00383886" w:rsidP="00FD6B98">
            <w:pPr>
              <w:spacing w:before="20" w:after="20"/>
              <w:jc w:val="both"/>
              <w:rPr>
                <w:rFonts w:cs="Arial"/>
                <w:iCs/>
                <w:sz w:val="20"/>
                <w:szCs w:val="20"/>
              </w:rPr>
            </w:pPr>
          </w:p>
          <w:p w14:paraId="445BA479" w14:textId="77777777" w:rsidR="00383886" w:rsidRPr="00383886" w:rsidRDefault="00383886" w:rsidP="00FD6B98">
            <w:pPr>
              <w:spacing w:before="20" w:after="20"/>
              <w:jc w:val="both"/>
              <w:rPr>
                <w:rFonts w:cs="Arial"/>
                <w:iCs/>
                <w:sz w:val="20"/>
                <w:szCs w:val="20"/>
              </w:rPr>
            </w:pPr>
          </w:p>
          <w:p w14:paraId="0AC18EE7" w14:textId="77777777" w:rsidR="00383886" w:rsidRPr="00383886" w:rsidRDefault="00383886" w:rsidP="00FD6B98">
            <w:pPr>
              <w:spacing w:before="20" w:after="20"/>
              <w:jc w:val="both"/>
              <w:rPr>
                <w:rFonts w:cs="Arial"/>
                <w:iCs/>
                <w:sz w:val="20"/>
                <w:szCs w:val="20"/>
              </w:rPr>
            </w:pPr>
          </w:p>
          <w:p w14:paraId="3E93D855" w14:textId="77777777" w:rsidR="00383886" w:rsidRPr="00383886" w:rsidRDefault="00383886" w:rsidP="00FD6B98">
            <w:pPr>
              <w:spacing w:before="20" w:after="20"/>
              <w:jc w:val="both"/>
              <w:rPr>
                <w:rFonts w:cs="Arial"/>
                <w:iCs/>
                <w:sz w:val="20"/>
                <w:szCs w:val="20"/>
              </w:rPr>
            </w:pPr>
          </w:p>
          <w:p w14:paraId="48DF195C" w14:textId="77777777" w:rsidR="00383886" w:rsidRPr="00383886" w:rsidRDefault="00383886" w:rsidP="00FD6B98">
            <w:pPr>
              <w:spacing w:before="20" w:after="20"/>
              <w:jc w:val="both"/>
              <w:rPr>
                <w:rFonts w:cs="Arial"/>
                <w:iCs/>
                <w:sz w:val="20"/>
                <w:szCs w:val="20"/>
              </w:rPr>
            </w:pPr>
          </w:p>
          <w:p w14:paraId="31DCA827" w14:textId="77777777" w:rsidR="00383886" w:rsidRPr="00383886" w:rsidRDefault="00383886" w:rsidP="00FD6B98">
            <w:pPr>
              <w:spacing w:before="20" w:after="20"/>
              <w:jc w:val="both"/>
              <w:rPr>
                <w:rFonts w:cs="Arial"/>
                <w:iCs/>
                <w:sz w:val="20"/>
                <w:szCs w:val="20"/>
              </w:rPr>
            </w:pPr>
          </w:p>
        </w:tc>
        <w:tc>
          <w:tcPr>
            <w:tcW w:w="2096" w:type="dxa"/>
          </w:tcPr>
          <w:p w14:paraId="792BAFD0" w14:textId="77777777" w:rsidR="00383886" w:rsidRPr="00383886" w:rsidRDefault="00383886" w:rsidP="00FD6B98">
            <w:pPr>
              <w:spacing w:before="20" w:after="20"/>
              <w:jc w:val="both"/>
              <w:rPr>
                <w:rFonts w:cs="Arial"/>
                <w:iCs/>
                <w:sz w:val="20"/>
                <w:szCs w:val="20"/>
              </w:rPr>
            </w:pPr>
            <w:r w:rsidRPr="00383886">
              <w:rPr>
                <w:rFonts w:cs="Arial"/>
                <w:iCs/>
                <w:sz w:val="20"/>
                <w:szCs w:val="20"/>
              </w:rPr>
              <w:t>-</w:t>
            </w:r>
          </w:p>
        </w:tc>
        <w:tc>
          <w:tcPr>
            <w:tcW w:w="1170" w:type="dxa"/>
          </w:tcPr>
          <w:p w14:paraId="1C04C1FD" w14:textId="77777777" w:rsidR="00383886" w:rsidRPr="00383886" w:rsidRDefault="00383886" w:rsidP="00FD6B98">
            <w:pPr>
              <w:spacing w:before="20" w:after="20"/>
              <w:jc w:val="both"/>
              <w:rPr>
                <w:rFonts w:cs="Arial"/>
                <w:iCs/>
                <w:sz w:val="20"/>
                <w:szCs w:val="20"/>
              </w:rPr>
            </w:pPr>
            <w:r w:rsidRPr="00383886">
              <w:rPr>
                <w:rFonts w:cs="Arial"/>
                <w:iCs/>
                <w:sz w:val="20"/>
                <w:szCs w:val="20"/>
              </w:rPr>
              <w:t>-</w:t>
            </w:r>
          </w:p>
        </w:tc>
        <w:tc>
          <w:tcPr>
            <w:tcW w:w="2430" w:type="dxa"/>
          </w:tcPr>
          <w:p w14:paraId="7D92D176" w14:textId="77777777" w:rsidR="00383886" w:rsidRPr="00383886" w:rsidRDefault="00383886" w:rsidP="00FD6B98">
            <w:pPr>
              <w:spacing w:before="20" w:after="20"/>
              <w:jc w:val="both"/>
              <w:rPr>
                <w:rFonts w:cs="Arial"/>
                <w:iCs/>
                <w:sz w:val="20"/>
                <w:szCs w:val="20"/>
              </w:rPr>
            </w:pPr>
            <w:r w:rsidRPr="00383886">
              <w:rPr>
                <w:rFonts w:cs="Arial"/>
                <w:iCs/>
                <w:sz w:val="20"/>
                <w:szCs w:val="20"/>
              </w:rPr>
              <w:t>Nastavak unapređenja mreže državnih puteva u skladu sa zaključenim ugovorima i realnim potrebama, te preporukama iz strateških dokumenata, u cilju unapređenja kako regionalne povezanosti, tako povezanosti pojedinih regiona Crne Gore.</w:t>
            </w:r>
          </w:p>
        </w:tc>
      </w:tr>
      <w:tr w:rsidR="00383886" w:rsidRPr="00383886" w14:paraId="37AF62DF" w14:textId="77777777" w:rsidTr="00FD6B98">
        <w:trPr>
          <w:trHeight w:val="3590"/>
        </w:trPr>
        <w:tc>
          <w:tcPr>
            <w:tcW w:w="784" w:type="dxa"/>
          </w:tcPr>
          <w:p w14:paraId="6D386213" w14:textId="77777777" w:rsidR="00383886" w:rsidRPr="00383886" w:rsidRDefault="00383886" w:rsidP="00FD6B98">
            <w:pPr>
              <w:spacing w:before="20" w:after="20"/>
              <w:jc w:val="both"/>
              <w:rPr>
                <w:rFonts w:cs="Arial"/>
                <w:sz w:val="20"/>
                <w:szCs w:val="20"/>
              </w:rPr>
            </w:pPr>
            <w:r w:rsidRPr="00383886">
              <w:rPr>
                <w:rFonts w:cs="Arial"/>
                <w:sz w:val="20"/>
                <w:szCs w:val="20"/>
              </w:rPr>
              <w:t>5.</w:t>
            </w:r>
          </w:p>
        </w:tc>
        <w:tc>
          <w:tcPr>
            <w:tcW w:w="2237" w:type="dxa"/>
          </w:tcPr>
          <w:p w14:paraId="271775BB" w14:textId="77777777" w:rsidR="00383886" w:rsidRPr="00383886" w:rsidRDefault="00383886" w:rsidP="00FD6B98">
            <w:pPr>
              <w:spacing w:before="20" w:after="20"/>
              <w:jc w:val="both"/>
              <w:rPr>
                <w:rFonts w:cs="Arial"/>
                <w:iCs/>
                <w:sz w:val="20"/>
                <w:szCs w:val="20"/>
              </w:rPr>
            </w:pPr>
            <w:r w:rsidRPr="00383886">
              <w:rPr>
                <w:rFonts w:cs="Arial"/>
                <w:iCs/>
                <w:sz w:val="20"/>
                <w:szCs w:val="20"/>
              </w:rPr>
              <w:t>Dostavljanje informacije o sprovedenim aktivnostima na jačanju konkurentnosti u oblasti saobraćaja</w:t>
            </w:r>
          </w:p>
        </w:tc>
        <w:tc>
          <w:tcPr>
            <w:tcW w:w="2686" w:type="dxa"/>
          </w:tcPr>
          <w:p w14:paraId="4A0C401B" w14:textId="77777777" w:rsidR="00383886" w:rsidRPr="00383886" w:rsidRDefault="00383886" w:rsidP="00FD6B98">
            <w:pPr>
              <w:spacing w:before="20" w:after="20"/>
              <w:jc w:val="both"/>
              <w:rPr>
                <w:rFonts w:cs="Arial"/>
                <w:iCs/>
                <w:sz w:val="20"/>
                <w:szCs w:val="20"/>
              </w:rPr>
            </w:pPr>
            <w:r w:rsidRPr="00383886">
              <w:rPr>
                <w:rFonts w:cs="Arial"/>
                <w:iCs/>
                <w:sz w:val="20"/>
                <w:szCs w:val="20"/>
              </w:rPr>
              <w:t>Dostavljena Analiza/izvještaj</w:t>
            </w:r>
          </w:p>
          <w:p w14:paraId="530415FD" w14:textId="77777777" w:rsidR="00383886" w:rsidRPr="00383886" w:rsidRDefault="00383886" w:rsidP="00FD6B98">
            <w:pPr>
              <w:spacing w:before="20" w:after="20"/>
              <w:jc w:val="both"/>
              <w:rPr>
                <w:rFonts w:cs="Arial"/>
                <w:iCs/>
                <w:sz w:val="20"/>
                <w:szCs w:val="20"/>
              </w:rPr>
            </w:pPr>
          </w:p>
        </w:tc>
        <w:tc>
          <w:tcPr>
            <w:tcW w:w="1839" w:type="dxa"/>
          </w:tcPr>
          <w:p w14:paraId="5ECC5E01" w14:textId="77777777" w:rsidR="00383886" w:rsidRPr="00383886" w:rsidRDefault="00383886" w:rsidP="00FD6B98">
            <w:pPr>
              <w:spacing w:before="20" w:after="20"/>
              <w:jc w:val="both"/>
              <w:rPr>
                <w:rFonts w:cs="Arial"/>
                <w:iCs/>
                <w:sz w:val="20"/>
                <w:szCs w:val="20"/>
              </w:rPr>
            </w:pPr>
          </w:p>
          <w:p w14:paraId="613F370F" w14:textId="77777777" w:rsidR="00383886" w:rsidRPr="00383886" w:rsidRDefault="00383886" w:rsidP="00FD6B98">
            <w:pPr>
              <w:spacing w:before="20" w:after="20"/>
              <w:jc w:val="both"/>
              <w:rPr>
                <w:rFonts w:cs="Arial"/>
                <w:iCs/>
                <w:sz w:val="20"/>
                <w:szCs w:val="20"/>
              </w:rPr>
            </w:pPr>
            <w:r w:rsidRPr="00383886">
              <w:rPr>
                <w:rFonts w:cs="Arial"/>
                <w:iCs/>
                <w:sz w:val="20"/>
                <w:szCs w:val="20"/>
              </w:rPr>
              <w:t>Ministarstvo kapitalnih investicija,</w:t>
            </w:r>
          </w:p>
        </w:tc>
        <w:tc>
          <w:tcPr>
            <w:tcW w:w="1698" w:type="dxa"/>
          </w:tcPr>
          <w:p w14:paraId="51302D77" w14:textId="77777777" w:rsidR="00383886" w:rsidRPr="00383886" w:rsidRDefault="00383886" w:rsidP="00FD6B98">
            <w:pPr>
              <w:spacing w:before="20" w:after="20"/>
              <w:jc w:val="both"/>
              <w:rPr>
                <w:rFonts w:cs="Arial"/>
                <w:iCs/>
                <w:sz w:val="20"/>
                <w:szCs w:val="20"/>
              </w:rPr>
            </w:pPr>
          </w:p>
          <w:p w14:paraId="404D011A" w14:textId="77777777" w:rsidR="00383886" w:rsidRPr="00383886" w:rsidRDefault="00383886" w:rsidP="00FD6B98">
            <w:pPr>
              <w:spacing w:before="20" w:after="20"/>
              <w:jc w:val="both"/>
              <w:rPr>
                <w:rFonts w:cs="Arial"/>
                <w:iCs/>
                <w:sz w:val="20"/>
                <w:szCs w:val="20"/>
              </w:rPr>
            </w:pPr>
          </w:p>
          <w:p w14:paraId="6530183C" w14:textId="77777777" w:rsidR="00383886" w:rsidRPr="00383886" w:rsidRDefault="00383886" w:rsidP="00FD6B98">
            <w:pPr>
              <w:spacing w:before="20" w:after="20"/>
              <w:jc w:val="both"/>
              <w:rPr>
                <w:rFonts w:cs="Arial"/>
                <w:iCs/>
                <w:sz w:val="20"/>
                <w:szCs w:val="20"/>
              </w:rPr>
            </w:pPr>
            <w:r w:rsidRPr="00383886">
              <w:rPr>
                <w:rFonts w:cs="Arial"/>
                <w:iCs/>
                <w:sz w:val="20"/>
                <w:szCs w:val="20"/>
              </w:rPr>
              <w:t>IVQ 2022</w:t>
            </w:r>
          </w:p>
        </w:tc>
        <w:tc>
          <w:tcPr>
            <w:tcW w:w="2096" w:type="dxa"/>
          </w:tcPr>
          <w:p w14:paraId="011EB52E" w14:textId="77777777" w:rsidR="00383886" w:rsidRPr="00383886" w:rsidRDefault="00383886" w:rsidP="00FD6B98">
            <w:pPr>
              <w:spacing w:before="20" w:after="20"/>
              <w:jc w:val="both"/>
              <w:rPr>
                <w:rFonts w:cs="Arial"/>
                <w:iCs/>
                <w:sz w:val="20"/>
                <w:szCs w:val="20"/>
              </w:rPr>
            </w:pPr>
            <w:r w:rsidRPr="00383886">
              <w:rPr>
                <w:rFonts w:cs="Arial"/>
                <w:iCs/>
                <w:sz w:val="20"/>
                <w:szCs w:val="20"/>
              </w:rPr>
              <w:t>-</w:t>
            </w:r>
          </w:p>
        </w:tc>
        <w:tc>
          <w:tcPr>
            <w:tcW w:w="1170" w:type="dxa"/>
          </w:tcPr>
          <w:p w14:paraId="12195119" w14:textId="77777777" w:rsidR="00383886" w:rsidRPr="00383886" w:rsidRDefault="00383886" w:rsidP="00FD6B98">
            <w:pPr>
              <w:spacing w:before="20" w:after="20"/>
              <w:jc w:val="both"/>
              <w:rPr>
                <w:rFonts w:cs="Arial"/>
                <w:iCs/>
                <w:sz w:val="20"/>
                <w:szCs w:val="20"/>
              </w:rPr>
            </w:pPr>
            <w:r w:rsidRPr="00383886">
              <w:rPr>
                <w:rFonts w:cs="Arial"/>
                <w:iCs/>
                <w:sz w:val="20"/>
                <w:szCs w:val="20"/>
              </w:rPr>
              <w:t>-</w:t>
            </w:r>
          </w:p>
        </w:tc>
        <w:tc>
          <w:tcPr>
            <w:tcW w:w="2430" w:type="dxa"/>
          </w:tcPr>
          <w:p w14:paraId="7048E613" w14:textId="77777777" w:rsidR="00383886" w:rsidRPr="00383886" w:rsidRDefault="00383886" w:rsidP="00FD6B98">
            <w:pPr>
              <w:spacing w:before="20" w:after="20"/>
              <w:jc w:val="both"/>
              <w:rPr>
                <w:rFonts w:cs="Arial"/>
                <w:iCs/>
                <w:sz w:val="20"/>
                <w:szCs w:val="20"/>
                <w:highlight w:val="yellow"/>
              </w:rPr>
            </w:pPr>
            <w:r w:rsidRPr="00383886">
              <w:rPr>
                <w:rFonts w:cs="Arial"/>
                <w:iCs/>
                <w:sz w:val="20"/>
                <w:szCs w:val="20"/>
              </w:rPr>
              <w:t>Liberalizacija tržišta je jedan od osnovnh principa koji mora biti zadovoljen na putu pristupanja EU, a u cilju omogućavanja što veće primjene tržišnih mehanizama poslovanja u smanjenje državnih intervencija, u tom cilju sagledavaju se mogućnosti za uvođenje privatnog avio operetera. 2022 godine će biti pripremne aktivnosti.</w:t>
            </w:r>
          </w:p>
        </w:tc>
      </w:tr>
    </w:tbl>
    <w:tbl>
      <w:tblPr>
        <w:tblW w:w="14940" w:type="dxa"/>
        <w:tblInd w:w="-910" w:type="dxa"/>
        <w:tblCellMar>
          <w:left w:w="0" w:type="dxa"/>
          <w:right w:w="0" w:type="dxa"/>
        </w:tblCellMar>
        <w:tblLook w:val="04A0" w:firstRow="1" w:lastRow="0" w:firstColumn="1" w:lastColumn="0" w:noHBand="0" w:noVBand="1"/>
      </w:tblPr>
      <w:tblGrid>
        <w:gridCol w:w="776"/>
        <w:gridCol w:w="2248"/>
        <w:gridCol w:w="2700"/>
        <w:gridCol w:w="1890"/>
        <w:gridCol w:w="1710"/>
        <w:gridCol w:w="2016"/>
        <w:gridCol w:w="1170"/>
        <w:gridCol w:w="2430"/>
      </w:tblGrid>
      <w:tr w:rsidR="00383886" w:rsidRPr="00383886" w14:paraId="511CC13E" w14:textId="77777777" w:rsidTr="00FD6B98">
        <w:trPr>
          <w:trHeight w:val="3012"/>
        </w:trPr>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70DFE6" w14:textId="77777777" w:rsidR="00383886" w:rsidRPr="00383886" w:rsidRDefault="00383886" w:rsidP="00FD6B98">
            <w:pPr>
              <w:spacing w:before="20" w:after="20"/>
              <w:rPr>
                <w:rFonts w:ascii="Arial Narrow" w:hAnsi="Arial Narrow" w:cs="Arial"/>
                <w:sz w:val="20"/>
                <w:szCs w:val="20"/>
              </w:rPr>
            </w:pPr>
            <w:r w:rsidRPr="00383886">
              <w:rPr>
                <w:rFonts w:ascii="Arial Narrow" w:hAnsi="Arial Narrow" w:cs="Arial"/>
                <w:sz w:val="20"/>
                <w:szCs w:val="20"/>
              </w:rPr>
              <w:lastRenderedPageBreak/>
              <w:t>6.</w:t>
            </w:r>
          </w:p>
        </w:tc>
        <w:tc>
          <w:tcPr>
            <w:tcW w:w="2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4A610F" w14:textId="77777777" w:rsidR="00383886" w:rsidRPr="00383886" w:rsidRDefault="00383886" w:rsidP="00FD6B98">
            <w:pPr>
              <w:spacing w:before="20" w:after="20"/>
              <w:rPr>
                <w:rFonts w:ascii="Arial Narrow" w:hAnsi="Arial Narrow" w:cs="Arial"/>
                <w:sz w:val="20"/>
                <w:szCs w:val="20"/>
              </w:rPr>
            </w:pPr>
            <w:r w:rsidRPr="00383886">
              <w:rPr>
                <w:rFonts w:ascii="Arial Narrow" w:hAnsi="Arial Narrow" w:cs="Arial"/>
                <w:sz w:val="20"/>
                <w:szCs w:val="20"/>
              </w:rPr>
              <w:t>Reforma međugradskog prevoza putnika</w:t>
            </w: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F7A4281" w14:textId="77777777" w:rsidR="00383886" w:rsidRPr="00383886" w:rsidRDefault="00383886" w:rsidP="00FD6B98">
            <w:pPr>
              <w:spacing w:before="20" w:after="20"/>
              <w:rPr>
                <w:rFonts w:ascii="Arial Narrow" w:hAnsi="Arial Narrow" w:cs="Arial"/>
                <w:sz w:val="20"/>
                <w:szCs w:val="20"/>
              </w:rPr>
            </w:pPr>
            <w:r w:rsidRPr="00383886">
              <w:rPr>
                <w:rFonts w:ascii="Arial Narrow" w:hAnsi="Arial Narrow" w:cs="Arial"/>
                <w:sz w:val="20"/>
                <w:szCs w:val="20"/>
              </w:rPr>
              <w:t>Pripremljena Studija plan polazaka u međugradskom prevozu</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5648B2" w14:textId="77777777" w:rsidR="00383886" w:rsidRPr="00383886" w:rsidRDefault="00383886" w:rsidP="00FD6B98">
            <w:pPr>
              <w:spacing w:before="20" w:after="20"/>
              <w:rPr>
                <w:rFonts w:ascii="Arial Narrow" w:hAnsi="Arial Narrow" w:cs="Arial"/>
                <w:sz w:val="20"/>
                <w:szCs w:val="20"/>
              </w:rPr>
            </w:pPr>
            <w:r w:rsidRPr="00383886">
              <w:rPr>
                <w:rFonts w:ascii="Arial Narrow" w:hAnsi="Arial Narrow" w:cs="Arial"/>
                <w:sz w:val="20"/>
                <w:szCs w:val="20"/>
              </w:rPr>
              <w:t>MKI</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FBBD7" w14:textId="77777777" w:rsidR="00383886" w:rsidRPr="00383886" w:rsidRDefault="00383886" w:rsidP="00FD6B98">
            <w:pPr>
              <w:spacing w:before="20" w:after="20"/>
              <w:rPr>
                <w:rFonts w:ascii="Arial Narrow" w:hAnsi="Arial Narrow" w:cs="Arial"/>
                <w:sz w:val="20"/>
                <w:szCs w:val="20"/>
              </w:rPr>
            </w:pPr>
            <w:r w:rsidRPr="00383886">
              <w:rPr>
                <w:rFonts w:ascii="Arial Narrow" w:hAnsi="Arial Narrow" w:cs="Arial"/>
                <w:sz w:val="20"/>
                <w:szCs w:val="20"/>
              </w:rPr>
              <w:t>II/Q -IV/Q 2022</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60596" w14:textId="77777777" w:rsidR="00383886" w:rsidRPr="00383886" w:rsidRDefault="00383886" w:rsidP="00FD6B98">
            <w:pPr>
              <w:spacing w:before="20" w:after="20" w:line="252" w:lineRule="auto"/>
              <w:rPr>
                <w:rFonts w:ascii="Arial Narrow" w:hAnsi="Arial Narrow" w:cs="Arial"/>
                <w:sz w:val="20"/>
                <w:szCs w:val="20"/>
              </w:rPr>
            </w:pPr>
            <w:r w:rsidRPr="00383886">
              <w:rPr>
                <w:rFonts w:ascii="Arial Narrow" w:hAnsi="Arial Narrow" w:cs="Arial"/>
                <w:sz w:val="20"/>
                <w:szCs w:val="20"/>
              </w:rPr>
              <w:t>45000 €</w:t>
            </w:r>
          </w:p>
          <w:p w14:paraId="54514D91" w14:textId="77777777" w:rsidR="00383886" w:rsidRPr="00383886" w:rsidRDefault="00383886" w:rsidP="00FD6B98">
            <w:pPr>
              <w:spacing w:before="20" w:after="20" w:line="240" w:lineRule="auto"/>
              <w:rPr>
                <w:rFonts w:ascii="Arial Narrow" w:hAnsi="Arial Narrow" w:cs="Arial"/>
                <w:sz w:val="20"/>
                <w:szCs w:val="20"/>
              </w:rPr>
            </w:pPr>
          </w:p>
          <w:p w14:paraId="4E199A1A" w14:textId="77777777" w:rsidR="00383886" w:rsidRPr="00383886" w:rsidRDefault="00383886" w:rsidP="00FD6B98">
            <w:pPr>
              <w:spacing w:before="20" w:after="20" w:line="240" w:lineRule="auto"/>
              <w:rPr>
                <w:rFonts w:ascii="Arial Narrow" w:hAnsi="Arial Narrow" w:cs="Arial"/>
                <w:sz w:val="20"/>
                <w:szCs w:val="20"/>
              </w:rPr>
            </w:pPr>
            <w:r w:rsidRPr="00383886">
              <w:rPr>
                <w:rFonts w:ascii="Arial Narrow" w:hAnsi="Arial Narrow" w:cs="Arial"/>
                <w:sz w:val="20"/>
                <w:szCs w:val="20"/>
              </w:rPr>
              <w:t>RIA nije potrebna</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9BCE6" w14:textId="77777777" w:rsidR="00383886" w:rsidRPr="00383886" w:rsidRDefault="00383886" w:rsidP="00FD6B98">
            <w:pPr>
              <w:spacing w:before="20" w:after="20"/>
              <w:rPr>
                <w:rFonts w:ascii="Arial Narrow" w:hAnsi="Arial Narrow" w:cs="Arial"/>
                <w:sz w:val="20"/>
                <w:szCs w:val="20"/>
              </w:rPr>
            </w:pPr>
            <w:r w:rsidRPr="00383886">
              <w:rPr>
                <w:rFonts w:ascii="Arial Narrow" w:hAnsi="Arial Narrow" w:cs="Arial"/>
                <w:sz w:val="20"/>
                <w:szCs w:val="20"/>
              </w:rPr>
              <w:t xml:space="preserve">Budžet </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09B26" w14:textId="77777777" w:rsidR="00383886" w:rsidRPr="00383886" w:rsidRDefault="00383886" w:rsidP="00FD6B98">
            <w:pPr>
              <w:spacing w:before="20" w:after="20"/>
              <w:rPr>
                <w:rFonts w:ascii="Arial Narrow" w:hAnsi="Arial Narrow" w:cs="Arial"/>
                <w:sz w:val="20"/>
                <w:szCs w:val="20"/>
              </w:rPr>
            </w:pPr>
            <w:r w:rsidRPr="00383886">
              <w:rPr>
                <w:rFonts w:ascii="Arial Narrow" w:hAnsi="Arial Narrow" w:cs="Arial"/>
                <w:sz w:val="20"/>
                <w:szCs w:val="20"/>
              </w:rPr>
              <w:t>Unapeđenje međugradskog linijskog prevoza putnika kroz izmjenu nacionalnog zakonodavstva, odnosno izmjenu Zakona o prevozu u drumskom, u cilju poboljšanja kvaliteta istog (vozni par, redovnost održavanja, garancija usluge i dr.) U toku rada na izmjeni zakonodavstva je potrebno uraditi predmetnu studiju.</w:t>
            </w:r>
          </w:p>
        </w:tc>
      </w:tr>
    </w:tbl>
    <w:tbl>
      <w:tblPr>
        <w:tblStyle w:val="TableGrid5"/>
        <w:tblW w:w="14891" w:type="dxa"/>
        <w:tblInd w:w="-856" w:type="dxa"/>
        <w:tblLook w:val="04A0" w:firstRow="1" w:lastRow="0" w:firstColumn="1" w:lastColumn="0" w:noHBand="0" w:noVBand="1"/>
      </w:tblPr>
      <w:tblGrid>
        <w:gridCol w:w="725"/>
        <w:gridCol w:w="2216"/>
        <w:gridCol w:w="2640"/>
        <w:gridCol w:w="515"/>
        <w:gridCol w:w="1298"/>
        <w:gridCol w:w="1680"/>
        <w:gridCol w:w="2063"/>
        <w:gridCol w:w="695"/>
        <w:gridCol w:w="686"/>
        <w:gridCol w:w="2373"/>
      </w:tblGrid>
      <w:tr w:rsidR="00383886" w:rsidRPr="00383886" w14:paraId="2088FE00" w14:textId="77777777" w:rsidTr="00FF0B4A">
        <w:trPr>
          <w:trHeight w:val="622"/>
        </w:trPr>
        <w:tc>
          <w:tcPr>
            <w:tcW w:w="2941" w:type="dxa"/>
            <w:gridSpan w:val="2"/>
            <w:shd w:val="clear" w:color="auto" w:fill="DEEAF6" w:themeFill="accent5" w:themeFillTint="33"/>
          </w:tcPr>
          <w:p w14:paraId="572E4974" w14:textId="77777777" w:rsidR="00383886" w:rsidRPr="00383886" w:rsidRDefault="00383886" w:rsidP="00AE274D">
            <w:pPr>
              <w:spacing w:before="40" w:after="40"/>
              <w:jc w:val="center"/>
              <w:rPr>
                <w:rFonts w:cs="Arial"/>
                <w:b/>
                <w:sz w:val="20"/>
              </w:rPr>
            </w:pPr>
            <w:bookmarkStart w:id="32" w:name="_Hlk89633162"/>
            <w:r w:rsidRPr="00383886">
              <w:rPr>
                <w:rFonts w:cs="Arial"/>
                <w:b/>
                <w:sz w:val="20"/>
              </w:rPr>
              <w:t xml:space="preserve">Cilj </w:t>
            </w:r>
            <w:r w:rsidR="00AE274D">
              <w:rPr>
                <w:rFonts w:cs="Arial"/>
                <w:b/>
                <w:sz w:val="20"/>
              </w:rPr>
              <w:t>2.</w:t>
            </w:r>
            <w:r w:rsidRPr="00383886">
              <w:rPr>
                <w:rFonts w:cs="Arial"/>
                <w:b/>
                <w:sz w:val="20"/>
              </w:rPr>
              <w:t>9</w:t>
            </w:r>
            <w:r w:rsidR="00AE274D">
              <w:rPr>
                <w:rFonts w:cs="Arial"/>
                <w:b/>
                <w:sz w:val="20"/>
              </w:rPr>
              <w:t>.</w:t>
            </w:r>
          </w:p>
          <w:p w14:paraId="25C4D07E" w14:textId="77777777" w:rsidR="00383886" w:rsidRPr="00383886" w:rsidRDefault="00383886" w:rsidP="00FD6B98">
            <w:pPr>
              <w:spacing w:before="40" w:after="40"/>
              <w:jc w:val="both"/>
              <w:rPr>
                <w:rFonts w:cs="Arial"/>
                <w:b/>
                <w:sz w:val="20"/>
              </w:rPr>
            </w:pPr>
          </w:p>
        </w:tc>
        <w:tc>
          <w:tcPr>
            <w:tcW w:w="11950" w:type="dxa"/>
            <w:gridSpan w:val="8"/>
            <w:shd w:val="clear" w:color="auto" w:fill="DEEAF6" w:themeFill="accent5" w:themeFillTint="33"/>
          </w:tcPr>
          <w:p w14:paraId="0A7F3417" w14:textId="77777777" w:rsidR="00383886" w:rsidRPr="00383886" w:rsidRDefault="00383886" w:rsidP="00FD6B98">
            <w:pPr>
              <w:spacing w:before="40" w:after="40"/>
              <w:jc w:val="both"/>
              <w:rPr>
                <w:rFonts w:cs="Arial"/>
                <w:b/>
                <w:color w:val="000000" w:themeColor="text1"/>
                <w:sz w:val="20"/>
              </w:rPr>
            </w:pPr>
            <w:r w:rsidRPr="00383886">
              <w:rPr>
                <w:rFonts w:cs="Arial"/>
                <w:b/>
                <w:color w:val="000000" w:themeColor="text1"/>
                <w:sz w:val="20"/>
              </w:rPr>
              <w:t>Razvijati energetski sektor Crne Gore uz smanjenje negativnog uticaja na životnu sredinu i klimatske promjene</w:t>
            </w:r>
          </w:p>
          <w:p w14:paraId="4CFE0051" w14:textId="77777777" w:rsidR="00383886" w:rsidRPr="00383886" w:rsidRDefault="00383886" w:rsidP="00FD6B98">
            <w:pPr>
              <w:spacing w:before="40" w:after="40"/>
              <w:jc w:val="both"/>
              <w:rPr>
                <w:rFonts w:cs="Arial"/>
                <w:color w:val="000000" w:themeColor="text1"/>
                <w:sz w:val="20"/>
              </w:rPr>
            </w:pPr>
          </w:p>
          <w:p w14:paraId="475EF27A" w14:textId="77777777" w:rsidR="00383886" w:rsidRPr="00383886" w:rsidRDefault="00383886" w:rsidP="00FD6B98">
            <w:pPr>
              <w:spacing w:before="40" w:after="40"/>
              <w:jc w:val="both"/>
              <w:rPr>
                <w:rFonts w:cs="Arial"/>
                <w:i/>
                <w:sz w:val="20"/>
              </w:rPr>
            </w:pPr>
          </w:p>
        </w:tc>
      </w:tr>
      <w:tr w:rsidR="00383886" w:rsidRPr="00383886" w14:paraId="5211AB0E" w14:textId="77777777" w:rsidTr="00FF0B4A">
        <w:tc>
          <w:tcPr>
            <w:tcW w:w="2941" w:type="dxa"/>
            <w:gridSpan w:val="2"/>
            <w:shd w:val="clear" w:color="auto" w:fill="DAF2F6"/>
          </w:tcPr>
          <w:p w14:paraId="42850B02" w14:textId="77777777" w:rsidR="00383886" w:rsidRPr="00383886" w:rsidRDefault="00383886" w:rsidP="00FD6B98">
            <w:pPr>
              <w:spacing w:before="40" w:after="40"/>
              <w:jc w:val="both"/>
              <w:rPr>
                <w:rFonts w:cs="Arial"/>
                <w:b/>
                <w:sz w:val="20"/>
              </w:rPr>
            </w:pPr>
            <w:r w:rsidRPr="00383886">
              <w:rPr>
                <w:rFonts w:cs="Arial"/>
                <w:b/>
                <w:sz w:val="20"/>
              </w:rPr>
              <w:t>Indikator učinka</w:t>
            </w:r>
          </w:p>
        </w:tc>
        <w:tc>
          <w:tcPr>
            <w:tcW w:w="3155" w:type="dxa"/>
            <w:gridSpan w:val="2"/>
            <w:shd w:val="clear" w:color="auto" w:fill="DAF2F6"/>
          </w:tcPr>
          <w:p w14:paraId="050430BC" w14:textId="77777777" w:rsidR="00383886" w:rsidRPr="00383886" w:rsidRDefault="00383886" w:rsidP="00FD6B98">
            <w:pPr>
              <w:spacing w:before="40" w:after="40"/>
              <w:jc w:val="both"/>
              <w:rPr>
                <w:rFonts w:cs="Arial"/>
                <w:b/>
                <w:sz w:val="20"/>
              </w:rPr>
            </w:pPr>
            <w:r w:rsidRPr="00383886">
              <w:rPr>
                <w:rFonts w:cs="Arial"/>
                <w:b/>
                <w:sz w:val="20"/>
              </w:rPr>
              <w:t>Polazna vrijednost – 2020.g</w:t>
            </w:r>
          </w:p>
        </w:tc>
        <w:tc>
          <w:tcPr>
            <w:tcW w:w="2978" w:type="dxa"/>
            <w:gridSpan w:val="2"/>
            <w:shd w:val="clear" w:color="auto" w:fill="DAF2F6"/>
            <w:vAlign w:val="center"/>
          </w:tcPr>
          <w:p w14:paraId="0CCE4A15" w14:textId="77777777" w:rsidR="00383886" w:rsidRPr="00383886" w:rsidRDefault="00383886" w:rsidP="00FD6B98">
            <w:pPr>
              <w:spacing w:before="40" w:after="40"/>
              <w:jc w:val="both"/>
              <w:rPr>
                <w:rFonts w:cs="Arial"/>
                <w:b/>
                <w:sz w:val="20"/>
              </w:rPr>
            </w:pPr>
            <w:r w:rsidRPr="00383886">
              <w:rPr>
                <w:rFonts w:cs="Arial"/>
                <w:b/>
                <w:sz w:val="20"/>
              </w:rPr>
              <w:t>Prelazna vrijednost – 2022.g</w:t>
            </w:r>
          </w:p>
        </w:tc>
        <w:tc>
          <w:tcPr>
            <w:tcW w:w="2758" w:type="dxa"/>
            <w:gridSpan w:val="2"/>
            <w:tcBorders>
              <w:bottom w:val="single" w:sz="4" w:space="0" w:color="FFFFFF" w:themeColor="background1"/>
            </w:tcBorders>
            <w:shd w:val="clear" w:color="auto" w:fill="DAF2F6"/>
            <w:vAlign w:val="center"/>
          </w:tcPr>
          <w:p w14:paraId="60FCBA6E" w14:textId="77777777" w:rsidR="00383886" w:rsidRPr="00383886" w:rsidRDefault="00383886" w:rsidP="00FD6B98">
            <w:pPr>
              <w:spacing w:before="40" w:after="40"/>
              <w:jc w:val="both"/>
              <w:rPr>
                <w:rFonts w:cs="Arial"/>
                <w:b/>
                <w:sz w:val="20"/>
              </w:rPr>
            </w:pPr>
            <w:r w:rsidRPr="00383886">
              <w:rPr>
                <w:rFonts w:cs="Arial"/>
                <w:b/>
                <w:sz w:val="20"/>
              </w:rPr>
              <w:t>Prelazna vrijednost – 2023.g</w:t>
            </w:r>
          </w:p>
        </w:tc>
        <w:tc>
          <w:tcPr>
            <w:tcW w:w="3059" w:type="dxa"/>
            <w:gridSpan w:val="2"/>
            <w:tcBorders>
              <w:bottom w:val="single" w:sz="4" w:space="0" w:color="FFFFFF" w:themeColor="background1"/>
            </w:tcBorders>
            <w:shd w:val="clear" w:color="auto" w:fill="DAF2F6"/>
            <w:vAlign w:val="center"/>
          </w:tcPr>
          <w:p w14:paraId="5A88EDA5" w14:textId="77777777" w:rsidR="00383886" w:rsidRPr="00383886" w:rsidRDefault="00383886" w:rsidP="00FD6B98">
            <w:pPr>
              <w:spacing w:before="40" w:after="40"/>
              <w:jc w:val="both"/>
              <w:rPr>
                <w:rFonts w:cs="Arial"/>
                <w:b/>
                <w:sz w:val="20"/>
              </w:rPr>
            </w:pPr>
            <w:r w:rsidRPr="00383886">
              <w:rPr>
                <w:rFonts w:cs="Arial"/>
                <w:b/>
                <w:sz w:val="20"/>
              </w:rPr>
              <w:t>Ciljna vrijednost - 2024.g</w:t>
            </w:r>
          </w:p>
        </w:tc>
      </w:tr>
      <w:tr w:rsidR="00383886" w:rsidRPr="00383886" w14:paraId="20FA243A" w14:textId="77777777" w:rsidTr="00FF0B4A">
        <w:tc>
          <w:tcPr>
            <w:tcW w:w="2941" w:type="dxa"/>
            <w:gridSpan w:val="2"/>
            <w:shd w:val="clear" w:color="auto" w:fill="DAF2F6"/>
          </w:tcPr>
          <w:p w14:paraId="0ADC294E" w14:textId="77777777" w:rsidR="00383886" w:rsidRPr="00AE274D" w:rsidRDefault="00383886" w:rsidP="00FD6B98">
            <w:pPr>
              <w:tabs>
                <w:tab w:val="left" w:pos="120"/>
              </w:tabs>
              <w:spacing w:before="40" w:after="40"/>
              <w:jc w:val="both"/>
              <w:rPr>
                <w:rFonts w:cs="Arial"/>
                <w:bCs/>
                <w:color w:val="000000" w:themeColor="text1"/>
                <w:sz w:val="20"/>
              </w:rPr>
            </w:pPr>
            <w:r w:rsidRPr="00AE274D">
              <w:rPr>
                <w:rFonts w:cs="Arial"/>
                <w:bCs/>
                <w:color w:val="000000" w:themeColor="text1"/>
                <w:sz w:val="20"/>
              </w:rPr>
              <w:t>Udio električne energije proizvedene iz obnovljivih izvora u ukupnoj proizvodnji električne energije na godišnjem nivou</w:t>
            </w:r>
            <w:r w:rsidRPr="00AE274D">
              <w:rPr>
                <w:rFonts w:cs="Arial"/>
                <w:bCs/>
                <w:i/>
                <w:sz w:val="20"/>
              </w:rPr>
              <w:t xml:space="preserve"> </w:t>
            </w:r>
          </w:p>
        </w:tc>
        <w:tc>
          <w:tcPr>
            <w:tcW w:w="3155" w:type="dxa"/>
            <w:gridSpan w:val="2"/>
            <w:shd w:val="clear" w:color="auto" w:fill="DAF2F6"/>
          </w:tcPr>
          <w:p w14:paraId="3B295A6C" w14:textId="77777777" w:rsidR="00383886" w:rsidRPr="00383886" w:rsidRDefault="00383886" w:rsidP="00FD6B98">
            <w:pPr>
              <w:spacing w:before="40" w:after="40"/>
              <w:jc w:val="center"/>
              <w:rPr>
                <w:rFonts w:cs="Arial"/>
                <w:sz w:val="20"/>
              </w:rPr>
            </w:pPr>
            <w:r w:rsidRPr="00383886">
              <w:rPr>
                <w:rFonts w:cs="Arial"/>
                <w:color w:val="000000" w:themeColor="text1"/>
                <w:sz w:val="20"/>
              </w:rPr>
              <w:t>54%</w:t>
            </w:r>
          </w:p>
        </w:tc>
        <w:tc>
          <w:tcPr>
            <w:tcW w:w="2978" w:type="dxa"/>
            <w:gridSpan w:val="2"/>
            <w:shd w:val="clear" w:color="auto" w:fill="DAF2F6"/>
          </w:tcPr>
          <w:p w14:paraId="3C7EA6D8" w14:textId="77777777" w:rsidR="00383886" w:rsidRPr="00383886" w:rsidRDefault="00383886" w:rsidP="00FD6B98">
            <w:pPr>
              <w:spacing w:before="40" w:after="40"/>
              <w:jc w:val="center"/>
              <w:rPr>
                <w:rFonts w:cs="Arial"/>
                <w:color w:val="FF0000"/>
                <w:sz w:val="20"/>
              </w:rPr>
            </w:pPr>
            <w:r w:rsidRPr="00383886">
              <w:rPr>
                <w:rFonts w:cs="Arial"/>
                <w:color w:val="000000" w:themeColor="text1"/>
                <w:sz w:val="20"/>
              </w:rPr>
              <w:t>55%</w:t>
            </w:r>
          </w:p>
        </w:tc>
        <w:tc>
          <w:tcPr>
            <w:tcW w:w="2758" w:type="dxa"/>
            <w:gridSpan w:val="2"/>
            <w:shd w:val="clear" w:color="auto" w:fill="DAF2F6"/>
          </w:tcPr>
          <w:p w14:paraId="61D37C7E" w14:textId="77777777" w:rsidR="00383886" w:rsidRPr="00383886" w:rsidRDefault="00383886" w:rsidP="00FD6B98">
            <w:pPr>
              <w:spacing w:before="40" w:after="40"/>
              <w:jc w:val="center"/>
              <w:rPr>
                <w:rFonts w:cs="Arial"/>
                <w:color w:val="FF0000"/>
                <w:sz w:val="20"/>
              </w:rPr>
            </w:pPr>
            <w:r w:rsidRPr="00383886">
              <w:rPr>
                <w:rFonts w:cs="Arial"/>
                <w:color w:val="000000" w:themeColor="text1"/>
                <w:sz w:val="20"/>
              </w:rPr>
              <w:t>56%</w:t>
            </w:r>
          </w:p>
        </w:tc>
        <w:tc>
          <w:tcPr>
            <w:tcW w:w="3059" w:type="dxa"/>
            <w:gridSpan w:val="2"/>
            <w:shd w:val="clear" w:color="auto" w:fill="DAF2F6"/>
          </w:tcPr>
          <w:p w14:paraId="095BC751" w14:textId="77777777" w:rsidR="00383886" w:rsidRPr="00383886" w:rsidRDefault="00383886" w:rsidP="00FD6B98">
            <w:pPr>
              <w:spacing w:before="40" w:after="40"/>
              <w:jc w:val="center"/>
              <w:rPr>
                <w:rFonts w:cs="Arial"/>
                <w:color w:val="FF0000"/>
                <w:sz w:val="20"/>
              </w:rPr>
            </w:pPr>
            <w:r w:rsidRPr="00383886">
              <w:rPr>
                <w:rFonts w:cs="Arial"/>
                <w:color w:val="000000" w:themeColor="text1"/>
                <w:sz w:val="20"/>
              </w:rPr>
              <w:t>59%</w:t>
            </w:r>
          </w:p>
        </w:tc>
      </w:tr>
      <w:tr w:rsidR="00383886" w:rsidRPr="00383886" w14:paraId="6D83D26F" w14:textId="77777777" w:rsidTr="00FF0B4A">
        <w:trPr>
          <w:trHeight w:val="955"/>
        </w:trPr>
        <w:tc>
          <w:tcPr>
            <w:tcW w:w="2941" w:type="dxa"/>
            <w:gridSpan w:val="2"/>
            <w:shd w:val="clear" w:color="auto" w:fill="DAF2F6"/>
          </w:tcPr>
          <w:p w14:paraId="374C8895" w14:textId="77777777" w:rsidR="00383886" w:rsidRPr="00AE274D" w:rsidRDefault="00383886" w:rsidP="00FD6B98">
            <w:pPr>
              <w:tabs>
                <w:tab w:val="left" w:pos="120"/>
              </w:tabs>
              <w:spacing w:before="40" w:after="40"/>
              <w:jc w:val="both"/>
              <w:rPr>
                <w:rFonts w:cs="Arial"/>
                <w:bCs/>
                <w:i/>
                <w:color w:val="000000" w:themeColor="text1"/>
                <w:sz w:val="20"/>
              </w:rPr>
            </w:pPr>
            <w:r w:rsidRPr="00AE274D">
              <w:rPr>
                <w:rFonts w:cs="Arial"/>
                <w:bCs/>
                <w:color w:val="000000" w:themeColor="text1"/>
                <w:sz w:val="20"/>
              </w:rPr>
              <w:t>Udio električne energije proizvedene iz obnovljivih izvora u ukupnoj neto potrošnji električne energije na godišnjem nivou</w:t>
            </w:r>
            <w:r w:rsidRPr="00AE274D">
              <w:rPr>
                <w:rFonts w:cs="Arial"/>
                <w:bCs/>
                <w:color w:val="000000" w:themeColor="text1"/>
                <w:sz w:val="20"/>
                <w:vertAlign w:val="superscript"/>
              </w:rPr>
              <w:footnoteReference w:id="20"/>
            </w:r>
          </w:p>
          <w:p w14:paraId="0E2088DC" w14:textId="77777777" w:rsidR="00383886" w:rsidRPr="00AE274D" w:rsidRDefault="00383886" w:rsidP="00FD6B98">
            <w:pPr>
              <w:tabs>
                <w:tab w:val="left" w:pos="120"/>
              </w:tabs>
              <w:spacing w:before="40" w:after="40"/>
              <w:jc w:val="both"/>
              <w:rPr>
                <w:rFonts w:cs="Arial"/>
                <w:bCs/>
                <w:color w:val="000000" w:themeColor="text1"/>
                <w:sz w:val="20"/>
              </w:rPr>
            </w:pPr>
          </w:p>
          <w:p w14:paraId="112F1367" w14:textId="77777777" w:rsidR="00383886" w:rsidRPr="00AE274D" w:rsidRDefault="00383886" w:rsidP="00FD6B98">
            <w:pPr>
              <w:tabs>
                <w:tab w:val="left" w:pos="120"/>
              </w:tabs>
              <w:spacing w:before="40" w:after="40"/>
              <w:jc w:val="both"/>
              <w:rPr>
                <w:rFonts w:cs="Arial"/>
                <w:bCs/>
                <w:color w:val="000000" w:themeColor="text1"/>
                <w:sz w:val="20"/>
              </w:rPr>
            </w:pPr>
          </w:p>
        </w:tc>
        <w:tc>
          <w:tcPr>
            <w:tcW w:w="3155" w:type="dxa"/>
            <w:gridSpan w:val="2"/>
            <w:shd w:val="clear" w:color="auto" w:fill="DAF2F6"/>
          </w:tcPr>
          <w:p w14:paraId="560801BA" w14:textId="77777777" w:rsidR="00383886" w:rsidRPr="00383886" w:rsidRDefault="00383886" w:rsidP="00FD6B98">
            <w:pPr>
              <w:spacing w:before="40" w:after="40"/>
              <w:jc w:val="center"/>
              <w:rPr>
                <w:rFonts w:cs="Arial"/>
                <w:sz w:val="20"/>
              </w:rPr>
            </w:pPr>
            <w:r w:rsidRPr="00383886">
              <w:rPr>
                <w:rFonts w:cs="Arial"/>
                <w:color w:val="000000" w:themeColor="text1"/>
                <w:sz w:val="20"/>
              </w:rPr>
              <w:t>62%</w:t>
            </w:r>
          </w:p>
        </w:tc>
        <w:tc>
          <w:tcPr>
            <w:tcW w:w="2978" w:type="dxa"/>
            <w:gridSpan w:val="2"/>
            <w:shd w:val="clear" w:color="auto" w:fill="DAF2F6"/>
          </w:tcPr>
          <w:p w14:paraId="0C3715F7" w14:textId="77777777" w:rsidR="00383886" w:rsidRPr="00383886" w:rsidRDefault="00383886" w:rsidP="00FD6B98">
            <w:pPr>
              <w:spacing w:before="40" w:after="40"/>
              <w:jc w:val="center"/>
              <w:rPr>
                <w:rFonts w:cs="Arial"/>
                <w:sz w:val="20"/>
              </w:rPr>
            </w:pPr>
            <w:r w:rsidRPr="00383886">
              <w:rPr>
                <w:rFonts w:cs="Arial"/>
                <w:color w:val="000000" w:themeColor="text1"/>
                <w:sz w:val="20"/>
              </w:rPr>
              <w:t>62%</w:t>
            </w:r>
          </w:p>
        </w:tc>
        <w:tc>
          <w:tcPr>
            <w:tcW w:w="2758" w:type="dxa"/>
            <w:gridSpan w:val="2"/>
            <w:shd w:val="clear" w:color="auto" w:fill="DAF2F6"/>
          </w:tcPr>
          <w:p w14:paraId="38524C98" w14:textId="77777777" w:rsidR="00383886" w:rsidRPr="00383886" w:rsidRDefault="00383886" w:rsidP="00FD6B98">
            <w:pPr>
              <w:spacing w:before="40" w:after="40"/>
              <w:jc w:val="center"/>
              <w:rPr>
                <w:rFonts w:cs="Arial"/>
                <w:sz w:val="20"/>
              </w:rPr>
            </w:pPr>
            <w:r w:rsidRPr="00383886">
              <w:rPr>
                <w:rFonts w:cs="Arial"/>
                <w:color w:val="000000" w:themeColor="text1"/>
                <w:sz w:val="20"/>
              </w:rPr>
              <w:t>63%</w:t>
            </w:r>
          </w:p>
        </w:tc>
        <w:tc>
          <w:tcPr>
            <w:tcW w:w="3059" w:type="dxa"/>
            <w:gridSpan w:val="2"/>
            <w:shd w:val="clear" w:color="auto" w:fill="DAF2F6"/>
          </w:tcPr>
          <w:p w14:paraId="48512EF9" w14:textId="77777777" w:rsidR="00383886" w:rsidRPr="00383886" w:rsidRDefault="00383886" w:rsidP="00FD6B98">
            <w:pPr>
              <w:spacing w:before="40" w:after="40"/>
              <w:jc w:val="center"/>
              <w:rPr>
                <w:rFonts w:cs="Arial"/>
                <w:sz w:val="20"/>
              </w:rPr>
            </w:pPr>
            <w:r w:rsidRPr="00383886">
              <w:rPr>
                <w:rFonts w:cs="Arial"/>
                <w:color w:val="000000" w:themeColor="text1"/>
                <w:sz w:val="20"/>
              </w:rPr>
              <w:t>64%</w:t>
            </w:r>
          </w:p>
        </w:tc>
      </w:tr>
      <w:bookmarkEnd w:id="32"/>
      <w:tr w:rsidR="00383886" w:rsidRPr="00383886" w14:paraId="75CE76B1" w14:textId="77777777" w:rsidTr="00FF0B4A">
        <w:tc>
          <w:tcPr>
            <w:tcW w:w="2941" w:type="dxa"/>
            <w:gridSpan w:val="2"/>
            <w:shd w:val="clear" w:color="auto" w:fill="FFF2CC" w:themeFill="accent4" w:themeFillTint="33"/>
            <w:vAlign w:val="center"/>
          </w:tcPr>
          <w:p w14:paraId="752CCD34" w14:textId="77777777" w:rsidR="00383886" w:rsidRPr="00383886" w:rsidRDefault="00383886" w:rsidP="00FD6B98">
            <w:pPr>
              <w:spacing w:before="20" w:after="20"/>
              <w:jc w:val="both"/>
              <w:rPr>
                <w:rFonts w:cs="Arial"/>
                <w:b/>
                <w:sz w:val="20"/>
              </w:rPr>
            </w:pPr>
            <w:r w:rsidRPr="00383886">
              <w:rPr>
                <w:rFonts w:cs="Arial"/>
                <w:b/>
                <w:sz w:val="20"/>
              </w:rPr>
              <w:t>Aktivnosti</w:t>
            </w:r>
          </w:p>
        </w:tc>
        <w:tc>
          <w:tcPr>
            <w:tcW w:w="2640" w:type="dxa"/>
            <w:shd w:val="clear" w:color="auto" w:fill="FFF2CC" w:themeFill="accent4" w:themeFillTint="33"/>
            <w:vAlign w:val="center"/>
          </w:tcPr>
          <w:p w14:paraId="52C93ED9" w14:textId="77777777" w:rsidR="00383886" w:rsidRPr="00383886" w:rsidRDefault="00383886" w:rsidP="00FD6B98">
            <w:pPr>
              <w:spacing w:before="20" w:after="20"/>
              <w:jc w:val="both"/>
              <w:rPr>
                <w:rFonts w:cs="Arial"/>
                <w:b/>
                <w:sz w:val="20"/>
              </w:rPr>
            </w:pPr>
            <w:r w:rsidRPr="00383886">
              <w:rPr>
                <w:rFonts w:cs="Arial"/>
                <w:b/>
                <w:sz w:val="20"/>
              </w:rPr>
              <w:t>Indikator rezultata</w:t>
            </w:r>
          </w:p>
        </w:tc>
        <w:tc>
          <w:tcPr>
            <w:tcW w:w="1813" w:type="dxa"/>
            <w:gridSpan w:val="2"/>
            <w:shd w:val="clear" w:color="auto" w:fill="FFF2CC" w:themeFill="accent4" w:themeFillTint="33"/>
            <w:vAlign w:val="center"/>
          </w:tcPr>
          <w:p w14:paraId="0D7CE786" w14:textId="77777777" w:rsidR="00383886" w:rsidRPr="00383886" w:rsidRDefault="00383886" w:rsidP="00FD6B98">
            <w:pPr>
              <w:spacing w:before="20" w:after="20"/>
              <w:jc w:val="both"/>
              <w:rPr>
                <w:rFonts w:cs="Arial"/>
                <w:b/>
                <w:sz w:val="20"/>
              </w:rPr>
            </w:pPr>
            <w:r w:rsidRPr="00383886">
              <w:rPr>
                <w:rFonts w:cs="Arial"/>
                <w:b/>
                <w:sz w:val="20"/>
              </w:rPr>
              <w:t>Nadležne institucije i nadležna komisija</w:t>
            </w:r>
          </w:p>
        </w:tc>
        <w:tc>
          <w:tcPr>
            <w:tcW w:w="1680" w:type="dxa"/>
            <w:shd w:val="clear" w:color="auto" w:fill="FFF2CC" w:themeFill="accent4" w:themeFillTint="33"/>
            <w:vAlign w:val="center"/>
          </w:tcPr>
          <w:p w14:paraId="0BCAA73F" w14:textId="77777777" w:rsidR="00383886" w:rsidRPr="00383886" w:rsidRDefault="00383886" w:rsidP="00FD6B98">
            <w:pPr>
              <w:spacing w:before="20" w:after="20"/>
              <w:jc w:val="both"/>
              <w:rPr>
                <w:rFonts w:cs="Arial"/>
                <w:b/>
                <w:sz w:val="20"/>
              </w:rPr>
            </w:pPr>
            <w:r w:rsidRPr="00383886">
              <w:rPr>
                <w:rFonts w:cs="Arial"/>
                <w:b/>
                <w:sz w:val="20"/>
              </w:rPr>
              <w:t>Planirani početak i završetak aktivnosti</w:t>
            </w:r>
          </w:p>
        </w:tc>
        <w:tc>
          <w:tcPr>
            <w:tcW w:w="2063" w:type="dxa"/>
            <w:shd w:val="clear" w:color="auto" w:fill="FFF2CC" w:themeFill="accent4" w:themeFillTint="33"/>
            <w:vAlign w:val="center"/>
          </w:tcPr>
          <w:p w14:paraId="787ECBC3" w14:textId="77777777" w:rsidR="00383886" w:rsidRPr="00383886" w:rsidRDefault="00383886" w:rsidP="00FD6B98">
            <w:pPr>
              <w:spacing w:before="20" w:after="20"/>
              <w:jc w:val="both"/>
              <w:rPr>
                <w:rFonts w:cs="Arial"/>
                <w:b/>
                <w:sz w:val="20"/>
              </w:rPr>
            </w:pPr>
            <w:r w:rsidRPr="00383886">
              <w:rPr>
                <w:rFonts w:cs="Arial"/>
                <w:b/>
                <w:sz w:val="20"/>
              </w:rPr>
              <w:t>Sredstva za realizaciju  i informacija o izradi RIA</w:t>
            </w:r>
          </w:p>
        </w:tc>
        <w:tc>
          <w:tcPr>
            <w:tcW w:w="1381" w:type="dxa"/>
            <w:gridSpan w:val="2"/>
            <w:shd w:val="clear" w:color="auto" w:fill="FFF2CC" w:themeFill="accent4" w:themeFillTint="33"/>
            <w:vAlign w:val="center"/>
          </w:tcPr>
          <w:p w14:paraId="335BFAAA" w14:textId="77777777" w:rsidR="00383886" w:rsidRPr="00383886" w:rsidRDefault="00383886" w:rsidP="00FD6B98">
            <w:pPr>
              <w:spacing w:before="20" w:after="20"/>
              <w:jc w:val="both"/>
              <w:rPr>
                <w:rFonts w:cs="Arial"/>
                <w:b/>
                <w:sz w:val="20"/>
              </w:rPr>
            </w:pPr>
            <w:r w:rsidRPr="00383886">
              <w:rPr>
                <w:rFonts w:cs="Arial"/>
                <w:b/>
                <w:sz w:val="20"/>
              </w:rPr>
              <w:t xml:space="preserve"> Izvor finansiranja</w:t>
            </w:r>
          </w:p>
        </w:tc>
        <w:tc>
          <w:tcPr>
            <w:tcW w:w="2373" w:type="dxa"/>
            <w:shd w:val="clear" w:color="auto" w:fill="FFF2CC" w:themeFill="accent4" w:themeFillTint="33"/>
            <w:vAlign w:val="center"/>
          </w:tcPr>
          <w:p w14:paraId="6AAC2B4A" w14:textId="77777777" w:rsidR="00383886" w:rsidRPr="00383886" w:rsidRDefault="00383886" w:rsidP="00FD6B98">
            <w:pPr>
              <w:spacing w:before="20" w:after="20"/>
              <w:jc w:val="both"/>
              <w:rPr>
                <w:rFonts w:cs="Arial"/>
                <w:b/>
                <w:sz w:val="20"/>
              </w:rPr>
            </w:pPr>
          </w:p>
          <w:p w14:paraId="6A05A66C" w14:textId="77777777" w:rsidR="00383886" w:rsidRPr="00383886" w:rsidRDefault="00383886" w:rsidP="00FD6B98">
            <w:pPr>
              <w:spacing w:before="20" w:after="20"/>
              <w:jc w:val="both"/>
              <w:rPr>
                <w:rFonts w:cs="Arial"/>
                <w:b/>
                <w:sz w:val="20"/>
              </w:rPr>
            </w:pPr>
            <w:r w:rsidRPr="00383886">
              <w:rPr>
                <w:rFonts w:cs="Arial"/>
                <w:b/>
                <w:sz w:val="20"/>
              </w:rPr>
              <w:t>Obrazloženje</w:t>
            </w:r>
          </w:p>
        </w:tc>
      </w:tr>
      <w:tr w:rsidR="00383886" w:rsidRPr="00383886" w14:paraId="595D5D29" w14:textId="77777777" w:rsidTr="00FF0B4A">
        <w:tc>
          <w:tcPr>
            <w:tcW w:w="725" w:type="dxa"/>
          </w:tcPr>
          <w:p w14:paraId="0CAC4F01" w14:textId="77777777" w:rsidR="00383886" w:rsidRPr="00383886" w:rsidRDefault="00383886" w:rsidP="00FD6B98">
            <w:pPr>
              <w:spacing w:before="20" w:after="20"/>
              <w:jc w:val="both"/>
              <w:rPr>
                <w:rFonts w:cs="Arial"/>
                <w:sz w:val="20"/>
              </w:rPr>
            </w:pPr>
            <w:r w:rsidRPr="00383886">
              <w:rPr>
                <w:rFonts w:cs="Arial"/>
                <w:sz w:val="20"/>
              </w:rPr>
              <w:t>1</w:t>
            </w:r>
            <w:r w:rsidR="00AE274D">
              <w:rPr>
                <w:rFonts w:cs="Arial"/>
                <w:sz w:val="20"/>
              </w:rPr>
              <w:t>.</w:t>
            </w:r>
          </w:p>
        </w:tc>
        <w:tc>
          <w:tcPr>
            <w:tcW w:w="2216" w:type="dxa"/>
          </w:tcPr>
          <w:p w14:paraId="495F7FA7" w14:textId="77777777" w:rsidR="00383886" w:rsidRPr="00383886" w:rsidRDefault="00383886" w:rsidP="00FD6B98">
            <w:pPr>
              <w:tabs>
                <w:tab w:val="left" w:pos="120"/>
              </w:tabs>
              <w:spacing w:before="40" w:after="40"/>
              <w:jc w:val="both"/>
              <w:rPr>
                <w:rFonts w:cs="Arial"/>
                <w:color w:val="000000" w:themeColor="text1"/>
                <w:sz w:val="20"/>
              </w:rPr>
            </w:pPr>
            <w:r w:rsidRPr="00383886">
              <w:rPr>
                <w:rFonts w:cs="Arial"/>
                <w:color w:val="000000" w:themeColor="text1"/>
                <w:sz w:val="20"/>
              </w:rPr>
              <w:t>Utvrditi Predlog zakona o prekograničnim energetskim infrastrukturnim projektima</w:t>
            </w:r>
          </w:p>
          <w:p w14:paraId="6FB0FC89" w14:textId="77777777" w:rsidR="00383886" w:rsidRPr="00383886" w:rsidRDefault="00383886" w:rsidP="00FD6B98">
            <w:pPr>
              <w:spacing w:before="20" w:after="20"/>
              <w:jc w:val="both"/>
              <w:rPr>
                <w:rFonts w:cs="Arial"/>
                <w:i/>
                <w:color w:val="FF0000"/>
                <w:sz w:val="20"/>
              </w:rPr>
            </w:pPr>
          </w:p>
        </w:tc>
        <w:tc>
          <w:tcPr>
            <w:tcW w:w="2640" w:type="dxa"/>
          </w:tcPr>
          <w:p w14:paraId="73D50FEC" w14:textId="77777777" w:rsidR="00383886" w:rsidRPr="00383886" w:rsidRDefault="00383886" w:rsidP="00FD6B98">
            <w:pPr>
              <w:spacing w:before="20" w:after="20"/>
              <w:jc w:val="both"/>
              <w:rPr>
                <w:rFonts w:cs="Arial"/>
                <w:color w:val="FF0000"/>
                <w:sz w:val="20"/>
              </w:rPr>
            </w:pPr>
            <w:r w:rsidRPr="00383886">
              <w:rPr>
                <w:rFonts w:cs="Arial"/>
                <w:color w:val="000000" w:themeColor="text1"/>
                <w:sz w:val="20"/>
              </w:rPr>
              <w:lastRenderedPageBreak/>
              <w:t xml:space="preserve">-Broj sprovedenih javnih rasprava o izboru lokacija na kojima će se graditi energetska infrastruktura i </w:t>
            </w:r>
            <w:r w:rsidRPr="00383886">
              <w:rPr>
                <w:rFonts w:cs="Arial"/>
                <w:color w:val="000000" w:themeColor="text1"/>
                <w:sz w:val="20"/>
              </w:rPr>
              <w:lastRenderedPageBreak/>
              <w:t>drugim značajnim pitanjima vezanim za realizaciju projekta</w:t>
            </w:r>
          </w:p>
        </w:tc>
        <w:tc>
          <w:tcPr>
            <w:tcW w:w="1813" w:type="dxa"/>
            <w:gridSpan w:val="2"/>
          </w:tcPr>
          <w:p w14:paraId="4FD0D030" w14:textId="77777777" w:rsidR="00383886" w:rsidRPr="00383886" w:rsidRDefault="00383886" w:rsidP="00FD6B98">
            <w:pPr>
              <w:spacing w:before="20" w:after="20"/>
              <w:jc w:val="both"/>
              <w:rPr>
                <w:rFonts w:cs="Arial"/>
                <w:bCs/>
                <w:color w:val="000000" w:themeColor="text1"/>
                <w:sz w:val="20"/>
              </w:rPr>
            </w:pPr>
            <w:r w:rsidRPr="00383886">
              <w:rPr>
                <w:rFonts w:cs="Arial"/>
                <w:bCs/>
                <w:color w:val="000000" w:themeColor="text1"/>
                <w:sz w:val="20"/>
              </w:rPr>
              <w:lastRenderedPageBreak/>
              <w:t>NI: MKI</w:t>
            </w:r>
          </w:p>
          <w:p w14:paraId="18CF9A3B" w14:textId="77777777" w:rsidR="00383886" w:rsidRPr="00383886" w:rsidRDefault="00383886" w:rsidP="00FD6B98">
            <w:pPr>
              <w:spacing w:before="20" w:after="20"/>
              <w:jc w:val="both"/>
              <w:rPr>
                <w:rFonts w:cs="Arial"/>
                <w:bCs/>
                <w:color w:val="000000" w:themeColor="text1"/>
                <w:sz w:val="20"/>
              </w:rPr>
            </w:pPr>
          </w:p>
          <w:p w14:paraId="6F5C8646" w14:textId="77777777" w:rsidR="00383886" w:rsidRPr="00383886" w:rsidRDefault="00383886" w:rsidP="00FD6B98">
            <w:pPr>
              <w:spacing w:before="20" w:after="20"/>
              <w:jc w:val="both"/>
              <w:rPr>
                <w:rFonts w:cs="Arial"/>
                <w:bCs/>
                <w:i/>
                <w:color w:val="FF0000"/>
                <w:sz w:val="20"/>
              </w:rPr>
            </w:pPr>
            <w:r w:rsidRPr="00383886">
              <w:rPr>
                <w:rFonts w:cs="Arial"/>
                <w:bCs/>
                <w:color w:val="000000" w:themeColor="text1"/>
                <w:sz w:val="20"/>
              </w:rPr>
              <w:t>NK: KPS, KEPIF</w:t>
            </w:r>
          </w:p>
        </w:tc>
        <w:tc>
          <w:tcPr>
            <w:tcW w:w="1680" w:type="dxa"/>
          </w:tcPr>
          <w:p w14:paraId="4B981826" w14:textId="77777777" w:rsidR="00383886" w:rsidRPr="00383886" w:rsidRDefault="00383886" w:rsidP="00FD6B98">
            <w:pPr>
              <w:spacing w:before="20" w:after="20"/>
              <w:jc w:val="both"/>
              <w:rPr>
                <w:rFonts w:cs="Arial"/>
                <w:bCs/>
                <w:color w:val="000000" w:themeColor="text1"/>
                <w:sz w:val="20"/>
              </w:rPr>
            </w:pPr>
            <w:r w:rsidRPr="00383886">
              <w:rPr>
                <w:rFonts w:cs="Arial"/>
                <w:bCs/>
                <w:color w:val="000000" w:themeColor="text1"/>
                <w:sz w:val="20"/>
              </w:rPr>
              <w:t>I-II Q 2022.</w:t>
            </w:r>
          </w:p>
          <w:p w14:paraId="24E3593A" w14:textId="77777777" w:rsidR="00383886" w:rsidRPr="00383886" w:rsidRDefault="00383886" w:rsidP="00FD6B98">
            <w:pPr>
              <w:spacing w:before="20" w:after="20"/>
              <w:jc w:val="both"/>
              <w:rPr>
                <w:rFonts w:cs="Arial"/>
                <w:bCs/>
                <w:color w:val="FF0000"/>
                <w:sz w:val="20"/>
              </w:rPr>
            </w:pPr>
          </w:p>
        </w:tc>
        <w:tc>
          <w:tcPr>
            <w:tcW w:w="2063" w:type="dxa"/>
          </w:tcPr>
          <w:p w14:paraId="40E2BD5E" w14:textId="77777777" w:rsidR="00383886" w:rsidRPr="00383886" w:rsidRDefault="00383886" w:rsidP="00FD6B98">
            <w:pPr>
              <w:spacing w:before="20" w:after="20"/>
              <w:jc w:val="both"/>
              <w:rPr>
                <w:rFonts w:cs="Arial"/>
                <w:color w:val="FF0000"/>
                <w:sz w:val="20"/>
              </w:rPr>
            </w:pPr>
            <w:r w:rsidRPr="00383886">
              <w:rPr>
                <w:rFonts w:cs="Arial"/>
                <w:color w:val="000000" w:themeColor="text1"/>
                <w:sz w:val="20"/>
              </w:rPr>
              <w:t>Za utvrđivanje procjene uticaja propisa će biti urađena RIA analiza.</w:t>
            </w:r>
          </w:p>
        </w:tc>
        <w:tc>
          <w:tcPr>
            <w:tcW w:w="1381" w:type="dxa"/>
            <w:gridSpan w:val="2"/>
          </w:tcPr>
          <w:p w14:paraId="55879AEF"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 xml:space="preserve">Redovni </w:t>
            </w:r>
          </w:p>
          <w:p w14:paraId="4E4FB038"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 xml:space="preserve">troškovi se finansiraju iz </w:t>
            </w:r>
          </w:p>
          <w:p w14:paraId="622835AD"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 xml:space="preserve">Budžeta CG </w:t>
            </w:r>
          </w:p>
          <w:p w14:paraId="3BA005D0" w14:textId="77777777" w:rsidR="00383886" w:rsidRPr="00383886" w:rsidRDefault="00383886" w:rsidP="00FD6B98">
            <w:pPr>
              <w:spacing w:before="20" w:after="20"/>
              <w:jc w:val="both"/>
              <w:rPr>
                <w:rFonts w:cs="Arial"/>
                <w:color w:val="000000" w:themeColor="text1"/>
                <w:sz w:val="20"/>
              </w:rPr>
            </w:pPr>
          </w:p>
          <w:p w14:paraId="050BDFD9" w14:textId="77777777" w:rsidR="00383886" w:rsidRPr="00383886" w:rsidRDefault="00383886" w:rsidP="00FD6B98">
            <w:pPr>
              <w:spacing w:before="20" w:after="20"/>
              <w:jc w:val="both"/>
              <w:rPr>
                <w:rFonts w:cs="Arial"/>
                <w:i/>
                <w:color w:val="FF0000"/>
                <w:sz w:val="20"/>
              </w:rPr>
            </w:pPr>
          </w:p>
          <w:p w14:paraId="33972ECC" w14:textId="77777777" w:rsidR="00383886" w:rsidRPr="00383886" w:rsidRDefault="00383886" w:rsidP="00FD6B98">
            <w:pPr>
              <w:spacing w:before="20" w:after="20"/>
              <w:jc w:val="both"/>
              <w:rPr>
                <w:rFonts w:cs="Arial"/>
                <w:b/>
                <w:i/>
                <w:color w:val="FF0000"/>
                <w:sz w:val="20"/>
              </w:rPr>
            </w:pPr>
          </w:p>
        </w:tc>
        <w:tc>
          <w:tcPr>
            <w:tcW w:w="2373" w:type="dxa"/>
          </w:tcPr>
          <w:p w14:paraId="49EB0CF8" w14:textId="77777777" w:rsidR="00383886" w:rsidRPr="00383886" w:rsidRDefault="00383886" w:rsidP="00FD6B98">
            <w:pPr>
              <w:spacing w:before="20" w:after="20"/>
              <w:jc w:val="both"/>
              <w:rPr>
                <w:rFonts w:cs="Arial"/>
                <w:b/>
                <w:i/>
                <w:color w:val="FF0000"/>
                <w:sz w:val="20"/>
              </w:rPr>
            </w:pPr>
            <w:r w:rsidRPr="00383886">
              <w:rPr>
                <w:rFonts w:cs="Arial"/>
                <w:color w:val="000000" w:themeColor="text1"/>
                <w:sz w:val="20"/>
              </w:rPr>
              <w:lastRenderedPageBreak/>
              <w:t xml:space="preserve">Ovim zakonom će se propisati obaveza sprovođenja javnih rasprava o izboru lokacija na kojima će se graditi </w:t>
            </w:r>
            <w:r w:rsidRPr="00383886">
              <w:rPr>
                <w:rFonts w:cs="Arial"/>
                <w:color w:val="000000" w:themeColor="text1"/>
                <w:sz w:val="20"/>
              </w:rPr>
              <w:lastRenderedPageBreak/>
              <w:t>energetska infrastruktura, uticaju na životnu sredinu  i drugim značajnim pitanjima vezanim za realizaciju projekta</w:t>
            </w:r>
          </w:p>
        </w:tc>
      </w:tr>
      <w:tr w:rsidR="00383886" w:rsidRPr="00383886" w14:paraId="17C0255F" w14:textId="77777777" w:rsidTr="00FF0B4A">
        <w:tc>
          <w:tcPr>
            <w:tcW w:w="725" w:type="dxa"/>
          </w:tcPr>
          <w:p w14:paraId="6DCBCA47" w14:textId="77777777" w:rsidR="00383886" w:rsidRPr="00383886" w:rsidRDefault="00383886" w:rsidP="00FD6B98">
            <w:pPr>
              <w:spacing w:before="20" w:after="20"/>
              <w:jc w:val="both"/>
              <w:rPr>
                <w:rFonts w:cs="Arial"/>
                <w:sz w:val="20"/>
              </w:rPr>
            </w:pPr>
            <w:r w:rsidRPr="00383886">
              <w:rPr>
                <w:rFonts w:cs="Arial"/>
                <w:sz w:val="20"/>
              </w:rPr>
              <w:t>2</w:t>
            </w:r>
            <w:r w:rsidR="00AE274D">
              <w:rPr>
                <w:rFonts w:cs="Arial"/>
                <w:sz w:val="20"/>
              </w:rPr>
              <w:t>.</w:t>
            </w:r>
          </w:p>
        </w:tc>
        <w:tc>
          <w:tcPr>
            <w:tcW w:w="2216" w:type="dxa"/>
          </w:tcPr>
          <w:p w14:paraId="3E1C0492" w14:textId="77777777" w:rsidR="00383886" w:rsidRPr="00383886" w:rsidRDefault="00383886" w:rsidP="00FD6B98">
            <w:pPr>
              <w:tabs>
                <w:tab w:val="left" w:pos="120"/>
              </w:tabs>
              <w:spacing w:before="40" w:after="40"/>
              <w:jc w:val="both"/>
              <w:rPr>
                <w:rFonts w:cs="Arial"/>
                <w:sz w:val="20"/>
              </w:rPr>
            </w:pPr>
            <w:r w:rsidRPr="00383886">
              <w:rPr>
                <w:rFonts w:cs="Arial"/>
                <w:color w:val="000000" w:themeColor="text1"/>
                <w:sz w:val="20"/>
              </w:rPr>
              <w:t>Utvrditi Predlog zakona o korišćenju obnovljivih izvora energije</w:t>
            </w:r>
          </w:p>
        </w:tc>
        <w:tc>
          <w:tcPr>
            <w:tcW w:w="2640" w:type="dxa"/>
          </w:tcPr>
          <w:p w14:paraId="53E83BC4"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 Udio električne energije proizvedene iz obnovljivih izvora u ukupnoj proizvodnji električne energije na godišnjem nivou</w:t>
            </w:r>
          </w:p>
          <w:p w14:paraId="0F49A92B" w14:textId="77777777" w:rsidR="00383886" w:rsidRPr="00383886" w:rsidRDefault="00383886" w:rsidP="00FD6B98">
            <w:pPr>
              <w:spacing w:before="20" w:after="20"/>
              <w:jc w:val="both"/>
              <w:rPr>
                <w:rFonts w:cs="Arial"/>
                <w:color w:val="000000" w:themeColor="text1"/>
                <w:sz w:val="20"/>
              </w:rPr>
            </w:pPr>
          </w:p>
          <w:p w14:paraId="17EB9DBB"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-Udio električne energije proizvedene iz obnovljivih izvora u ukupnoj neto potrošnji električne energije na godišnjem nivou</w:t>
            </w:r>
          </w:p>
          <w:p w14:paraId="450ED0DF" w14:textId="77777777" w:rsidR="00383886" w:rsidRPr="00383886" w:rsidRDefault="00383886" w:rsidP="00FD6B98">
            <w:pPr>
              <w:spacing w:before="20" w:after="20"/>
              <w:jc w:val="both"/>
              <w:rPr>
                <w:rFonts w:cs="Arial"/>
                <w:sz w:val="20"/>
              </w:rPr>
            </w:pPr>
          </w:p>
        </w:tc>
        <w:tc>
          <w:tcPr>
            <w:tcW w:w="1813" w:type="dxa"/>
            <w:gridSpan w:val="2"/>
          </w:tcPr>
          <w:p w14:paraId="646FCEDB" w14:textId="77777777" w:rsidR="00383886" w:rsidRPr="00383886" w:rsidRDefault="00383886" w:rsidP="00FD6B98">
            <w:pPr>
              <w:spacing w:before="20" w:after="20"/>
              <w:jc w:val="both"/>
              <w:rPr>
                <w:rFonts w:cs="Arial"/>
                <w:bCs/>
                <w:color w:val="000000" w:themeColor="text1"/>
                <w:sz w:val="20"/>
              </w:rPr>
            </w:pPr>
            <w:r w:rsidRPr="00383886">
              <w:rPr>
                <w:rFonts w:cs="Arial"/>
                <w:bCs/>
                <w:color w:val="000000" w:themeColor="text1"/>
                <w:sz w:val="20"/>
              </w:rPr>
              <w:t>NI: MKI</w:t>
            </w:r>
          </w:p>
          <w:p w14:paraId="305F8B37" w14:textId="77777777" w:rsidR="00383886" w:rsidRPr="00383886" w:rsidRDefault="00383886" w:rsidP="00FD6B98">
            <w:pPr>
              <w:spacing w:before="20" w:after="20"/>
              <w:jc w:val="both"/>
              <w:rPr>
                <w:rFonts w:cs="Arial"/>
                <w:bCs/>
                <w:color w:val="000000" w:themeColor="text1"/>
                <w:sz w:val="20"/>
              </w:rPr>
            </w:pPr>
          </w:p>
          <w:p w14:paraId="5C6C86C9" w14:textId="77777777" w:rsidR="00383886" w:rsidRPr="00383886" w:rsidRDefault="00383886" w:rsidP="00FD6B98">
            <w:pPr>
              <w:spacing w:before="20" w:after="20"/>
              <w:jc w:val="both"/>
              <w:rPr>
                <w:rFonts w:cs="Arial"/>
                <w:bCs/>
                <w:sz w:val="20"/>
              </w:rPr>
            </w:pPr>
            <w:r w:rsidRPr="00383886">
              <w:rPr>
                <w:rFonts w:cs="Arial"/>
                <w:bCs/>
                <w:color w:val="000000" w:themeColor="text1"/>
                <w:sz w:val="20"/>
              </w:rPr>
              <w:t>NK: KEPIF</w:t>
            </w:r>
          </w:p>
        </w:tc>
        <w:tc>
          <w:tcPr>
            <w:tcW w:w="1680" w:type="dxa"/>
          </w:tcPr>
          <w:p w14:paraId="4A7BA3A3" w14:textId="77777777" w:rsidR="00383886" w:rsidRPr="00383886" w:rsidRDefault="00383886" w:rsidP="00FD6B98">
            <w:pPr>
              <w:spacing w:before="20" w:after="20"/>
              <w:jc w:val="both"/>
              <w:rPr>
                <w:rFonts w:cs="Arial"/>
                <w:bCs/>
                <w:color w:val="000000" w:themeColor="text1"/>
                <w:sz w:val="20"/>
              </w:rPr>
            </w:pPr>
            <w:r w:rsidRPr="00383886">
              <w:rPr>
                <w:rFonts w:cs="Arial"/>
                <w:bCs/>
                <w:color w:val="000000" w:themeColor="text1"/>
                <w:sz w:val="20"/>
              </w:rPr>
              <w:t>I-IV Q 2022.</w:t>
            </w:r>
          </w:p>
          <w:p w14:paraId="04417D29" w14:textId="77777777" w:rsidR="00383886" w:rsidRPr="00383886" w:rsidRDefault="00383886" w:rsidP="00FD6B98">
            <w:pPr>
              <w:spacing w:before="20" w:after="20"/>
              <w:jc w:val="both"/>
              <w:rPr>
                <w:rFonts w:cs="Arial"/>
                <w:bCs/>
                <w:sz w:val="20"/>
              </w:rPr>
            </w:pPr>
          </w:p>
        </w:tc>
        <w:tc>
          <w:tcPr>
            <w:tcW w:w="2063" w:type="dxa"/>
          </w:tcPr>
          <w:p w14:paraId="5F6B324F" w14:textId="77777777" w:rsidR="00383886" w:rsidRPr="00383886" w:rsidRDefault="00383886" w:rsidP="00FD6B98">
            <w:pPr>
              <w:spacing w:before="20" w:after="20"/>
              <w:jc w:val="both"/>
              <w:rPr>
                <w:rFonts w:cs="Arial"/>
                <w:sz w:val="20"/>
              </w:rPr>
            </w:pPr>
            <w:r w:rsidRPr="00383886">
              <w:rPr>
                <w:rFonts w:cs="Arial"/>
                <w:color w:val="000000" w:themeColor="text1"/>
                <w:sz w:val="20"/>
              </w:rPr>
              <w:t>Za utvrđivanje procjene uticaja propisa će biti urađena RIA analiza.</w:t>
            </w:r>
          </w:p>
        </w:tc>
        <w:tc>
          <w:tcPr>
            <w:tcW w:w="1381" w:type="dxa"/>
            <w:gridSpan w:val="2"/>
          </w:tcPr>
          <w:p w14:paraId="2E75E52E"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 xml:space="preserve">Redovni </w:t>
            </w:r>
          </w:p>
          <w:p w14:paraId="7BE5DF70"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 xml:space="preserve">troškovi se finansiraju iz </w:t>
            </w:r>
          </w:p>
          <w:p w14:paraId="3CB9C1B3"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 xml:space="preserve">Budžeta CG </w:t>
            </w:r>
          </w:p>
          <w:p w14:paraId="3D48CD2A" w14:textId="77777777" w:rsidR="00383886" w:rsidRPr="00383886" w:rsidRDefault="00383886" w:rsidP="00FD6B98">
            <w:pPr>
              <w:spacing w:before="20" w:after="20"/>
              <w:jc w:val="both"/>
              <w:rPr>
                <w:rFonts w:cs="Arial"/>
                <w:sz w:val="20"/>
              </w:rPr>
            </w:pPr>
          </w:p>
        </w:tc>
        <w:tc>
          <w:tcPr>
            <w:tcW w:w="2373" w:type="dxa"/>
          </w:tcPr>
          <w:p w14:paraId="2CF395A2" w14:textId="77777777" w:rsidR="00383886" w:rsidRPr="00383886" w:rsidRDefault="00383886" w:rsidP="00FD6B98">
            <w:pPr>
              <w:spacing w:before="20" w:after="20"/>
              <w:jc w:val="both"/>
              <w:rPr>
                <w:rFonts w:cs="Arial"/>
                <w:sz w:val="20"/>
              </w:rPr>
            </w:pPr>
            <w:r w:rsidRPr="00383886">
              <w:rPr>
                <w:rFonts w:cs="Arial"/>
                <w:color w:val="000000" w:themeColor="text1"/>
                <w:sz w:val="20"/>
              </w:rPr>
              <w:t>Ovim zakonom će se urediti korišćenje energije iz obnovljivih izvora, ciljevi korišćenja energije iz obnovljivih izvora i druga pitanja od značaja za obnovljive izvore energije, čime će se stvoriti povoljniji uslovi za razvoj energetskog sektora uz smanjenje negativnog uticaja na životnu sredinu i klimatske promjene</w:t>
            </w:r>
          </w:p>
        </w:tc>
      </w:tr>
      <w:tr w:rsidR="00383886" w:rsidRPr="00383886" w14:paraId="32CDAB7E" w14:textId="77777777" w:rsidTr="00FF0B4A">
        <w:tc>
          <w:tcPr>
            <w:tcW w:w="725" w:type="dxa"/>
          </w:tcPr>
          <w:p w14:paraId="416665DC" w14:textId="77777777" w:rsidR="00383886" w:rsidRPr="00383886" w:rsidRDefault="00383886" w:rsidP="00FD6B98">
            <w:pPr>
              <w:spacing w:before="20" w:after="20"/>
              <w:jc w:val="both"/>
              <w:rPr>
                <w:rFonts w:cs="Arial"/>
                <w:sz w:val="20"/>
              </w:rPr>
            </w:pPr>
            <w:r w:rsidRPr="00383886">
              <w:rPr>
                <w:rFonts w:cs="Arial"/>
                <w:sz w:val="20"/>
              </w:rPr>
              <w:t>3</w:t>
            </w:r>
            <w:r w:rsidR="00AE274D">
              <w:rPr>
                <w:rFonts w:cs="Arial"/>
                <w:sz w:val="20"/>
              </w:rPr>
              <w:t>.</w:t>
            </w:r>
          </w:p>
        </w:tc>
        <w:tc>
          <w:tcPr>
            <w:tcW w:w="2216" w:type="dxa"/>
          </w:tcPr>
          <w:p w14:paraId="105E732E" w14:textId="77777777" w:rsidR="00383886" w:rsidRPr="00383886" w:rsidRDefault="00383886" w:rsidP="00FD6B98">
            <w:pPr>
              <w:tabs>
                <w:tab w:val="left" w:pos="120"/>
              </w:tabs>
              <w:spacing w:before="40" w:after="40"/>
              <w:jc w:val="both"/>
              <w:rPr>
                <w:rFonts w:cs="Arial"/>
                <w:sz w:val="20"/>
              </w:rPr>
            </w:pPr>
            <w:r w:rsidRPr="00383886">
              <w:rPr>
                <w:rFonts w:cs="Arial"/>
                <w:color w:val="000000" w:themeColor="text1"/>
                <w:sz w:val="20"/>
              </w:rPr>
              <w:t>Utvrditi Predlog zakona o izmjenama i dopunama Zakona o energetici</w:t>
            </w:r>
          </w:p>
        </w:tc>
        <w:tc>
          <w:tcPr>
            <w:tcW w:w="2640" w:type="dxa"/>
          </w:tcPr>
          <w:p w14:paraId="12755F6A"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-Broj aktivnih kupaca tj. krajnjih kupaca ili grupa krajnjih kupaca koji djeluju zajedno i koji troše ili skladište električnu energiju proizvedenu u vlastitom prostoru ili koji prodaju električnu energiju koju sami proizvode ili učestvuju u programima energetske efikasnosti, uz uslov da te djelatnosti nijesu njihova primarna profesionalna djelatnost</w:t>
            </w:r>
          </w:p>
          <w:p w14:paraId="3BDA25B9" w14:textId="77777777" w:rsidR="00383886" w:rsidRPr="00383886" w:rsidRDefault="00383886" w:rsidP="00FD6B98">
            <w:pPr>
              <w:spacing w:before="20" w:after="20"/>
              <w:jc w:val="both"/>
              <w:rPr>
                <w:rFonts w:cs="Arial"/>
                <w:color w:val="000000" w:themeColor="text1"/>
                <w:sz w:val="20"/>
              </w:rPr>
            </w:pPr>
          </w:p>
        </w:tc>
        <w:tc>
          <w:tcPr>
            <w:tcW w:w="1813" w:type="dxa"/>
            <w:gridSpan w:val="2"/>
          </w:tcPr>
          <w:p w14:paraId="3AE5F73C" w14:textId="77777777" w:rsidR="00383886" w:rsidRPr="00383886" w:rsidRDefault="00383886" w:rsidP="00FD6B98">
            <w:pPr>
              <w:spacing w:before="20" w:after="20"/>
              <w:jc w:val="both"/>
              <w:rPr>
                <w:rFonts w:cs="Arial"/>
                <w:bCs/>
                <w:color w:val="000000" w:themeColor="text1"/>
                <w:sz w:val="20"/>
              </w:rPr>
            </w:pPr>
            <w:r w:rsidRPr="00383886">
              <w:rPr>
                <w:rFonts w:cs="Arial"/>
                <w:bCs/>
                <w:color w:val="000000" w:themeColor="text1"/>
                <w:sz w:val="20"/>
              </w:rPr>
              <w:t>NI: MKI</w:t>
            </w:r>
          </w:p>
          <w:p w14:paraId="234A8826" w14:textId="77777777" w:rsidR="00383886" w:rsidRPr="00383886" w:rsidRDefault="00383886" w:rsidP="00FD6B98">
            <w:pPr>
              <w:spacing w:before="20" w:after="20"/>
              <w:jc w:val="both"/>
              <w:rPr>
                <w:rFonts w:cs="Arial"/>
                <w:bCs/>
                <w:color w:val="000000" w:themeColor="text1"/>
                <w:sz w:val="20"/>
              </w:rPr>
            </w:pPr>
          </w:p>
          <w:p w14:paraId="7D55DAFD" w14:textId="77777777" w:rsidR="00383886" w:rsidRPr="00383886" w:rsidRDefault="00383886" w:rsidP="00FD6B98">
            <w:pPr>
              <w:spacing w:before="20" w:after="20"/>
              <w:jc w:val="both"/>
              <w:rPr>
                <w:rFonts w:cs="Arial"/>
                <w:bCs/>
                <w:sz w:val="20"/>
              </w:rPr>
            </w:pPr>
            <w:r w:rsidRPr="00383886">
              <w:rPr>
                <w:rFonts w:cs="Arial"/>
                <w:bCs/>
                <w:color w:val="000000" w:themeColor="text1"/>
                <w:sz w:val="20"/>
              </w:rPr>
              <w:t>NK: KEPIF</w:t>
            </w:r>
          </w:p>
        </w:tc>
        <w:tc>
          <w:tcPr>
            <w:tcW w:w="1680" w:type="dxa"/>
          </w:tcPr>
          <w:p w14:paraId="61BF1D29" w14:textId="77777777" w:rsidR="00383886" w:rsidRPr="00383886" w:rsidRDefault="00383886" w:rsidP="00FD6B98">
            <w:pPr>
              <w:spacing w:before="20" w:after="20"/>
              <w:jc w:val="both"/>
              <w:rPr>
                <w:rFonts w:cs="Arial"/>
                <w:bCs/>
                <w:color w:val="000000" w:themeColor="text1"/>
                <w:sz w:val="20"/>
              </w:rPr>
            </w:pPr>
            <w:r w:rsidRPr="00383886">
              <w:rPr>
                <w:rFonts w:cs="Arial"/>
                <w:bCs/>
                <w:color w:val="000000" w:themeColor="text1"/>
                <w:sz w:val="20"/>
              </w:rPr>
              <w:t>I-IV Q 2022.</w:t>
            </w:r>
          </w:p>
          <w:p w14:paraId="7BCE9478" w14:textId="77777777" w:rsidR="00383886" w:rsidRPr="00383886" w:rsidRDefault="00383886" w:rsidP="00FD6B98">
            <w:pPr>
              <w:spacing w:before="20" w:after="20"/>
              <w:jc w:val="both"/>
              <w:rPr>
                <w:rFonts w:cs="Arial"/>
                <w:bCs/>
                <w:sz w:val="20"/>
              </w:rPr>
            </w:pPr>
          </w:p>
          <w:p w14:paraId="3F22B2FC" w14:textId="77777777" w:rsidR="00383886" w:rsidRPr="00383886" w:rsidRDefault="00383886" w:rsidP="00FD6B98">
            <w:pPr>
              <w:spacing w:before="20" w:after="20"/>
              <w:jc w:val="both"/>
              <w:rPr>
                <w:rFonts w:cs="Arial"/>
                <w:bCs/>
                <w:sz w:val="20"/>
              </w:rPr>
            </w:pPr>
          </w:p>
        </w:tc>
        <w:tc>
          <w:tcPr>
            <w:tcW w:w="2063" w:type="dxa"/>
          </w:tcPr>
          <w:p w14:paraId="31393CE6" w14:textId="77777777" w:rsidR="00383886" w:rsidRPr="00383886" w:rsidRDefault="00383886" w:rsidP="00FD6B98">
            <w:pPr>
              <w:spacing w:before="20" w:after="20"/>
              <w:jc w:val="both"/>
              <w:rPr>
                <w:rFonts w:cs="Arial"/>
                <w:sz w:val="20"/>
              </w:rPr>
            </w:pPr>
            <w:r w:rsidRPr="00383886">
              <w:rPr>
                <w:rFonts w:cs="Arial"/>
                <w:color w:val="000000" w:themeColor="text1"/>
                <w:sz w:val="20"/>
              </w:rPr>
              <w:t>Za utvrđivanje procjene uticaja propisa će biti urađena RIA analiza.</w:t>
            </w:r>
          </w:p>
        </w:tc>
        <w:tc>
          <w:tcPr>
            <w:tcW w:w="1381" w:type="dxa"/>
            <w:gridSpan w:val="2"/>
          </w:tcPr>
          <w:p w14:paraId="7BE204BD"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 xml:space="preserve">Redovni </w:t>
            </w:r>
          </w:p>
          <w:p w14:paraId="28DCC7EA"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 xml:space="preserve">troškovi se finansiraju iz </w:t>
            </w:r>
          </w:p>
          <w:p w14:paraId="38EE1C39" w14:textId="77777777" w:rsidR="00383886" w:rsidRPr="00383886" w:rsidRDefault="00383886" w:rsidP="00FD6B98">
            <w:pPr>
              <w:spacing w:before="20" w:after="20"/>
              <w:jc w:val="both"/>
              <w:rPr>
                <w:rFonts w:cs="Arial"/>
                <w:color w:val="000000" w:themeColor="text1"/>
                <w:sz w:val="20"/>
              </w:rPr>
            </w:pPr>
            <w:r w:rsidRPr="00383886">
              <w:rPr>
                <w:rFonts w:cs="Arial"/>
                <w:color w:val="000000" w:themeColor="text1"/>
                <w:sz w:val="20"/>
              </w:rPr>
              <w:t xml:space="preserve">Budžeta CG </w:t>
            </w:r>
          </w:p>
          <w:p w14:paraId="21BD83BC" w14:textId="77777777" w:rsidR="00383886" w:rsidRPr="00383886" w:rsidRDefault="00383886" w:rsidP="00FD6B98">
            <w:pPr>
              <w:spacing w:before="20" w:after="20"/>
              <w:jc w:val="both"/>
              <w:rPr>
                <w:rFonts w:cs="Arial"/>
                <w:sz w:val="20"/>
              </w:rPr>
            </w:pPr>
          </w:p>
        </w:tc>
        <w:tc>
          <w:tcPr>
            <w:tcW w:w="2373" w:type="dxa"/>
          </w:tcPr>
          <w:p w14:paraId="7E7392A4" w14:textId="77777777" w:rsidR="00383886" w:rsidRPr="00383886" w:rsidRDefault="00383886" w:rsidP="00FD6B98">
            <w:pPr>
              <w:spacing w:before="20" w:after="20"/>
              <w:jc w:val="both"/>
              <w:rPr>
                <w:rFonts w:cs="Arial"/>
                <w:sz w:val="20"/>
              </w:rPr>
            </w:pPr>
            <w:r w:rsidRPr="00383886">
              <w:rPr>
                <w:rFonts w:cs="Arial"/>
                <w:color w:val="000000" w:themeColor="text1"/>
                <w:sz w:val="20"/>
              </w:rPr>
              <w:t>Ovim zakonom će se urediti organizacija i funkcionisanje energetskog sektora i stvoriti uslovi za osnaživanje i veću zaštitu potrošača, veću sigurnost snabdijevanja energijom i</w:t>
            </w:r>
            <w:r w:rsidRPr="00383886">
              <w:rPr>
                <w:rFonts w:cs="Arial"/>
                <w:sz w:val="20"/>
              </w:rPr>
              <w:t xml:space="preserve"> </w:t>
            </w:r>
            <w:r w:rsidRPr="00383886">
              <w:rPr>
                <w:rFonts w:cs="Arial"/>
                <w:color w:val="000000" w:themeColor="text1"/>
                <w:sz w:val="20"/>
              </w:rPr>
              <w:t xml:space="preserve">smanjenje negativnog uticaja na životnu sredinu i klimatske promjene   </w:t>
            </w:r>
          </w:p>
        </w:tc>
      </w:tr>
      <w:tr w:rsidR="00383886" w:rsidRPr="00383886" w14:paraId="231B389F" w14:textId="77777777" w:rsidTr="00FF0B4A">
        <w:tc>
          <w:tcPr>
            <w:tcW w:w="725" w:type="dxa"/>
          </w:tcPr>
          <w:p w14:paraId="1738DBD0" w14:textId="77777777" w:rsidR="00383886" w:rsidRPr="00383886" w:rsidRDefault="00383886" w:rsidP="00FD6B98">
            <w:pPr>
              <w:spacing w:before="20" w:after="20"/>
              <w:jc w:val="both"/>
              <w:rPr>
                <w:rFonts w:cs="Arial"/>
                <w:sz w:val="20"/>
              </w:rPr>
            </w:pPr>
            <w:r w:rsidRPr="00383886">
              <w:rPr>
                <w:rFonts w:cs="Arial"/>
                <w:sz w:val="20"/>
              </w:rPr>
              <w:t>4</w:t>
            </w:r>
            <w:r w:rsidR="00AE274D">
              <w:rPr>
                <w:rFonts w:cs="Arial"/>
                <w:sz w:val="20"/>
              </w:rPr>
              <w:t>.</w:t>
            </w:r>
          </w:p>
        </w:tc>
        <w:tc>
          <w:tcPr>
            <w:tcW w:w="2216" w:type="dxa"/>
          </w:tcPr>
          <w:p w14:paraId="7B5588A2" w14:textId="77777777" w:rsidR="00383886" w:rsidRPr="00383886" w:rsidRDefault="00383886" w:rsidP="00FD6B98">
            <w:pPr>
              <w:tabs>
                <w:tab w:val="left" w:pos="120"/>
              </w:tabs>
              <w:spacing w:before="40" w:after="40"/>
              <w:jc w:val="both"/>
              <w:rPr>
                <w:rFonts w:cs="Arial"/>
                <w:sz w:val="20"/>
              </w:rPr>
            </w:pPr>
            <w:r w:rsidRPr="00383886">
              <w:rPr>
                <w:rFonts w:cs="Arial"/>
                <w:sz w:val="20"/>
              </w:rPr>
              <w:t xml:space="preserve">Utvrditi Predlog zakona o snabdijevanju naftnim derivatima u slučaju poremećaja u snabdijevanju </w:t>
            </w:r>
          </w:p>
          <w:p w14:paraId="1B67B966" w14:textId="77777777" w:rsidR="00383886" w:rsidRPr="00383886" w:rsidRDefault="00383886" w:rsidP="00FD6B98">
            <w:pPr>
              <w:tabs>
                <w:tab w:val="left" w:pos="120"/>
              </w:tabs>
              <w:spacing w:before="40" w:after="40"/>
              <w:jc w:val="both"/>
              <w:rPr>
                <w:rFonts w:cs="Arial"/>
                <w:sz w:val="20"/>
              </w:rPr>
            </w:pPr>
          </w:p>
          <w:p w14:paraId="75402BFC" w14:textId="77777777" w:rsidR="00383886" w:rsidRPr="00383886" w:rsidRDefault="00383886" w:rsidP="00FD6B98">
            <w:pPr>
              <w:tabs>
                <w:tab w:val="left" w:pos="120"/>
              </w:tabs>
              <w:spacing w:before="40" w:after="40"/>
              <w:jc w:val="both"/>
              <w:rPr>
                <w:rFonts w:cs="Arial"/>
                <w:sz w:val="20"/>
              </w:rPr>
            </w:pPr>
          </w:p>
          <w:p w14:paraId="39E449A6" w14:textId="77777777" w:rsidR="00383886" w:rsidRPr="00383886" w:rsidRDefault="00383886" w:rsidP="00FD6B98">
            <w:pPr>
              <w:tabs>
                <w:tab w:val="left" w:pos="120"/>
              </w:tabs>
              <w:spacing w:before="40" w:after="40"/>
              <w:jc w:val="both"/>
              <w:rPr>
                <w:rFonts w:cs="Arial"/>
                <w:sz w:val="20"/>
              </w:rPr>
            </w:pPr>
          </w:p>
          <w:p w14:paraId="05EA3CC0" w14:textId="77777777" w:rsidR="00383886" w:rsidRPr="00383886" w:rsidRDefault="00383886" w:rsidP="00FD6B98">
            <w:pPr>
              <w:tabs>
                <w:tab w:val="left" w:pos="120"/>
              </w:tabs>
              <w:spacing w:before="40" w:after="40"/>
              <w:jc w:val="both"/>
              <w:rPr>
                <w:rFonts w:cs="Arial"/>
                <w:sz w:val="20"/>
              </w:rPr>
            </w:pPr>
          </w:p>
        </w:tc>
        <w:tc>
          <w:tcPr>
            <w:tcW w:w="2640" w:type="dxa"/>
          </w:tcPr>
          <w:p w14:paraId="06294441" w14:textId="77777777" w:rsidR="00383886" w:rsidRPr="00383886" w:rsidRDefault="00383886" w:rsidP="00FD6B98">
            <w:pPr>
              <w:spacing w:before="20" w:after="20"/>
              <w:jc w:val="both"/>
              <w:rPr>
                <w:rFonts w:cs="Arial"/>
                <w:sz w:val="20"/>
              </w:rPr>
            </w:pPr>
            <w:r w:rsidRPr="00383886">
              <w:rPr>
                <w:rFonts w:cs="Arial"/>
                <w:sz w:val="20"/>
              </w:rPr>
              <w:t>-Broj podzakonskih propisa donijetih na osnovu ovog zakona</w:t>
            </w:r>
          </w:p>
        </w:tc>
        <w:tc>
          <w:tcPr>
            <w:tcW w:w="1813" w:type="dxa"/>
            <w:gridSpan w:val="2"/>
          </w:tcPr>
          <w:p w14:paraId="782C356C" w14:textId="77777777" w:rsidR="00383886" w:rsidRPr="00383886" w:rsidRDefault="00383886" w:rsidP="00FD6B98">
            <w:pPr>
              <w:spacing w:before="20" w:after="20"/>
              <w:jc w:val="both"/>
              <w:rPr>
                <w:rFonts w:cs="Arial"/>
                <w:bCs/>
                <w:sz w:val="20"/>
              </w:rPr>
            </w:pPr>
            <w:r w:rsidRPr="00383886">
              <w:rPr>
                <w:rFonts w:cs="Arial"/>
                <w:bCs/>
                <w:sz w:val="20"/>
              </w:rPr>
              <w:t>NI: MKI</w:t>
            </w:r>
          </w:p>
          <w:p w14:paraId="530A58D5" w14:textId="77777777" w:rsidR="00383886" w:rsidRPr="00383886" w:rsidRDefault="00383886" w:rsidP="00FD6B98">
            <w:pPr>
              <w:spacing w:before="20" w:after="20"/>
              <w:jc w:val="both"/>
              <w:rPr>
                <w:rFonts w:cs="Arial"/>
                <w:bCs/>
                <w:sz w:val="20"/>
              </w:rPr>
            </w:pPr>
          </w:p>
          <w:p w14:paraId="4EFED319" w14:textId="77777777" w:rsidR="00383886" w:rsidRPr="00383886" w:rsidRDefault="00383886" w:rsidP="00FD6B98">
            <w:pPr>
              <w:spacing w:before="20" w:after="20"/>
              <w:jc w:val="both"/>
              <w:rPr>
                <w:rFonts w:cs="Arial"/>
                <w:bCs/>
                <w:sz w:val="20"/>
              </w:rPr>
            </w:pPr>
            <w:r w:rsidRPr="00383886">
              <w:rPr>
                <w:rFonts w:cs="Arial"/>
                <w:bCs/>
                <w:sz w:val="20"/>
              </w:rPr>
              <w:t>NK: KEPIF</w:t>
            </w:r>
          </w:p>
        </w:tc>
        <w:tc>
          <w:tcPr>
            <w:tcW w:w="1680" w:type="dxa"/>
          </w:tcPr>
          <w:p w14:paraId="20F53941" w14:textId="77777777" w:rsidR="00383886" w:rsidRPr="00383886" w:rsidRDefault="00383886" w:rsidP="00FD6B98">
            <w:pPr>
              <w:spacing w:before="20" w:after="20"/>
              <w:jc w:val="both"/>
              <w:rPr>
                <w:rFonts w:cs="Arial"/>
                <w:bCs/>
                <w:sz w:val="20"/>
              </w:rPr>
            </w:pPr>
            <w:r w:rsidRPr="00383886">
              <w:rPr>
                <w:rFonts w:cs="Arial"/>
                <w:bCs/>
                <w:sz w:val="20"/>
              </w:rPr>
              <w:t>I-IV Q 2022.</w:t>
            </w:r>
          </w:p>
        </w:tc>
        <w:tc>
          <w:tcPr>
            <w:tcW w:w="2063" w:type="dxa"/>
          </w:tcPr>
          <w:p w14:paraId="7AA23DEA" w14:textId="77777777" w:rsidR="00383886" w:rsidRPr="00383886" w:rsidRDefault="00383886" w:rsidP="00FD6B98">
            <w:pPr>
              <w:spacing w:before="20" w:after="20"/>
              <w:jc w:val="both"/>
              <w:rPr>
                <w:rFonts w:cs="Arial"/>
                <w:sz w:val="20"/>
              </w:rPr>
            </w:pPr>
            <w:r w:rsidRPr="00383886">
              <w:rPr>
                <w:rFonts w:cs="Arial"/>
                <w:sz w:val="20"/>
              </w:rPr>
              <w:t>Za utvrđivanje procjene uticaja propisa će biti urađena RIA analiza.</w:t>
            </w:r>
          </w:p>
        </w:tc>
        <w:tc>
          <w:tcPr>
            <w:tcW w:w="1381" w:type="dxa"/>
            <w:gridSpan w:val="2"/>
          </w:tcPr>
          <w:p w14:paraId="3D2E28E7" w14:textId="77777777" w:rsidR="00383886" w:rsidRPr="00383886" w:rsidRDefault="00383886" w:rsidP="00FD6B98">
            <w:pPr>
              <w:spacing w:before="20" w:after="20"/>
              <w:jc w:val="both"/>
              <w:rPr>
                <w:rFonts w:cs="Arial"/>
                <w:sz w:val="20"/>
              </w:rPr>
            </w:pPr>
            <w:r w:rsidRPr="00383886">
              <w:rPr>
                <w:rFonts w:cs="Arial"/>
                <w:sz w:val="20"/>
              </w:rPr>
              <w:t xml:space="preserve">Redovni </w:t>
            </w:r>
          </w:p>
          <w:p w14:paraId="2EE3F92A" w14:textId="77777777" w:rsidR="00383886" w:rsidRPr="00383886" w:rsidRDefault="00383886" w:rsidP="00FD6B98">
            <w:pPr>
              <w:spacing w:before="20" w:after="20"/>
              <w:jc w:val="both"/>
              <w:rPr>
                <w:rFonts w:cs="Arial"/>
                <w:sz w:val="20"/>
              </w:rPr>
            </w:pPr>
            <w:r w:rsidRPr="00383886">
              <w:rPr>
                <w:rFonts w:cs="Arial"/>
                <w:sz w:val="20"/>
              </w:rPr>
              <w:t xml:space="preserve">troškovi se finansiraju iz </w:t>
            </w:r>
          </w:p>
          <w:p w14:paraId="7ADA9287" w14:textId="77777777" w:rsidR="00383886" w:rsidRPr="00383886" w:rsidRDefault="00383886" w:rsidP="00FD6B98">
            <w:pPr>
              <w:spacing w:before="20" w:after="20"/>
              <w:jc w:val="both"/>
              <w:rPr>
                <w:rFonts w:cs="Arial"/>
                <w:sz w:val="20"/>
              </w:rPr>
            </w:pPr>
            <w:r w:rsidRPr="00383886">
              <w:rPr>
                <w:rFonts w:cs="Arial"/>
                <w:sz w:val="20"/>
              </w:rPr>
              <w:t>Budžeta CG</w:t>
            </w:r>
          </w:p>
        </w:tc>
        <w:tc>
          <w:tcPr>
            <w:tcW w:w="2373" w:type="dxa"/>
          </w:tcPr>
          <w:p w14:paraId="2E342FD1" w14:textId="77777777" w:rsidR="00383886" w:rsidRPr="00383886" w:rsidRDefault="00383886" w:rsidP="00FD6B98">
            <w:pPr>
              <w:spacing w:before="20" w:after="20"/>
              <w:rPr>
                <w:rFonts w:cs="Arial"/>
                <w:sz w:val="20"/>
                <w:lang w:val="hr-HR"/>
              </w:rPr>
            </w:pPr>
            <w:r w:rsidRPr="00383886">
              <w:rPr>
                <w:rFonts w:cs="Arial"/>
                <w:sz w:val="20"/>
              </w:rPr>
              <w:t xml:space="preserve">Ovim zakonom </w:t>
            </w:r>
            <w:r w:rsidRPr="00383886">
              <w:rPr>
                <w:rFonts w:cs="Arial"/>
                <w:sz w:val="20"/>
                <w:lang w:val="hr-HR"/>
              </w:rPr>
              <w:t>biće uređeno postupanje u slučaju poremećaja snabdijevanja Crne Gore naftnim derivatima, način formiranja i upravljanja strateškim rezervama naftnih derivata i druga pitanja od značaja za sigurno snabdijevanje Crne Gore naftnim derivatima. </w:t>
            </w:r>
          </w:p>
        </w:tc>
      </w:tr>
      <w:tr w:rsidR="00383886" w:rsidRPr="00383886" w14:paraId="450B733E" w14:textId="77777777" w:rsidTr="00FF0B4A">
        <w:tc>
          <w:tcPr>
            <w:tcW w:w="725" w:type="dxa"/>
            <w:shd w:val="clear" w:color="auto" w:fill="auto"/>
          </w:tcPr>
          <w:p w14:paraId="6658017A" w14:textId="77777777" w:rsidR="00383886" w:rsidRPr="00383886" w:rsidRDefault="00383886" w:rsidP="00FD6B98">
            <w:pPr>
              <w:spacing w:before="20" w:after="20"/>
              <w:jc w:val="both"/>
              <w:rPr>
                <w:rFonts w:cs="Arial"/>
                <w:sz w:val="20"/>
              </w:rPr>
            </w:pPr>
            <w:r w:rsidRPr="00383886">
              <w:rPr>
                <w:rFonts w:cs="Arial"/>
                <w:sz w:val="20"/>
              </w:rPr>
              <w:lastRenderedPageBreak/>
              <w:t>5</w:t>
            </w:r>
            <w:r w:rsidR="00AE274D">
              <w:rPr>
                <w:rFonts w:cs="Arial"/>
                <w:sz w:val="20"/>
              </w:rPr>
              <w:t>.</w:t>
            </w:r>
          </w:p>
        </w:tc>
        <w:tc>
          <w:tcPr>
            <w:tcW w:w="2216" w:type="dxa"/>
            <w:shd w:val="clear" w:color="auto" w:fill="auto"/>
          </w:tcPr>
          <w:p w14:paraId="593D9DBB" w14:textId="77777777" w:rsidR="00383886" w:rsidRPr="00383886" w:rsidRDefault="00383886" w:rsidP="00FD6B98">
            <w:pPr>
              <w:tabs>
                <w:tab w:val="left" w:pos="120"/>
              </w:tabs>
              <w:spacing w:before="40" w:after="40"/>
              <w:jc w:val="both"/>
              <w:rPr>
                <w:rFonts w:cs="Arial"/>
                <w:sz w:val="20"/>
              </w:rPr>
            </w:pPr>
            <w:r w:rsidRPr="00383886">
              <w:rPr>
                <w:rFonts w:cs="Arial"/>
                <w:sz w:val="20"/>
              </w:rPr>
              <w:t>Informacija o aktivnostima na realizaciji projekta povezivanja elektroenergetskih sistema Crne Gore i Italije podmorskim kablom</w:t>
            </w:r>
          </w:p>
        </w:tc>
        <w:tc>
          <w:tcPr>
            <w:tcW w:w="2640" w:type="dxa"/>
            <w:shd w:val="clear" w:color="auto" w:fill="auto"/>
          </w:tcPr>
          <w:p w14:paraId="2BD8E4CE" w14:textId="77777777" w:rsidR="00383886" w:rsidRPr="00383886" w:rsidRDefault="00383886" w:rsidP="00FD6B98">
            <w:pPr>
              <w:spacing w:before="20" w:after="20"/>
              <w:jc w:val="both"/>
              <w:rPr>
                <w:rFonts w:cs="Arial"/>
                <w:sz w:val="20"/>
              </w:rPr>
            </w:pPr>
            <w:r w:rsidRPr="00383886">
              <w:rPr>
                <w:rFonts w:cs="Arial"/>
                <w:sz w:val="20"/>
              </w:rPr>
              <w:t>Usvojena Informacija od strane Vlade</w:t>
            </w:r>
          </w:p>
        </w:tc>
        <w:tc>
          <w:tcPr>
            <w:tcW w:w="1813" w:type="dxa"/>
            <w:gridSpan w:val="2"/>
            <w:shd w:val="clear" w:color="auto" w:fill="auto"/>
          </w:tcPr>
          <w:p w14:paraId="3ACE6C75" w14:textId="77777777" w:rsidR="00383886" w:rsidRPr="00383886" w:rsidRDefault="00383886" w:rsidP="00FD6B98">
            <w:pPr>
              <w:spacing w:before="20" w:after="20"/>
              <w:jc w:val="both"/>
              <w:rPr>
                <w:rFonts w:cs="Arial"/>
                <w:bCs/>
                <w:sz w:val="20"/>
              </w:rPr>
            </w:pPr>
            <w:r w:rsidRPr="00383886">
              <w:rPr>
                <w:rFonts w:cs="Arial"/>
                <w:bCs/>
                <w:sz w:val="20"/>
              </w:rPr>
              <w:t>NI: MKI</w:t>
            </w:r>
          </w:p>
          <w:p w14:paraId="1C239222" w14:textId="77777777" w:rsidR="00383886" w:rsidRPr="00383886" w:rsidRDefault="00383886" w:rsidP="00FD6B98">
            <w:pPr>
              <w:spacing w:before="20" w:after="20"/>
              <w:jc w:val="both"/>
              <w:rPr>
                <w:rFonts w:cs="Arial"/>
                <w:bCs/>
                <w:sz w:val="20"/>
              </w:rPr>
            </w:pPr>
          </w:p>
          <w:p w14:paraId="1BA9DCB9" w14:textId="77777777" w:rsidR="00383886" w:rsidRPr="00383886" w:rsidRDefault="00383886" w:rsidP="00FD6B98">
            <w:pPr>
              <w:spacing w:before="20" w:after="20"/>
              <w:jc w:val="both"/>
              <w:rPr>
                <w:rFonts w:cs="Arial"/>
                <w:bCs/>
                <w:sz w:val="20"/>
              </w:rPr>
            </w:pPr>
            <w:r w:rsidRPr="00383886">
              <w:rPr>
                <w:rFonts w:cs="Arial"/>
                <w:bCs/>
                <w:sz w:val="20"/>
              </w:rPr>
              <w:t>NK: KEPIF</w:t>
            </w:r>
          </w:p>
          <w:p w14:paraId="5E856BCA" w14:textId="77777777" w:rsidR="00383886" w:rsidRPr="00383886" w:rsidRDefault="00383886" w:rsidP="00FD6B98">
            <w:pPr>
              <w:spacing w:before="20" w:after="20"/>
              <w:jc w:val="both"/>
              <w:rPr>
                <w:rFonts w:cs="Arial"/>
                <w:bCs/>
                <w:sz w:val="20"/>
              </w:rPr>
            </w:pPr>
          </w:p>
        </w:tc>
        <w:tc>
          <w:tcPr>
            <w:tcW w:w="1680" w:type="dxa"/>
            <w:shd w:val="clear" w:color="auto" w:fill="auto"/>
          </w:tcPr>
          <w:p w14:paraId="3F850245" w14:textId="77777777" w:rsidR="00383886" w:rsidRPr="00383886" w:rsidRDefault="00383886" w:rsidP="00FD6B98">
            <w:pPr>
              <w:spacing w:before="20" w:after="20"/>
              <w:jc w:val="both"/>
              <w:rPr>
                <w:rFonts w:cs="Arial"/>
                <w:bCs/>
                <w:sz w:val="20"/>
              </w:rPr>
            </w:pPr>
            <w:r w:rsidRPr="00383886">
              <w:rPr>
                <w:rFonts w:cs="Arial"/>
                <w:bCs/>
                <w:sz w:val="20"/>
              </w:rPr>
              <w:t>II-IV Q 2022.</w:t>
            </w:r>
          </w:p>
          <w:p w14:paraId="6CB4DB65" w14:textId="77777777" w:rsidR="00383886" w:rsidRPr="00383886" w:rsidRDefault="00383886" w:rsidP="00FD6B98">
            <w:pPr>
              <w:spacing w:before="20" w:after="20"/>
              <w:jc w:val="both"/>
              <w:rPr>
                <w:rFonts w:cs="Arial"/>
                <w:bCs/>
                <w:sz w:val="20"/>
              </w:rPr>
            </w:pPr>
          </w:p>
          <w:p w14:paraId="715192B9" w14:textId="77777777" w:rsidR="00383886" w:rsidRPr="00383886" w:rsidRDefault="00383886" w:rsidP="00FD6B98">
            <w:pPr>
              <w:spacing w:before="20" w:after="20"/>
              <w:jc w:val="both"/>
              <w:rPr>
                <w:rFonts w:cs="Arial"/>
                <w:bCs/>
                <w:sz w:val="20"/>
              </w:rPr>
            </w:pPr>
            <w:r w:rsidRPr="00383886">
              <w:rPr>
                <w:rFonts w:cs="Arial"/>
                <w:bCs/>
                <w:sz w:val="20"/>
              </w:rPr>
              <w:t>(Program rada Vlade CG)</w:t>
            </w:r>
          </w:p>
          <w:p w14:paraId="6176A5BC" w14:textId="77777777" w:rsidR="00383886" w:rsidRPr="00383886" w:rsidRDefault="00383886" w:rsidP="00FD6B98">
            <w:pPr>
              <w:spacing w:before="20" w:after="20"/>
              <w:jc w:val="both"/>
              <w:rPr>
                <w:rFonts w:cs="Arial"/>
                <w:bCs/>
                <w:sz w:val="20"/>
              </w:rPr>
            </w:pPr>
          </w:p>
        </w:tc>
        <w:tc>
          <w:tcPr>
            <w:tcW w:w="2063" w:type="dxa"/>
            <w:shd w:val="clear" w:color="auto" w:fill="auto"/>
          </w:tcPr>
          <w:p w14:paraId="1FC1181B" w14:textId="77777777" w:rsidR="00383886" w:rsidRPr="00383886" w:rsidRDefault="00383886" w:rsidP="00FD6B98">
            <w:pPr>
              <w:spacing w:before="20" w:after="20"/>
              <w:jc w:val="center"/>
              <w:rPr>
                <w:rFonts w:cs="Arial"/>
                <w:sz w:val="20"/>
              </w:rPr>
            </w:pPr>
            <w:r w:rsidRPr="00383886">
              <w:rPr>
                <w:rFonts w:cs="Arial"/>
                <w:sz w:val="20"/>
              </w:rPr>
              <w:t>/</w:t>
            </w:r>
          </w:p>
        </w:tc>
        <w:tc>
          <w:tcPr>
            <w:tcW w:w="1381" w:type="dxa"/>
            <w:gridSpan w:val="2"/>
            <w:shd w:val="clear" w:color="auto" w:fill="auto"/>
          </w:tcPr>
          <w:p w14:paraId="4DC6927C" w14:textId="77777777" w:rsidR="00383886" w:rsidRPr="00383886" w:rsidRDefault="00383886" w:rsidP="00FD6B98">
            <w:pPr>
              <w:spacing w:before="20" w:after="20"/>
              <w:jc w:val="both"/>
              <w:rPr>
                <w:rFonts w:cs="Arial"/>
                <w:sz w:val="20"/>
              </w:rPr>
            </w:pPr>
            <w:r w:rsidRPr="00383886">
              <w:rPr>
                <w:rFonts w:cs="Arial"/>
                <w:sz w:val="20"/>
              </w:rPr>
              <w:t xml:space="preserve">Redovni </w:t>
            </w:r>
          </w:p>
          <w:p w14:paraId="55EE6E3F" w14:textId="77777777" w:rsidR="00383886" w:rsidRPr="00383886" w:rsidRDefault="00383886" w:rsidP="00FD6B98">
            <w:pPr>
              <w:spacing w:before="20" w:after="20"/>
              <w:jc w:val="both"/>
              <w:rPr>
                <w:rFonts w:cs="Arial"/>
                <w:sz w:val="20"/>
              </w:rPr>
            </w:pPr>
            <w:r w:rsidRPr="00383886">
              <w:rPr>
                <w:rFonts w:cs="Arial"/>
                <w:sz w:val="20"/>
              </w:rPr>
              <w:t xml:space="preserve">troškovi se finansiraju iz </w:t>
            </w:r>
          </w:p>
          <w:p w14:paraId="37084080" w14:textId="77777777" w:rsidR="00383886" w:rsidRPr="00383886" w:rsidRDefault="00383886" w:rsidP="00FD6B98">
            <w:pPr>
              <w:spacing w:before="20" w:after="20"/>
              <w:jc w:val="both"/>
              <w:rPr>
                <w:rFonts w:cs="Arial"/>
                <w:sz w:val="20"/>
              </w:rPr>
            </w:pPr>
            <w:r w:rsidRPr="00383886">
              <w:rPr>
                <w:rFonts w:cs="Arial"/>
                <w:sz w:val="20"/>
              </w:rPr>
              <w:t>Budžeta CG</w:t>
            </w:r>
          </w:p>
        </w:tc>
        <w:tc>
          <w:tcPr>
            <w:tcW w:w="2373" w:type="dxa"/>
            <w:shd w:val="clear" w:color="auto" w:fill="auto"/>
          </w:tcPr>
          <w:p w14:paraId="529F51A1" w14:textId="77777777" w:rsidR="00383886" w:rsidRPr="00383886" w:rsidRDefault="00383886" w:rsidP="00FD6B98">
            <w:pPr>
              <w:spacing w:before="20" w:after="20"/>
              <w:jc w:val="both"/>
              <w:rPr>
                <w:rFonts w:cs="Arial"/>
                <w:sz w:val="20"/>
              </w:rPr>
            </w:pPr>
            <w:r w:rsidRPr="00383886">
              <w:rPr>
                <w:rFonts w:cs="Arial"/>
                <w:sz w:val="20"/>
              </w:rPr>
              <w:t>Na osnovu prikupljenih informacija od strane subjekta koji realizuje ovaj projekat Vlada će se u kontinuitetu upoznati sa trenutnim statusom i pratiti aktivnosti na ovom projektu.</w:t>
            </w:r>
          </w:p>
        </w:tc>
      </w:tr>
      <w:tr w:rsidR="00383886" w:rsidRPr="00383886" w14:paraId="42BDCCF4" w14:textId="77777777" w:rsidTr="00FF0B4A">
        <w:tc>
          <w:tcPr>
            <w:tcW w:w="725" w:type="dxa"/>
            <w:shd w:val="clear" w:color="auto" w:fill="auto"/>
          </w:tcPr>
          <w:p w14:paraId="6350DE9F" w14:textId="77777777" w:rsidR="00383886" w:rsidRPr="00383886" w:rsidRDefault="00383886" w:rsidP="00FD6B98">
            <w:pPr>
              <w:spacing w:before="20" w:after="20"/>
              <w:jc w:val="both"/>
              <w:rPr>
                <w:rFonts w:cs="Arial"/>
                <w:sz w:val="20"/>
              </w:rPr>
            </w:pPr>
            <w:r w:rsidRPr="00383886">
              <w:rPr>
                <w:rFonts w:cs="Arial"/>
                <w:sz w:val="20"/>
              </w:rPr>
              <w:t>6</w:t>
            </w:r>
            <w:r w:rsidR="00AE274D">
              <w:rPr>
                <w:rFonts w:cs="Arial"/>
                <w:sz w:val="20"/>
              </w:rPr>
              <w:t>.</w:t>
            </w:r>
          </w:p>
        </w:tc>
        <w:tc>
          <w:tcPr>
            <w:tcW w:w="2216" w:type="dxa"/>
            <w:shd w:val="clear" w:color="auto" w:fill="auto"/>
          </w:tcPr>
          <w:p w14:paraId="30797672" w14:textId="77777777" w:rsidR="00383886" w:rsidRPr="00383886" w:rsidRDefault="00383886" w:rsidP="00FD6B98">
            <w:pPr>
              <w:tabs>
                <w:tab w:val="left" w:pos="120"/>
              </w:tabs>
              <w:spacing w:before="40" w:after="40"/>
              <w:jc w:val="both"/>
              <w:rPr>
                <w:rFonts w:cs="Arial"/>
                <w:sz w:val="20"/>
              </w:rPr>
            </w:pPr>
            <w:r w:rsidRPr="00383886">
              <w:rPr>
                <w:rFonts w:cs="Arial"/>
                <w:sz w:val="20"/>
              </w:rPr>
              <w:t>Informacija o realizaciji projekta intenzivne revitalizacije elektrodistributivne mreže</w:t>
            </w:r>
          </w:p>
        </w:tc>
        <w:tc>
          <w:tcPr>
            <w:tcW w:w="2640" w:type="dxa"/>
            <w:shd w:val="clear" w:color="auto" w:fill="auto"/>
          </w:tcPr>
          <w:p w14:paraId="3EC1B07B" w14:textId="77777777" w:rsidR="00383886" w:rsidRPr="00383886" w:rsidRDefault="00383886" w:rsidP="00FD6B98">
            <w:pPr>
              <w:spacing w:before="20" w:after="20"/>
              <w:jc w:val="both"/>
              <w:rPr>
                <w:rFonts w:cs="Arial"/>
                <w:sz w:val="20"/>
              </w:rPr>
            </w:pPr>
            <w:r w:rsidRPr="00383886">
              <w:rPr>
                <w:rFonts w:cs="Arial"/>
                <w:sz w:val="20"/>
              </w:rPr>
              <w:t>Usvojena Informacija od strane Vlade</w:t>
            </w:r>
          </w:p>
        </w:tc>
        <w:tc>
          <w:tcPr>
            <w:tcW w:w="1813" w:type="dxa"/>
            <w:gridSpan w:val="2"/>
            <w:shd w:val="clear" w:color="auto" w:fill="auto"/>
          </w:tcPr>
          <w:p w14:paraId="279C39F3" w14:textId="77777777" w:rsidR="00383886" w:rsidRPr="00383886" w:rsidRDefault="00383886" w:rsidP="00FD6B98">
            <w:pPr>
              <w:spacing w:before="20" w:after="20"/>
              <w:jc w:val="both"/>
              <w:rPr>
                <w:rFonts w:cs="Arial"/>
                <w:bCs/>
                <w:sz w:val="20"/>
              </w:rPr>
            </w:pPr>
            <w:r w:rsidRPr="00383886">
              <w:rPr>
                <w:rFonts w:cs="Arial"/>
                <w:bCs/>
                <w:sz w:val="20"/>
              </w:rPr>
              <w:t>NI: MKI</w:t>
            </w:r>
          </w:p>
          <w:p w14:paraId="2F67DBE5" w14:textId="77777777" w:rsidR="00383886" w:rsidRPr="00383886" w:rsidRDefault="00383886" w:rsidP="00FD6B98">
            <w:pPr>
              <w:spacing w:before="20" w:after="20"/>
              <w:jc w:val="both"/>
              <w:rPr>
                <w:rFonts w:cs="Arial"/>
                <w:bCs/>
                <w:sz w:val="20"/>
              </w:rPr>
            </w:pPr>
          </w:p>
          <w:p w14:paraId="3E6BB802" w14:textId="77777777" w:rsidR="00383886" w:rsidRPr="00383886" w:rsidRDefault="00383886" w:rsidP="00FD6B98">
            <w:pPr>
              <w:spacing w:before="20" w:after="20"/>
              <w:jc w:val="both"/>
              <w:rPr>
                <w:rFonts w:cs="Arial"/>
                <w:bCs/>
                <w:sz w:val="20"/>
              </w:rPr>
            </w:pPr>
            <w:r w:rsidRPr="00383886">
              <w:rPr>
                <w:rFonts w:cs="Arial"/>
                <w:bCs/>
                <w:sz w:val="20"/>
              </w:rPr>
              <w:t>NK: KEPIF</w:t>
            </w:r>
          </w:p>
          <w:p w14:paraId="457EFA12" w14:textId="77777777" w:rsidR="00383886" w:rsidRPr="00383886" w:rsidRDefault="00383886" w:rsidP="00FD6B98">
            <w:pPr>
              <w:spacing w:before="20" w:after="20"/>
              <w:jc w:val="both"/>
              <w:rPr>
                <w:rFonts w:cs="Arial"/>
                <w:bCs/>
                <w:sz w:val="20"/>
              </w:rPr>
            </w:pPr>
          </w:p>
        </w:tc>
        <w:tc>
          <w:tcPr>
            <w:tcW w:w="1680" w:type="dxa"/>
            <w:shd w:val="clear" w:color="auto" w:fill="auto"/>
          </w:tcPr>
          <w:p w14:paraId="334C5A1C" w14:textId="77777777" w:rsidR="00383886" w:rsidRPr="00383886" w:rsidRDefault="00383886" w:rsidP="00FD6B98">
            <w:pPr>
              <w:spacing w:before="20" w:after="20"/>
              <w:jc w:val="both"/>
              <w:rPr>
                <w:rFonts w:cs="Arial"/>
                <w:bCs/>
                <w:sz w:val="20"/>
              </w:rPr>
            </w:pPr>
            <w:r w:rsidRPr="00383886">
              <w:rPr>
                <w:rFonts w:cs="Arial"/>
                <w:bCs/>
                <w:sz w:val="20"/>
              </w:rPr>
              <w:t>II-IV Q 2022.</w:t>
            </w:r>
          </w:p>
          <w:p w14:paraId="1329A849" w14:textId="77777777" w:rsidR="00383886" w:rsidRPr="00383886" w:rsidRDefault="00383886" w:rsidP="00FD6B98">
            <w:pPr>
              <w:spacing w:before="20" w:after="20"/>
              <w:jc w:val="both"/>
              <w:rPr>
                <w:rFonts w:cs="Arial"/>
                <w:bCs/>
                <w:sz w:val="20"/>
              </w:rPr>
            </w:pPr>
          </w:p>
          <w:p w14:paraId="4029B044" w14:textId="77777777" w:rsidR="00383886" w:rsidRPr="00383886" w:rsidRDefault="00383886" w:rsidP="00FD6B98">
            <w:pPr>
              <w:spacing w:before="20" w:after="20"/>
              <w:jc w:val="both"/>
              <w:rPr>
                <w:rFonts w:cs="Arial"/>
                <w:bCs/>
                <w:sz w:val="20"/>
              </w:rPr>
            </w:pPr>
            <w:r w:rsidRPr="00383886">
              <w:rPr>
                <w:rFonts w:cs="Arial"/>
                <w:bCs/>
                <w:sz w:val="20"/>
              </w:rPr>
              <w:t>(Program rada Vlade CG)</w:t>
            </w:r>
          </w:p>
        </w:tc>
        <w:tc>
          <w:tcPr>
            <w:tcW w:w="2063" w:type="dxa"/>
            <w:shd w:val="clear" w:color="auto" w:fill="auto"/>
          </w:tcPr>
          <w:p w14:paraId="1A5BFFF1" w14:textId="77777777" w:rsidR="00383886" w:rsidRPr="00383886" w:rsidRDefault="00383886" w:rsidP="00FD6B98">
            <w:pPr>
              <w:spacing w:before="20" w:after="20"/>
              <w:jc w:val="center"/>
              <w:rPr>
                <w:rFonts w:cs="Arial"/>
                <w:sz w:val="20"/>
              </w:rPr>
            </w:pPr>
            <w:r w:rsidRPr="00383886">
              <w:rPr>
                <w:rFonts w:cs="Arial"/>
                <w:sz w:val="20"/>
              </w:rPr>
              <w:t>/</w:t>
            </w:r>
          </w:p>
        </w:tc>
        <w:tc>
          <w:tcPr>
            <w:tcW w:w="1381" w:type="dxa"/>
            <w:gridSpan w:val="2"/>
            <w:shd w:val="clear" w:color="auto" w:fill="auto"/>
          </w:tcPr>
          <w:p w14:paraId="56766EDB" w14:textId="77777777" w:rsidR="00383886" w:rsidRPr="00383886" w:rsidRDefault="00383886" w:rsidP="00FD6B98">
            <w:pPr>
              <w:spacing w:before="20" w:after="20"/>
              <w:jc w:val="both"/>
              <w:rPr>
                <w:rFonts w:cs="Arial"/>
                <w:sz w:val="20"/>
              </w:rPr>
            </w:pPr>
            <w:r w:rsidRPr="00383886">
              <w:rPr>
                <w:rFonts w:cs="Arial"/>
                <w:sz w:val="20"/>
              </w:rPr>
              <w:t xml:space="preserve">Redovni </w:t>
            </w:r>
          </w:p>
          <w:p w14:paraId="1887AB24" w14:textId="77777777" w:rsidR="00383886" w:rsidRPr="00383886" w:rsidRDefault="00383886" w:rsidP="00FD6B98">
            <w:pPr>
              <w:spacing w:before="20" w:after="20"/>
              <w:jc w:val="both"/>
              <w:rPr>
                <w:rFonts w:cs="Arial"/>
                <w:sz w:val="20"/>
              </w:rPr>
            </w:pPr>
            <w:r w:rsidRPr="00383886">
              <w:rPr>
                <w:rFonts w:cs="Arial"/>
                <w:sz w:val="20"/>
              </w:rPr>
              <w:t xml:space="preserve">troškovi se finansiraju iz </w:t>
            </w:r>
          </w:p>
          <w:p w14:paraId="27BD46EA" w14:textId="77777777" w:rsidR="00383886" w:rsidRPr="00383886" w:rsidRDefault="00383886" w:rsidP="00FD6B98">
            <w:pPr>
              <w:spacing w:before="20" w:after="20"/>
              <w:jc w:val="both"/>
              <w:rPr>
                <w:rFonts w:cs="Arial"/>
                <w:sz w:val="20"/>
              </w:rPr>
            </w:pPr>
            <w:r w:rsidRPr="00383886">
              <w:rPr>
                <w:rFonts w:cs="Arial"/>
                <w:sz w:val="20"/>
              </w:rPr>
              <w:t>Budžeta CG</w:t>
            </w:r>
          </w:p>
        </w:tc>
        <w:tc>
          <w:tcPr>
            <w:tcW w:w="2373" w:type="dxa"/>
            <w:shd w:val="clear" w:color="auto" w:fill="auto"/>
          </w:tcPr>
          <w:p w14:paraId="235659C0" w14:textId="77777777" w:rsidR="00383886" w:rsidRPr="00383886" w:rsidRDefault="00383886" w:rsidP="00FD6B98">
            <w:pPr>
              <w:spacing w:before="20" w:after="20"/>
              <w:jc w:val="both"/>
              <w:rPr>
                <w:rFonts w:cs="Arial"/>
                <w:sz w:val="20"/>
              </w:rPr>
            </w:pPr>
            <w:r w:rsidRPr="00383886">
              <w:rPr>
                <w:rFonts w:cs="Arial"/>
                <w:sz w:val="20"/>
              </w:rPr>
              <w:t>Na osnovu prikupljenih informacija od strane subjekta koji realizuje ovaj projekat Vlada će se u kontinuitetu upoznati sa trenutnim statusom i pratiti aktivnosti na ovom projektu.</w:t>
            </w:r>
          </w:p>
        </w:tc>
      </w:tr>
      <w:tr w:rsidR="00383886" w:rsidRPr="00383886" w14:paraId="56287E62" w14:textId="77777777" w:rsidTr="00FF0B4A">
        <w:tc>
          <w:tcPr>
            <w:tcW w:w="725" w:type="dxa"/>
            <w:shd w:val="clear" w:color="auto" w:fill="auto"/>
          </w:tcPr>
          <w:p w14:paraId="066C7AF2" w14:textId="77777777" w:rsidR="00383886" w:rsidRPr="00383886" w:rsidRDefault="00383886" w:rsidP="00FD6B98">
            <w:pPr>
              <w:spacing w:before="20" w:after="20"/>
              <w:jc w:val="both"/>
              <w:rPr>
                <w:rFonts w:cs="Arial"/>
                <w:sz w:val="20"/>
              </w:rPr>
            </w:pPr>
            <w:r w:rsidRPr="00383886">
              <w:rPr>
                <w:rFonts w:cs="Arial"/>
                <w:sz w:val="20"/>
              </w:rPr>
              <w:t>7</w:t>
            </w:r>
            <w:r w:rsidR="00AE274D">
              <w:rPr>
                <w:rFonts w:cs="Arial"/>
                <w:sz w:val="20"/>
              </w:rPr>
              <w:t>.</w:t>
            </w:r>
          </w:p>
        </w:tc>
        <w:tc>
          <w:tcPr>
            <w:tcW w:w="2216" w:type="dxa"/>
            <w:shd w:val="clear" w:color="auto" w:fill="auto"/>
          </w:tcPr>
          <w:p w14:paraId="0AB54246" w14:textId="77777777" w:rsidR="00383886" w:rsidRPr="00383886" w:rsidRDefault="00383886" w:rsidP="00FD6B98">
            <w:pPr>
              <w:tabs>
                <w:tab w:val="left" w:pos="120"/>
              </w:tabs>
              <w:spacing w:before="40" w:after="40"/>
              <w:jc w:val="both"/>
              <w:rPr>
                <w:rFonts w:cs="Arial"/>
                <w:sz w:val="20"/>
              </w:rPr>
            </w:pPr>
            <w:r w:rsidRPr="00383886">
              <w:rPr>
                <w:rFonts w:cs="Arial"/>
                <w:sz w:val="20"/>
              </w:rPr>
              <w:t>Informacija o aktivnostima na realizaciji projekta termoenergetskog kompleksa u Pljevljima</w:t>
            </w:r>
          </w:p>
        </w:tc>
        <w:tc>
          <w:tcPr>
            <w:tcW w:w="2640" w:type="dxa"/>
            <w:shd w:val="clear" w:color="auto" w:fill="auto"/>
          </w:tcPr>
          <w:p w14:paraId="66BC3F49" w14:textId="77777777" w:rsidR="00383886" w:rsidRPr="00383886" w:rsidRDefault="00383886" w:rsidP="00FD6B98">
            <w:pPr>
              <w:spacing w:before="20" w:after="20"/>
              <w:jc w:val="both"/>
              <w:rPr>
                <w:rFonts w:cs="Arial"/>
                <w:sz w:val="20"/>
              </w:rPr>
            </w:pPr>
            <w:r w:rsidRPr="00383886">
              <w:rPr>
                <w:rFonts w:cs="Arial"/>
                <w:sz w:val="20"/>
              </w:rPr>
              <w:t>Usvojena Informacija od strane Vlade</w:t>
            </w:r>
          </w:p>
        </w:tc>
        <w:tc>
          <w:tcPr>
            <w:tcW w:w="1813" w:type="dxa"/>
            <w:gridSpan w:val="2"/>
            <w:shd w:val="clear" w:color="auto" w:fill="auto"/>
          </w:tcPr>
          <w:p w14:paraId="5ED4B4C6" w14:textId="77777777" w:rsidR="00383886" w:rsidRPr="00383886" w:rsidRDefault="00383886" w:rsidP="00FD6B98">
            <w:pPr>
              <w:spacing w:before="20" w:after="20"/>
              <w:jc w:val="both"/>
              <w:rPr>
                <w:rFonts w:cs="Arial"/>
                <w:bCs/>
                <w:sz w:val="20"/>
              </w:rPr>
            </w:pPr>
            <w:r w:rsidRPr="00383886">
              <w:rPr>
                <w:rFonts w:cs="Arial"/>
                <w:bCs/>
                <w:sz w:val="20"/>
              </w:rPr>
              <w:t>NI: MKI</w:t>
            </w:r>
          </w:p>
          <w:p w14:paraId="2128074B" w14:textId="77777777" w:rsidR="00383886" w:rsidRPr="00383886" w:rsidRDefault="00383886" w:rsidP="00FD6B98">
            <w:pPr>
              <w:spacing w:before="20" w:after="20"/>
              <w:jc w:val="both"/>
              <w:rPr>
                <w:rFonts w:cs="Arial"/>
                <w:bCs/>
                <w:sz w:val="20"/>
              </w:rPr>
            </w:pPr>
          </w:p>
          <w:p w14:paraId="17AC8949" w14:textId="77777777" w:rsidR="00383886" w:rsidRPr="00383886" w:rsidRDefault="00383886" w:rsidP="00FD6B98">
            <w:pPr>
              <w:spacing w:before="20" w:after="20"/>
              <w:jc w:val="both"/>
              <w:rPr>
                <w:rFonts w:cs="Arial"/>
                <w:bCs/>
                <w:sz w:val="20"/>
              </w:rPr>
            </w:pPr>
            <w:r w:rsidRPr="00383886">
              <w:rPr>
                <w:rFonts w:cs="Arial"/>
                <w:bCs/>
                <w:sz w:val="20"/>
              </w:rPr>
              <w:t>NK: KEPIF</w:t>
            </w:r>
          </w:p>
          <w:p w14:paraId="511B8278" w14:textId="77777777" w:rsidR="00383886" w:rsidRPr="00383886" w:rsidRDefault="00383886" w:rsidP="00FD6B98">
            <w:pPr>
              <w:spacing w:before="20" w:after="20"/>
              <w:jc w:val="both"/>
              <w:rPr>
                <w:rFonts w:cs="Arial"/>
                <w:bCs/>
                <w:sz w:val="20"/>
              </w:rPr>
            </w:pPr>
          </w:p>
        </w:tc>
        <w:tc>
          <w:tcPr>
            <w:tcW w:w="1680" w:type="dxa"/>
            <w:shd w:val="clear" w:color="auto" w:fill="auto"/>
          </w:tcPr>
          <w:p w14:paraId="27692457" w14:textId="77777777" w:rsidR="00383886" w:rsidRPr="00383886" w:rsidRDefault="00383886" w:rsidP="00FD6B98">
            <w:pPr>
              <w:spacing w:before="20" w:after="20"/>
              <w:jc w:val="both"/>
              <w:rPr>
                <w:rFonts w:cs="Arial"/>
                <w:bCs/>
                <w:sz w:val="20"/>
              </w:rPr>
            </w:pPr>
            <w:r w:rsidRPr="00383886">
              <w:rPr>
                <w:rFonts w:cs="Arial"/>
                <w:bCs/>
                <w:sz w:val="20"/>
              </w:rPr>
              <w:t>II-IV Q 2022.</w:t>
            </w:r>
          </w:p>
          <w:p w14:paraId="07A3E2EB" w14:textId="77777777" w:rsidR="00383886" w:rsidRPr="00383886" w:rsidRDefault="00383886" w:rsidP="00FD6B98">
            <w:pPr>
              <w:spacing w:before="20" w:after="20"/>
              <w:jc w:val="both"/>
              <w:rPr>
                <w:rFonts w:cs="Arial"/>
                <w:bCs/>
                <w:sz w:val="20"/>
              </w:rPr>
            </w:pPr>
          </w:p>
          <w:p w14:paraId="35450586" w14:textId="77777777" w:rsidR="00383886" w:rsidRPr="00383886" w:rsidRDefault="00383886" w:rsidP="00FD6B98">
            <w:pPr>
              <w:spacing w:before="20" w:after="20"/>
              <w:jc w:val="both"/>
              <w:rPr>
                <w:rFonts w:cs="Arial"/>
                <w:bCs/>
                <w:sz w:val="20"/>
              </w:rPr>
            </w:pPr>
            <w:r w:rsidRPr="00383886">
              <w:rPr>
                <w:rFonts w:cs="Arial"/>
                <w:bCs/>
                <w:sz w:val="20"/>
              </w:rPr>
              <w:t>(Program rada Vlade CG)</w:t>
            </w:r>
          </w:p>
          <w:p w14:paraId="33F1A957" w14:textId="77777777" w:rsidR="00383886" w:rsidRPr="00383886" w:rsidRDefault="00383886" w:rsidP="00FD6B98">
            <w:pPr>
              <w:spacing w:before="20" w:after="20"/>
              <w:jc w:val="both"/>
              <w:rPr>
                <w:rFonts w:cs="Arial"/>
                <w:bCs/>
                <w:sz w:val="20"/>
              </w:rPr>
            </w:pPr>
          </w:p>
        </w:tc>
        <w:tc>
          <w:tcPr>
            <w:tcW w:w="2063" w:type="dxa"/>
            <w:shd w:val="clear" w:color="auto" w:fill="auto"/>
          </w:tcPr>
          <w:p w14:paraId="58FA4944" w14:textId="77777777" w:rsidR="00383886" w:rsidRPr="00383886" w:rsidRDefault="00383886" w:rsidP="00FD6B98">
            <w:pPr>
              <w:spacing w:before="20" w:after="20"/>
              <w:jc w:val="center"/>
              <w:rPr>
                <w:rFonts w:cs="Arial"/>
                <w:sz w:val="20"/>
              </w:rPr>
            </w:pPr>
            <w:r w:rsidRPr="00383886">
              <w:rPr>
                <w:rFonts w:cs="Arial"/>
                <w:sz w:val="20"/>
              </w:rPr>
              <w:t>/</w:t>
            </w:r>
          </w:p>
        </w:tc>
        <w:tc>
          <w:tcPr>
            <w:tcW w:w="1381" w:type="dxa"/>
            <w:gridSpan w:val="2"/>
            <w:shd w:val="clear" w:color="auto" w:fill="auto"/>
          </w:tcPr>
          <w:p w14:paraId="14D9ADAB" w14:textId="77777777" w:rsidR="00383886" w:rsidRPr="00383886" w:rsidRDefault="00383886" w:rsidP="00FD6B98">
            <w:pPr>
              <w:spacing w:before="20" w:after="20"/>
              <w:jc w:val="both"/>
              <w:rPr>
                <w:rFonts w:cs="Arial"/>
                <w:sz w:val="20"/>
              </w:rPr>
            </w:pPr>
            <w:r w:rsidRPr="00383886">
              <w:rPr>
                <w:rFonts w:cs="Arial"/>
                <w:sz w:val="20"/>
              </w:rPr>
              <w:t xml:space="preserve">Redovni </w:t>
            </w:r>
          </w:p>
          <w:p w14:paraId="7DE8252D" w14:textId="77777777" w:rsidR="00383886" w:rsidRPr="00383886" w:rsidRDefault="00383886" w:rsidP="00FD6B98">
            <w:pPr>
              <w:spacing w:before="20" w:after="20"/>
              <w:jc w:val="both"/>
              <w:rPr>
                <w:rFonts w:cs="Arial"/>
                <w:sz w:val="20"/>
              </w:rPr>
            </w:pPr>
            <w:r w:rsidRPr="00383886">
              <w:rPr>
                <w:rFonts w:cs="Arial"/>
                <w:sz w:val="20"/>
              </w:rPr>
              <w:t xml:space="preserve">troškovi se finansiraju iz </w:t>
            </w:r>
          </w:p>
          <w:p w14:paraId="4DE7280E" w14:textId="77777777" w:rsidR="00383886" w:rsidRPr="00383886" w:rsidRDefault="00383886" w:rsidP="00FD6B98">
            <w:pPr>
              <w:spacing w:before="20" w:after="20"/>
              <w:jc w:val="both"/>
              <w:rPr>
                <w:rFonts w:cs="Arial"/>
                <w:sz w:val="20"/>
              </w:rPr>
            </w:pPr>
            <w:r w:rsidRPr="00383886">
              <w:rPr>
                <w:rFonts w:cs="Arial"/>
                <w:sz w:val="20"/>
              </w:rPr>
              <w:t>Budžeta CG</w:t>
            </w:r>
          </w:p>
        </w:tc>
        <w:tc>
          <w:tcPr>
            <w:tcW w:w="2373" w:type="dxa"/>
            <w:shd w:val="clear" w:color="auto" w:fill="auto"/>
          </w:tcPr>
          <w:p w14:paraId="37F892E7" w14:textId="77777777" w:rsidR="00383886" w:rsidRPr="00383886" w:rsidRDefault="00383886" w:rsidP="00FD6B98">
            <w:pPr>
              <w:spacing w:before="20" w:after="20"/>
              <w:jc w:val="both"/>
              <w:rPr>
                <w:rFonts w:cs="Arial"/>
                <w:sz w:val="20"/>
              </w:rPr>
            </w:pPr>
            <w:r w:rsidRPr="00383886">
              <w:rPr>
                <w:rFonts w:cs="Arial"/>
                <w:sz w:val="20"/>
              </w:rPr>
              <w:t>Na osnovu prikupljenih informacija od strane subjekta koji realizuje ovaj projekat Vlada će se u kontinuitetu upoznati sa trenutnim statusom i pratiti aktivnosti na ovom projektu.</w:t>
            </w:r>
          </w:p>
        </w:tc>
      </w:tr>
      <w:tr w:rsidR="00383886" w:rsidRPr="00383886" w14:paraId="05FB5043" w14:textId="77777777" w:rsidTr="00FF0B4A">
        <w:tc>
          <w:tcPr>
            <w:tcW w:w="725" w:type="dxa"/>
            <w:shd w:val="clear" w:color="auto" w:fill="auto"/>
          </w:tcPr>
          <w:p w14:paraId="6A8566F7" w14:textId="77777777" w:rsidR="00383886" w:rsidRPr="00383886" w:rsidRDefault="00383886" w:rsidP="00FD6B98">
            <w:pPr>
              <w:spacing w:before="20" w:after="20"/>
              <w:jc w:val="both"/>
              <w:rPr>
                <w:rFonts w:cs="Arial"/>
                <w:sz w:val="20"/>
              </w:rPr>
            </w:pPr>
            <w:r w:rsidRPr="00383886">
              <w:rPr>
                <w:rFonts w:cs="Arial"/>
                <w:sz w:val="20"/>
              </w:rPr>
              <w:t>8</w:t>
            </w:r>
            <w:r w:rsidR="00AE274D">
              <w:rPr>
                <w:rFonts w:cs="Arial"/>
                <w:sz w:val="20"/>
              </w:rPr>
              <w:t>.</w:t>
            </w:r>
          </w:p>
        </w:tc>
        <w:tc>
          <w:tcPr>
            <w:tcW w:w="2216" w:type="dxa"/>
            <w:shd w:val="clear" w:color="auto" w:fill="auto"/>
          </w:tcPr>
          <w:p w14:paraId="1ACC0B1E" w14:textId="77777777" w:rsidR="00383886" w:rsidRPr="00383886" w:rsidRDefault="00383886" w:rsidP="00FD6B98">
            <w:pPr>
              <w:tabs>
                <w:tab w:val="left" w:pos="120"/>
              </w:tabs>
              <w:spacing w:before="40" w:after="40"/>
              <w:jc w:val="both"/>
              <w:rPr>
                <w:rFonts w:cs="Arial"/>
                <w:sz w:val="20"/>
              </w:rPr>
            </w:pPr>
            <w:r w:rsidRPr="00383886">
              <w:rPr>
                <w:rFonts w:cs="Arial"/>
                <w:sz w:val="20"/>
              </w:rPr>
              <w:t>Informacija o aktivnostima na realizaciji projekata obnovljivih izvora energije</w:t>
            </w:r>
          </w:p>
        </w:tc>
        <w:tc>
          <w:tcPr>
            <w:tcW w:w="2640" w:type="dxa"/>
            <w:shd w:val="clear" w:color="auto" w:fill="auto"/>
          </w:tcPr>
          <w:p w14:paraId="20D33B44" w14:textId="77777777" w:rsidR="00383886" w:rsidRPr="00383886" w:rsidRDefault="00383886" w:rsidP="00FD6B98">
            <w:pPr>
              <w:spacing w:before="20" w:after="20"/>
              <w:jc w:val="both"/>
              <w:rPr>
                <w:rFonts w:cs="Arial"/>
                <w:sz w:val="20"/>
              </w:rPr>
            </w:pPr>
            <w:r w:rsidRPr="00383886">
              <w:rPr>
                <w:rFonts w:cs="Arial"/>
                <w:sz w:val="20"/>
              </w:rPr>
              <w:t>Usvojena Informacija od strane Vlade</w:t>
            </w:r>
          </w:p>
        </w:tc>
        <w:tc>
          <w:tcPr>
            <w:tcW w:w="1813" w:type="dxa"/>
            <w:gridSpan w:val="2"/>
            <w:shd w:val="clear" w:color="auto" w:fill="auto"/>
          </w:tcPr>
          <w:p w14:paraId="62957079" w14:textId="77777777" w:rsidR="00383886" w:rsidRPr="00383886" w:rsidRDefault="00383886" w:rsidP="00FD6B98">
            <w:pPr>
              <w:spacing w:before="20" w:after="20"/>
              <w:jc w:val="both"/>
              <w:rPr>
                <w:rFonts w:cs="Arial"/>
                <w:bCs/>
                <w:sz w:val="20"/>
              </w:rPr>
            </w:pPr>
            <w:r w:rsidRPr="00383886">
              <w:rPr>
                <w:rFonts w:cs="Arial"/>
                <w:bCs/>
                <w:sz w:val="20"/>
              </w:rPr>
              <w:t>NI: MKI</w:t>
            </w:r>
          </w:p>
          <w:p w14:paraId="1A08CAD2" w14:textId="77777777" w:rsidR="00383886" w:rsidRPr="00383886" w:rsidRDefault="00383886" w:rsidP="00FD6B98">
            <w:pPr>
              <w:spacing w:before="20" w:after="20"/>
              <w:jc w:val="both"/>
              <w:rPr>
                <w:rFonts w:cs="Arial"/>
                <w:bCs/>
                <w:sz w:val="20"/>
              </w:rPr>
            </w:pPr>
          </w:p>
          <w:p w14:paraId="5E598D3D" w14:textId="77777777" w:rsidR="00383886" w:rsidRPr="00383886" w:rsidRDefault="00383886" w:rsidP="00FD6B98">
            <w:pPr>
              <w:spacing w:before="20" w:after="20"/>
              <w:jc w:val="both"/>
              <w:rPr>
                <w:rFonts w:cs="Arial"/>
                <w:bCs/>
                <w:sz w:val="20"/>
              </w:rPr>
            </w:pPr>
            <w:r w:rsidRPr="00383886">
              <w:rPr>
                <w:rFonts w:cs="Arial"/>
                <w:bCs/>
                <w:sz w:val="20"/>
              </w:rPr>
              <w:t>NK: KEPIF</w:t>
            </w:r>
          </w:p>
          <w:p w14:paraId="2C8C4AC8" w14:textId="77777777" w:rsidR="00383886" w:rsidRPr="00383886" w:rsidRDefault="00383886" w:rsidP="00FD6B98">
            <w:pPr>
              <w:spacing w:before="20" w:after="20"/>
              <w:jc w:val="both"/>
              <w:rPr>
                <w:rFonts w:cs="Arial"/>
                <w:bCs/>
                <w:sz w:val="20"/>
              </w:rPr>
            </w:pPr>
          </w:p>
        </w:tc>
        <w:tc>
          <w:tcPr>
            <w:tcW w:w="1680" w:type="dxa"/>
            <w:shd w:val="clear" w:color="auto" w:fill="auto"/>
          </w:tcPr>
          <w:p w14:paraId="1D1DAA88" w14:textId="77777777" w:rsidR="00383886" w:rsidRPr="00383886" w:rsidRDefault="00383886" w:rsidP="00FD6B98">
            <w:pPr>
              <w:spacing w:before="20" w:after="20"/>
              <w:jc w:val="both"/>
              <w:rPr>
                <w:rFonts w:cs="Arial"/>
                <w:bCs/>
                <w:sz w:val="20"/>
              </w:rPr>
            </w:pPr>
            <w:r w:rsidRPr="00383886">
              <w:rPr>
                <w:rFonts w:cs="Arial"/>
                <w:bCs/>
                <w:sz w:val="20"/>
              </w:rPr>
              <w:t>II-IV Q 2022.</w:t>
            </w:r>
          </w:p>
          <w:p w14:paraId="1623EF03" w14:textId="77777777" w:rsidR="00383886" w:rsidRPr="00383886" w:rsidRDefault="00383886" w:rsidP="00FD6B98">
            <w:pPr>
              <w:spacing w:before="20" w:after="20"/>
              <w:jc w:val="both"/>
              <w:rPr>
                <w:rFonts w:cs="Arial"/>
                <w:bCs/>
                <w:sz w:val="20"/>
              </w:rPr>
            </w:pPr>
          </w:p>
          <w:p w14:paraId="7B950421" w14:textId="77777777" w:rsidR="00383886" w:rsidRPr="00383886" w:rsidRDefault="00383886" w:rsidP="00FD6B98">
            <w:pPr>
              <w:spacing w:before="20" w:after="20"/>
              <w:jc w:val="both"/>
              <w:rPr>
                <w:rFonts w:cs="Arial"/>
                <w:bCs/>
                <w:sz w:val="20"/>
              </w:rPr>
            </w:pPr>
            <w:r w:rsidRPr="00383886">
              <w:rPr>
                <w:rFonts w:cs="Arial"/>
                <w:bCs/>
                <w:sz w:val="20"/>
              </w:rPr>
              <w:t>(Program rada Vlade CG)</w:t>
            </w:r>
          </w:p>
          <w:p w14:paraId="1ECC4F1D" w14:textId="77777777" w:rsidR="00383886" w:rsidRPr="00383886" w:rsidRDefault="00383886" w:rsidP="00FD6B98">
            <w:pPr>
              <w:spacing w:before="20" w:after="20"/>
              <w:jc w:val="both"/>
              <w:rPr>
                <w:rFonts w:cs="Arial"/>
                <w:bCs/>
                <w:sz w:val="20"/>
              </w:rPr>
            </w:pPr>
          </w:p>
        </w:tc>
        <w:tc>
          <w:tcPr>
            <w:tcW w:w="2063" w:type="dxa"/>
            <w:shd w:val="clear" w:color="auto" w:fill="auto"/>
          </w:tcPr>
          <w:p w14:paraId="1F03DF62" w14:textId="77777777" w:rsidR="00383886" w:rsidRPr="00383886" w:rsidRDefault="00383886" w:rsidP="00FD6B98">
            <w:pPr>
              <w:spacing w:before="20" w:after="20"/>
              <w:jc w:val="center"/>
              <w:rPr>
                <w:rFonts w:cs="Arial"/>
                <w:sz w:val="20"/>
              </w:rPr>
            </w:pPr>
            <w:r w:rsidRPr="00383886">
              <w:rPr>
                <w:rFonts w:cs="Arial"/>
                <w:sz w:val="20"/>
              </w:rPr>
              <w:t>/</w:t>
            </w:r>
          </w:p>
        </w:tc>
        <w:tc>
          <w:tcPr>
            <w:tcW w:w="1381" w:type="dxa"/>
            <w:gridSpan w:val="2"/>
            <w:shd w:val="clear" w:color="auto" w:fill="auto"/>
          </w:tcPr>
          <w:p w14:paraId="729D6FE4" w14:textId="77777777" w:rsidR="00383886" w:rsidRPr="00383886" w:rsidRDefault="00383886" w:rsidP="00FD6B98">
            <w:pPr>
              <w:spacing w:before="20" w:after="20"/>
              <w:jc w:val="both"/>
              <w:rPr>
                <w:rFonts w:cs="Arial"/>
                <w:sz w:val="20"/>
              </w:rPr>
            </w:pPr>
            <w:r w:rsidRPr="00383886">
              <w:rPr>
                <w:rFonts w:cs="Arial"/>
                <w:sz w:val="20"/>
              </w:rPr>
              <w:t xml:space="preserve">Redovni </w:t>
            </w:r>
          </w:p>
          <w:p w14:paraId="1CDA6E00" w14:textId="77777777" w:rsidR="00383886" w:rsidRPr="00383886" w:rsidRDefault="00383886" w:rsidP="00FD6B98">
            <w:pPr>
              <w:spacing w:before="20" w:after="20"/>
              <w:jc w:val="both"/>
              <w:rPr>
                <w:rFonts w:cs="Arial"/>
                <w:sz w:val="20"/>
              </w:rPr>
            </w:pPr>
            <w:r w:rsidRPr="00383886">
              <w:rPr>
                <w:rFonts w:cs="Arial"/>
                <w:sz w:val="20"/>
              </w:rPr>
              <w:t xml:space="preserve">troškovi se finansiraju iz </w:t>
            </w:r>
          </w:p>
          <w:p w14:paraId="02BAA655" w14:textId="77777777" w:rsidR="00383886" w:rsidRPr="00383886" w:rsidRDefault="00383886" w:rsidP="00FD6B98">
            <w:pPr>
              <w:spacing w:before="20" w:after="20"/>
              <w:jc w:val="both"/>
              <w:rPr>
                <w:rFonts w:cs="Arial"/>
                <w:sz w:val="20"/>
              </w:rPr>
            </w:pPr>
            <w:r w:rsidRPr="00383886">
              <w:rPr>
                <w:rFonts w:cs="Arial"/>
                <w:sz w:val="20"/>
              </w:rPr>
              <w:t>Budžeta CG</w:t>
            </w:r>
          </w:p>
        </w:tc>
        <w:tc>
          <w:tcPr>
            <w:tcW w:w="2373" w:type="dxa"/>
            <w:shd w:val="clear" w:color="auto" w:fill="auto"/>
          </w:tcPr>
          <w:p w14:paraId="4D8BC46C" w14:textId="77777777" w:rsidR="00383886" w:rsidRPr="00383886" w:rsidRDefault="00383886" w:rsidP="00FD6B98">
            <w:pPr>
              <w:spacing w:before="20" w:after="20"/>
              <w:jc w:val="both"/>
              <w:rPr>
                <w:rFonts w:cs="Arial"/>
                <w:sz w:val="20"/>
              </w:rPr>
            </w:pPr>
            <w:r w:rsidRPr="00383886">
              <w:rPr>
                <w:rFonts w:cs="Arial"/>
                <w:sz w:val="20"/>
              </w:rPr>
              <w:t>Vlada će kontinuirano pratiti aktivnosti iz oblasti obnovljiivh izvora sa trenutnim statusom i u skladu sa tim preduzimati potrebne mjere.</w:t>
            </w:r>
          </w:p>
        </w:tc>
      </w:tr>
      <w:tr w:rsidR="00383886" w:rsidRPr="00383886" w14:paraId="2DAC87D4" w14:textId="77777777" w:rsidTr="00FF0B4A">
        <w:tc>
          <w:tcPr>
            <w:tcW w:w="725" w:type="dxa"/>
          </w:tcPr>
          <w:p w14:paraId="1542C979" w14:textId="77777777" w:rsidR="00383886" w:rsidRPr="00383886" w:rsidRDefault="00383886" w:rsidP="00FD6B98">
            <w:pPr>
              <w:spacing w:before="20" w:after="20"/>
              <w:jc w:val="both"/>
              <w:rPr>
                <w:rFonts w:cs="Arial"/>
                <w:sz w:val="20"/>
              </w:rPr>
            </w:pPr>
            <w:r w:rsidRPr="00383886">
              <w:rPr>
                <w:rFonts w:cs="Arial"/>
                <w:sz w:val="20"/>
              </w:rPr>
              <w:t>9</w:t>
            </w:r>
            <w:r w:rsidR="00AE274D">
              <w:rPr>
                <w:rFonts w:cs="Arial"/>
                <w:sz w:val="20"/>
              </w:rPr>
              <w:t>.</w:t>
            </w:r>
          </w:p>
        </w:tc>
        <w:tc>
          <w:tcPr>
            <w:tcW w:w="2216" w:type="dxa"/>
          </w:tcPr>
          <w:p w14:paraId="3E37E419" w14:textId="77777777" w:rsidR="00383886" w:rsidRPr="00383886" w:rsidRDefault="00383886" w:rsidP="00FD6B98">
            <w:pPr>
              <w:tabs>
                <w:tab w:val="left" w:pos="120"/>
              </w:tabs>
              <w:spacing w:before="40" w:after="40"/>
              <w:jc w:val="both"/>
              <w:rPr>
                <w:rFonts w:cs="Arial"/>
                <w:iCs/>
                <w:sz w:val="20"/>
              </w:rPr>
            </w:pPr>
            <w:r w:rsidRPr="00383886">
              <w:rPr>
                <w:rFonts w:cs="Arial"/>
                <w:iCs/>
                <w:sz w:val="20"/>
              </w:rPr>
              <w:t xml:space="preserve">Informacija o aktivnostima na realizaciji projekata iz oblasti energetske efikasnosti </w:t>
            </w:r>
          </w:p>
          <w:p w14:paraId="01367551" w14:textId="77777777" w:rsidR="00383886" w:rsidRPr="00383886" w:rsidRDefault="00383886" w:rsidP="00FD6B98">
            <w:pPr>
              <w:tabs>
                <w:tab w:val="left" w:pos="120"/>
              </w:tabs>
              <w:spacing w:before="40" w:after="40"/>
              <w:jc w:val="both"/>
              <w:rPr>
                <w:rFonts w:cs="Arial"/>
                <w:sz w:val="20"/>
              </w:rPr>
            </w:pPr>
          </w:p>
        </w:tc>
        <w:tc>
          <w:tcPr>
            <w:tcW w:w="2640" w:type="dxa"/>
          </w:tcPr>
          <w:p w14:paraId="213F5CED" w14:textId="77777777" w:rsidR="00383886" w:rsidRPr="00383886" w:rsidRDefault="00383886" w:rsidP="00FD6B98">
            <w:pPr>
              <w:spacing w:before="20" w:after="20"/>
              <w:jc w:val="both"/>
              <w:rPr>
                <w:rFonts w:cs="Arial"/>
                <w:sz w:val="20"/>
              </w:rPr>
            </w:pPr>
            <w:r w:rsidRPr="00383886">
              <w:rPr>
                <w:rFonts w:cs="Arial"/>
                <w:sz w:val="20"/>
              </w:rPr>
              <w:t>Usvojena Informacija od strane Vlade</w:t>
            </w:r>
          </w:p>
        </w:tc>
        <w:tc>
          <w:tcPr>
            <w:tcW w:w="1813" w:type="dxa"/>
            <w:gridSpan w:val="2"/>
          </w:tcPr>
          <w:p w14:paraId="16DCA1EE" w14:textId="77777777" w:rsidR="00383886" w:rsidRPr="00383886" w:rsidRDefault="00383886" w:rsidP="00FD6B98">
            <w:pPr>
              <w:spacing w:before="20" w:after="20"/>
              <w:jc w:val="both"/>
              <w:rPr>
                <w:rFonts w:cs="Arial"/>
                <w:bCs/>
                <w:sz w:val="20"/>
              </w:rPr>
            </w:pPr>
            <w:r w:rsidRPr="00383886">
              <w:rPr>
                <w:rFonts w:cs="Arial"/>
                <w:bCs/>
                <w:sz w:val="20"/>
              </w:rPr>
              <w:t>NI: MKI</w:t>
            </w:r>
          </w:p>
          <w:p w14:paraId="293CDE6C" w14:textId="77777777" w:rsidR="00383886" w:rsidRPr="00383886" w:rsidRDefault="00383886" w:rsidP="00FD6B98">
            <w:pPr>
              <w:spacing w:before="20" w:after="20"/>
              <w:jc w:val="both"/>
              <w:rPr>
                <w:rFonts w:cs="Arial"/>
                <w:bCs/>
                <w:sz w:val="20"/>
              </w:rPr>
            </w:pPr>
          </w:p>
          <w:p w14:paraId="1F2DA4D9" w14:textId="77777777" w:rsidR="00383886" w:rsidRPr="00383886" w:rsidRDefault="00383886" w:rsidP="00FD6B98">
            <w:pPr>
              <w:spacing w:before="20" w:after="20"/>
              <w:jc w:val="both"/>
              <w:rPr>
                <w:rFonts w:cs="Arial"/>
                <w:bCs/>
                <w:sz w:val="20"/>
              </w:rPr>
            </w:pPr>
            <w:r w:rsidRPr="00383886">
              <w:rPr>
                <w:rFonts w:cs="Arial"/>
                <w:bCs/>
                <w:sz w:val="20"/>
              </w:rPr>
              <w:t>NK: KEPIF</w:t>
            </w:r>
          </w:p>
          <w:p w14:paraId="3519DF3A" w14:textId="77777777" w:rsidR="00383886" w:rsidRPr="00383886" w:rsidRDefault="00383886" w:rsidP="00FD6B98">
            <w:pPr>
              <w:spacing w:before="20" w:after="20"/>
              <w:jc w:val="both"/>
              <w:rPr>
                <w:rFonts w:cs="Arial"/>
                <w:bCs/>
                <w:sz w:val="20"/>
              </w:rPr>
            </w:pPr>
          </w:p>
        </w:tc>
        <w:tc>
          <w:tcPr>
            <w:tcW w:w="1680" w:type="dxa"/>
          </w:tcPr>
          <w:p w14:paraId="3C9593B8" w14:textId="77777777" w:rsidR="00383886" w:rsidRPr="00383886" w:rsidRDefault="00383886" w:rsidP="00FD6B98">
            <w:pPr>
              <w:spacing w:before="20" w:after="20"/>
              <w:jc w:val="both"/>
              <w:rPr>
                <w:rFonts w:cs="Arial"/>
                <w:bCs/>
                <w:sz w:val="20"/>
              </w:rPr>
            </w:pPr>
            <w:r w:rsidRPr="00383886">
              <w:rPr>
                <w:rFonts w:cs="Arial"/>
                <w:bCs/>
                <w:sz w:val="20"/>
              </w:rPr>
              <w:t>II-IV Q 2022.</w:t>
            </w:r>
          </w:p>
          <w:p w14:paraId="5150BB4B" w14:textId="77777777" w:rsidR="00383886" w:rsidRPr="00383886" w:rsidRDefault="00383886" w:rsidP="00FD6B98">
            <w:pPr>
              <w:spacing w:before="20" w:after="20"/>
              <w:jc w:val="both"/>
              <w:rPr>
                <w:rFonts w:cs="Arial"/>
                <w:bCs/>
                <w:sz w:val="20"/>
              </w:rPr>
            </w:pPr>
          </w:p>
          <w:p w14:paraId="212E0C4E" w14:textId="77777777" w:rsidR="00383886" w:rsidRPr="00383886" w:rsidRDefault="00383886" w:rsidP="00FD6B98">
            <w:pPr>
              <w:spacing w:before="20" w:after="20"/>
              <w:jc w:val="both"/>
              <w:rPr>
                <w:rFonts w:cs="Arial"/>
                <w:bCs/>
                <w:sz w:val="20"/>
              </w:rPr>
            </w:pPr>
            <w:r w:rsidRPr="00383886">
              <w:rPr>
                <w:rFonts w:cs="Arial"/>
                <w:bCs/>
                <w:sz w:val="20"/>
              </w:rPr>
              <w:t>(Program rada Vlade CG)</w:t>
            </w:r>
          </w:p>
          <w:p w14:paraId="7E9AE0ED" w14:textId="77777777" w:rsidR="00383886" w:rsidRPr="00383886" w:rsidRDefault="00383886" w:rsidP="00FD6B98">
            <w:pPr>
              <w:spacing w:before="20" w:after="20"/>
              <w:jc w:val="both"/>
              <w:rPr>
                <w:rFonts w:cs="Arial"/>
                <w:bCs/>
                <w:sz w:val="20"/>
              </w:rPr>
            </w:pPr>
          </w:p>
        </w:tc>
        <w:tc>
          <w:tcPr>
            <w:tcW w:w="2063" w:type="dxa"/>
          </w:tcPr>
          <w:p w14:paraId="16B3E713" w14:textId="77777777" w:rsidR="00383886" w:rsidRPr="00383886" w:rsidRDefault="00383886" w:rsidP="00FD6B98">
            <w:pPr>
              <w:spacing w:before="20" w:after="20"/>
              <w:jc w:val="center"/>
              <w:rPr>
                <w:rFonts w:cs="Arial"/>
                <w:sz w:val="20"/>
              </w:rPr>
            </w:pPr>
            <w:r w:rsidRPr="00383886">
              <w:rPr>
                <w:rFonts w:cs="Arial"/>
                <w:sz w:val="20"/>
              </w:rPr>
              <w:t>/</w:t>
            </w:r>
          </w:p>
        </w:tc>
        <w:tc>
          <w:tcPr>
            <w:tcW w:w="1381" w:type="dxa"/>
            <w:gridSpan w:val="2"/>
          </w:tcPr>
          <w:p w14:paraId="0EB48ADD" w14:textId="77777777" w:rsidR="00383886" w:rsidRPr="00383886" w:rsidRDefault="00383886" w:rsidP="00FD6B98">
            <w:pPr>
              <w:spacing w:before="20" w:after="20"/>
              <w:jc w:val="both"/>
              <w:rPr>
                <w:rFonts w:cs="Arial"/>
                <w:sz w:val="20"/>
              </w:rPr>
            </w:pPr>
            <w:r w:rsidRPr="00383886">
              <w:rPr>
                <w:rFonts w:cs="Arial"/>
                <w:sz w:val="20"/>
              </w:rPr>
              <w:t xml:space="preserve">Redovni </w:t>
            </w:r>
          </w:p>
          <w:p w14:paraId="3F3FF449" w14:textId="77777777" w:rsidR="00383886" w:rsidRPr="00383886" w:rsidRDefault="00383886" w:rsidP="00FD6B98">
            <w:pPr>
              <w:spacing w:before="20" w:after="20"/>
              <w:jc w:val="both"/>
              <w:rPr>
                <w:rFonts w:cs="Arial"/>
                <w:sz w:val="20"/>
              </w:rPr>
            </w:pPr>
            <w:r w:rsidRPr="00383886">
              <w:rPr>
                <w:rFonts w:cs="Arial"/>
                <w:sz w:val="20"/>
              </w:rPr>
              <w:t xml:space="preserve">troškovi se finansiraju iz </w:t>
            </w:r>
          </w:p>
          <w:p w14:paraId="138B709C" w14:textId="77777777" w:rsidR="00383886" w:rsidRPr="00383886" w:rsidRDefault="00383886" w:rsidP="00FD6B98">
            <w:pPr>
              <w:spacing w:before="20" w:after="20"/>
              <w:jc w:val="both"/>
              <w:rPr>
                <w:rFonts w:cs="Arial"/>
                <w:sz w:val="20"/>
              </w:rPr>
            </w:pPr>
            <w:r w:rsidRPr="00383886">
              <w:rPr>
                <w:rFonts w:cs="Arial"/>
                <w:sz w:val="20"/>
              </w:rPr>
              <w:t>Budžeta CG</w:t>
            </w:r>
          </w:p>
        </w:tc>
        <w:tc>
          <w:tcPr>
            <w:tcW w:w="2373" w:type="dxa"/>
          </w:tcPr>
          <w:p w14:paraId="676BCD36" w14:textId="77777777" w:rsidR="00383886" w:rsidRPr="00383886" w:rsidRDefault="00383886" w:rsidP="00FD6B98">
            <w:pPr>
              <w:spacing w:before="20" w:after="20"/>
              <w:jc w:val="both"/>
              <w:rPr>
                <w:rFonts w:cs="Arial"/>
                <w:sz w:val="20"/>
              </w:rPr>
            </w:pPr>
            <w:r w:rsidRPr="00383886">
              <w:rPr>
                <w:rFonts w:cs="Arial"/>
                <w:iCs/>
                <w:sz w:val="20"/>
              </w:rPr>
              <w:t>Ministarstvo kontinuirano prati aktivnosti na realizaciji pojedinih projekata i o tome polugodišnje izvještava Vladu.</w:t>
            </w:r>
          </w:p>
        </w:tc>
      </w:tr>
      <w:tr w:rsidR="00383886" w:rsidRPr="00383886" w14:paraId="609A63E0" w14:textId="77777777" w:rsidTr="00FF0B4A">
        <w:tc>
          <w:tcPr>
            <w:tcW w:w="725" w:type="dxa"/>
          </w:tcPr>
          <w:p w14:paraId="4EE3A97B" w14:textId="77777777" w:rsidR="00383886" w:rsidRPr="00383886" w:rsidRDefault="00383886" w:rsidP="00FD6B98">
            <w:pPr>
              <w:spacing w:before="20" w:after="20"/>
              <w:jc w:val="both"/>
              <w:rPr>
                <w:rFonts w:cs="Arial"/>
                <w:sz w:val="20"/>
              </w:rPr>
            </w:pPr>
            <w:r w:rsidRPr="00383886">
              <w:rPr>
                <w:rFonts w:cs="Arial"/>
                <w:sz w:val="20"/>
              </w:rPr>
              <w:t>10</w:t>
            </w:r>
            <w:r w:rsidR="00AE274D">
              <w:rPr>
                <w:rFonts w:cs="Arial"/>
                <w:sz w:val="20"/>
              </w:rPr>
              <w:t>.</w:t>
            </w:r>
          </w:p>
        </w:tc>
        <w:tc>
          <w:tcPr>
            <w:tcW w:w="2216" w:type="dxa"/>
          </w:tcPr>
          <w:p w14:paraId="0EE9A8E1" w14:textId="77777777" w:rsidR="00383886" w:rsidRPr="00383886" w:rsidRDefault="00383886" w:rsidP="00FD6B98">
            <w:pPr>
              <w:tabs>
                <w:tab w:val="left" w:pos="120"/>
              </w:tabs>
              <w:spacing w:before="40" w:after="40"/>
              <w:jc w:val="both"/>
              <w:rPr>
                <w:rFonts w:cs="Arial"/>
                <w:sz w:val="20"/>
              </w:rPr>
            </w:pPr>
            <w:r w:rsidRPr="00383886">
              <w:rPr>
                <w:rFonts w:cs="Arial"/>
                <w:sz w:val="20"/>
              </w:rPr>
              <w:t>Izvještaj o realizaciji Akcionog plana energetske efikasnosti Crne Gore 2019- 2021. za 2021. godinu</w:t>
            </w:r>
          </w:p>
          <w:p w14:paraId="3500875F" w14:textId="77777777" w:rsidR="00383886" w:rsidRPr="00383886" w:rsidRDefault="00383886" w:rsidP="00FD6B98">
            <w:pPr>
              <w:tabs>
                <w:tab w:val="left" w:pos="120"/>
              </w:tabs>
              <w:spacing w:before="40" w:after="40"/>
              <w:jc w:val="both"/>
              <w:rPr>
                <w:rFonts w:cs="Arial"/>
                <w:sz w:val="20"/>
              </w:rPr>
            </w:pPr>
          </w:p>
        </w:tc>
        <w:tc>
          <w:tcPr>
            <w:tcW w:w="2640" w:type="dxa"/>
          </w:tcPr>
          <w:p w14:paraId="705613DC" w14:textId="77777777" w:rsidR="00383886" w:rsidRPr="00383886" w:rsidRDefault="00383886" w:rsidP="00FD6B98">
            <w:pPr>
              <w:spacing w:before="20" w:after="20"/>
              <w:jc w:val="both"/>
              <w:rPr>
                <w:rFonts w:cs="Arial"/>
                <w:sz w:val="20"/>
              </w:rPr>
            </w:pPr>
            <w:r w:rsidRPr="00383886">
              <w:rPr>
                <w:rFonts w:cs="Arial"/>
                <w:sz w:val="20"/>
              </w:rPr>
              <w:t>Usvojen Izvještaj od strane Vlade</w:t>
            </w:r>
          </w:p>
        </w:tc>
        <w:tc>
          <w:tcPr>
            <w:tcW w:w="1813" w:type="dxa"/>
            <w:gridSpan w:val="2"/>
          </w:tcPr>
          <w:p w14:paraId="3144E2A6" w14:textId="77777777" w:rsidR="00383886" w:rsidRPr="00383886" w:rsidRDefault="00383886" w:rsidP="00FD6B98">
            <w:pPr>
              <w:spacing w:before="20" w:after="20"/>
              <w:jc w:val="both"/>
              <w:rPr>
                <w:rFonts w:cs="Arial"/>
                <w:bCs/>
                <w:sz w:val="20"/>
              </w:rPr>
            </w:pPr>
            <w:r w:rsidRPr="00383886">
              <w:rPr>
                <w:rFonts w:cs="Arial"/>
                <w:bCs/>
                <w:sz w:val="20"/>
              </w:rPr>
              <w:t>NI: MKI</w:t>
            </w:r>
          </w:p>
          <w:p w14:paraId="3AB7BA5E" w14:textId="77777777" w:rsidR="00383886" w:rsidRPr="00383886" w:rsidRDefault="00383886" w:rsidP="00FD6B98">
            <w:pPr>
              <w:spacing w:before="20" w:after="20"/>
              <w:jc w:val="both"/>
              <w:rPr>
                <w:rFonts w:cs="Arial"/>
                <w:bCs/>
                <w:sz w:val="20"/>
              </w:rPr>
            </w:pPr>
          </w:p>
          <w:p w14:paraId="35758D9A" w14:textId="77777777" w:rsidR="00383886" w:rsidRPr="00383886" w:rsidRDefault="00383886" w:rsidP="00FD6B98">
            <w:pPr>
              <w:spacing w:before="20" w:after="20"/>
              <w:jc w:val="both"/>
              <w:rPr>
                <w:rFonts w:cs="Arial"/>
                <w:bCs/>
                <w:sz w:val="20"/>
              </w:rPr>
            </w:pPr>
            <w:r w:rsidRPr="00383886">
              <w:rPr>
                <w:rFonts w:cs="Arial"/>
                <w:bCs/>
                <w:sz w:val="20"/>
              </w:rPr>
              <w:t>NK: KEPIF</w:t>
            </w:r>
          </w:p>
          <w:p w14:paraId="79C62489" w14:textId="77777777" w:rsidR="00383886" w:rsidRPr="00383886" w:rsidRDefault="00383886" w:rsidP="00FD6B98">
            <w:pPr>
              <w:spacing w:before="20" w:after="20"/>
              <w:jc w:val="both"/>
              <w:rPr>
                <w:rFonts w:cs="Arial"/>
                <w:bCs/>
                <w:sz w:val="20"/>
              </w:rPr>
            </w:pPr>
          </w:p>
        </w:tc>
        <w:tc>
          <w:tcPr>
            <w:tcW w:w="1680" w:type="dxa"/>
          </w:tcPr>
          <w:p w14:paraId="41748292" w14:textId="77777777" w:rsidR="00383886" w:rsidRPr="00383886" w:rsidRDefault="00383886" w:rsidP="00FD6B98">
            <w:pPr>
              <w:spacing w:before="20" w:after="20"/>
              <w:jc w:val="both"/>
              <w:rPr>
                <w:rFonts w:cs="Arial"/>
                <w:bCs/>
                <w:sz w:val="20"/>
              </w:rPr>
            </w:pPr>
            <w:r w:rsidRPr="00383886">
              <w:rPr>
                <w:rFonts w:cs="Arial"/>
                <w:bCs/>
                <w:sz w:val="20"/>
              </w:rPr>
              <w:t>II Q 2022.</w:t>
            </w:r>
          </w:p>
          <w:p w14:paraId="2DC1FCF9" w14:textId="77777777" w:rsidR="00383886" w:rsidRPr="00383886" w:rsidRDefault="00383886" w:rsidP="00FD6B98">
            <w:pPr>
              <w:spacing w:before="20" w:after="20"/>
              <w:jc w:val="both"/>
              <w:rPr>
                <w:rFonts w:cs="Arial"/>
                <w:bCs/>
                <w:sz w:val="20"/>
              </w:rPr>
            </w:pPr>
          </w:p>
          <w:p w14:paraId="06129F72" w14:textId="77777777" w:rsidR="00383886" w:rsidRPr="00383886" w:rsidRDefault="00383886" w:rsidP="00FD6B98">
            <w:pPr>
              <w:spacing w:before="20" w:after="20"/>
              <w:jc w:val="both"/>
              <w:rPr>
                <w:rFonts w:cs="Arial"/>
                <w:bCs/>
                <w:sz w:val="20"/>
              </w:rPr>
            </w:pPr>
            <w:r w:rsidRPr="00383886">
              <w:rPr>
                <w:rFonts w:cs="Arial"/>
                <w:bCs/>
                <w:sz w:val="20"/>
              </w:rPr>
              <w:t>(Program rada Vlade CG)</w:t>
            </w:r>
          </w:p>
          <w:p w14:paraId="137B9ABB" w14:textId="77777777" w:rsidR="00383886" w:rsidRPr="00383886" w:rsidRDefault="00383886" w:rsidP="00FD6B98">
            <w:pPr>
              <w:spacing w:before="20" w:after="20"/>
              <w:jc w:val="both"/>
              <w:rPr>
                <w:rFonts w:cs="Arial"/>
                <w:bCs/>
                <w:sz w:val="20"/>
              </w:rPr>
            </w:pPr>
          </w:p>
        </w:tc>
        <w:tc>
          <w:tcPr>
            <w:tcW w:w="2063" w:type="dxa"/>
          </w:tcPr>
          <w:p w14:paraId="07EBA1E6" w14:textId="77777777" w:rsidR="00383886" w:rsidRPr="00383886" w:rsidRDefault="00383886" w:rsidP="00FD6B98">
            <w:pPr>
              <w:spacing w:before="20" w:after="20"/>
              <w:jc w:val="center"/>
              <w:rPr>
                <w:rFonts w:cs="Arial"/>
                <w:sz w:val="20"/>
              </w:rPr>
            </w:pPr>
            <w:r w:rsidRPr="00383886">
              <w:rPr>
                <w:rFonts w:cs="Arial"/>
                <w:sz w:val="20"/>
              </w:rPr>
              <w:t>/</w:t>
            </w:r>
          </w:p>
        </w:tc>
        <w:tc>
          <w:tcPr>
            <w:tcW w:w="1381" w:type="dxa"/>
            <w:gridSpan w:val="2"/>
          </w:tcPr>
          <w:p w14:paraId="75AE9D3D" w14:textId="77777777" w:rsidR="00383886" w:rsidRPr="00383886" w:rsidRDefault="00383886" w:rsidP="00FD6B98">
            <w:pPr>
              <w:spacing w:before="20" w:after="20"/>
              <w:jc w:val="both"/>
              <w:rPr>
                <w:rFonts w:cs="Arial"/>
                <w:sz w:val="20"/>
              </w:rPr>
            </w:pPr>
            <w:r w:rsidRPr="00383886">
              <w:rPr>
                <w:rFonts w:cs="Arial"/>
                <w:sz w:val="20"/>
              </w:rPr>
              <w:t xml:space="preserve">Redovni </w:t>
            </w:r>
          </w:p>
          <w:p w14:paraId="46D31F33" w14:textId="77777777" w:rsidR="00383886" w:rsidRPr="00383886" w:rsidRDefault="00383886" w:rsidP="00FD6B98">
            <w:pPr>
              <w:spacing w:before="20" w:after="20"/>
              <w:jc w:val="both"/>
              <w:rPr>
                <w:rFonts w:cs="Arial"/>
                <w:sz w:val="20"/>
              </w:rPr>
            </w:pPr>
            <w:r w:rsidRPr="00383886">
              <w:rPr>
                <w:rFonts w:cs="Arial"/>
                <w:sz w:val="20"/>
              </w:rPr>
              <w:t xml:space="preserve">troškovi se finansiraju iz </w:t>
            </w:r>
          </w:p>
          <w:p w14:paraId="2C60D30D" w14:textId="77777777" w:rsidR="00383886" w:rsidRPr="00383886" w:rsidRDefault="00383886" w:rsidP="00FD6B98">
            <w:pPr>
              <w:spacing w:before="20" w:after="20"/>
              <w:jc w:val="both"/>
              <w:rPr>
                <w:rFonts w:cs="Arial"/>
                <w:sz w:val="20"/>
              </w:rPr>
            </w:pPr>
            <w:r w:rsidRPr="00383886">
              <w:rPr>
                <w:rFonts w:cs="Arial"/>
                <w:sz w:val="20"/>
              </w:rPr>
              <w:t>Budžeta CG</w:t>
            </w:r>
          </w:p>
        </w:tc>
        <w:tc>
          <w:tcPr>
            <w:tcW w:w="2373" w:type="dxa"/>
          </w:tcPr>
          <w:p w14:paraId="198D664D" w14:textId="77777777" w:rsidR="00383886" w:rsidRPr="00383886" w:rsidRDefault="00383886" w:rsidP="00FD6B98">
            <w:pPr>
              <w:spacing w:before="20" w:after="20"/>
              <w:jc w:val="both"/>
              <w:rPr>
                <w:rFonts w:cs="Arial"/>
                <w:sz w:val="20"/>
                <w:lang w:val="en-GB"/>
              </w:rPr>
            </w:pPr>
            <w:r w:rsidRPr="00383886">
              <w:rPr>
                <w:rFonts w:cs="Arial"/>
                <w:sz w:val="20"/>
              </w:rPr>
              <w:t>Izvještajem o sprovođenju Akcionog plana energetske efikasnosti Crne Gore 2019-2021, za 2021. godinu biće prikazan pregled realizovanih aktivnosti u 2021. godini koje su planom predviđene.</w:t>
            </w:r>
            <w:r w:rsidRPr="00383886">
              <w:rPr>
                <w:rFonts w:cs="Arial"/>
                <w:sz w:val="20"/>
                <w:lang w:val="en-GB"/>
              </w:rPr>
              <w:t xml:space="preserve"> </w:t>
            </w:r>
            <w:r w:rsidRPr="00383886">
              <w:rPr>
                <w:rFonts w:cs="Arial"/>
                <w:sz w:val="20"/>
              </w:rPr>
              <w:lastRenderedPageBreak/>
              <w:t>Obaveza izrade izvještaja propisana je Zakonom o efikasnom korišćenju energije.</w:t>
            </w:r>
          </w:p>
        </w:tc>
      </w:tr>
    </w:tbl>
    <w:tbl>
      <w:tblPr>
        <w:tblStyle w:val="TableGrid7"/>
        <w:tblW w:w="14801" w:type="dxa"/>
        <w:tblInd w:w="-856" w:type="dxa"/>
        <w:tblLook w:val="04A0" w:firstRow="1" w:lastRow="0" w:firstColumn="1" w:lastColumn="0" w:noHBand="0" w:noVBand="1"/>
      </w:tblPr>
      <w:tblGrid>
        <w:gridCol w:w="604"/>
        <w:gridCol w:w="2230"/>
        <w:gridCol w:w="2664"/>
        <w:gridCol w:w="517"/>
        <w:gridCol w:w="1310"/>
        <w:gridCol w:w="1691"/>
        <w:gridCol w:w="1485"/>
        <w:gridCol w:w="862"/>
        <w:gridCol w:w="637"/>
        <w:gridCol w:w="2801"/>
      </w:tblGrid>
      <w:tr w:rsidR="00383886" w:rsidRPr="00383886" w14:paraId="73596EE0" w14:textId="77777777" w:rsidTr="00FD6B98">
        <w:tc>
          <w:tcPr>
            <w:tcW w:w="2834" w:type="dxa"/>
            <w:gridSpan w:val="2"/>
            <w:shd w:val="clear" w:color="auto" w:fill="DEEAF6" w:themeFill="accent5" w:themeFillTint="33"/>
          </w:tcPr>
          <w:p w14:paraId="1DF6624B" w14:textId="77777777" w:rsidR="00383886" w:rsidRPr="00383886" w:rsidRDefault="00383886" w:rsidP="00FD6B98">
            <w:pPr>
              <w:spacing w:before="40" w:after="40" w:line="256" w:lineRule="auto"/>
              <w:jc w:val="center"/>
              <w:rPr>
                <w:rFonts w:cs="Arial"/>
                <w:b/>
                <w:sz w:val="20"/>
              </w:rPr>
            </w:pPr>
            <w:bookmarkStart w:id="33" w:name="_Hlk89633181"/>
            <w:r w:rsidRPr="00383886">
              <w:rPr>
                <w:rFonts w:cs="Arial"/>
                <w:b/>
                <w:sz w:val="20"/>
              </w:rPr>
              <w:t xml:space="preserve">Cilj </w:t>
            </w:r>
            <w:r w:rsidR="00AE274D">
              <w:rPr>
                <w:rFonts w:cs="Arial"/>
                <w:b/>
                <w:sz w:val="20"/>
              </w:rPr>
              <w:t>2.</w:t>
            </w:r>
            <w:r w:rsidRPr="00383886">
              <w:rPr>
                <w:rFonts w:cs="Arial"/>
                <w:b/>
                <w:sz w:val="20"/>
              </w:rPr>
              <w:t>10</w:t>
            </w:r>
            <w:r w:rsidR="00AE274D">
              <w:rPr>
                <w:rFonts w:cs="Arial"/>
                <w:b/>
                <w:sz w:val="20"/>
              </w:rPr>
              <w:t>.</w:t>
            </w:r>
          </w:p>
          <w:p w14:paraId="10258987" w14:textId="77777777" w:rsidR="00383886" w:rsidRPr="00383886" w:rsidRDefault="00383886" w:rsidP="00FD6B98">
            <w:pPr>
              <w:spacing w:before="40" w:after="40" w:line="256" w:lineRule="auto"/>
              <w:jc w:val="center"/>
              <w:rPr>
                <w:rFonts w:cs="Arial"/>
                <w:b/>
                <w:sz w:val="20"/>
              </w:rPr>
            </w:pPr>
          </w:p>
        </w:tc>
        <w:tc>
          <w:tcPr>
            <w:tcW w:w="11967" w:type="dxa"/>
            <w:gridSpan w:val="8"/>
            <w:shd w:val="clear" w:color="auto" w:fill="DEEAF6" w:themeFill="accent5" w:themeFillTint="33"/>
          </w:tcPr>
          <w:p w14:paraId="0B19AEF4" w14:textId="77777777" w:rsidR="00383886" w:rsidRPr="00383886" w:rsidRDefault="00383886" w:rsidP="00FD6B98">
            <w:pPr>
              <w:spacing w:before="40" w:after="40" w:line="256" w:lineRule="auto"/>
              <w:jc w:val="both"/>
              <w:rPr>
                <w:rFonts w:cs="Arial"/>
                <w:b/>
                <w:bCs/>
                <w:sz w:val="20"/>
              </w:rPr>
            </w:pPr>
            <w:r w:rsidRPr="00383886">
              <w:rPr>
                <w:rFonts w:cs="Arial"/>
                <w:b/>
                <w:bCs/>
                <w:sz w:val="20"/>
              </w:rPr>
              <w:t>Rudarstvo</w:t>
            </w:r>
            <w:r w:rsidRPr="00383886">
              <w:rPr>
                <w:rFonts w:cs="Arial"/>
                <w:b/>
                <w:bCs/>
                <w:sz w:val="20"/>
                <w:lang w:val="sr-Latn-RS"/>
              </w:rPr>
              <w:t>: Održivo u</w:t>
            </w:r>
            <w:r w:rsidRPr="00383886">
              <w:rPr>
                <w:rFonts w:cs="Arial"/>
                <w:b/>
                <w:bCs/>
                <w:sz w:val="20"/>
              </w:rPr>
              <w:t xml:space="preserve">pravljanje mineralnim resursima  </w:t>
            </w:r>
          </w:p>
        </w:tc>
      </w:tr>
      <w:tr w:rsidR="00383886" w:rsidRPr="00383886" w14:paraId="2250F604" w14:textId="77777777" w:rsidTr="00FD6B98">
        <w:tc>
          <w:tcPr>
            <w:tcW w:w="2834" w:type="dxa"/>
            <w:gridSpan w:val="2"/>
            <w:shd w:val="clear" w:color="auto" w:fill="DAF2F6"/>
          </w:tcPr>
          <w:p w14:paraId="48FF75F8" w14:textId="77777777" w:rsidR="00383886" w:rsidRPr="00383886" w:rsidRDefault="00383886" w:rsidP="00FD6B98">
            <w:pPr>
              <w:spacing w:before="40" w:after="40" w:line="256" w:lineRule="auto"/>
              <w:jc w:val="center"/>
              <w:rPr>
                <w:rFonts w:cs="Arial"/>
                <w:b/>
                <w:sz w:val="20"/>
              </w:rPr>
            </w:pPr>
            <w:r w:rsidRPr="00383886">
              <w:rPr>
                <w:rFonts w:cs="Arial"/>
                <w:b/>
                <w:sz w:val="20"/>
              </w:rPr>
              <w:t>Indikator učinka</w:t>
            </w:r>
          </w:p>
        </w:tc>
        <w:tc>
          <w:tcPr>
            <w:tcW w:w="3181" w:type="dxa"/>
            <w:gridSpan w:val="2"/>
            <w:shd w:val="clear" w:color="auto" w:fill="DAF2F6"/>
          </w:tcPr>
          <w:p w14:paraId="0B5D88D5" w14:textId="77777777" w:rsidR="00383886" w:rsidRPr="00383886" w:rsidRDefault="00383886" w:rsidP="00FD6B98">
            <w:pPr>
              <w:spacing w:before="40" w:after="40" w:line="256" w:lineRule="auto"/>
              <w:jc w:val="center"/>
              <w:rPr>
                <w:rFonts w:cs="Arial"/>
                <w:b/>
                <w:sz w:val="20"/>
              </w:rPr>
            </w:pPr>
            <w:r w:rsidRPr="00383886">
              <w:rPr>
                <w:rFonts w:cs="Arial"/>
                <w:b/>
                <w:sz w:val="20"/>
              </w:rPr>
              <w:t xml:space="preserve">Polazna vrijednost – </w:t>
            </w:r>
          </w:p>
          <w:p w14:paraId="1E570FC6" w14:textId="77777777" w:rsidR="00383886" w:rsidRPr="00383886" w:rsidRDefault="00383886" w:rsidP="00FD6B98">
            <w:pPr>
              <w:spacing w:before="40" w:after="40" w:line="256" w:lineRule="auto"/>
              <w:jc w:val="center"/>
              <w:rPr>
                <w:rFonts w:cs="Arial"/>
                <w:b/>
                <w:sz w:val="20"/>
              </w:rPr>
            </w:pPr>
            <w:r w:rsidRPr="00383886">
              <w:rPr>
                <w:rFonts w:cs="Arial"/>
                <w:b/>
                <w:sz w:val="20"/>
              </w:rPr>
              <w:t>2021. g.</w:t>
            </w:r>
          </w:p>
        </w:tc>
        <w:tc>
          <w:tcPr>
            <w:tcW w:w="3001" w:type="dxa"/>
            <w:gridSpan w:val="2"/>
            <w:shd w:val="clear" w:color="auto" w:fill="DAF2F6"/>
            <w:vAlign w:val="center"/>
          </w:tcPr>
          <w:p w14:paraId="0D04E1D8" w14:textId="77777777" w:rsidR="00383886" w:rsidRPr="00383886" w:rsidRDefault="00383886" w:rsidP="00FD6B98">
            <w:pPr>
              <w:spacing w:before="40" w:after="40" w:line="256" w:lineRule="auto"/>
              <w:jc w:val="center"/>
              <w:rPr>
                <w:rFonts w:cs="Arial"/>
                <w:b/>
                <w:sz w:val="20"/>
              </w:rPr>
            </w:pPr>
            <w:r w:rsidRPr="00383886">
              <w:rPr>
                <w:rFonts w:cs="Arial"/>
                <w:b/>
                <w:sz w:val="20"/>
              </w:rPr>
              <w:t xml:space="preserve">Prelazna vrijednost – </w:t>
            </w:r>
          </w:p>
          <w:p w14:paraId="0F58D6D1" w14:textId="77777777" w:rsidR="00383886" w:rsidRPr="00383886" w:rsidRDefault="00383886" w:rsidP="00FD6B98">
            <w:pPr>
              <w:spacing w:before="40" w:after="40" w:line="256" w:lineRule="auto"/>
              <w:jc w:val="center"/>
              <w:rPr>
                <w:rFonts w:cs="Arial"/>
                <w:b/>
                <w:sz w:val="20"/>
              </w:rPr>
            </w:pPr>
            <w:r w:rsidRPr="00383886">
              <w:rPr>
                <w:rFonts w:cs="Arial"/>
                <w:b/>
                <w:sz w:val="20"/>
              </w:rPr>
              <w:t>2022. g.</w:t>
            </w:r>
          </w:p>
        </w:tc>
        <w:tc>
          <w:tcPr>
            <w:tcW w:w="2347" w:type="dxa"/>
            <w:gridSpan w:val="2"/>
            <w:tcBorders>
              <w:bottom w:val="single" w:sz="4" w:space="0" w:color="FFFFFF" w:themeColor="background1"/>
            </w:tcBorders>
            <w:shd w:val="clear" w:color="auto" w:fill="DAF2F6"/>
            <w:vAlign w:val="center"/>
          </w:tcPr>
          <w:p w14:paraId="5E35BE01" w14:textId="77777777" w:rsidR="00383886" w:rsidRPr="00383886" w:rsidRDefault="00383886" w:rsidP="00FD6B98">
            <w:pPr>
              <w:spacing w:before="40" w:after="40" w:line="256" w:lineRule="auto"/>
              <w:jc w:val="center"/>
              <w:rPr>
                <w:rFonts w:cs="Arial"/>
                <w:b/>
                <w:sz w:val="20"/>
              </w:rPr>
            </w:pPr>
            <w:r w:rsidRPr="00383886">
              <w:rPr>
                <w:rFonts w:cs="Arial"/>
                <w:b/>
                <w:sz w:val="20"/>
              </w:rPr>
              <w:t>Prelazna vrijednost – 2023. g.</w:t>
            </w:r>
          </w:p>
        </w:tc>
        <w:tc>
          <w:tcPr>
            <w:tcW w:w="3438" w:type="dxa"/>
            <w:gridSpan w:val="2"/>
            <w:tcBorders>
              <w:bottom w:val="single" w:sz="4" w:space="0" w:color="FFFFFF" w:themeColor="background1"/>
            </w:tcBorders>
            <w:shd w:val="clear" w:color="auto" w:fill="DAF2F6"/>
            <w:vAlign w:val="center"/>
          </w:tcPr>
          <w:p w14:paraId="4EC72167" w14:textId="77777777" w:rsidR="00383886" w:rsidRPr="00383886" w:rsidRDefault="00383886" w:rsidP="00FD6B98">
            <w:pPr>
              <w:spacing w:before="40" w:after="40" w:line="256" w:lineRule="auto"/>
              <w:jc w:val="center"/>
              <w:rPr>
                <w:rFonts w:cs="Arial"/>
                <w:b/>
                <w:sz w:val="20"/>
              </w:rPr>
            </w:pPr>
            <w:r w:rsidRPr="00383886">
              <w:rPr>
                <w:rFonts w:cs="Arial"/>
                <w:b/>
                <w:sz w:val="20"/>
              </w:rPr>
              <w:t xml:space="preserve">Ciljna vrijednost – </w:t>
            </w:r>
          </w:p>
          <w:p w14:paraId="48593B9E" w14:textId="77777777" w:rsidR="00383886" w:rsidRPr="00383886" w:rsidRDefault="00383886" w:rsidP="00FD6B98">
            <w:pPr>
              <w:spacing w:before="40" w:after="40" w:line="256" w:lineRule="auto"/>
              <w:jc w:val="center"/>
              <w:rPr>
                <w:rFonts w:cs="Arial"/>
                <w:b/>
                <w:sz w:val="20"/>
              </w:rPr>
            </w:pPr>
            <w:r w:rsidRPr="00383886">
              <w:rPr>
                <w:rFonts w:cs="Arial"/>
                <w:b/>
                <w:sz w:val="20"/>
              </w:rPr>
              <w:t>2024. g.</w:t>
            </w:r>
          </w:p>
        </w:tc>
      </w:tr>
      <w:tr w:rsidR="00383886" w:rsidRPr="00383886" w14:paraId="6DA66308" w14:textId="77777777" w:rsidTr="00FD6B98">
        <w:tc>
          <w:tcPr>
            <w:tcW w:w="2834" w:type="dxa"/>
            <w:gridSpan w:val="2"/>
            <w:shd w:val="clear" w:color="auto" w:fill="DAF2F6"/>
          </w:tcPr>
          <w:p w14:paraId="16FAB439" w14:textId="77777777" w:rsidR="00383886" w:rsidRPr="00AE274D" w:rsidRDefault="00383886" w:rsidP="00FD6B98">
            <w:pPr>
              <w:spacing w:before="40" w:after="40" w:line="256" w:lineRule="auto"/>
              <w:contextualSpacing/>
              <w:jc w:val="both"/>
              <w:rPr>
                <w:rFonts w:cs="Arial"/>
                <w:bCs/>
                <w:iCs/>
                <w:sz w:val="20"/>
              </w:rPr>
            </w:pPr>
            <w:r w:rsidRPr="00AE274D">
              <w:rPr>
                <w:rFonts w:cs="Arial"/>
                <w:bCs/>
                <w:iCs/>
                <w:sz w:val="20"/>
              </w:rPr>
              <w:t>Broj datih koncesija za detaljna geološka  istraživanja i eksploataciju mineralnih sirovina</w:t>
            </w:r>
          </w:p>
        </w:tc>
        <w:tc>
          <w:tcPr>
            <w:tcW w:w="3181" w:type="dxa"/>
            <w:gridSpan w:val="2"/>
            <w:shd w:val="clear" w:color="auto" w:fill="DAF2F6"/>
          </w:tcPr>
          <w:p w14:paraId="2AE0AE19" w14:textId="77777777" w:rsidR="00383886" w:rsidRPr="00383886" w:rsidRDefault="00383886" w:rsidP="00FD6B98">
            <w:pPr>
              <w:spacing w:before="40" w:after="40" w:line="256" w:lineRule="auto"/>
              <w:jc w:val="center"/>
              <w:rPr>
                <w:rFonts w:cs="Arial"/>
                <w:iCs/>
                <w:sz w:val="20"/>
              </w:rPr>
            </w:pPr>
            <w:r w:rsidRPr="00383886">
              <w:rPr>
                <w:rFonts w:cs="Arial"/>
                <w:iCs/>
                <w:sz w:val="20"/>
              </w:rPr>
              <w:t>52</w:t>
            </w:r>
          </w:p>
        </w:tc>
        <w:tc>
          <w:tcPr>
            <w:tcW w:w="3001" w:type="dxa"/>
            <w:gridSpan w:val="2"/>
            <w:shd w:val="clear" w:color="auto" w:fill="DAF2F6"/>
          </w:tcPr>
          <w:p w14:paraId="0883C230" w14:textId="77777777" w:rsidR="00383886" w:rsidRPr="00383886" w:rsidRDefault="00383886" w:rsidP="00FD6B98">
            <w:pPr>
              <w:spacing w:before="40" w:after="40" w:line="256" w:lineRule="auto"/>
              <w:jc w:val="center"/>
              <w:rPr>
                <w:rFonts w:cs="Arial"/>
                <w:iCs/>
                <w:sz w:val="20"/>
              </w:rPr>
            </w:pPr>
            <w:r w:rsidRPr="00383886">
              <w:rPr>
                <w:rFonts w:cs="Arial"/>
                <w:iCs/>
                <w:sz w:val="20"/>
              </w:rPr>
              <w:t>57</w:t>
            </w:r>
          </w:p>
          <w:p w14:paraId="41BD5B64" w14:textId="77777777" w:rsidR="00383886" w:rsidRPr="00383886" w:rsidRDefault="00383886" w:rsidP="00FD6B98">
            <w:pPr>
              <w:spacing w:before="40" w:after="40" w:line="256" w:lineRule="auto"/>
              <w:jc w:val="center"/>
              <w:rPr>
                <w:rFonts w:cs="Arial"/>
                <w:iCs/>
                <w:sz w:val="20"/>
              </w:rPr>
            </w:pPr>
            <w:r w:rsidRPr="00383886">
              <w:rPr>
                <w:rFonts w:cs="Arial"/>
                <w:iCs/>
                <w:sz w:val="20"/>
              </w:rPr>
              <w:t>(povećanje za 10% polazne vrijednosti)</w:t>
            </w:r>
          </w:p>
        </w:tc>
        <w:tc>
          <w:tcPr>
            <w:tcW w:w="2347" w:type="dxa"/>
            <w:gridSpan w:val="2"/>
            <w:shd w:val="clear" w:color="auto" w:fill="DAF2F6"/>
          </w:tcPr>
          <w:p w14:paraId="1867EEC3" w14:textId="77777777" w:rsidR="00383886" w:rsidRPr="00383886" w:rsidRDefault="00383886" w:rsidP="00FD6B98">
            <w:pPr>
              <w:spacing w:before="40" w:after="40" w:line="256" w:lineRule="auto"/>
              <w:jc w:val="center"/>
              <w:rPr>
                <w:rFonts w:cs="Arial"/>
                <w:iCs/>
                <w:sz w:val="20"/>
              </w:rPr>
            </w:pPr>
            <w:r w:rsidRPr="00383886">
              <w:rPr>
                <w:rFonts w:cs="Arial"/>
                <w:iCs/>
                <w:sz w:val="20"/>
              </w:rPr>
              <w:t>60</w:t>
            </w:r>
          </w:p>
          <w:p w14:paraId="663F63BD" w14:textId="77777777" w:rsidR="00383886" w:rsidRPr="00383886" w:rsidRDefault="00383886" w:rsidP="00FD6B98">
            <w:pPr>
              <w:spacing w:before="40" w:after="40" w:line="256" w:lineRule="auto"/>
              <w:jc w:val="center"/>
              <w:rPr>
                <w:rFonts w:cs="Arial"/>
                <w:iCs/>
                <w:sz w:val="20"/>
              </w:rPr>
            </w:pPr>
            <w:r w:rsidRPr="00383886">
              <w:rPr>
                <w:rFonts w:cs="Arial"/>
                <w:iCs/>
                <w:sz w:val="20"/>
              </w:rPr>
              <w:t>(povećanje za 15% polazne vrijednosti)</w:t>
            </w:r>
          </w:p>
        </w:tc>
        <w:tc>
          <w:tcPr>
            <w:tcW w:w="3438" w:type="dxa"/>
            <w:gridSpan w:val="2"/>
            <w:shd w:val="clear" w:color="auto" w:fill="DAF2F6"/>
          </w:tcPr>
          <w:p w14:paraId="28E22CA4" w14:textId="77777777" w:rsidR="00383886" w:rsidRPr="00383886" w:rsidRDefault="00383886" w:rsidP="00FD6B98">
            <w:pPr>
              <w:spacing w:before="40" w:after="40" w:line="256" w:lineRule="auto"/>
              <w:jc w:val="center"/>
              <w:rPr>
                <w:rFonts w:cs="Arial"/>
                <w:iCs/>
                <w:sz w:val="20"/>
              </w:rPr>
            </w:pPr>
            <w:r w:rsidRPr="00383886">
              <w:rPr>
                <w:rFonts w:cs="Arial"/>
                <w:iCs/>
                <w:sz w:val="20"/>
              </w:rPr>
              <w:t>62</w:t>
            </w:r>
          </w:p>
          <w:p w14:paraId="07D76766" w14:textId="77777777" w:rsidR="00383886" w:rsidRPr="00383886" w:rsidRDefault="00383886" w:rsidP="00FD6B98">
            <w:pPr>
              <w:spacing w:before="40" w:after="40" w:line="256" w:lineRule="auto"/>
              <w:jc w:val="center"/>
              <w:rPr>
                <w:rFonts w:cs="Arial"/>
                <w:iCs/>
                <w:sz w:val="20"/>
              </w:rPr>
            </w:pPr>
            <w:r w:rsidRPr="00383886">
              <w:rPr>
                <w:rFonts w:cs="Arial"/>
                <w:iCs/>
                <w:sz w:val="20"/>
              </w:rPr>
              <w:t>(povećanje za 20% polazne vrijednosti)</w:t>
            </w:r>
          </w:p>
        </w:tc>
      </w:tr>
      <w:tr w:rsidR="00383886" w:rsidRPr="00383886" w14:paraId="01B8458C" w14:textId="77777777" w:rsidTr="00FD6B98">
        <w:tc>
          <w:tcPr>
            <w:tcW w:w="2834" w:type="dxa"/>
            <w:gridSpan w:val="2"/>
            <w:shd w:val="clear" w:color="auto" w:fill="DAF2F6"/>
          </w:tcPr>
          <w:p w14:paraId="233225D7" w14:textId="77777777" w:rsidR="00383886" w:rsidRPr="00AE274D" w:rsidRDefault="00383886" w:rsidP="00FD6B98">
            <w:pPr>
              <w:spacing w:before="40" w:after="40" w:line="256" w:lineRule="auto"/>
              <w:contextualSpacing/>
              <w:jc w:val="both"/>
              <w:rPr>
                <w:rFonts w:cs="Arial"/>
                <w:bCs/>
                <w:iCs/>
                <w:sz w:val="20"/>
              </w:rPr>
            </w:pPr>
            <w:r w:rsidRPr="00AE274D">
              <w:rPr>
                <w:rFonts w:cs="Arial"/>
                <w:bCs/>
                <w:iCs/>
                <w:sz w:val="20"/>
              </w:rPr>
              <w:t>Koncesiona naknada</w:t>
            </w:r>
            <w:r w:rsidRPr="00AE274D">
              <w:rPr>
                <w:rStyle w:val="FootnoteReference"/>
                <w:rFonts w:cs="Arial"/>
                <w:bCs/>
                <w:iCs/>
                <w:sz w:val="20"/>
              </w:rPr>
              <w:footnoteReference w:id="21"/>
            </w:r>
          </w:p>
          <w:p w14:paraId="55E26D5D" w14:textId="77777777" w:rsidR="00383886" w:rsidRPr="00AE274D" w:rsidRDefault="00383886" w:rsidP="00FD6B98">
            <w:pPr>
              <w:spacing w:before="40" w:after="40" w:line="256" w:lineRule="auto"/>
              <w:contextualSpacing/>
              <w:jc w:val="both"/>
              <w:rPr>
                <w:rFonts w:cs="Arial"/>
                <w:bCs/>
                <w:iCs/>
                <w:sz w:val="20"/>
              </w:rPr>
            </w:pPr>
          </w:p>
          <w:p w14:paraId="6A8A74D4" w14:textId="77777777" w:rsidR="00383886" w:rsidRPr="00AE274D" w:rsidRDefault="00383886" w:rsidP="00FD6B98">
            <w:pPr>
              <w:spacing w:before="40" w:after="40" w:line="256" w:lineRule="auto"/>
              <w:contextualSpacing/>
              <w:jc w:val="both"/>
              <w:rPr>
                <w:rFonts w:cs="Arial"/>
                <w:bCs/>
                <w:iCs/>
                <w:sz w:val="20"/>
              </w:rPr>
            </w:pPr>
          </w:p>
        </w:tc>
        <w:tc>
          <w:tcPr>
            <w:tcW w:w="3181" w:type="dxa"/>
            <w:gridSpan w:val="2"/>
            <w:shd w:val="clear" w:color="auto" w:fill="DAF2F6"/>
          </w:tcPr>
          <w:p w14:paraId="5CB0E65F" w14:textId="77777777" w:rsidR="00383886" w:rsidRPr="00383886" w:rsidRDefault="00383886" w:rsidP="00FD6B98">
            <w:pPr>
              <w:spacing w:before="40" w:after="40" w:line="256" w:lineRule="auto"/>
              <w:jc w:val="center"/>
              <w:rPr>
                <w:rFonts w:cs="Arial"/>
                <w:iCs/>
                <w:sz w:val="20"/>
              </w:rPr>
            </w:pPr>
            <w:r w:rsidRPr="00383886">
              <w:rPr>
                <w:rFonts w:eastAsia="Times New Roman" w:cs="Arial"/>
                <w:iCs/>
                <w:noProof/>
                <w:sz w:val="20"/>
                <w:lang w:val="sr-Latn-CS" w:eastAsia="sr-Latn-CS"/>
              </w:rPr>
              <w:t>3.335.582,09 eur</w:t>
            </w:r>
          </w:p>
        </w:tc>
        <w:tc>
          <w:tcPr>
            <w:tcW w:w="3001" w:type="dxa"/>
            <w:gridSpan w:val="2"/>
            <w:shd w:val="clear" w:color="auto" w:fill="DAF2F6"/>
          </w:tcPr>
          <w:p w14:paraId="09829FEF" w14:textId="77777777" w:rsidR="00383886" w:rsidRPr="00383886" w:rsidRDefault="00383886" w:rsidP="00FD6B98">
            <w:pPr>
              <w:spacing w:before="40" w:after="40" w:line="256" w:lineRule="auto"/>
              <w:jc w:val="center"/>
              <w:rPr>
                <w:rFonts w:cs="Arial"/>
                <w:iCs/>
                <w:sz w:val="20"/>
              </w:rPr>
            </w:pPr>
            <w:r w:rsidRPr="00383886">
              <w:rPr>
                <w:rFonts w:cs="Arial"/>
                <w:iCs/>
                <w:sz w:val="20"/>
              </w:rPr>
              <w:t>3.500.000,00 eur</w:t>
            </w:r>
          </w:p>
        </w:tc>
        <w:tc>
          <w:tcPr>
            <w:tcW w:w="2347" w:type="dxa"/>
            <w:gridSpan w:val="2"/>
            <w:shd w:val="clear" w:color="auto" w:fill="DAF2F6"/>
          </w:tcPr>
          <w:p w14:paraId="733E49FF" w14:textId="77777777" w:rsidR="00383886" w:rsidRPr="00383886" w:rsidRDefault="00383886" w:rsidP="00FD6B98">
            <w:pPr>
              <w:spacing w:before="40" w:after="40" w:line="256" w:lineRule="auto"/>
              <w:jc w:val="center"/>
              <w:rPr>
                <w:rFonts w:cs="Arial"/>
                <w:iCs/>
                <w:sz w:val="20"/>
              </w:rPr>
            </w:pPr>
            <w:r w:rsidRPr="00383886">
              <w:rPr>
                <w:rFonts w:cs="Arial"/>
                <w:iCs/>
                <w:sz w:val="20"/>
              </w:rPr>
              <w:t>3.700.000,00 eur</w:t>
            </w:r>
          </w:p>
        </w:tc>
        <w:tc>
          <w:tcPr>
            <w:tcW w:w="3438" w:type="dxa"/>
            <w:gridSpan w:val="2"/>
            <w:shd w:val="clear" w:color="auto" w:fill="DAF2F6"/>
          </w:tcPr>
          <w:p w14:paraId="37A9A1FD" w14:textId="77777777" w:rsidR="00383886" w:rsidRPr="00383886" w:rsidRDefault="00383886" w:rsidP="00FD6B98">
            <w:pPr>
              <w:spacing w:before="40" w:after="40" w:line="256" w:lineRule="auto"/>
              <w:jc w:val="center"/>
              <w:rPr>
                <w:rFonts w:cs="Arial"/>
                <w:iCs/>
                <w:sz w:val="20"/>
              </w:rPr>
            </w:pPr>
            <w:r w:rsidRPr="00383886">
              <w:rPr>
                <w:rFonts w:cs="Arial"/>
                <w:iCs/>
                <w:sz w:val="20"/>
              </w:rPr>
              <w:t>3.900.000,00 eur</w:t>
            </w:r>
          </w:p>
        </w:tc>
      </w:tr>
      <w:bookmarkEnd w:id="33"/>
      <w:tr w:rsidR="00383886" w:rsidRPr="00383886" w14:paraId="0921AE86" w14:textId="77777777" w:rsidTr="00FD6B98">
        <w:tc>
          <w:tcPr>
            <w:tcW w:w="2834" w:type="dxa"/>
            <w:gridSpan w:val="2"/>
            <w:shd w:val="clear" w:color="auto" w:fill="FFF2CC" w:themeFill="accent4" w:themeFillTint="33"/>
            <w:vAlign w:val="center"/>
          </w:tcPr>
          <w:p w14:paraId="1550CF26" w14:textId="77777777" w:rsidR="00383886" w:rsidRPr="00383886" w:rsidRDefault="00383886" w:rsidP="00FD6B98">
            <w:pPr>
              <w:spacing w:before="20" w:after="20" w:line="256" w:lineRule="auto"/>
              <w:jc w:val="center"/>
              <w:rPr>
                <w:rFonts w:cs="Arial"/>
                <w:b/>
                <w:sz w:val="20"/>
              </w:rPr>
            </w:pPr>
            <w:r w:rsidRPr="00383886">
              <w:rPr>
                <w:rFonts w:cs="Arial"/>
                <w:b/>
                <w:sz w:val="20"/>
              </w:rPr>
              <w:t>Aktivnosti</w:t>
            </w:r>
          </w:p>
        </w:tc>
        <w:tc>
          <w:tcPr>
            <w:tcW w:w="2664" w:type="dxa"/>
            <w:shd w:val="clear" w:color="auto" w:fill="FFF2CC" w:themeFill="accent4" w:themeFillTint="33"/>
            <w:vAlign w:val="center"/>
          </w:tcPr>
          <w:p w14:paraId="58279CA1" w14:textId="77777777" w:rsidR="00383886" w:rsidRPr="00383886" w:rsidRDefault="00383886" w:rsidP="00FD6B98">
            <w:pPr>
              <w:spacing w:before="20" w:after="20" w:line="256" w:lineRule="auto"/>
              <w:jc w:val="center"/>
              <w:rPr>
                <w:rFonts w:cs="Arial"/>
                <w:b/>
                <w:sz w:val="20"/>
              </w:rPr>
            </w:pPr>
            <w:r w:rsidRPr="00383886">
              <w:rPr>
                <w:rFonts w:cs="Arial"/>
                <w:b/>
                <w:sz w:val="20"/>
              </w:rPr>
              <w:t>Indikator rezultata</w:t>
            </w:r>
          </w:p>
        </w:tc>
        <w:tc>
          <w:tcPr>
            <w:tcW w:w="1827" w:type="dxa"/>
            <w:gridSpan w:val="2"/>
            <w:shd w:val="clear" w:color="auto" w:fill="FFF2CC" w:themeFill="accent4" w:themeFillTint="33"/>
            <w:vAlign w:val="center"/>
          </w:tcPr>
          <w:p w14:paraId="02B0A356" w14:textId="77777777" w:rsidR="00383886" w:rsidRPr="00383886" w:rsidRDefault="00383886" w:rsidP="00FD6B98">
            <w:pPr>
              <w:spacing w:before="20" w:after="20" w:line="256" w:lineRule="auto"/>
              <w:jc w:val="center"/>
              <w:rPr>
                <w:rFonts w:cs="Arial"/>
                <w:b/>
                <w:sz w:val="20"/>
              </w:rPr>
            </w:pPr>
            <w:r w:rsidRPr="00383886">
              <w:rPr>
                <w:rFonts w:cs="Arial"/>
                <w:b/>
                <w:sz w:val="20"/>
              </w:rPr>
              <w:t>Nadležne institucije i nadležna komisija</w:t>
            </w:r>
          </w:p>
        </w:tc>
        <w:tc>
          <w:tcPr>
            <w:tcW w:w="1691" w:type="dxa"/>
            <w:shd w:val="clear" w:color="auto" w:fill="FFF2CC" w:themeFill="accent4" w:themeFillTint="33"/>
            <w:vAlign w:val="center"/>
          </w:tcPr>
          <w:p w14:paraId="4D76BB5C" w14:textId="77777777" w:rsidR="00383886" w:rsidRPr="00383886" w:rsidRDefault="00383886" w:rsidP="00FD6B98">
            <w:pPr>
              <w:spacing w:before="20" w:after="20" w:line="256" w:lineRule="auto"/>
              <w:jc w:val="center"/>
              <w:rPr>
                <w:rFonts w:cs="Arial"/>
                <w:b/>
                <w:sz w:val="20"/>
              </w:rPr>
            </w:pPr>
            <w:r w:rsidRPr="00383886">
              <w:rPr>
                <w:rFonts w:cs="Arial"/>
                <w:b/>
                <w:sz w:val="20"/>
              </w:rPr>
              <w:t>Planirani početak i završetak aktivnosti</w:t>
            </w:r>
          </w:p>
        </w:tc>
        <w:tc>
          <w:tcPr>
            <w:tcW w:w="1485" w:type="dxa"/>
            <w:shd w:val="clear" w:color="auto" w:fill="FFF2CC" w:themeFill="accent4" w:themeFillTint="33"/>
            <w:vAlign w:val="center"/>
          </w:tcPr>
          <w:p w14:paraId="5EFE9D34" w14:textId="77777777" w:rsidR="00383886" w:rsidRPr="00383886" w:rsidRDefault="00383886" w:rsidP="00FD6B98">
            <w:pPr>
              <w:spacing w:before="20" w:after="20" w:line="256" w:lineRule="auto"/>
              <w:jc w:val="center"/>
              <w:rPr>
                <w:rFonts w:cs="Arial"/>
                <w:b/>
                <w:sz w:val="20"/>
              </w:rPr>
            </w:pPr>
            <w:r w:rsidRPr="00383886">
              <w:rPr>
                <w:rFonts w:cs="Arial"/>
                <w:b/>
                <w:sz w:val="20"/>
              </w:rPr>
              <w:t>Sredstva za realizaciju  i informacija o izradi RIA</w:t>
            </w:r>
          </w:p>
        </w:tc>
        <w:tc>
          <w:tcPr>
            <w:tcW w:w="1499" w:type="dxa"/>
            <w:gridSpan w:val="2"/>
            <w:shd w:val="clear" w:color="auto" w:fill="FFF2CC" w:themeFill="accent4" w:themeFillTint="33"/>
            <w:vAlign w:val="center"/>
          </w:tcPr>
          <w:p w14:paraId="68E1AA22" w14:textId="77777777" w:rsidR="00383886" w:rsidRPr="00383886" w:rsidRDefault="00383886" w:rsidP="00FD6B98">
            <w:pPr>
              <w:spacing w:before="20" w:after="20" w:line="256" w:lineRule="auto"/>
              <w:jc w:val="center"/>
              <w:rPr>
                <w:rFonts w:cs="Arial"/>
                <w:b/>
                <w:sz w:val="20"/>
              </w:rPr>
            </w:pPr>
            <w:r w:rsidRPr="00383886">
              <w:rPr>
                <w:rFonts w:cs="Arial"/>
                <w:b/>
                <w:sz w:val="20"/>
              </w:rPr>
              <w:t xml:space="preserve"> Izvor finansiranja</w:t>
            </w:r>
          </w:p>
        </w:tc>
        <w:tc>
          <w:tcPr>
            <w:tcW w:w="2801" w:type="dxa"/>
            <w:shd w:val="clear" w:color="auto" w:fill="FFF2CC" w:themeFill="accent4" w:themeFillTint="33"/>
            <w:vAlign w:val="center"/>
          </w:tcPr>
          <w:p w14:paraId="3448B6D0" w14:textId="77777777" w:rsidR="00383886" w:rsidRPr="00383886" w:rsidRDefault="00383886" w:rsidP="00FD6B98">
            <w:pPr>
              <w:spacing w:before="20" w:after="20" w:line="256" w:lineRule="auto"/>
              <w:jc w:val="center"/>
              <w:rPr>
                <w:rFonts w:cs="Arial"/>
                <w:b/>
                <w:sz w:val="20"/>
              </w:rPr>
            </w:pPr>
          </w:p>
          <w:p w14:paraId="649A28F2" w14:textId="77777777" w:rsidR="00383886" w:rsidRPr="00383886" w:rsidRDefault="00383886" w:rsidP="00FD6B98">
            <w:pPr>
              <w:spacing w:before="20" w:after="20" w:line="256" w:lineRule="auto"/>
              <w:jc w:val="center"/>
              <w:rPr>
                <w:rFonts w:cs="Arial"/>
                <w:b/>
                <w:sz w:val="20"/>
              </w:rPr>
            </w:pPr>
            <w:r w:rsidRPr="00383886">
              <w:rPr>
                <w:rFonts w:cs="Arial"/>
                <w:b/>
                <w:sz w:val="20"/>
              </w:rPr>
              <w:t>Obrazloženje</w:t>
            </w:r>
          </w:p>
        </w:tc>
      </w:tr>
      <w:tr w:rsidR="00383886" w:rsidRPr="00383886" w14:paraId="3EBD97B0" w14:textId="77777777" w:rsidTr="00FD6B98">
        <w:tc>
          <w:tcPr>
            <w:tcW w:w="604" w:type="dxa"/>
            <w:shd w:val="clear" w:color="auto" w:fill="auto"/>
          </w:tcPr>
          <w:p w14:paraId="6C30FFA7" w14:textId="77777777" w:rsidR="00383886" w:rsidRPr="00383886" w:rsidRDefault="00383886" w:rsidP="00FD6B98">
            <w:pPr>
              <w:spacing w:before="20" w:after="20" w:line="256" w:lineRule="auto"/>
              <w:rPr>
                <w:rFonts w:cs="Arial"/>
                <w:sz w:val="20"/>
              </w:rPr>
            </w:pPr>
            <w:r w:rsidRPr="00383886">
              <w:rPr>
                <w:rFonts w:cs="Arial"/>
                <w:sz w:val="20"/>
              </w:rPr>
              <w:t>1</w:t>
            </w:r>
            <w:r w:rsidR="00AE274D">
              <w:rPr>
                <w:rFonts w:cs="Arial"/>
                <w:sz w:val="20"/>
              </w:rPr>
              <w:t>.</w:t>
            </w:r>
          </w:p>
        </w:tc>
        <w:tc>
          <w:tcPr>
            <w:tcW w:w="2230" w:type="dxa"/>
          </w:tcPr>
          <w:p w14:paraId="2ECC939E" w14:textId="77777777" w:rsidR="00383886" w:rsidRPr="00383886" w:rsidRDefault="00383886" w:rsidP="00FD6B98">
            <w:pPr>
              <w:spacing w:before="20" w:after="20" w:line="256" w:lineRule="auto"/>
              <w:jc w:val="both"/>
              <w:rPr>
                <w:rFonts w:cs="Arial"/>
                <w:iCs/>
                <w:sz w:val="20"/>
              </w:rPr>
            </w:pPr>
            <w:r w:rsidRPr="00383886">
              <w:rPr>
                <w:rFonts w:cs="Arial"/>
                <w:iCs/>
                <w:sz w:val="20"/>
              </w:rPr>
              <w:t xml:space="preserve">Izrada Plana davanja koncesija za geološka istraživanja i eksploataciju čvrstih mineralnih sirovina, </w:t>
            </w:r>
          </w:p>
        </w:tc>
        <w:tc>
          <w:tcPr>
            <w:tcW w:w="2664" w:type="dxa"/>
          </w:tcPr>
          <w:p w14:paraId="7947E83D" w14:textId="77777777" w:rsidR="00383886" w:rsidRPr="00383886" w:rsidRDefault="00383886" w:rsidP="00FD6B98">
            <w:pPr>
              <w:spacing w:before="20" w:after="20" w:line="256" w:lineRule="auto"/>
              <w:rPr>
                <w:rFonts w:cs="Arial"/>
                <w:iCs/>
                <w:sz w:val="20"/>
              </w:rPr>
            </w:pPr>
            <w:r w:rsidRPr="00383886">
              <w:rPr>
                <w:rFonts w:cs="Arial"/>
                <w:iCs/>
                <w:sz w:val="20"/>
              </w:rPr>
              <w:t>Donesen Plan davanja koncesija od strane Vlade CG</w:t>
            </w:r>
          </w:p>
        </w:tc>
        <w:tc>
          <w:tcPr>
            <w:tcW w:w="1827" w:type="dxa"/>
            <w:gridSpan w:val="2"/>
          </w:tcPr>
          <w:p w14:paraId="56A5762D" w14:textId="77777777" w:rsidR="00383886" w:rsidRPr="00383886" w:rsidRDefault="00383886" w:rsidP="00FD6B98">
            <w:pPr>
              <w:spacing w:before="20" w:after="20" w:line="256" w:lineRule="auto"/>
              <w:rPr>
                <w:rFonts w:cs="Arial"/>
                <w:iCs/>
                <w:sz w:val="20"/>
              </w:rPr>
            </w:pPr>
            <w:r w:rsidRPr="00383886">
              <w:rPr>
                <w:rFonts w:cs="Arial"/>
                <w:iCs/>
                <w:sz w:val="20"/>
              </w:rPr>
              <w:t>MKI,</w:t>
            </w:r>
          </w:p>
          <w:p w14:paraId="24B38CAB" w14:textId="77777777" w:rsidR="00383886" w:rsidRPr="00383886" w:rsidRDefault="00383886" w:rsidP="00FD6B98">
            <w:pPr>
              <w:spacing w:before="20" w:after="20" w:line="256" w:lineRule="auto"/>
              <w:rPr>
                <w:rFonts w:cs="Arial"/>
                <w:iCs/>
                <w:sz w:val="20"/>
              </w:rPr>
            </w:pPr>
          </w:p>
        </w:tc>
        <w:tc>
          <w:tcPr>
            <w:tcW w:w="1691" w:type="dxa"/>
          </w:tcPr>
          <w:p w14:paraId="17283A50" w14:textId="77777777" w:rsidR="00383886" w:rsidRPr="00383886" w:rsidRDefault="00383886" w:rsidP="00FD6B98">
            <w:pPr>
              <w:spacing w:before="20" w:after="20" w:line="256" w:lineRule="auto"/>
              <w:rPr>
                <w:rFonts w:cs="Arial"/>
                <w:iCs/>
                <w:sz w:val="20"/>
              </w:rPr>
            </w:pPr>
            <w:r w:rsidRPr="00383886">
              <w:rPr>
                <w:rFonts w:cs="Arial"/>
                <w:iCs/>
                <w:sz w:val="20"/>
              </w:rPr>
              <w:t>IV Q 2022</w:t>
            </w:r>
          </w:p>
          <w:p w14:paraId="7D51DFC2" w14:textId="77777777" w:rsidR="00383886" w:rsidRPr="00383886" w:rsidRDefault="00383886" w:rsidP="00FD6B98">
            <w:pPr>
              <w:spacing w:before="20" w:after="20" w:line="256" w:lineRule="auto"/>
              <w:rPr>
                <w:rFonts w:cs="Arial"/>
                <w:iCs/>
                <w:sz w:val="20"/>
              </w:rPr>
            </w:pPr>
            <w:r w:rsidRPr="00383886">
              <w:rPr>
                <w:rFonts w:cs="Arial"/>
                <w:iCs/>
                <w:sz w:val="20"/>
              </w:rPr>
              <w:t xml:space="preserve"> (Program rada Vlade)</w:t>
            </w:r>
          </w:p>
          <w:p w14:paraId="4902075E" w14:textId="77777777" w:rsidR="00383886" w:rsidRPr="00383886" w:rsidRDefault="00383886" w:rsidP="00FD6B98">
            <w:pPr>
              <w:spacing w:before="20" w:after="20" w:line="256" w:lineRule="auto"/>
              <w:jc w:val="both"/>
              <w:rPr>
                <w:rFonts w:cs="Arial"/>
                <w:iCs/>
                <w:sz w:val="20"/>
              </w:rPr>
            </w:pPr>
          </w:p>
        </w:tc>
        <w:tc>
          <w:tcPr>
            <w:tcW w:w="1485" w:type="dxa"/>
          </w:tcPr>
          <w:p w14:paraId="6DE17E95" w14:textId="77777777" w:rsidR="00383886" w:rsidRPr="00383886" w:rsidRDefault="00383886" w:rsidP="00FD6B98">
            <w:pPr>
              <w:spacing w:before="20" w:after="20" w:line="256" w:lineRule="auto"/>
              <w:rPr>
                <w:rFonts w:cs="Arial"/>
                <w:b/>
                <w:iCs/>
                <w:sz w:val="20"/>
              </w:rPr>
            </w:pPr>
          </w:p>
        </w:tc>
        <w:tc>
          <w:tcPr>
            <w:tcW w:w="1499" w:type="dxa"/>
            <w:gridSpan w:val="2"/>
          </w:tcPr>
          <w:p w14:paraId="7EC2075F" w14:textId="77777777" w:rsidR="00383886" w:rsidRPr="00383886" w:rsidRDefault="00383886" w:rsidP="00FD6B98">
            <w:pPr>
              <w:spacing w:before="20" w:after="20" w:line="256" w:lineRule="auto"/>
              <w:rPr>
                <w:rFonts w:cs="Arial"/>
                <w:bCs/>
                <w:iCs/>
                <w:sz w:val="20"/>
              </w:rPr>
            </w:pPr>
            <w:r w:rsidRPr="00383886">
              <w:rPr>
                <w:rFonts w:cs="Arial"/>
                <w:bCs/>
                <w:iCs/>
                <w:sz w:val="20"/>
              </w:rPr>
              <w:t>Redovna sredstva Budžeta CG</w:t>
            </w:r>
          </w:p>
        </w:tc>
        <w:tc>
          <w:tcPr>
            <w:tcW w:w="2801" w:type="dxa"/>
          </w:tcPr>
          <w:p w14:paraId="74A1C16B" w14:textId="77777777" w:rsidR="00383886" w:rsidRPr="00383886" w:rsidRDefault="00383886" w:rsidP="00FD6B98">
            <w:pPr>
              <w:spacing w:before="20" w:after="20" w:line="256" w:lineRule="auto"/>
              <w:jc w:val="both"/>
              <w:rPr>
                <w:rFonts w:cs="Arial"/>
                <w:iCs/>
                <w:sz w:val="20"/>
              </w:rPr>
            </w:pPr>
            <w:r w:rsidRPr="00383886">
              <w:rPr>
                <w:rFonts w:cs="Arial"/>
                <w:iCs/>
                <w:sz w:val="20"/>
              </w:rPr>
              <w:t xml:space="preserve">Ministarstvo, prema Programu rada Vlade,  predlaže Vladi Plan davanja koncesija na donošenje u IV kvartalu tekuće za narednu godinu. </w:t>
            </w:r>
          </w:p>
          <w:p w14:paraId="7C861416" w14:textId="77777777" w:rsidR="00383886" w:rsidRPr="00383886" w:rsidRDefault="00383886" w:rsidP="00FD6B98">
            <w:pPr>
              <w:spacing w:before="20" w:after="20" w:line="256" w:lineRule="auto"/>
              <w:jc w:val="both"/>
              <w:rPr>
                <w:rFonts w:cs="Arial"/>
                <w:b/>
                <w:iCs/>
                <w:sz w:val="20"/>
              </w:rPr>
            </w:pPr>
            <w:r w:rsidRPr="00383886">
              <w:rPr>
                <w:rFonts w:cs="Arial"/>
                <w:iCs/>
                <w:sz w:val="20"/>
              </w:rPr>
              <w:t xml:space="preserve">U Plan su uvrštene lokacije za davanja na koncesiju, u postupku propisanom u  Zakonu o koncesijama </w:t>
            </w:r>
          </w:p>
        </w:tc>
      </w:tr>
      <w:tr w:rsidR="00383886" w:rsidRPr="00383886" w14:paraId="634D40BC" w14:textId="77777777" w:rsidTr="00FD6B98">
        <w:tc>
          <w:tcPr>
            <w:tcW w:w="604" w:type="dxa"/>
            <w:shd w:val="clear" w:color="auto" w:fill="auto"/>
          </w:tcPr>
          <w:p w14:paraId="0A7112FB" w14:textId="77777777" w:rsidR="00383886" w:rsidRPr="00383886" w:rsidRDefault="00383886" w:rsidP="00FD6B98">
            <w:pPr>
              <w:spacing w:before="20" w:after="20" w:line="256" w:lineRule="auto"/>
              <w:rPr>
                <w:rFonts w:cs="Arial"/>
                <w:sz w:val="20"/>
              </w:rPr>
            </w:pPr>
            <w:r w:rsidRPr="00383886">
              <w:rPr>
                <w:rFonts w:cs="Arial"/>
                <w:sz w:val="20"/>
              </w:rPr>
              <w:t>2</w:t>
            </w:r>
            <w:r w:rsidR="00AE274D">
              <w:rPr>
                <w:rFonts w:cs="Arial"/>
                <w:sz w:val="20"/>
              </w:rPr>
              <w:t>.</w:t>
            </w:r>
          </w:p>
        </w:tc>
        <w:tc>
          <w:tcPr>
            <w:tcW w:w="2230" w:type="dxa"/>
          </w:tcPr>
          <w:p w14:paraId="2EF1EB12" w14:textId="77777777" w:rsidR="00383886" w:rsidRPr="00383886" w:rsidRDefault="00383886" w:rsidP="00FD6B98">
            <w:pPr>
              <w:spacing w:before="20" w:after="20" w:line="256" w:lineRule="auto"/>
              <w:jc w:val="both"/>
              <w:rPr>
                <w:rFonts w:cs="Arial"/>
                <w:iCs/>
                <w:sz w:val="20"/>
              </w:rPr>
            </w:pPr>
            <w:r w:rsidRPr="00383886">
              <w:rPr>
                <w:rFonts w:cs="Arial"/>
                <w:iCs/>
                <w:sz w:val="20"/>
              </w:rPr>
              <w:t xml:space="preserve">Sprovođenje postupka davanja koncesija u oblasti rudarstva, geologije i ugljovodonika, radi zaključenja ugovora o koncesiji, i praćenje </w:t>
            </w:r>
            <w:r w:rsidRPr="00383886">
              <w:rPr>
                <w:rFonts w:cs="Arial"/>
                <w:iCs/>
                <w:sz w:val="20"/>
              </w:rPr>
              <w:lastRenderedPageBreak/>
              <w:t>realizacije zaključenih ugovora o koncesiji</w:t>
            </w:r>
          </w:p>
        </w:tc>
        <w:tc>
          <w:tcPr>
            <w:tcW w:w="2664" w:type="dxa"/>
          </w:tcPr>
          <w:p w14:paraId="11D3DABF" w14:textId="77777777" w:rsidR="00383886" w:rsidRPr="00383886" w:rsidRDefault="00383886" w:rsidP="00FD6B98">
            <w:pPr>
              <w:spacing w:before="20" w:after="20" w:line="256" w:lineRule="auto"/>
              <w:rPr>
                <w:rFonts w:cs="Arial"/>
                <w:iCs/>
                <w:sz w:val="20"/>
              </w:rPr>
            </w:pPr>
            <w:r w:rsidRPr="00383886">
              <w:rPr>
                <w:rFonts w:cs="Arial"/>
                <w:iCs/>
                <w:sz w:val="20"/>
              </w:rPr>
              <w:lastRenderedPageBreak/>
              <w:t>Zaključeni ugovori o koncesiji, izvršavanje ugovornih obaveza i izvještavanje Vlade o stepenu njihove realizacije</w:t>
            </w:r>
          </w:p>
          <w:p w14:paraId="077B96A0" w14:textId="77777777" w:rsidR="00383886" w:rsidRPr="00383886" w:rsidRDefault="00383886" w:rsidP="00FD6B98">
            <w:pPr>
              <w:spacing w:before="20" w:after="20" w:line="256" w:lineRule="auto"/>
              <w:rPr>
                <w:rFonts w:cs="Arial"/>
                <w:iCs/>
                <w:sz w:val="20"/>
              </w:rPr>
            </w:pPr>
          </w:p>
        </w:tc>
        <w:tc>
          <w:tcPr>
            <w:tcW w:w="1827" w:type="dxa"/>
            <w:gridSpan w:val="2"/>
          </w:tcPr>
          <w:p w14:paraId="2B4E254F" w14:textId="77777777" w:rsidR="00383886" w:rsidRPr="00383886" w:rsidRDefault="00383886" w:rsidP="00FD6B98">
            <w:pPr>
              <w:spacing w:before="20" w:after="20" w:line="256" w:lineRule="auto"/>
              <w:rPr>
                <w:rFonts w:cs="Arial"/>
                <w:iCs/>
                <w:sz w:val="20"/>
              </w:rPr>
            </w:pPr>
            <w:r w:rsidRPr="00383886">
              <w:rPr>
                <w:rFonts w:cs="Arial"/>
                <w:iCs/>
                <w:sz w:val="20"/>
              </w:rPr>
              <w:t>MKI,</w:t>
            </w:r>
          </w:p>
          <w:p w14:paraId="6FFA0F7A" w14:textId="77777777" w:rsidR="00383886" w:rsidRPr="00383886" w:rsidRDefault="00383886" w:rsidP="00FD6B98">
            <w:pPr>
              <w:spacing w:before="20" w:after="20" w:line="256" w:lineRule="auto"/>
              <w:rPr>
                <w:rFonts w:cs="Arial"/>
                <w:iCs/>
                <w:sz w:val="20"/>
              </w:rPr>
            </w:pPr>
          </w:p>
        </w:tc>
        <w:tc>
          <w:tcPr>
            <w:tcW w:w="1691" w:type="dxa"/>
          </w:tcPr>
          <w:p w14:paraId="6730BBF8" w14:textId="77777777" w:rsidR="00383886" w:rsidRPr="00383886" w:rsidRDefault="00383886" w:rsidP="00FD6B98">
            <w:pPr>
              <w:spacing w:before="20" w:after="20" w:line="256" w:lineRule="auto"/>
              <w:rPr>
                <w:rFonts w:cs="Arial"/>
                <w:iCs/>
                <w:sz w:val="20"/>
              </w:rPr>
            </w:pPr>
            <w:r w:rsidRPr="00383886">
              <w:rPr>
                <w:rFonts w:cs="Arial"/>
                <w:iCs/>
                <w:sz w:val="20"/>
              </w:rPr>
              <w:t>Kontinuirana aktivnost</w:t>
            </w:r>
          </w:p>
          <w:p w14:paraId="53A814A6" w14:textId="77777777" w:rsidR="00383886" w:rsidRPr="00383886" w:rsidRDefault="00383886" w:rsidP="00FD6B98">
            <w:pPr>
              <w:spacing w:before="20" w:after="20" w:line="256" w:lineRule="auto"/>
              <w:rPr>
                <w:rFonts w:cs="Arial"/>
                <w:iCs/>
                <w:sz w:val="20"/>
              </w:rPr>
            </w:pPr>
          </w:p>
        </w:tc>
        <w:tc>
          <w:tcPr>
            <w:tcW w:w="1485" w:type="dxa"/>
          </w:tcPr>
          <w:p w14:paraId="722D124C" w14:textId="77777777" w:rsidR="00383886" w:rsidRPr="00383886" w:rsidRDefault="00383886" w:rsidP="00FD6B98">
            <w:pPr>
              <w:spacing w:before="20" w:after="20" w:line="256" w:lineRule="auto"/>
              <w:rPr>
                <w:rFonts w:cs="Arial"/>
                <w:b/>
                <w:iCs/>
                <w:sz w:val="20"/>
              </w:rPr>
            </w:pPr>
          </w:p>
        </w:tc>
        <w:tc>
          <w:tcPr>
            <w:tcW w:w="1499" w:type="dxa"/>
            <w:gridSpan w:val="2"/>
          </w:tcPr>
          <w:p w14:paraId="4623E053" w14:textId="77777777" w:rsidR="00383886" w:rsidRPr="00383886" w:rsidRDefault="00383886" w:rsidP="00FD6B98">
            <w:pPr>
              <w:spacing w:before="20" w:after="20" w:line="256" w:lineRule="auto"/>
              <w:rPr>
                <w:rFonts w:cs="Arial"/>
                <w:bCs/>
                <w:iCs/>
                <w:sz w:val="20"/>
              </w:rPr>
            </w:pPr>
            <w:r w:rsidRPr="00383886">
              <w:rPr>
                <w:rFonts w:cs="Arial"/>
                <w:bCs/>
                <w:iCs/>
                <w:sz w:val="20"/>
              </w:rPr>
              <w:t>Redovna sredstva Budžeta CG</w:t>
            </w:r>
          </w:p>
        </w:tc>
        <w:tc>
          <w:tcPr>
            <w:tcW w:w="2801" w:type="dxa"/>
          </w:tcPr>
          <w:p w14:paraId="6961AD96" w14:textId="77777777" w:rsidR="00383886" w:rsidRPr="00383886" w:rsidRDefault="00383886" w:rsidP="00FD6B98">
            <w:pPr>
              <w:spacing w:before="20" w:after="20" w:line="256" w:lineRule="auto"/>
              <w:jc w:val="both"/>
              <w:rPr>
                <w:rFonts w:cs="Arial"/>
                <w:b/>
                <w:iCs/>
                <w:sz w:val="20"/>
              </w:rPr>
            </w:pPr>
            <w:r w:rsidRPr="00383886">
              <w:rPr>
                <w:rFonts w:cs="Arial"/>
                <w:iCs/>
                <w:sz w:val="20"/>
              </w:rPr>
              <w:t>Sprovođenje postupka davanja koncesija, prema Planu,  sadrži niz aktivnosti  propisanih Zakonom o koncesijama, u cilju zaključenja ugovora o koncesiji, što je potreban uslov za bavljenje eksploatacijom m.s.</w:t>
            </w:r>
          </w:p>
        </w:tc>
      </w:tr>
      <w:tr w:rsidR="00383886" w:rsidRPr="00383886" w14:paraId="186E64D0" w14:textId="77777777" w:rsidTr="00FD6B98">
        <w:tc>
          <w:tcPr>
            <w:tcW w:w="604" w:type="dxa"/>
            <w:shd w:val="clear" w:color="auto" w:fill="auto"/>
          </w:tcPr>
          <w:p w14:paraId="25B9660F" w14:textId="77777777" w:rsidR="00383886" w:rsidRPr="00383886" w:rsidRDefault="00383886" w:rsidP="00FD6B98">
            <w:pPr>
              <w:spacing w:before="20" w:after="20" w:line="256" w:lineRule="auto"/>
              <w:rPr>
                <w:rFonts w:cs="Arial"/>
                <w:sz w:val="20"/>
              </w:rPr>
            </w:pPr>
            <w:r w:rsidRPr="00383886">
              <w:rPr>
                <w:rFonts w:cs="Arial"/>
                <w:sz w:val="20"/>
              </w:rPr>
              <w:t>3</w:t>
            </w:r>
            <w:r w:rsidR="00AE274D">
              <w:rPr>
                <w:rFonts w:cs="Arial"/>
                <w:sz w:val="20"/>
              </w:rPr>
              <w:t>.</w:t>
            </w:r>
          </w:p>
        </w:tc>
        <w:tc>
          <w:tcPr>
            <w:tcW w:w="2230" w:type="dxa"/>
          </w:tcPr>
          <w:p w14:paraId="548D074B" w14:textId="77777777" w:rsidR="00383886" w:rsidRPr="00383886" w:rsidRDefault="00383886" w:rsidP="00FD6B98">
            <w:pPr>
              <w:spacing w:before="20" w:after="20" w:line="256" w:lineRule="auto"/>
              <w:jc w:val="both"/>
              <w:rPr>
                <w:rFonts w:cs="Arial"/>
                <w:iCs/>
                <w:sz w:val="20"/>
              </w:rPr>
            </w:pPr>
            <w:r w:rsidRPr="00383886">
              <w:rPr>
                <w:rFonts w:cs="Arial"/>
                <w:iCs/>
                <w:sz w:val="20"/>
              </w:rPr>
              <w:t xml:space="preserve">Izrada Informacije </w:t>
            </w:r>
            <w:r w:rsidRPr="00383886">
              <w:rPr>
                <w:rFonts w:eastAsia="Times New Roman" w:cs="Arial"/>
                <w:iCs/>
                <w:sz w:val="20"/>
              </w:rPr>
              <w:t>o aktivnostima u oblasti koncesija za istraživanje i proizvodnju čvrstih mineralnih sirovina, d</w:t>
            </w:r>
            <w:r w:rsidRPr="00383886">
              <w:rPr>
                <w:rFonts w:cs="Arial"/>
                <w:iCs/>
                <w:sz w:val="20"/>
              </w:rPr>
              <w:t>ostavljanje Vladi na usvajanje</w:t>
            </w:r>
          </w:p>
        </w:tc>
        <w:tc>
          <w:tcPr>
            <w:tcW w:w="2664" w:type="dxa"/>
          </w:tcPr>
          <w:p w14:paraId="415DAAC7" w14:textId="77777777" w:rsidR="00383886" w:rsidRPr="00383886" w:rsidRDefault="00383886" w:rsidP="00FD6B98">
            <w:pPr>
              <w:spacing w:before="20" w:after="20" w:line="256" w:lineRule="auto"/>
              <w:rPr>
                <w:rFonts w:cs="Arial"/>
                <w:iCs/>
                <w:sz w:val="20"/>
              </w:rPr>
            </w:pPr>
            <w:r w:rsidRPr="00383886">
              <w:rPr>
                <w:rFonts w:cs="Arial"/>
                <w:iCs/>
                <w:sz w:val="20"/>
              </w:rPr>
              <w:t>Usvojena Informacija od strane Vlade</w:t>
            </w:r>
          </w:p>
        </w:tc>
        <w:tc>
          <w:tcPr>
            <w:tcW w:w="1827" w:type="dxa"/>
            <w:gridSpan w:val="2"/>
          </w:tcPr>
          <w:p w14:paraId="416D68AA" w14:textId="77777777" w:rsidR="00383886" w:rsidRPr="00383886" w:rsidRDefault="00383886" w:rsidP="00FD6B98">
            <w:pPr>
              <w:spacing w:before="20" w:after="20" w:line="256" w:lineRule="auto"/>
              <w:rPr>
                <w:rFonts w:cs="Arial"/>
                <w:iCs/>
                <w:sz w:val="20"/>
              </w:rPr>
            </w:pPr>
            <w:r w:rsidRPr="00383886">
              <w:rPr>
                <w:rFonts w:cs="Arial"/>
                <w:iCs/>
                <w:sz w:val="20"/>
              </w:rPr>
              <w:t>MKI</w:t>
            </w:r>
          </w:p>
        </w:tc>
        <w:tc>
          <w:tcPr>
            <w:tcW w:w="1691" w:type="dxa"/>
          </w:tcPr>
          <w:p w14:paraId="1D550977" w14:textId="77777777" w:rsidR="00383886" w:rsidRPr="00383886" w:rsidRDefault="00383886" w:rsidP="00FD6B98">
            <w:pPr>
              <w:spacing w:before="20" w:after="20" w:line="256" w:lineRule="auto"/>
              <w:rPr>
                <w:rFonts w:cs="Arial"/>
                <w:iCs/>
                <w:sz w:val="20"/>
              </w:rPr>
            </w:pPr>
            <w:r w:rsidRPr="00383886">
              <w:rPr>
                <w:rFonts w:cs="Arial"/>
                <w:iCs/>
                <w:sz w:val="20"/>
              </w:rPr>
              <w:t xml:space="preserve">II i IV Q 2022 </w:t>
            </w:r>
          </w:p>
          <w:p w14:paraId="6258ED8D" w14:textId="77777777" w:rsidR="00383886" w:rsidRPr="00383886" w:rsidRDefault="00383886" w:rsidP="00FD6B98">
            <w:pPr>
              <w:spacing w:before="20" w:after="20" w:line="256" w:lineRule="auto"/>
              <w:rPr>
                <w:rFonts w:cs="Arial"/>
                <w:iCs/>
                <w:sz w:val="20"/>
              </w:rPr>
            </w:pPr>
            <w:r w:rsidRPr="00383886">
              <w:rPr>
                <w:rFonts w:cs="Arial"/>
                <w:iCs/>
                <w:sz w:val="20"/>
              </w:rPr>
              <w:t>(Program rada Vlade)</w:t>
            </w:r>
          </w:p>
          <w:p w14:paraId="089E1377" w14:textId="77777777" w:rsidR="00383886" w:rsidRPr="00383886" w:rsidRDefault="00383886" w:rsidP="00FD6B98">
            <w:pPr>
              <w:spacing w:before="20" w:after="20" w:line="256" w:lineRule="auto"/>
              <w:rPr>
                <w:rFonts w:cs="Arial"/>
                <w:iCs/>
                <w:sz w:val="20"/>
              </w:rPr>
            </w:pPr>
          </w:p>
        </w:tc>
        <w:tc>
          <w:tcPr>
            <w:tcW w:w="1485" w:type="dxa"/>
          </w:tcPr>
          <w:p w14:paraId="335D7C85" w14:textId="77777777" w:rsidR="00383886" w:rsidRPr="00383886" w:rsidRDefault="00383886" w:rsidP="00FD6B98">
            <w:pPr>
              <w:spacing w:before="20" w:after="20" w:line="256" w:lineRule="auto"/>
              <w:rPr>
                <w:rFonts w:cs="Arial"/>
                <w:b/>
                <w:iCs/>
                <w:sz w:val="20"/>
              </w:rPr>
            </w:pPr>
          </w:p>
        </w:tc>
        <w:tc>
          <w:tcPr>
            <w:tcW w:w="1499" w:type="dxa"/>
            <w:gridSpan w:val="2"/>
          </w:tcPr>
          <w:p w14:paraId="247ECE50" w14:textId="77777777" w:rsidR="00383886" w:rsidRPr="00383886" w:rsidRDefault="00383886" w:rsidP="00FD6B98">
            <w:pPr>
              <w:spacing w:before="20" w:after="20" w:line="256" w:lineRule="auto"/>
              <w:rPr>
                <w:rFonts w:cs="Arial"/>
                <w:bCs/>
                <w:iCs/>
                <w:sz w:val="20"/>
              </w:rPr>
            </w:pPr>
            <w:r w:rsidRPr="00383886">
              <w:rPr>
                <w:rFonts w:cs="Arial"/>
                <w:bCs/>
                <w:iCs/>
                <w:sz w:val="20"/>
              </w:rPr>
              <w:t>Redovna sredstva Budžeta CG</w:t>
            </w:r>
          </w:p>
        </w:tc>
        <w:tc>
          <w:tcPr>
            <w:tcW w:w="2801" w:type="dxa"/>
          </w:tcPr>
          <w:p w14:paraId="2FBD9E4B" w14:textId="77777777" w:rsidR="00383886" w:rsidRPr="00383886" w:rsidRDefault="00383886" w:rsidP="00FD6B98">
            <w:pPr>
              <w:spacing w:before="20" w:after="20" w:line="256" w:lineRule="auto"/>
              <w:jc w:val="both"/>
              <w:rPr>
                <w:rFonts w:cs="Arial"/>
                <w:bCs/>
                <w:iCs/>
                <w:sz w:val="20"/>
              </w:rPr>
            </w:pPr>
            <w:r w:rsidRPr="00383886">
              <w:rPr>
                <w:rFonts w:cs="Arial"/>
                <w:bCs/>
                <w:iCs/>
                <w:sz w:val="20"/>
              </w:rPr>
              <w:t>Ministarstvo kapitalnih investicija, prema Programu rada Vlade, informiše Vladu Crne Gore o stanju u oblasti koncesija čvrstih mineralnih sirovina dva puta godišnje (II i IV kvartal)</w:t>
            </w:r>
          </w:p>
        </w:tc>
      </w:tr>
    </w:tbl>
    <w:tbl>
      <w:tblPr>
        <w:tblStyle w:val="TableGrid4"/>
        <w:tblW w:w="14850" w:type="dxa"/>
        <w:tblInd w:w="-905" w:type="dxa"/>
        <w:tblLook w:val="04A0" w:firstRow="1" w:lastRow="0" w:firstColumn="1" w:lastColumn="0" w:noHBand="0" w:noVBand="1"/>
      </w:tblPr>
      <w:tblGrid>
        <w:gridCol w:w="3005"/>
        <w:gridCol w:w="3177"/>
        <w:gridCol w:w="2990"/>
        <w:gridCol w:w="2744"/>
        <w:gridCol w:w="2934"/>
      </w:tblGrid>
      <w:tr w:rsidR="00383886" w:rsidRPr="00383886" w14:paraId="1269ED5A" w14:textId="77777777" w:rsidTr="00AE274D">
        <w:tc>
          <w:tcPr>
            <w:tcW w:w="3005" w:type="dxa"/>
            <w:shd w:val="clear" w:color="auto" w:fill="DEEAF6" w:themeFill="accent5" w:themeFillTint="33"/>
          </w:tcPr>
          <w:p w14:paraId="5E1E3090" w14:textId="77777777" w:rsidR="00383886" w:rsidRPr="00383886" w:rsidRDefault="00383886" w:rsidP="00FD6B98">
            <w:pPr>
              <w:spacing w:before="40" w:after="40"/>
              <w:jc w:val="center"/>
              <w:rPr>
                <w:rFonts w:cs="Arial"/>
                <w:b/>
                <w:sz w:val="20"/>
              </w:rPr>
            </w:pPr>
            <w:bookmarkStart w:id="34" w:name="_Hlk89633208"/>
          </w:p>
          <w:p w14:paraId="4739FC93" w14:textId="77777777" w:rsidR="00383886" w:rsidRPr="00383886" w:rsidRDefault="00383886" w:rsidP="00FD6B98">
            <w:pPr>
              <w:spacing w:before="40" w:after="40"/>
              <w:rPr>
                <w:rFonts w:cs="Arial"/>
                <w:b/>
                <w:sz w:val="20"/>
              </w:rPr>
            </w:pPr>
            <w:r w:rsidRPr="00383886">
              <w:rPr>
                <w:rFonts w:cs="Arial"/>
                <w:b/>
                <w:sz w:val="20"/>
              </w:rPr>
              <w:t xml:space="preserve">                          Cilj </w:t>
            </w:r>
            <w:r w:rsidR="00AE274D">
              <w:rPr>
                <w:rFonts w:cs="Arial"/>
                <w:b/>
                <w:sz w:val="20"/>
              </w:rPr>
              <w:t>2.</w:t>
            </w:r>
            <w:r w:rsidRPr="00383886">
              <w:rPr>
                <w:rFonts w:cs="Arial"/>
                <w:b/>
                <w:sz w:val="20"/>
              </w:rPr>
              <w:t>11</w:t>
            </w:r>
            <w:r w:rsidR="00AE274D">
              <w:rPr>
                <w:rFonts w:cs="Arial"/>
                <w:b/>
                <w:sz w:val="20"/>
              </w:rPr>
              <w:t>.</w:t>
            </w:r>
          </w:p>
          <w:p w14:paraId="169B5B56" w14:textId="77777777" w:rsidR="00383886" w:rsidRPr="00383886" w:rsidRDefault="00383886" w:rsidP="00FD6B98">
            <w:pPr>
              <w:spacing w:before="40" w:after="40"/>
              <w:jc w:val="center"/>
              <w:rPr>
                <w:rFonts w:cs="Arial"/>
                <w:b/>
                <w:sz w:val="20"/>
              </w:rPr>
            </w:pPr>
          </w:p>
        </w:tc>
        <w:tc>
          <w:tcPr>
            <w:tcW w:w="11845" w:type="dxa"/>
            <w:gridSpan w:val="4"/>
            <w:shd w:val="clear" w:color="auto" w:fill="DEEAF6" w:themeFill="accent5" w:themeFillTint="33"/>
          </w:tcPr>
          <w:p w14:paraId="610BB41A" w14:textId="77777777" w:rsidR="00383886" w:rsidRPr="00383886" w:rsidRDefault="00383886" w:rsidP="00FD6B98">
            <w:pPr>
              <w:spacing w:before="40" w:after="40"/>
              <w:jc w:val="both"/>
              <w:rPr>
                <w:rFonts w:cs="Arial"/>
                <w:b/>
                <w:sz w:val="20"/>
              </w:rPr>
            </w:pPr>
          </w:p>
          <w:p w14:paraId="19093CB0" w14:textId="77777777" w:rsidR="00383886" w:rsidRPr="00383886" w:rsidRDefault="00383886" w:rsidP="00FD6B98">
            <w:pPr>
              <w:spacing w:before="40" w:after="40"/>
              <w:jc w:val="both"/>
              <w:rPr>
                <w:rFonts w:cs="Arial"/>
                <w:b/>
                <w:sz w:val="20"/>
              </w:rPr>
            </w:pPr>
            <w:r w:rsidRPr="00383886">
              <w:rPr>
                <w:rFonts w:cs="Arial"/>
                <w:b/>
                <w:sz w:val="20"/>
              </w:rPr>
              <w:t>Unapređenje sektora poljoprivrede i ribarstva kroz održivo korišćenje resursa</w:t>
            </w:r>
          </w:p>
        </w:tc>
      </w:tr>
      <w:tr w:rsidR="00383886" w:rsidRPr="00383886" w14:paraId="74D59653" w14:textId="77777777" w:rsidTr="00AE274D">
        <w:tc>
          <w:tcPr>
            <w:tcW w:w="3005" w:type="dxa"/>
            <w:shd w:val="clear" w:color="auto" w:fill="DAF2F6"/>
          </w:tcPr>
          <w:p w14:paraId="04C35F21" w14:textId="77777777" w:rsidR="00383886" w:rsidRPr="00383886" w:rsidRDefault="00383886" w:rsidP="00FD6B98">
            <w:pPr>
              <w:spacing w:before="40" w:after="40"/>
              <w:jc w:val="center"/>
              <w:rPr>
                <w:rFonts w:cs="Arial"/>
                <w:b/>
                <w:sz w:val="20"/>
              </w:rPr>
            </w:pPr>
            <w:r w:rsidRPr="00383886">
              <w:rPr>
                <w:rFonts w:cs="Arial"/>
                <w:b/>
                <w:sz w:val="20"/>
              </w:rPr>
              <w:t>Indikator učinka</w:t>
            </w:r>
          </w:p>
        </w:tc>
        <w:tc>
          <w:tcPr>
            <w:tcW w:w="3177" w:type="dxa"/>
            <w:shd w:val="clear" w:color="auto" w:fill="DAF2F6"/>
          </w:tcPr>
          <w:p w14:paraId="562528C3" w14:textId="77777777" w:rsidR="00383886" w:rsidRPr="00383886" w:rsidRDefault="00383886" w:rsidP="00FD6B98">
            <w:pPr>
              <w:spacing w:before="40" w:after="40"/>
              <w:jc w:val="center"/>
              <w:rPr>
                <w:rFonts w:cs="Arial"/>
                <w:b/>
                <w:sz w:val="20"/>
              </w:rPr>
            </w:pPr>
            <w:r w:rsidRPr="00383886">
              <w:rPr>
                <w:rFonts w:cs="Arial"/>
                <w:b/>
                <w:sz w:val="20"/>
              </w:rPr>
              <w:t>Polazna vrijednost – 2021.g</w:t>
            </w:r>
          </w:p>
        </w:tc>
        <w:tc>
          <w:tcPr>
            <w:tcW w:w="2990" w:type="dxa"/>
            <w:shd w:val="clear" w:color="auto" w:fill="DAF2F6"/>
            <w:vAlign w:val="center"/>
          </w:tcPr>
          <w:p w14:paraId="6A99AE62" w14:textId="77777777" w:rsidR="00383886" w:rsidRPr="00383886" w:rsidRDefault="00383886" w:rsidP="00FD6B98">
            <w:pPr>
              <w:spacing w:before="40" w:after="40"/>
              <w:jc w:val="center"/>
              <w:rPr>
                <w:rFonts w:cs="Arial"/>
                <w:b/>
                <w:sz w:val="20"/>
              </w:rPr>
            </w:pPr>
            <w:r w:rsidRPr="00383886">
              <w:rPr>
                <w:rFonts w:cs="Arial"/>
                <w:b/>
                <w:sz w:val="20"/>
              </w:rPr>
              <w:t>Prelazna vrijednost – 2022.g</w:t>
            </w:r>
          </w:p>
        </w:tc>
        <w:tc>
          <w:tcPr>
            <w:tcW w:w="2744" w:type="dxa"/>
            <w:tcBorders>
              <w:bottom w:val="single" w:sz="4" w:space="0" w:color="FFFFFF" w:themeColor="background1"/>
            </w:tcBorders>
            <w:shd w:val="clear" w:color="auto" w:fill="DAF2F6"/>
            <w:vAlign w:val="center"/>
          </w:tcPr>
          <w:p w14:paraId="24C3D4DF" w14:textId="77777777" w:rsidR="00383886" w:rsidRPr="00383886" w:rsidRDefault="00383886" w:rsidP="00FD6B98">
            <w:pPr>
              <w:spacing w:before="40" w:after="40"/>
              <w:jc w:val="center"/>
              <w:rPr>
                <w:rFonts w:cs="Arial"/>
                <w:b/>
                <w:sz w:val="20"/>
              </w:rPr>
            </w:pPr>
            <w:r w:rsidRPr="00383886">
              <w:rPr>
                <w:rFonts w:cs="Arial"/>
                <w:b/>
                <w:sz w:val="20"/>
              </w:rPr>
              <w:t>Prelazna vrijednost – 2023.g</w:t>
            </w:r>
          </w:p>
        </w:tc>
        <w:tc>
          <w:tcPr>
            <w:tcW w:w="2934" w:type="dxa"/>
            <w:tcBorders>
              <w:bottom w:val="single" w:sz="4" w:space="0" w:color="FFFFFF" w:themeColor="background1"/>
            </w:tcBorders>
            <w:shd w:val="clear" w:color="auto" w:fill="DAF2F6"/>
            <w:vAlign w:val="center"/>
          </w:tcPr>
          <w:p w14:paraId="07CA3EBD" w14:textId="77777777" w:rsidR="00383886" w:rsidRPr="00383886" w:rsidRDefault="00383886" w:rsidP="00FD6B98">
            <w:pPr>
              <w:spacing w:before="40" w:after="40"/>
              <w:jc w:val="center"/>
              <w:rPr>
                <w:rFonts w:cs="Arial"/>
                <w:b/>
                <w:sz w:val="20"/>
              </w:rPr>
            </w:pPr>
            <w:r w:rsidRPr="00383886">
              <w:rPr>
                <w:rFonts w:cs="Arial"/>
                <w:b/>
                <w:sz w:val="20"/>
              </w:rPr>
              <w:t>Ciljna vrijednost - 2024.g</w:t>
            </w:r>
          </w:p>
        </w:tc>
      </w:tr>
      <w:tr w:rsidR="00383886" w:rsidRPr="00383886" w14:paraId="7353DCB4" w14:textId="77777777" w:rsidTr="00AE274D">
        <w:tc>
          <w:tcPr>
            <w:tcW w:w="3005" w:type="dxa"/>
            <w:shd w:val="clear" w:color="auto" w:fill="DAF2F6"/>
          </w:tcPr>
          <w:p w14:paraId="40F4DACC" w14:textId="77777777" w:rsidR="00383886" w:rsidRPr="00383886" w:rsidRDefault="00383886" w:rsidP="00FD6B98">
            <w:pPr>
              <w:spacing w:before="40" w:after="40"/>
              <w:jc w:val="both"/>
              <w:rPr>
                <w:rFonts w:cs="Arial"/>
                <w:sz w:val="20"/>
              </w:rPr>
            </w:pPr>
            <w:r w:rsidRPr="00383886">
              <w:rPr>
                <w:rFonts w:cs="Arial"/>
                <w:sz w:val="20"/>
              </w:rPr>
              <w:t>Visina vrijednosti BDP u poljoprivrednoj proizvodnji, šumarstvu i ribarstvu</w:t>
            </w:r>
          </w:p>
        </w:tc>
        <w:tc>
          <w:tcPr>
            <w:tcW w:w="3177" w:type="dxa"/>
            <w:shd w:val="clear" w:color="auto" w:fill="DAF2F6"/>
          </w:tcPr>
          <w:p w14:paraId="0C7AACA3" w14:textId="77777777" w:rsidR="00383886" w:rsidRPr="00383886" w:rsidRDefault="00383886" w:rsidP="00FD6B98">
            <w:pPr>
              <w:spacing w:before="40" w:after="40"/>
              <w:jc w:val="center"/>
              <w:rPr>
                <w:rFonts w:cs="Arial"/>
                <w:sz w:val="20"/>
              </w:rPr>
            </w:pPr>
            <w:r w:rsidRPr="00383886">
              <w:rPr>
                <w:rFonts w:cs="Arial"/>
                <w:sz w:val="20"/>
              </w:rPr>
              <w:t>515 miliona</w:t>
            </w:r>
          </w:p>
          <w:p w14:paraId="593DAB9A" w14:textId="77777777" w:rsidR="00383886" w:rsidRPr="00383886" w:rsidRDefault="00383886" w:rsidP="00FD6B98">
            <w:pPr>
              <w:spacing w:before="40" w:after="40"/>
              <w:jc w:val="center"/>
              <w:rPr>
                <w:rFonts w:cs="Arial"/>
                <w:bCs/>
                <w:sz w:val="20"/>
              </w:rPr>
            </w:pPr>
            <w:r w:rsidRPr="00383886">
              <w:rPr>
                <w:rFonts w:cs="Arial"/>
                <w:bCs/>
                <w:sz w:val="20"/>
              </w:rPr>
              <w:t>(podatak se odnosi na 2020. godinu, izvor: Monstat)</w:t>
            </w:r>
          </w:p>
        </w:tc>
        <w:tc>
          <w:tcPr>
            <w:tcW w:w="2990" w:type="dxa"/>
            <w:shd w:val="clear" w:color="auto" w:fill="DAF2F6"/>
          </w:tcPr>
          <w:p w14:paraId="2DED0A3D" w14:textId="77777777" w:rsidR="00383886" w:rsidRPr="00383886" w:rsidRDefault="00383886" w:rsidP="00FD6B98">
            <w:pPr>
              <w:spacing w:before="40" w:after="40"/>
              <w:jc w:val="center"/>
              <w:rPr>
                <w:rFonts w:cs="Arial"/>
                <w:b/>
                <w:sz w:val="20"/>
              </w:rPr>
            </w:pPr>
            <w:r w:rsidRPr="00383886">
              <w:rPr>
                <w:rFonts w:cs="Arial"/>
                <w:sz w:val="20"/>
              </w:rPr>
              <w:t>550 miliona</w:t>
            </w:r>
          </w:p>
        </w:tc>
        <w:tc>
          <w:tcPr>
            <w:tcW w:w="2744" w:type="dxa"/>
            <w:shd w:val="clear" w:color="auto" w:fill="DAF2F6"/>
          </w:tcPr>
          <w:p w14:paraId="79AE9116" w14:textId="77777777" w:rsidR="00383886" w:rsidRPr="00383886" w:rsidRDefault="00383886" w:rsidP="00FD6B98">
            <w:pPr>
              <w:spacing w:before="40" w:after="40"/>
              <w:jc w:val="center"/>
              <w:rPr>
                <w:rFonts w:cs="Arial"/>
                <w:b/>
                <w:sz w:val="20"/>
              </w:rPr>
            </w:pPr>
            <w:r w:rsidRPr="00383886">
              <w:rPr>
                <w:rFonts w:cs="Arial"/>
                <w:sz w:val="20"/>
              </w:rPr>
              <w:t>575 miliona</w:t>
            </w:r>
          </w:p>
        </w:tc>
        <w:tc>
          <w:tcPr>
            <w:tcW w:w="2934" w:type="dxa"/>
            <w:shd w:val="clear" w:color="auto" w:fill="DAF2F6"/>
          </w:tcPr>
          <w:p w14:paraId="3900EB69" w14:textId="77777777" w:rsidR="00383886" w:rsidRPr="00383886" w:rsidRDefault="00383886" w:rsidP="00FD6B98">
            <w:pPr>
              <w:spacing w:before="40" w:after="40"/>
              <w:jc w:val="center"/>
              <w:rPr>
                <w:rFonts w:cs="Arial"/>
                <w:b/>
                <w:sz w:val="20"/>
              </w:rPr>
            </w:pPr>
            <w:r w:rsidRPr="00383886">
              <w:rPr>
                <w:rFonts w:cs="Arial"/>
                <w:sz w:val="20"/>
              </w:rPr>
              <w:t>600 miliona</w:t>
            </w:r>
          </w:p>
        </w:tc>
      </w:tr>
      <w:tr w:rsidR="00383886" w:rsidRPr="00383886" w14:paraId="1218D573" w14:textId="77777777" w:rsidTr="00AE274D">
        <w:tc>
          <w:tcPr>
            <w:tcW w:w="3005" w:type="dxa"/>
            <w:shd w:val="clear" w:color="auto" w:fill="DAF2F6"/>
          </w:tcPr>
          <w:p w14:paraId="7346E31E" w14:textId="77777777" w:rsidR="00383886" w:rsidRPr="00383886" w:rsidRDefault="00383886" w:rsidP="00FD6B98">
            <w:pPr>
              <w:spacing w:before="20" w:after="20"/>
              <w:jc w:val="both"/>
              <w:rPr>
                <w:rFonts w:cs="Arial"/>
                <w:sz w:val="20"/>
              </w:rPr>
            </w:pPr>
            <w:r w:rsidRPr="00383886">
              <w:rPr>
                <w:rFonts w:cs="Arial"/>
                <w:sz w:val="20"/>
              </w:rPr>
              <w:t>Ukupan broj odobrenih zahtjeva korisnika u oblasti poljoprivrede, ruralnog razvoja i ribarstva kroz nacionalne i međunarodne programe</w:t>
            </w:r>
          </w:p>
        </w:tc>
        <w:tc>
          <w:tcPr>
            <w:tcW w:w="3177" w:type="dxa"/>
            <w:shd w:val="clear" w:color="auto" w:fill="DAF2F6"/>
          </w:tcPr>
          <w:p w14:paraId="0183EE50" w14:textId="77777777" w:rsidR="00383886" w:rsidRPr="00383886" w:rsidRDefault="00383886" w:rsidP="00FD6B98">
            <w:pPr>
              <w:spacing w:before="20" w:after="20"/>
              <w:jc w:val="center"/>
              <w:rPr>
                <w:rFonts w:cs="Arial"/>
                <w:sz w:val="20"/>
              </w:rPr>
            </w:pPr>
            <w:r w:rsidRPr="00383886">
              <w:rPr>
                <w:rFonts w:cs="Arial"/>
                <w:sz w:val="20"/>
              </w:rPr>
              <w:t>13.000</w:t>
            </w:r>
          </w:p>
          <w:p w14:paraId="3D5A22A4" w14:textId="77777777" w:rsidR="00383886" w:rsidRPr="00383886" w:rsidRDefault="00383886" w:rsidP="00FD6B98">
            <w:pPr>
              <w:spacing w:before="20" w:after="20"/>
              <w:jc w:val="center"/>
              <w:rPr>
                <w:rFonts w:cs="Arial"/>
                <w:sz w:val="20"/>
              </w:rPr>
            </w:pPr>
            <w:r w:rsidRPr="00383886">
              <w:rPr>
                <w:rFonts w:cs="Arial"/>
                <w:sz w:val="20"/>
              </w:rPr>
              <w:t>(izvor: MPŠV)</w:t>
            </w:r>
          </w:p>
        </w:tc>
        <w:tc>
          <w:tcPr>
            <w:tcW w:w="2990" w:type="dxa"/>
            <w:shd w:val="clear" w:color="auto" w:fill="DAF2F6"/>
          </w:tcPr>
          <w:p w14:paraId="45EFD488" w14:textId="77777777" w:rsidR="00383886" w:rsidRPr="00383886" w:rsidRDefault="00383886" w:rsidP="00FD6B98">
            <w:pPr>
              <w:spacing w:before="20" w:after="20"/>
              <w:jc w:val="center"/>
              <w:rPr>
                <w:rFonts w:cs="Arial"/>
                <w:sz w:val="20"/>
              </w:rPr>
            </w:pPr>
            <w:r w:rsidRPr="00383886">
              <w:rPr>
                <w:rFonts w:cs="Arial"/>
                <w:sz w:val="20"/>
              </w:rPr>
              <w:t>13.500</w:t>
            </w:r>
          </w:p>
        </w:tc>
        <w:tc>
          <w:tcPr>
            <w:tcW w:w="2744" w:type="dxa"/>
            <w:shd w:val="clear" w:color="auto" w:fill="DAF2F6"/>
          </w:tcPr>
          <w:p w14:paraId="1CB93A61" w14:textId="77777777" w:rsidR="00383886" w:rsidRPr="00383886" w:rsidRDefault="00383886" w:rsidP="00FD6B98">
            <w:pPr>
              <w:spacing w:before="20" w:after="20"/>
              <w:jc w:val="center"/>
              <w:rPr>
                <w:rFonts w:cs="Arial"/>
                <w:sz w:val="20"/>
              </w:rPr>
            </w:pPr>
            <w:r w:rsidRPr="00383886">
              <w:rPr>
                <w:rFonts w:cs="Arial"/>
                <w:sz w:val="20"/>
              </w:rPr>
              <w:t>13.500</w:t>
            </w:r>
          </w:p>
        </w:tc>
        <w:tc>
          <w:tcPr>
            <w:tcW w:w="2934" w:type="dxa"/>
            <w:shd w:val="clear" w:color="auto" w:fill="DAF2F6"/>
          </w:tcPr>
          <w:p w14:paraId="09014DF8" w14:textId="77777777" w:rsidR="00383886" w:rsidRPr="00383886" w:rsidRDefault="00383886" w:rsidP="00FD6B98">
            <w:pPr>
              <w:spacing w:before="20" w:after="20"/>
              <w:jc w:val="center"/>
              <w:rPr>
                <w:rFonts w:cs="Arial"/>
                <w:sz w:val="20"/>
              </w:rPr>
            </w:pPr>
            <w:r w:rsidRPr="00383886">
              <w:rPr>
                <w:rFonts w:cs="Arial"/>
                <w:sz w:val="20"/>
              </w:rPr>
              <w:t>14.000</w:t>
            </w:r>
          </w:p>
        </w:tc>
      </w:tr>
      <w:tr w:rsidR="00383886" w:rsidRPr="00383886" w14:paraId="4545B389" w14:textId="77777777" w:rsidTr="00AE274D">
        <w:tc>
          <w:tcPr>
            <w:tcW w:w="3005" w:type="dxa"/>
            <w:shd w:val="clear" w:color="auto" w:fill="DAF2F6"/>
          </w:tcPr>
          <w:p w14:paraId="5DC152A6" w14:textId="77777777" w:rsidR="00383886" w:rsidRPr="00383886" w:rsidRDefault="00383886" w:rsidP="00FD6B98">
            <w:pPr>
              <w:spacing w:before="20" w:after="20"/>
              <w:jc w:val="both"/>
              <w:rPr>
                <w:rFonts w:cs="Arial"/>
                <w:sz w:val="20"/>
              </w:rPr>
            </w:pPr>
            <w:r w:rsidRPr="00383886">
              <w:rPr>
                <w:rFonts w:cs="Arial"/>
                <w:sz w:val="20"/>
              </w:rPr>
              <w:t>Ukupan nivo investicija u poljoprivredi i ribarstvu</w:t>
            </w:r>
          </w:p>
        </w:tc>
        <w:tc>
          <w:tcPr>
            <w:tcW w:w="3177" w:type="dxa"/>
            <w:shd w:val="clear" w:color="auto" w:fill="DAF2F6"/>
          </w:tcPr>
          <w:p w14:paraId="5C8C9B25" w14:textId="77777777" w:rsidR="00383886" w:rsidRPr="00383886" w:rsidRDefault="00383886" w:rsidP="00FD6B98">
            <w:pPr>
              <w:spacing w:before="20" w:after="20"/>
              <w:jc w:val="center"/>
              <w:rPr>
                <w:rFonts w:cs="Arial"/>
                <w:sz w:val="20"/>
              </w:rPr>
            </w:pPr>
            <w:r w:rsidRPr="00383886">
              <w:rPr>
                <w:rFonts w:cs="Arial"/>
                <w:sz w:val="20"/>
              </w:rPr>
              <w:t>41,3 miliona</w:t>
            </w:r>
          </w:p>
          <w:p w14:paraId="1928C96A" w14:textId="77777777" w:rsidR="00383886" w:rsidRPr="00383886" w:rsidRDefault="00383886" w:rsidP="00FD6B98">
            <w:pPr>
              <w:spacing w:before="20" w:after="20"/>
              <w:jc w:val="center"/>
              <w:rPr>
                <w:rFonts w:cs="Arial"/>
                <w:sz w:val="20"/>
              </w:rPr>
            </w:pPr>
            <w:r w:rsidRPr="00383886">
              <w:rPr>
                <w:rFonts w:cs="Arial"/>
                <w:sz w:val="20"/>
              </w:rPr>
              <w:t>(izvor: MPŠV, Agrobudžet)</w:t>
            </w:r>
          </w:p>
        </w:tc>
        <w:tc>
          <w:tcPr>
            <w:tcW w:w="2990" w:type="dxa"/>
            <w:shd w:val="clear" w:color="auto" w:fill="DAF2F6"/>
          </w:tcPr>
          <w:p w14:paraId="4CC39B5C" w14:textId="77777777" w:rsidR="00383886" w:rsidRPr="00383886" w:rsidRDefault="00383886" w:rsidP="00FD6B98">
            <w:pPr>
              <w:spacing w:before="20" w:after="20"/>
              <w:jc w:val="center"/>
              <w:rPr>
                <w:rFonts w:cs="Arial"/>
                <w:sz w:val="20"/>
              </w:rPr>
            </w:pPr>
            <w:r w:rsidRPr="00383886">
              <w:rPr>
                <w:rFonts w:cs="Arial"/>
                <w:sz w:val="20"/>
              </w:rPr>
              <w:t>43 miliona</w:t>
            </w:r>
          </w:p>
        </w:tc>
        <w:tc>
          <w:tcPr>
            <w:tcW w:w="2744" w:type="dxa"/>
            <w:shd w:val="clear" w:color="auto" w:fill="DAF2F6"/>
          </w:tcPr>
          <w:p w14:paraId="072BE693" w14:textId="77777777" w:rsidR="00383886" w:rsidRPr="00383886" w:rsidRDefault="00383886" w:rsidP="00FD6B98">
            <w:pPr>
              <w:spacing w:before="20" w:after="20"/>
              <w:jc w:val="center"/>
              <w:rPr>
                <w:rFonts w:cs="Arial"/>
                <w:sz w:val="20"/>
              </w:rPr>
            </w:pPr>
            <w:r w:rsidRPr="00383886">
              <w:rPr>
                <w:rFonts w:cs="Arial"/>
                <w:sz w:val="20"/>
              </w:rPr>
              <w:t>45 miliona</w:t>
            </w:r>
          </w:p>
        </w:tc>
        <w:tc>
          <w:tcPr>
            <w:tcW w:w="2934" w:type="dxa"/>
            <w:shd w:val="clear" w:color="auto" w:fill="DAF2F6"/>
          </w:tcPr>
          <w:p w14:paraId="3A395A30" w14:textId="77777777" w:rsidR="00383886" w:rsidRPr="00383886" w:rsidRDefault="00383886" w:rsidP="00FD6B98">
            <w:pPr>
              <w:spacing w:before="20" w:after="20"/>
              <w:jc w:val="center"/>
              <w:rPr>
                <w:rFonts w:cs="Arial"/>
                <w:sz w:val="20"/>
              </w:rPr>
            </w:pPr>
            <w:r w:rsidRPr="00383886">
              <w:rPr>
                <w:rFonts w:cs="Arial"/>
                <w:sz w:val="20"/>
              </w:rPr>
              <w:t>50 miliona</w:t>
            </w:r>
          </w:p>
        </w:tc>
      </w:tr>
    </w:tbl>
    <w:tbl>
      <w:tblPr>
        <w:tblStyle w:val="TableGrid"/>
        <w:tblW w:w="14850" w:type="dxa"/>
        <w:tblInd w:w="-905" w:type="dxa"/>
        <w:tblLook w:val="04A0" w:firstRow="1" w:lastRow="0" w:firstColumn="1" w:lastColumn="0" w:noHBand="0" w:noVBand="1"/>
      </w:tblPr>
      <w:tblGrid>
        <w:gridCol w:w="2970"/>
        <w:gridCol w:w="2558"/>
        <w:gridCol w:w="1754"/>
        <w:gridCol w:w="1568"/>
        <w:gridCol w:w="1756"/>
        <w:gridCol w:w="1674"/>
        <w:gridCol w:w="2570"/>
      </w:tblGrid>
      <w:tr w:rsidR="00383886" w:rsidRPr="00383886" w14:paraId="1A3D298C" w14:textId="77777777" w:rsidTr="00FD6B98">
        <w:tc>
          <w:tcPr>
            <w:tcW w:w="2970" w:type="dxa"/>
            <w:shd w:val="clear" w:color="auto" w:fill="FFF2CC" w:themeFill="accent4" w:themeFillTint="33"/>
            <w:vAlign w:val="center"/>
          </w:tcPr>
          <w:bookmarkEnd w:id="34"/>
          <w:p w14:paraId="1E056F48" w14:textId="77777777" w:rsidR="00383886" w:rsidRPr="00383886" w:rsidRDefault="00383886" w:rsidP="00FD6B98">
            <w:pPr>
              <w:spacing w:before="20" w:after="20"/>
              <w:jc w:val="center"/>
              <w:rPr>
                <w:rFonts w:cs="Arial"/>
                <w:b/>
                <w:sz w:val="20"/>
              </w:rPr>
            </w:pPr>
            <w:r w:rsidRPr="00383886">
              <w:rPr>
                <w:rFonts w:cs="Arial"/>
                <w:b/>
                <w:sz w:val="20"/>
              </w:rPr>
              <w:t>Aktivnosti</w:t>
            </w:r>
          </w:p>
        </w:tc>
        <w:tc>
          <w:tcPr>
            <w:tcW w:w="2558" w:type="dxa"/>
            <w:shd w:val="clear" w:color="auto" w:fill="FFF2CC" w:themeFill="accent4" w:themeFillTint="33"/>
            <w:vAlign w:val="center"/>
          </w:tcPr>
          <w:p w14:paraId="518ACED5" w14:textId="77777777" w:rsidR="00383886" w:rsidRPr="00383886" w:rsidRDefault="00383886" w:rsidP="00FD6B98">
            <w:pPr>
              <w:spacing w:before="20" w:after="20"/>
              <w:jc w:val="center"/>
              <w:rPr>
                <w:rFonts w:cs="Arial"/>
                <w:b/>
                <w:sz w:val="20"/>
              </w:rPr>
            </w:pPr>
            <w:r w:rsidRPr="00383886">
              <w:rPr>
                <w:rFonts w:cs="Arial"/>
                <w:b/>
                <w:sz w:val="20"/>
              </w:rPr>
              <w:t>Indikator rezultata</w:t>
            </w:r>
          </w:p>
        </w:tc>
        <w:tc>
          <w:tcPr>
            <w:tcW w:w="1754" w:type="dxa"/>
            <w:shd w:val="clear" w:color="auto" w:fill="FFF2CC" w:themeFill="accent4" w:themeFillTint="33"/>
            <w:vAlign w:val="center"/>
          </w:tcPr>
          <w:p w14:paraId="552DABA0" w14:textId="77777777" w:rsidR="00383886" w:rsidRPr="00383886" w:rsidRDefault="00383886" w:rsidP="00FD6B98">
            <w:pPr>
              <w:spacing w:before="20" w:after="20"/>
              <w:jc w:val="center"/>
              <w:rPr>
                <w:rFonts w:cs="Arial"/>
                <w:b/>
                <w:sz w:val="20"/>
              </w:rPr>
            </w:pPr>
            <w:r w:rsidRPr="00383886">
              <w:rPr>
                <w:rFonts w:cs="Arial"/>
                <w:b/>
                <w:sz w:val="20"/>
              </w:rPr>
              <w:t>Nadležne institucije i nadležna komisija</w:t>
            </w:r>
          </w:p>
        </w:tc>
        <w:tc>
          <w:tcPr>
            <w:tcW w:w="1568" w:type="dxa"/>
            <w:shd w:val="clear" w:color="auto" w:fill="FFF2CC" w:themeFill="accent4" w:themeFillTint="33"/>
            <w:vAlign w:val="center"/>
          </w:tcPr>
          <w:p w14:paraId="541E08B1" w14:textId="77777777" w:rsidR="00383886" w:rsidRPr="00383886" w:rsidRDefault="00383886" w:rsidP="00FD6B98">
            <w:pPr>
              <w:spacing w:before="20" w:after="20"/>
              <w:jc w:val="center"/>
              <w:rPr>
                <w:rFonts w:cs="Arial"/>
                <w:b/>
                <w:sz w:val="20"/>
              </w:rPr>
            </w:pPr>
            <w:r w:rsidRPr="00383886">
              <w:rPr>
                <w:rFonts w:cs="Arial"/>
                <w:b/>
                <w:sz w:val="20"/>
              </w:rPr>
              <w:t>Planirani početak i završetak aktivnosti</w:t>
            </w:r>
          </w:p>
        </w:tc>
        <w:tc>
          <w:tcPr>
            <w:tcW w:w="1756" w:type="dxa"/>
            <w:shd w:val="clear" w:color="auto" w:fill="FFF2CC" w:themeFill="accent4" w:themeFillTint="33"/>
            <w:vAlign w:val="center"/>
          </w:tcPr>
          <w:p w14:paraId="1F4059E6" w14:textId="77777777" w:rsidR="00383886" w:rsidRPr="00383886" w:rsidRDefault="00383886" w:rsidP="00FD6B98">
            <w:pPr>
              <w:spacing w:before="20" w:after="20"/>
              <w:jc w:val="center"/>
              <w:rPr>
                <w:rFonts w:cs="Arial"/>
                <w:b/>
                <w:sz w:val="20"/>
              </w:rPr>
            </w:pPr>
            <w:r w:rsidRPr="00383886">
              <w:rPr>
                <w:rFonts w:cs="Arial"/>
                <w:b/>
                <w:sz w:val="20"/>
              </w:rPr>
              <w:t>Sredstva za realizaciju  i informacija o izradi RIA</w:t>
            </w:r>
          </w:p>
        </w:tc>
        <w:tc>
          <w:tcPr>
            <w:tcW w:w="1674" w:type="dxa"/>
            <w:shd w:val="clear" w:color="auto" w:fill="FFF2CC" w:themeFill="accent4" w:themeFillTint="33"/>
            <w:vAlign w:val="center"/>
          </w:tcPr>
          <w:p w14:paraId="02C5A01B" w14:textId="77777777" w:rsidR="00383886" w:rsidRPr="00383886" w:rsidRDefault="00383886" w:rsidP="00FD6B98">
            <w:pPr>
              <w:spacing w:before="20" w:after="20"/>
              <w:jc w:val="center"/>
              <w:rPr>
                <w:rFonts w:cs="Arial"/>
                <w:b/>
                <w:sz w:val="20"/>
              </w:rPr>
            </w:pPr>
            <w:r w:rsidRPr="00383886">
              <w:rPr>
                <w:rFonts w:cs="Arial"/>
                <w:b/>
                <w:sz w:val="20"/>
              </w:rPr>
              <w:t xml:space="preserve"> Izvor finansiranja</w:t>
            </w:r>
          </w:p>
        </w:tc>
        <w:tc>
          <w:tcPr>
            <w:tcW w:w="2570" w:type="dxa"/>
            <w:shd w:val="clear" w:color="auto" w:fill="FFF2CC" w:themeFill="accent4" w:themeFillTint="33"/>
            <w:vAlign w:val="center"/>
          </w:tcPr>
          <w:p w14:paraId="729BCD39" w14:textId="77777777" w:rsidR="00383886" w:rsidRPr="00383886" w:rsidRDefault="00383886" w:rsidP="00FD6B98">
            <w:pPr>
              <w:spacing w:before="20" w:after="20"/>
              <w:jc w:val="center"/>
              <w:rPr>
                <w:rFonts w:cs="Arial"/>
                <w:b/>
                <w:sz w:val="20"/>
              </w:rPr>
            </w:pPr>
          </w:p>
          <w:p w14:paraId="5E1D045C" w14:textId="77777777" w:rsidR="00383886" w:rsidRPr="00383886" w:rsidRDefault="00383886" w:rsidP="00FD6B98">
            <w:pPr>
              <w:spacing w:before="20" w:after="20"/>
              <w:jc w:val="center"/>
              <w:rPr>
                <w:rFonts w:cs="Arial"/>
                <w:b/>
                <w:sz w:val="20"/>
              </w:rPr>
            </w:pPr>
            <w:r w:rsidRPr="00383886">
              <w:rPr>
                <w:rFonts w:cs="Arial"/>
                <w:b/>
                <w:sz w:val="20"/>
              </w:rPr>
              <w:t>Obrazloženje</w:t>
            </w:r>
          </w:p>
        </w:tc>
      </w:tr>
    </w:tbl>
    <w:tbl>
      <w:tblPr>
        <w:tblStyle w:val="TableGrid5"/>
        <w:tblW w:w="14850" w:type="dxa"/>
        <w:tblInd w:w="-905" w:type="dxa"/>
        <w:tblLook w:val="04A0" w:firstRow="1" w:lastRow="0" w:firstColumn="1" w:lastColumn="0" w:noHBand="0" w:noVBand="1"/>
      </w:tblPr>
      <w:tblGrid>
        <w:gridCol w:w="2970"/>
        <w:gridCol w:w="2520"/>
        <w:gridCol w:w="1800"/>
        <w:gridCol w:w="1530"/>
        <w:gridCol w:w="1800"/>
        <w:gridCol w:w="1710"/>
        <w:gridCol w:w="2520"/>
      </w:tblGrid>
      <w:tr w:rsidR="00383886" w:rsidRPr="00383886" w14:paraId="7ACD4A7F" w14:textId="77777777" w:rsidTr="00FD6B98">
        <w:tc>
          <w:tcPr>
            <w:tcW w:w="2970" w:type="dxa"/>
          </w:tcPr>
          <w:p w14:paraId="376F9775" w14:textId="77777777" w:rsidR="00383886" w:rsidRPr="00383886" w:rsidRDefault="00383886" w:rsidP="00FD6B98">
            <w:pPr>
              <w:spacing w:before="20" w:after="20"/>
              <w:rPr>
                <w:rFonts w:cs="Arial"/>
                <w:sz w:val="20"/>
              </w:rPr>
            </w:pPr>
            <w:r w:rsidRPr="00383886">
              <w:rPr>
                <w:rFonts w:cs="Arial"/>
                <w:sz w:val="20"/>
              </w:rPr>
              <w:t>1.Izrada Strategije razvoja poljoprivrede i ruralnih područja 2022-2028</w:t>
            </w:r>
          </w:p>
        </w:tc>
        <w:tc>
          <w:tcPr>
            <w:tcW w:w="2520" w:type="dxa"/>
          </w:tcPr>
          <w:p w14:paraId="4F1234CD" w14:textId="77777777" w:rsidR="00383886" w:rsidRPr="00383886" w:rsidRDefault="00383886" w:rsidP="00FD6B98">
            <w:pPr>
              <w:autoSpaceDE w:val="0"/>
              <w:autoSpaceDN w:val="0"/>
              <w:adjustRightInd w:val="0"/>
              <w:rPr>
                <w:rFonts w:cs="Arial"/>
                <w:sz w:val="20"/>
              </w:rPr>
            </w:pPr>
            <w:r w:rsidRPr="00383886">
              <w:rPr>
                <w:rFonts w:cs="Arial"/>
                <w:sz w:val="20"/>
              </w:rPr>
              <w:t>Izrađena Strategije razvoja poljoprivrede i ruralnih područja 2022-2028</w:t>
            </w:r>
          </w:p>
        </w:tc>
        <w:tc>
          <w:tcPr>
            <w:tcW w:w="1800" w:type="dxa"/>
          </w:tcPr>
          <w:p w14:paraId="08807963" w14:textId="77777777" w:rsidR="00383886" w:rsidRPr="00383886" w:rsidRDefault="00383886" w:rsidP="00FD6B98">
            <w:pPr>
              <w:spacing w:before="20" w:after="20"/>
              <w:rPr>
                <w:rFonts w:cs="Arial"/>
                <w:sz w:val="20"/>
              </w:rPr>
            </w:pPr>
            <w:r w:rsidRPr="00383886">
              <w:rPr>
                <w:rFonts w:cs="Arial"/>
                <w:sz w:val="20"/>
              </w:rPr>
              <w:t>NI:MPŠV</w:t>
            </w:r>
          </w:p>
          <w:p w14:paraId="43BD876F" w14:textId="77777777" w:rsidR="00383886" w:rsidRPr="00383886" w:rsidRDefault="00383886" w:rsidP="00FD6B98">
            <w:pPr>
              <w:spacing w:before="20" w:after="20"/>
              <w:rPr>
                <w:rFonts w:cs="Arial"/>
                <w:sz w:val="20"/>
              </w:rPr>
            </w:pPr>
            <w:r w:rsidRPr="00383886">
              <w:rPr>
                <w:rFonts w:cs="Arial"/>
                <w:sz w:val="20"/>
              </w:rPr>
              <w:t>NK: KEPIF</w:t>
            </w:r>
          </w:p>
        </w:tc>
        <w:tc>
          <w:tcPr>
            <w:tcW w:w="1530" w:type="dxa"/>
          </w:tcPr>
          <w:p w14:paraId="59017734" w14:textId="77777777" w:rsidR="00383886" w:rsidRPr="00383886" w:rsidRDefault="00383886" w:rsidP="00FD6B98">
            <w:pPr>
              <w:spacing w:before="20" w:after="20"/>
              <w:rPr>
                <w:rFonts w:cs="Arial"/>
                <w:sz w:val="20"/>
              </w:rPr>
            </w:pPr>
            <w:r w:rsidRPr="00383886">
              <w:rPr>
                <w:rFonts w:cs="Arial"/>
                <w:sz w:val="20"/>
              </w:rPr>
              <w:t>I-III Q 2022.</w:t>
            </w:r>
          </w:p>
          <w:p w14:paraId="2846E37A" w14:textId="77777777" w:rsidR="00383886" w:rsidRPr="00383886" w:rsidRDefault="00383886" w:rsidP="00FD6B98">
            <w:pPr>
              <w:spacing w:before="20" w:after="20"/>
              <w:rPr>
                <w:rFonts w:cs="Arial"/>
                <w:sz w:val="20"/>
              </w:rPr>
            </w:pPr>
          </w:p>
        </w:tc>
        <w:tc>
          <w:tcPr>
            <w:tcW w:w="1800" w:type="dxa"/>
          </w:tcPr>
          <w:p w14:paraId="42919424" w14:textId="77777777" w:rsidR="00383886" w:rsidRPr="00383886" w:rsidRDefault="00383886" w:rsidP="00FD6B98">
            <w:pPr>
              <w:spacing w:before="20" w:after="20"/>
              <w:rPr>
                <w:rFonts w:cs="Arial"/>
                <w:sz w:val="20"/>
              </w:rPr>
            </w:pPr>
            <w:r w:rsidRPr="00383886">
              <w:rPr>
                <w:rFonts w:cs="Arial"/>
                <w:sz w:val="20"/>
              </w:rPr>
              <w:t xml:space="preserve">50.000 eura za angažovanje eksperta (MIDAS projekat), </w:t>
            </w:r>
          </w:p>
          <w:p w14:paraId="65ECF43B" w14:textId="77777777" w:rsidR="00383886" w:rsidRPr="00383886" w:rsidRDefault="00383886" w:rsidP="00FD6B98">
            <w:pPr>
              <w:spacing w:before="20" w:after="20"/>
              <w:rPr>
                <w:rFonts w:cs="Arial"/>
                <w:sz w:val="20"/>
              </w:rPr>
            </w:pPr>
            <w:r w:rsidRPr="00383886">
              <w:rPr>
                <w:rFonts w:cs="Arial"/>
                <w:sz w:val="20"/>
              </w:rPr>
              <w:t>2.000 eura za potrebe održavanja javne rasprave</w:t>
            </w:r>
          </w:p>
          <w:p w14:paraId="4E625C64" w14:textId="77777777" w:rsidR="00383886" w:rsidRPr="00383886" w:rsidRDefault="00383886" w:rsidP="00FD6B98">
            <w:pPr>
              <w:spacing w:before="20" w:after="20"/>
              <w:rPr>
                <w:rFonts w:cs="Arial"/>
                <w:sz w:val="20"/>
                <w:highlight w:val="yellow"/>
              </w:rPr>
            </w:pPr>
          </w:p>
          <w:p w14:paraId="2E7F43D1" w14:textId="77777777" w:rsidR="00383886" w:rsidRPr="00383886" w:rsidRDefault="00383886" w:rsidP="00FD6B98">
            <w:pPr>
              <w:spacing w:before="20" w:after="20"/>
              <w:rPr>
                <w:rFonts w:cs="Arial"/>
                <w:sz w:val="20"/>
              </w:rPr>
            </w:pPr>
            <w:r w:rsidRPr="00383886">
              <w:rPr>
                <w:rFonts w:cs="Arial"/>
                <w:sz w:val="20"/>
              </w:rPr>
              <w:t xml:space="preserve">Za utvrđivanje procjene uticaja </w:t>
            </w:r>
            <w:r w:rsidRPr="00383886">
              <w:rPr>
                <w:rFonts w:cs="Arial"/>
                <w:sz w:val="20"/>
              </w:rPr>
              <w:lastRenderedPageBreak/>
              <w:t>propisa će biti urađena RIA.</w:t>
            </w:r>
          </w:p>
        </w:tc>
        <w:tc>
          <w:tcPr>
            <w:tcW w:w="1710" w:type="dxa"/>
          </w:tcPr>
          <w:p w14:paraId="63597A72" w14:textId="77777777" w:rsidR="00383886" w:rsidRPr="00383886" w:rsidRDefault="00383886" w:rsidP="00FD6B98">
            <w:pPr>
              <w:spacing w:before="20" w:after="20"/>
              <w:rPr>
                <w:rFonts w:cs="Arial"/>
                <w:sz w:val="20"/>
              </w:rPr>
            </w:pPr>
            <w:r w:rsidRPr="00383886">
              <w:rPr>
                <w:rFonts w:cs="Arial"/>
                <w:sz w:val="20"/>
              </w:rPr>
              <w:lastRenderedPageBreak/>
              <w:t>Budžet</w:t>
            </w:r>
          </w:p>
        </w:tc>
        <w:tc>
          <w:tcPr>
            <w:tcW w:w="2520" w:type="dxa"/>
          </w:tcPr>
          <w:p w14:paraId="7ABB593A" w14:textId="77777777" w:rsidR="00383886" w:rsidRPr="00383886" w:rsidRDefault="00383886" w:rsidP="00FD6B98">
            <w:pPr>
              <w:jc w:val="both"/>
              <w:rPr>
                <w:rFonts w:cs="Arial"/>
                <w:sz w:val="20"/>
              </w:rPr>
            </w:pPr>
            <w:r w:rsidRPr="00383886">
              <w:rPr>
                <w:rFonts w:cs="Arial"/>
                <w:sz w:val="20"/>
              </w:rPr>
              <w:t>Donošenjem Strategije razvoja poljoprivrede i ruralnih područja 2022-2028. godina definisaće se strateški ciljevi razvoja sektora agrara, sa akcionim planom za 2022-2023. godine.</w:t>
            </w:r>
          </w:p>
          <w:p w14:paraId="005B02E8" w14:textId="77777777" w:rsidR="00383886" w:rsidRPr="00383886" w:rsidRDefault="00383886" w:rsidP="00FD6B98">
            <w:pPr>
              <w:jc w:val="both"/>
              <w:rPr>
                <w:rFonts w:cs="Arial"/>
                <w:sz w:val="20"/>
              </w:rPr>
            </w:pPr>
            <w:r w:rsidRPr="00383886">
              <w:rPr>
                <w:rFonts w:cs="Arial"/>
                <w:sz w:val="20"/>
              </w:rPr>
              <w:t xml:space="preserve">Akcionim planom će se definisati aktivnosti, čije sprovodjenje doprinosi realizaciji strateških i operativnih ciljeva, nadležne </w:t>
            </w:r>
            <w:r w:rsidRPr="00383886">
              <w:rPr>
                <w:rFonts w:cs="Arial"/>
                <w:sz w:val="20"/>
              </w:rPr>
              <w:lastRenderedPageBreak/>
              <w:t>institucije za sprovođenje, rokovi za realizaciju, indikatori učinka, budžetska sredstva za realizaciju aktivnosti, izvori finansiranja i druga pitanja od značaja za sprovođenje Strategije, za  period 2022-2023. godina.</w:t>
            </w:r>
          </w:p>
          <w:p w14:paraId="3E8B2312" w14:textId="77777777" w:rsidR="00383886" w:rsidRPr="00383886" w:rsidRDefault="00383886" w:rsidP="00FD6B98">
            <w:pPr>
              <w:jc w:val="both"/>
              <w:rPr>
                <w:rFonts w:cs="Arial"/>
                <w:sz w:val="20"/>
              </w:rPr>
            </w:pPr>
            <w:r w:rsidRPr="00383886">
              <w:rPr>
                <w:rFonts w:cs="Arial"/>
                <w:b/>
                <w:sz w:val="20"/>
              </w:rPr>
              <w:t>Preliminarna analiza uticaja propisa (RIA):</w:t>
            </w:r>
            <w:r w:rsidRPr="00383886">
              <w:rPr>
                <w:rFonts w:cs="Arial"/>
                <w:sz w:val="20"/>
              </w:rPr>
              <w:t xml:space="preserve"> Propis će imati uticaja na poslovni ambijent, građane i budžet Crne Gore, zbog čega će u procesu njegove pripreme biti urađena detaljna RIA.</w:t>
            </w:r>
          </w:p>
        </w:tc>
      </w:tr>
    </w:tbl>
    <w:tbl>
      <w:tblPr>
        <w:tblStyle w:val="TableGrid2"/>
        <w:tblW w:w="14850" w:type="dxa"/>
        <w:tblInd w:w="-905" w:type="dxa"/>
        <w:tblLayout w:type="fixed"/>
        <w:tblLook w:val="04A0" w:firstRow="1" w:lastRow="0" w:firstColumn="1" w:lastColumn="0" w:noHBand="0" w:noVBand="1"/>
      </w:tblPr>
      <w:tblGrid>
        <w:gridCol w:w="2970"/>
        <w:gridCol w:w="2520"/>
        <w:gridCol w:w="1800"/>
        <w:gridCol w:w="1530"/>
        <w:gridCol w:w="1800"/>
        <w:gridCol w:w="1710"/>
        <w:gridCol w:w="2520"/>
      </w:tblGrid>
      <w:tr w:rsidR="00383886" w:rsidRPr="00383886" w14:paraId="5DB4B9EA" w14:textId="77777777" w:rsidTr="00FD6B98">
        <w:tc>
          <w:tcPr>
            <w:tcW w:w="2970" w:type="dxa"/>
          </w:tcPr>
          <w:p w14:paraId="30AFD403" w14:textId="77777777" w:rsidR="00383886" w:rsidRPr="00383886" w:rsidRDefault="00383886" w:rsidP="00FD6B98">
            <w:pPr>
              <w:spacing w:before="20" w:after="20"/>
              <w:rPr>
                <w:rFonts w:cs="Arial"/>
                <w:color w:val="FF0000"/>
                <w:sz w:val="20"/>
              </w:rPr>
            </w:pPr>
            <w:r w:rsidRPr="00383886">
              <w:rPr>
                <w:rFonts w:cs="Arial"/>
                <w:sz w:val="20"/>
              </w:rPr>
              <w:t xml:space="preserve">2.Izrada Strategije ribarstva Crne Gore sa Akcionim planom za prenošenje, implementaciju i sprovođenje pravne tekovine EU </w:t>
            </w:r>
          </w:p>
        </w:tc>
        <w:tc>
          <w:tcPr>
            <w:tcW w:w="2520" w:type="dxa"/>
          </w:tcPr>
          <w:p w14:paraId="646543E4" w14:textId="77777777" w:rsidR="00383886" w:rsidRPr="00383886" w:rsidRDefault="00383886" w:rsidP="00FD6B98">
            <w:pPr>
              <w:spacing w:before="20" w:after="20"/>
              <w:rPr>
                <w:rFonts w:cs="Arial"/>
                <w:color w:val="FF0000"/>
                <w:sz w:val="20"/>
              </w:rPr>
            </w:pPr>
            <w:r w:rsidRPr="00383886">
              <w:rPr>
                <w:rFonts w:cs="Arial"/>
                <w:sz w:val="20"/>
              </w:rPr>
              <w:t>Izrađena Strategija ribarstva Crne Gore sa Akcionim planom za prenošenje, implementaciju i sprovođenje pravne tekovine EU</w:t>
            </w:r>
          </w:p>
        </w:tc>
        <w:tc>
          <w:tcPr>
            <w:tcW w:w="1800" w:type="dxa"/>
          </w:tcPr>
          <w:p w14:paraId="1BEA62A3" w14:textId="77777777" w:rsidR="00383886" w:rsidRPr="00383886" w:rsidRDefault="00383886" w:rsidP="00FD6B98">
            <w:pPr>
              <w:spacing w:before="20" w:after="20"/>
              <w:rPr>
                <w:rFonts w:cs="Arial"/>
                <w:sz w:val="20"/>
              </w:rPr>
            </w:pPr>
            <w:r w:rsidRPr="00383886">
              <w:rPr>
                <w:rFonts w:cs="Arial"/>
                <w:sz w:val="20"/>
              </w:rPr>
              <w:t>NI:MPŠV</w:t>
            </w:r>
          </w:p>
          <w:p w14:paraId="09D6D4C5" w14:textId="77777777" w:rsidR="00383886" w:rsidRPr="00383886" w:rsidRDefault="00383886" w:rsidP="00FD6B98">
            <w:pPr>
              <w:spacing w:before="20" w:after="20"/>
              <w:rPr>
                <w:rFonts w:cs="Arial"/>
                <w:b/>
                <w:color w:val="FF0000"/>
                <w:sz w:val="20"/>
              </w:rPr>
            </w:pPr>
          </w:p>
          <w:p w14:paraId="11AD3CF8" w14:textId="77777777" w:rsidR="00383886" w:rsidRPr="00383886" w:rsidRDefault="00383886" w:rsidP="00FD6B98">
            <w:pPr>
              <w:spacing w:before="20" w:after="20"/>
              <w:rPr>
                <w:rFonts w:cs="Arial"/>
                <w:color w:val="FF0000"/>
                <w:sz w:val="20"/>
              </w:rPr>
            </w:pPr>
            <w:r w:rsidRPr="00383886">
              <w:rPr>
                <w:rFonts w:cs="Arial"/>
                <w:sz w:val="20"/>
              </w:rPr>
              <w:t>NK: KEPIF</w:t>
            </w:r>
          </w:p>
        </w:tc>
        <w:tc>
          <w:tcPr>
            <w:tcW w:w="1530" w:type="dxa"/>
          </w:tcPr>
          <w:p w14:paraId="3E08C0CC" w14:textId="77777777" w:rsidR="00383886" w:rsidRPr="00383886" w:rsidRDefault="00383886" w:rsidP="00FD6B98">
            <w:pPr>
              <w:spacing w:before="20" w:after="20"/>
              <w:rPr>
                <w:rFonts w:cs="Arial"/>
                <w:sz w:val="20"/>
              </w:rPr>
            </w:pPr>
            <w:r w:rsidRPr="00383886">
              <w:rPr>
                <w:rFonts w:cs="Arial"/>
                <w:sz w:val="20"/>
              </w:rPr>
              <w:t>I-IV Q 2022.</w:t>
            </w:r>
          </w:p>
          <w:p w14:paraId="70D92F9E" w14:textId="77777777" w:rsidR="00383886" w:rsidRPr="00383886" w:rsidRDefault="00383886" w:rsidP="00FD6B98">
            <w:pPr>
              <w:spacing w:before="20" w:after="20"/>
              <w:rPr>
                <w:rFonts w:cs="Arial"/>
                <w:color w:val="FF0000"/>
                <w:sz w:val="20"/>
              </w:rPr>
            </w:pPr>
          </w:p>
        </w:tc>
        <w:tc>
          <w:tcPr>
            <w:tcW w:w="1800" w:type="dxa"/>
          </w:tcPr>
          <w:p w14:paraId="5704B49C" w14:textId="77777777" w:rsidR="00383886" w:rsidRPr="00383886" w:rsidRDefault="00383886" w:rsidP="00FD6B98">
            <w:pPr>
              <w:spacing w:before="20" w:after="20"/>
              <w:rPr>
                <w:rFonts w:cs="Arial"/>
                <w:sz w:val="20"/>
              </w:rPr>
            </w:pPr>
            <w:r w:rsidRPr="00383886">
              <w:rPr>
                <w:rFonts w:cs="Arial"/>
                <w:sz w:val="20"/>
              </w:rPr>
              <w:t>8.000 eura za angažovanje eksperta (AdriaMed projekat),</w:t>
            </w:r>
          </w:p>
          <w:p w14:paraId="6A91BA62" w14:textId="77777777" w:rsidR="00383886" w:rsidRPr="00383886" w:rsidRDefault="00383886" w:rsidP="00FD6B98">
            <w:pPr>
              <w:spacing w:before="20" w:after="20"/>
              <w:rPr>
                <w:rFonts w:cs="Arial"/>
                <w:sz w:val="20"/>
              </w:rPr>
            </w:pPr>
            <w:r w:rsidRPr="00383886">
              <w:rPr>
                <w:rFonts w:cs="Arial"/>
                <w:sz w:val="20"/>
              </w:rPr>
              <w:t>2.000 eura za potrebe održavanja javne rasprave</w:t>
            </w:r>
          </w:p>
          <w:p w14:paraId="73A82926" w14:textId="77777777" w:rsidR="00383886" w:rsidRPr="00383886" w:rsidRDefault="00383886" w:rsidP="00FD6B98">
            <w:pPr>
              <w:spacing w:before="20" w:after="20"/>
              <w:rPr>
                <w:rFonts w:cs="Arial"/>
                <w:sz w:val="20"/>
                <w:highlight w:val="yellow"/>
              </w:rPr>
            </w:pPr>
          </w:p>
          <w:p w14:paraId="153F980F" w14:textId="77777777" w:rsidR="00383886" w:rsidRPr="00383886" w:rsidRDefault="00383886" w:rsidP="00FD6B98">
            <w:pPr>
              <w:spacing w:before="20" w:after="20"/>
              <w:rPr>
                <w:rFonts w:cs="Arial"/>
                <w:b/>
                <w:color w:val="FF0000"/>
                <w:sz w:val="20"/>
              </w:rPr>
            </w:pPr>
            <w:r w:rsidRPr="00383886">
              <w:rPr>
                <w:rFonts w:cs="Arial"/>
                <w:sz w:val="20"/>
              </w:rPr>
              <w:t>Za utvrđivanje procjene uticaja propisa će biti urađena RIA.</w:t>
            </w:r>
          </w:p>
        </w:tc>
        <w:tc>
          <w:tcPr>
            <w:tcW w:w="1710" w:type="dxa"/>
          </w:tcPr>
          <w:p w14:paraId="43B937AA" w14:textId="77777777" w:rsidR="00383886" w:rsidRPr="00383886" w:rsidRDefault="00383886" w:rsidP="00FD6B98">
            <w:pPr>
              <w:spacing w:before="20" w:after="20"/>
              <w:rPr>
                <w:rFonts w:cs="Arial"/>
                <w:sz w:val="20"/>
              </w:rPr>
            </w:pPr>
            <w:r w:rsidRPr="00383886">
              <w:rPr>
                <w:rFonts w:cs="Arial"/>
                <w:sz w:val="20"/>
              </w:rPr>
              <w:t>Budžet/Međunarodni projekat</w:t>
            </w:r>
          </w:p>
        </w:tc>
        <w:tc>
          <w:tcPr>
            <w:tcW w:w="2520" w:type="dxa"/>
          </w:tcPr>
          <w:p w14:paraId="339941C9" w14:textId="77777777" w:rsidR="00383886" w:rsidRPr="00383886" w:rsidRDefault="00383886" w:rsidP="00FD6B98">
            <w:pPr>
              <w:jc w:val="both"/>
              <w:rPr>
                <w:rFonts w:cs="Arial"/>
                <w:sz w:val="20"/>
              </w:rPr>
            </w:pPr>
            <w:r w:rsidRPr="00383886">
              <w:rPr>
                <w:rFonts w:cs="Arial"/>
                <w:sz w:val="20"/>
              </w:rPr>
              <w:t>Donošenjem Strategije ribarstva Crne Gore sa Akcionim planom definisaće se strateški ciljevi razvoja sektora ribarstva, njegovih administrativnih i institucionalnih kapaciteta potrebnih da se ispune zahtjevi Zajedničke ribarske politike i identifikuje neke njegove ključne potencijale.</w:t>
            </w:r>
          </w:p>
          <w:p w14:paraId="197D8B5F" w14:textId="77777777" w:rsidR="00383886" w:rsidRPr="00383886" w:rsidRDefault="00383886" w:rsidP="00FD6B98">
            <w:pPr>
              <w:jc w:val="both"/>
              <w:rPr>
                <w:rFonts w:cs="Arial"/>
                <w:sz w:val="20"/>
              </w:rPr>
            </w:pPr>
            <w:r w:rsidRPr="00383886">
              <w:rPr>
                <w:rFonts w:cs="Arial"/>
                <w:sz w:val="20"/>
              </w:rPr>
              <w:t>Akcionim planom će se definisati aktivnosti čije sprovođenje doprinosi realizaciji strateških i operativnih ciljeva, nadležne institucije za sprovođenje, rokovi za realizaciju, indikatori učinka, budžetska sredstva za realizaciju aktivnosti, izvori finansiranja i druga pitanja od značaja za sprovođenje Strategije.</w:t>
            </w:r>
          </w:p>
          <w:p w14:paraId="00587CB4" w14:textId="77777777" w:rsidR="00383886" w:rsidRPr="00383886" w:rsidRDefault="00383886" w:rsidP="00FD6B98">
            <w:pPr>
              <w:jc w:val="both"/>
              <w:rPr>
                <w:rFonts w:cs="Arial"/>
                <w:sz w:val="20"/>
              </w:rPr>
            </w:pPr>
            <w:r w:rsidRPr="00383886">
              <w:rPr>
                <w:rFonts w:cs="Arial"/>
                <w:b/>
                <w:sz w:val="20"/>
              </w:rPr>
              <w:t>Preliminarna analiza uticaja propisa (RIA):</w:t>
            </w:r>
            <w:r w:rsidRPr="00383886">
              <w:rPr>
                <w:rFonts w:cs="Arial"/>
                <w:sz w:val="20"/>
              </w:rPr>
              <w:t xml:space="preserve"> Propis će imati </w:t>
            </w:r>
            <w:r w:rsidRPr="00383886">
              <w:rPr>
                <w:rFonts w:cs="Arial"/>
                <w:sz w:val="20"/>
              </w:rPr>
              <w:lastRenderedPageBreak/>
              <w:t>uticaja na poslovni ambijent, građane i budžet Crne Gore, zbog čega će u procesu njegove pripreme biti urađena detaljna RIA.</w:t>
            </w:r>
          </w:p>
        </w:tc>
      </w:tr>
    </w:tbl>
    <w:tbl>
      <w:tblPr>
        <w:tblStyle w:val="TableGrid5"/>
        <w:tblW w:w="14850" w:type="dxa"/>
        <w:tblInd w:w="-905" w:type="dxa"/>
        <w:tblLook w:val="04A0" w:firstRow="1" w:lastRow="0" w:firstColumn="1" w:lastColumn="0" w:noHBand="0" w:noVBand="1"/>
      </w:tblPr>
      <w:tblGrid>
        <w:gridCol w:w="2970"/>
        <w:gridCol w:w="2520"/>
        <w:gridCol w:w="1800"/>
        <w:gridCol w:w="1530"/>
        <w:gridCol w:w="1800"/>
        <w:gridCol w:w="1710"/>
        <w:gridCol w:w="2520"/>
      </w:tblGrid>
      <w:tr w:rsidR="00383886" w:rsidRPr="00383886" w14:paraId="0298BC2A" w14:textId="77777777" w:rsidTr="00591FB8">
        <w:tc>
          <w:tcPr>
            <w:tcW w:w="2970" w:type="dxa"/>
          </w:tcPr>
          <w:p w14:paraId="794D2C82" w14:textId="77777777" w:rsidR="00383886" w:rsidRPr="00383886" w:rsidRDefault="00383886" w:rsidP="00FD6B98">
            <w:pPr>
              <w:spacing w:before="20" w:after="20"/>
              <w:rPr>
                <w:rFonts w:cs="Arial"/>
                <w:sz w:val="20"/>
              </w:rPr>
            </w:pPr>
            <w:r w:rsidRPr="00383886">
              <w:rPr>
                <w:rFonts w:cs="Arial"/>
                <w:sz w:val="20"/>
              </w:rPr>
              <w:t>3.Donošenje Uredbe o uslovima, načinu i dinamici sprovođenja mjera agrarne politike za 2022. godinu – Agrobudžet</w:t>
            </w:r>
          </w:p>
        </w:tc>
        <w:tc>
          <w:tcPr>
            <w:tcW w:w="2520" w:type="dxa"/>
          </w:tcPr>
          <w:p w14:paraId="20B17209" w14:textId="77777777" w:rsidR="00383886" w:rsidRPr="00383886" w:rsidRDefault="00383886" w:rsidP="00FD6B98">
            <w:pPr>
              <w:spacing w:before="20" w:after="20"/>
              <w:rPr>
                <w:rFonts w:cs="Arial"/>
                <w:sz w:val="20"/>
              </w:rPr>
            </w:pPr>
            <w:r w:rsidRPr="00383886">
              <w:rPr>
                <w:rFonts w:cs="Arial"/>
                <w:sz w:val="20"/>
              </w:rPr>
              <w:t>Donijeta Uredbe o uslovima, načinu i dinamici sprovođenja mjera agrarne politike</w:t>
            </w:r>
          </w:p>
          <w:p w14:paraId="52709205" w14:textId="77777777" w:rsidR="00383886" w:rsidRPr="00383886" w:rsidRDefault="00383886" w:rsidP="00FD6B98">
            <w:pPr>
              <w:autoSpaceDE w:val="0"/>
              <w:autoSpaceDN w:val="0"/>
              <w:adjustRightInd w:val="0"/>
              <w:rPr>
                <w:rFonts w:cs="Arial"/>
                <w:sz w:val="20"/>
              </w:rPr>
            </w:pPr>
            <w:r w:rsidRPr="00383886">
              <w:rPr>
                <w:rFonts w:cs="Arial"/>
                <w:sz w:val="20"/>
              </w:rPr>
              <w:t>za 2022. godinu – Agrobudžet</w:t>
            </w:r>
          </w:p>
        </w:tc>
        <w:tc>
          <w:tcPr>
            <w:tcW w:w="1800" w:type="dxa"/>
          </w:tcPr>
          <w:p w14:paraId="439E9FFC" w14:textId="77777777" w:rsidR="00383886" w:rsidRPr="00383886" w:rsidRDefault="00383886" w:rsidP="00FD6B98">
            <w:pPr>
              <w:spacing w:before="20" w:after="20"/>
              <w:rPr>
                <w:rFonts w:cs="Arial"/>
                <w:sz w:val="20"/>
              </w:rPr>
            </w:pPr>
            <w:r w:rsidRPr="00383886">
              <w:rPr>
                <w:rFonts w:cs="Arial"/>
                <w:sz w:val="20"/>
              </w:rPr>
              <w:t>MPŠV</w:t>
            </w:r>
          </w:p>
        </w:tc>
        <w:tc>
          <w:tcPr>
            <w:tcW w:w="1530" w:type="dxa"/>
          </w:tcPr>
          <w:p w14:paraId="376C5C0A" w14:textId="77777777" w:rsidR="00383886" w:rsidRPr="00383886" w:rsidRDefault="00383886" w:rsidP="00FD6B98">
            <w:pPr>
              <w:spacing w:before="20" w:after="20"/>
              <w:rPr>
                <w:rFonts w:cs="Arial"/>
                <w:sz w:val="20"/>
              </w:rPr>
            </w:pPr>
            <w:r w:rsidRPr="00383886">
              <w:rPr>
                <w:rFonts w:cs="Arial"/>
                <w:sz w:val="20"/>
              </w:rPr>
              <w:t>I kvartal 2022. godine</w:t>
            </w:r>
          </w:p>
          <w:p w14:paraId="5313CF23" w14:textId="77777777" w:rsidR="00383886" w:rsidRPr="00383886" w:rsidRDefault="00383886" w:rsidP="00FD6B98">
            <w:pPr>
              <w:spacing w:before="20" w:after="20"/>
              <w:rPr>
                <w:rFonts w:cs="Arial"/>
                <w:sz w:val="20"/>
              </w:rPr>
            </w:pPr>
          </w:p>
        </w:tc>
        <w:tc>
          <w:tcPr>
            <w:tcW w:w="1800" w:type="dxa"/>
          </w:tcPr>
          <w:p w14:paraId="39FE53F2" w14:textId="77777777" w:rsidR="00383886" w:rsidRPr="00383886" w:rsidRDefault="00383886" w:rsidP="00FD6B98">
            <w:pPr>
              <w:spacing w:before="20" w:after="20"/>
              <w:rPr>
                <w:rFonts w:cs="Arial"/>
                <w:sz w:val="20"/>
              </w:rPr>
            </w:pPr>
            <w:r w:rsidRPr="00383886">
              <w:rPr>
                <w:rFonts w:cs="Arial"/>
                <w:sz w:val="20"/>
              </w:rPr>
              <w:t>Za utvrđivanje procjene uticaja propisa će biti urađena RIA.</w:t>
            </w:r>
          </w:p>
        </w:tc>
        <w:tc>
          <w:tcPr>
            <w:tcW w:w="1710" w:type="dxa"/>
          </w:tcPr>
          <w:p w14:paraId="6CE749C5" w14:textId="77777777" w:rsidR="00383886" w:rsidRPr="00383886" w:rsidRDefault="00383886" w:rsidP="00FD6B98">
            <w:pPr>
              <w:spacing w:before="20" w:after="20"/>
              <w:rPr>
                <w:rFonts w:cs="Arial"/>
                <w:sz w:val="20"/>
              </w:rPr>
            </w:pPr>
            <w:r w:rsidRPr="00383886">
              <w:rPr>
                <w:rFonts w:cs="Arial"/>
                <w:sz w:val="20"/>
              </w:rPr>
              <w:t>Budžet</w:t>
            </w:r>
          </w:p>
        </w:tc>
        <w:tc>
          <w:tcPr>
            <w:tcW w:w="2520" w:type="dxa"/>
          </w:tcPr>
          <w:p w14:paraId="00060920" w14:textId="77777777" w:rsidR="00383886" w:rsidRPr="00383886" w:rsidRDefault="00383886" w:rsidP="00FD6B98">
            <w:pPr>
              <w:contextualSpacing/>
              <w:jc w:val="both"/>
              <w:rPr>
                <w:rFonts w:cs="Arial"/>
                <w:sz w:val="20"/>
              </w:rPr>
            </w:pPr>
            <w:r w:rsidRPr="00383886">
              <w:rPr>
                <w:rFonts w:cs="Arial"/>
                <w:sz w:val="20"/>
              </w:rPr>
              <w:t>Ovom uredbom utvrđuju se uslovi, način i dinamika sprovođenja mjera agrarne politike za tržišno-cjenovnu politiku, politiku ruralnog razvoja, poslove od javnog interesa, socijalne transfere pojedincima, mjere u oblasti bezbjednosti hrane, veterine i fitosanitarnih poslova i mjere u oblasti ribarstva.</w:t>
            </w:r>
          </w:p>
        </w:tc>
      </w:tr>
      <w:tr w:rsidR="00383886" w:rsidRPr="00383886" w14:paraId="659D11CA" w14:textId="77777777" w:rsidTr="00591FB8">
        <w:tc>
          <w:tcPr>
            <w:tcW w:w="2970" w:type="dxa"/>
          </w:tcPr>
          <w:p w14:paraId="387738D4" w14:textId="77777777" w:rsidR="00383886" w:rsidRPr="00383886" w:rsidRDefault="00383886" w:rsidP="00FD6B98">
            <w:pPr>
              <w:spacing w:before="20" w:after="20"/>
              <w:rPr>
                <w:rFonts w:cs="Arial"/>
                <w:sz w:val="20"/>
              </w:rPr>
            </w:pPr>
            <w:r w:rsidRPr="00383886">
              <w:rPr>
                <w:rFonts w:cs="Arial"/>
                <w:sz w:val="20"/>
              </w:rPr>
              <w:t>4. Usvajanje IPARD III programa (Program razvoja poljoprivrede i ruralnih područja) 2021-2027</w:t>
            </w:r>
          </w:p>
        </w:tc>
        <w:tc>
          <w:tcPr>
            <w:tcW w:w="2520" w:type="dxa"/>
          </w:tcPr>
          <w:p w14:paraId="50CBEC88" w14:textId="77777777" w:rsidR="00383886" w:rsidRPr="00383886" w:rsidRDefault="00383886" w:rsidP="00FD6B98">
            <w:pPr>
              <w:autoSpaceDE w:val="0"/>
              <w:autoSpaceDN w:val="0"/>
              <w:adjustRightInd w:val="0"/>
              <w:rPr>
                <w:rFonts w:cs="Arial"/>
                <w:sz w:val="20"/>
              </w:rPr>
            </w:pPr>
            <w:r w:rsidRPr="00383886">
              <w:rPr>
                <w:rFonts w:cs="Arial"/>
                <w:sz w:val="20"/>
              </w:rPr>
              <w:t>Usvojen IPARD III programa (Program razvoja poljoprivrede i ruralnih područja) 2021-2027</w:t>
            </w:r>
          </w:p>
        </w:tc>
        <w:tc>
          <w:tcPr>
            <w:tcW w:w="1800" w:type="dxa"/>
          </w:tcPr>
          <w:p w14:paraId="3A3E0B07" w14:textId="77777777" w:rsidR="00383886" w:rsidRPr="00383886" w:rsidRDefault="00383886" w:rsidP="00FD6B98">
            <w:pPr>
              <w:spacing w:before="20" w:after="20"/>
              <w:rPr>
                <w:rFonts w:cs="Arial"/>
                <w:sz w:val="20"/>
              </w:rPr>
            </w:pPr>
            <w:r w:rsidRPr="00383886">
              <w:rPr>
                <w:rFonts w:cs="Arial"/>
                <w:sz w:val="20"/>
              </w:rPr>
              <w:t>MPŠV</w:t>
            </w:r>
          </w:p>
        </w:tc>
        <w:tc>
          <w:tcPr>
            <w:tcW w:w="1530" w:type="dxa"/>
          </w:tcPr>
          <w:p w14:paraId="7939DB6A" w14:textId="77777777" w:rsidR="00383886" w:rsidRPr="00383886" w:rsidRDefault="00383886" w:rsidP="00FD6B98">
            <w:pPr>
              <w:spacing w:before="20" w:after="20"/>
              <w:rPr>
                <w:rFonts w:cs="Arial"/>
                <w:sz w:val="20"/>
              </w:rPr>
            </w:pPr>
            <w:r w:rsidRPr="00383886">
              <w:rPr>
                <w:rFonts w:cs="Arial"/>
                <w:sz w:val="20"/>
              </w:rPr>
              <w:t>I-II Q 2022.</w:t>
            </w:r>
          </w:p>
          <w:p w14:paraId="3BA36379" w14:textId="77777777" w:rsidR="00383886" w:rsidRPr="00383886" w:rsidRDefault="00383886" w:rsidP="00FD6B98">
            <w:pPr>
              <w:spacing w:before="20" w:after="20"/>
              <w:rPr>
                <w:rFonts w:cs="Arial"/>
                <w:sz w:val="20"/>
              </w:rPr>
            </w:pPr>
          </w:p>
          <w:p w14:paraId="062BFD71" w14:textId="77777777" w:rsidR="00383886" w:rsidRPr="00383886" w:rsidRDefault="00383886" w:rsidP="00FD6B98">
            <w:pPr>
              <w:spacing w:before="20" w:after="20"/>
              <w:rPr>
                <w:rFonts w:cs="Arial"/>
                <w:sz w:val="20"/>
              </w:rPr>
            </w:pPr>
          </w:p>
        </w:tc>
        <w:tc>
          <w:tcPr>
            <w:tcW w:w="1800" w:type="dxa"/>
          </w:tcPr>
          <w:p w14:paraId="60A67B6A" w14:textId="77777777" w:rsidR="00383886" w:rsidRPr="00383886" w:rsidRDefault="00383886" w:rsidP="00FD6B98">
            <w:pPr>
              <w:spacing w:before="20" w:after="20"/>
              <w:rPr>
                <w:rFonts w:cs="Arial"/>
                <w:sz w:val="20"/>
              </w:rPr>
            </w:pPr>
            <w:r w:rsidRPr="00383886">
              <w:rPr>
                <w:rFonts w:cs="Arial"/>
                <w:sz w:val="20"/>
              </w:rPr>
              <w:t>Za utvrđivanje procjene uticaja propisa će biti urađena RIA.</w:t>
            </w:r>
          </w:p>
        </w:tc>
        <w:tc>
          <w:tcPr>
            <w:tcW w:w="1710" w:type="dxa"/>
          </w:tcPr>
          <w:p w14:paraId="6DD98784" w14:textId="77777777" w:rsidR="00383886" w:rsidRPr="00383886" w:rsidRDefault="00383886" w:rsidP="00FD6B98">
            <w:pPr>
              <w:spacing w:before="20" w:after="20"/>
              <w:rPr>
                <w:rFonts w:cs="Arial"/>
                <w:sz w:val="20"/>
              </w:rPr>
            </w:pPr>
          </w:p>
        </w:tc>
        <w:tc>
          <w:tcPr>
            <w:tcW w:w="2520" w:type="dxa"/>
          </w:tcPr>
          <w:p w14:paraId="4D30D660" w14:textId="77777777" w:rsidR="00383886" w:rsidRPr="00383886" w:rsidRDefault="00383886" w:rsidP="00FD6B98">
            <w:pPr>
              <w:contextualSpacing/>
              <w:jc w:val="both"/>
              <w:rPr>
                <w:rFonts w:cs="Arial"/>
                <w:sz w:val="20"/>
              </w:rPr>
            </w:pPr>
            <w:r w:rsidRPr="00383886">
              <w:rPr>
                <w:rFonts w:cs="Arial"/>
                <w:sz w:val="20"/>
              </w:rPr>
              <w:t>Usvajanjem IPARD III programa (Program razvoja poljoprivrede i ruralnih područja) 2021-2027, steći će se uslovi za finansiranje individualnih investicija od strane poljoprivrednih proizvođača, mikro, malih i srednjih preduzeća u oblasti primarne poljoprivredne proizvodnje i ribarstva, prerade, diverzifikacije gazdinstava i razvoja poslovanja, ruralne infrastrukture i drugih prihvatljivih investicija koje su obuhvaćene programom.</w:t>
            </w:r>
          </w:p>
        </w:tc>
      </w:tr>
      <w:tr w:rsidR="00383886" w:rsidRPr="00383886" w14:paraId="7DF1CA42" w14:textId="77777777" w:rsidTr="00591FB8">
        <w:tc>
          <w:tcPr>
            <w:tcW w:w="2970" w:type="dxa"/>
          </w:tcPr>
          <w:p w14:paraId="55C06852" w14:textId="77777777" w:rsidR="00383886" w:rsidRPr="00383886" w:rsidRDefault="00383886" w:rsidP="00FD6B98">
            <w:pPr>
              <w:spacing w:before="20" w:after="20"/>
              <w:rPr>
                <w:rFonts w:cs="Arial"/>
                <w:sz w:val="20"/>
              </w:rPr>
            </w:pPr>
            <w:r w:rsidRPr="00383886">
              <w:rPr>
                <w:rFonts w:cs="Arial"/>
                <w:sz w:val="20"/>
              </w:rPr>
              <w:t>5. Izmjena IPARD II programa, verzija 1.3. u verziju 1.4.</w:t>
            </w:r>
          </w:p>
        </w:tc>
        <w:tc>
          <w:tcPr>
            <w:tcW w:w="2520" w:type="dxa"/>
          </w:tcPr>
          <w:p w14:paraId="516EE7E2" w14:textId="77777777" w:rsidR="00383886" w:rsidRPr="00383886" w:rsidRDefault="00383886" w:rsidP="00FD6B98">
            <w:pPr>
              <w:autoSpaceDE w:val="0"/>
              <w:autoSpaceDN w:val="0"/>
              <w:adjustRightInd w:val="0"/>
              <w:rPr>
                <w:rFonts w:cs="Arial"/>
                <w:sz w:val="20"/>
              </w:rPr>
            </w:pPr>
            <w:r w:rsidRPr="00383886">
              <w:rPr>
                <w:rFonts w:cs="Arial"/>
                <w:sz w:val="20"/>
              </w:rPr>
              <w:t>Usvojena verzija 1.4.</w:t>
            </w:r>
          </w:p>
        </w:tc>
        <w:tc>
          <w:tcPr>
            <w:tcW w:w="1800" w:type="dxa"/>
            <w:shd w:val="clear" w:color="auto" w:fill="auto"/>
          </w:tcPr>
          <w:p w14:paraId="26C297A1" w14:textId="77777777" w:rsidR="00383886" w:rsidRPr="00383886" w:rsidRDefault="00383886" w:rsidP="00FD6B98">
            <w:pPr>
              <w:spacing w:before="20" w:after="20"/>
              <w:rPr>
                <w:rFonts w:cs="Arial"/>
                <w:sz w:val="20"/>
              </w:rPr>
            </w:pPr>
            <w:r w:rsidRPr="00383886">
              <w:rPr>
                <w:rFonts w:cs="Arial"/>
                <w:sz w:val="20"/>
              </w:rPr>
              <w:t>MPŠV</w:t>
            </w:r>
          </w:p>
        </w:tc>
        <w:tc>
          <w:tcPr>
            <w:tcW w:w="1530" w:type="dxa"/>
            <w:shd w:val="clear" w:color="auto" w:fill="auto"/>
          </w:tcPr>
          <w:p w14:paraId="123FBCC1" w14:textId="77777777" w:rsidR="00383886" w:rsidRPr="00383886" w:rsidRDefault="00383886" w:rsidP="00FD6B98">
            <w:pPr>
              <w:spacing w:before="20" w:after="20"/>
              <w:rPr>
                <w:rFonts w:cs="Arial"/>
                <w:sz w:val="20"/>
              </w:rPr>
            </w:pPr>
            <w:r w:rsidRPr="00383886">
              <w:rPr>
                <w:rFonts w:cs="Arial"/>
                <w:sz w:val="20"/>
              </w:rPr>
              <w:t>I Q 2022-II Q 2022.</w:t>
            </w:r>
          </w:p>
        </w:tc>
        <w:tc>
          <w:tcPr>
            <w:tcW w:w="1800" w:type="dxa"/>
          </w:tcPr>
          <w:p w14:paraId="3238F39C" w14:textId="77777777" w:rsidR="00383886" w:rsidRPr="00383886" w:rsidRDefault="00383886" w:rsidP="00FD6B98">
            <w:pPr>
              <w:spacing w:before="20" w:after="20"/>
              <w:rPr>
                <w:rFonts w:cs="Arial"/>
                <w:sz w:val="20"/>
              </w:rPr>
            </w:pPr>
            <w:r w:rsidRPr="00383886">
              <w:rPr>
                <w:rFonts w:cs="Arial"/>
                <w:sz w:val="20"/>
              </w:rPr>
              <w:t>Kroz IPARD II 2014-2020, rezervisan iznos za ovu mjeru je 51  milion eura</w:t>
            </w:r>
          </w:p>
          <w:p w14:paraId="4DE663B0" w14:textId="77777777" w:rsidR="00383886" w:rsidRPr="00383886" w:rsidRDefault="00383886" w:rsidP="00FD6B98">
            <w:pPr>
              <w:spacing w:before="20" w:after="20"/>
              <w:rPr>
                <w:rFonts w:cs="Arial"/>
                <w:sz w:val="20"/>
              </w:rPr>
            </w:pPr>
          </w:p>
          <w:p w14:paraId="1A8B43BC" w14:textId="77777777" w:rsidR="00383886" w:rsidRPr="00383886" w:rsidRDefault="00383886" w:rsidP="00FD6B98">
            <w:pPr>
              <w:spacing w:before="20" w:after="20"/>
              <w:rPr>
                <w:rFonts w:cs="Arial"/>
                <w:sz w:val="20"/>
              </w:rPr>
            </w:pPr>
            <w:r w:rsidRPr="00383886">
              <w:rPr>
                <w:rFonts w:cs="Arial"/>
                <w:sz w:val="20"/>
              </w:rPr>
              <w:t>Nacrt IPARD III program je u pripremi</w:t>
            </w:r>
          </w:p>
        </w:tc>
        <w:tc>
          <w:tcPr>
            <w:tcW w:w="1710" w:type="dxa"/>
          </w:tcPr>
          <w:p w14:paraId="6BB2533E" w14:textId="77777777" w:rsidR="00383886" w:rsidRPr="00383886" w:rsidRDefault="00383886" w:rsidP="00FD6B98">
            <w:pPr>
              <w:spacing w:before="20" w:after="20"/>
              <w:rPr>
                <w:rFonts w:cs="Arial"/>
                <w:sz w:val="20"/>
              </w:rPr>
            </w:pPr>
            <w:r w:rsidRPr="00383886">
              <w:rPr>
                <w:rFonts w:cs="Arial"/>
                <w:sz w:val="20"/>
              </w:rPr>
              <w:t>EU dio: 75%</w:t>
            </w:r>
          </w:p>
          <w:p w14:paraId="33306A75" w14:textId="77777777" w:rsidR="00383886" w:rsidRPr="00383886" w:rsidRDefault="00383886" w:rsidP="00FD6B98">
            <w:pPr>
              <w:spacing w:before="20" w:after="20"/>
              <w:rPr>
                <w:rFonts w:cs="Arial"/>
                <w:sz w:val="20"/>
              </w:rPr>
            </w:pPr>
            <w:r w:rsidRPr="00383886">
              <w:rPr>
                <w:rFonts w:cs="Arial"/>
                <w:sz w:val="20"/>
              </w:rPr>
              <w:t>Nacionalni dio:25 %</w:t>
            </w:r>
          </w:p>
        </w:tc>
        <w:tc>
          <w:tcPr>
            <w:tcW w:w="2520" w:type="dxa"/>
          </w:tcPr>
          <w:p w14:paraId="6370EAEF" w14:textId="77777777" w:rsidR="00383886" w:rsidRPr="00383886" w:rsidRDefault="00383886" w:rsidP="00FD6B98">
            <w:pPr>
              <w:contextualSpacing/>
              <w:jc w:val="both"/>
              <w:rPr>
                <w:rFonts w:cs="Arial"/>
                <w:sz w:val="20"/>
              </w:rPr>
            </w:pPr>
            <w:r w:rsidRPr="00383886">
              <w:rPr>
                <w:rFonts w:cs="Arial"/>
                <w:sz w:val="20"/>
              </w:rPr>
              <w:t>Da bi se objavio novi Javni poziv za mjeru 7 u okviru IPARD programa potrebno je ralocirati sredstva iz Mjere 3 u Mjeru 7 i s toga je prethodno potrebno izmijeniti IPARD 2 program.</w:t>
            </w:r>
          </w:p>
        </w:tc>
      </w:tr>
    </w:tbl>
    <w:tbl>
      <w:tblPr>
        <w:tblStyle w:val="TableGrid"/>
        <w:tblW w:w="14760" w:type="dxa"/>
        <w:tblInd w:w="-815" w:type="dxa"/>
        <w:tblLayout w:type="fixed"/>
        <w:tblLook w:val="04A0" w:firstRow="1" w:lastRow="0" w:firstColumn="1" w:lastColumn="0" w:noHBand="0" w:noVBand="1"/>
      </w:tblPr>
      <w:tblGrid>
        <w:gridCol w:w="2886"/>
        <w:gridCol w:w="59"/>
        <w:gridCol w:w="2562"/>
        <w:gridCol w:w="1693"/>
        <w:gridCol w:w="1530"/>
        <w:gridCol w:w="1800"/>
        <w:gridCol w:w="1710"/>
        <w:gridCol w:w="2520"/>
      </w:tblGrid>
      <w:tr w:rsidR="00383886" w:rsidRPr="00383886" w14:paraId="3F896DEA" w14:textId="77777777" w:rsidTr="00FD6B98">
        <w:tc>
          <w:tcPr>
            <w:tcW w:w="2886" w:type="dxa"/>
          </w:tcPr>
          <w:p w14:paraId="3FE93459" w14:textId="77777777" w:rsidR="00383886" w:rsidRPr="00383886" w:rsidRDefault="00383886" w:rsidP="00FD6B98">
            <w:pPr>
              <w:spacing w:before="20" w:after="20"/>
              <w:rPr>
                <w:rFonts w:cs="Arial"/>
                <w:sz w:val="20"/>
              </w:rPr>
            </w:pPr>
            <w:r w:rsidRPr="00383886">
              <w:rPr>
                <w:rFonts w:cs="Arial"/>
                <w:sz w:val="20"/>
              </w:rPr>
              <w:lastRenderedPageBreak/>
              <w:t>6. Izrada Zakona o organskoj proizvodnji</w:t>
            </w:r>
          </w:p>
        </w:tc>
        <w:tc>
          <w:tcPr>
            <w:tcW w:w="2621" w:type="dxa"/>
            <w:gridSpan w:val="2"/>
          </w:tcPr>
          <w:p w14:paraId="708A033C" w14:textId="77777777" w:rsidR="00383886" w:rsidRPr="00383886" w:rsidRDefault="00383886" w:rsidP="00FD6B98">
            <w:pPr>
              <w:spacing w:before="20" w:after="20"/>
              <w:rPr>
                <w:rFonts w:cs="Arial"/>
                <w:sz w:val="20"/>
              </w:rPr>
            </w:pPr>
            <w:r w:rsidRPr="00383886">
              <w:rPr>
                <w:rFonts w:cs="Arial"/>
                <w:sz w:val="20"/>
              </w:rPr>
              <w:t>Donešen Zakon o organskoj proizvodnji</w:t>
            </w:r>
          </w:p>
        </w:tc>
        <w:tc>
          <w:tcPr>
            <w:tcW w:w="1693" w:type="dxa"/>
          </w:tcPr>
          <w:p w14:paraId="79AB0AE1" w14:textId="77777777" w:rsidR="00383886" w:rsidRPr="00383886" w:rsidRDefault="00383886" w:rsidP="00FD6B98">
            <w:pPr>
              <w:spacing w:before="20" w:after="20"/>
              <w:rPr>
                <w:rFonts w:cs="Arial"/>
                <w:sz w:val="20"/>
              </w:rPr>
            </w:pPr>
            <w:r w:rsidRPr="00383886">
              <w:rPr>
                <w:rFonts w:cs="Arial"/>
                <w:sz w:val="20"/>
              </w:rPr>
              <w:t>MPŠV</w:t>
            </w:r>
          </w:p>
        </w:tc>
        <w:tc>
          <w:tcPr>
            <w:tcW w:w="1530" w:type="dxa"/>
          </w:tcPr>
          <w:p w14:paraId="31CD6422" w14:textId="77777777" w:rsidR="00383886" w:rsidRPr="00383886" w:rsidRDefault="00383886" w:rsidP="00FD6B98">
            <w:pPr>
              <w:spacing w:before="20" w:after="20"/>
              <w:rPr>
                <w:rFonts w:cs="Arial"/>
                <w:sz w:val="20"/>
              </w:rPr>
            </w:pPr>
            <w:r w:rsidRPr="00383886">
              <w:rPr>
                <w:rFonts w:cs="Arial"/>
                <w:sz w:val="20"/>
              </w:rPr>
              <w:t>I-IV Q 2022.</w:t>
            </w:r>
          </w:p>
        </w:tc>
        <w:tc>
          <w:tcPr>
            <w:tcW w:w="1800" w:type="dxa"/>
          </w:tcPr>
          <w:p w14:paraId="2F8732B6" w14:textId="77777777" w:rsidR="00383886" w:rsidRPr="00383886" w:rsidRDefault="00383886" w:rsidP="00FD6B98">
            <w:pPr>
              <w:spacing w:before="20" w:after="20"/>
              <w:rPr>
                <w:rFonts w:cs="Arial"/>
                <w:sz w:val="20"/>
              </w:rPr>
            </w:pPr>
            <w:r w:rsidRPr="00383886">
              <w:rPr>
                <w:rFonts w:cs="Arial"/>
                <w:sz w:val="20"/>
              </w:rPr>
              <w:t>Za utvrđivanje procjene uticaja propisa će biti urađena RIA.</w:t>
            </w:r>
          </w:p>
        </w:tc>
        <w:tc>
          <w:tcPr>
            <w:tcW w:w="1710" w:type="dxa"/>
          </w:tcPr>
          <w:p w14:paraId="70B13918" w14:textId="77777777" w:rsidR="00383886" w:rsidRPr="00383886" w:rsidRDefault="00383886" w:rsidP="00FD6B98">
            <w:pPr>
              <w:spacing w:before="20" w:after="20"/>
              <w:rPr>
                <w:rFonts w:cs="Arial"/>
                <w:sz w:val="20"/>
              </w:rPr>
            </w:pPr>
            <w:r w:rsidRPr="00383886">
              <w:rPr>
                <w:rFonts w:cs="Arial"/>
                <w:sz w:val="20"/>
              </w:rPr>
              <w:t>Budžet</w:t>
            </w:r>
          </w:p>
        </w:tc>
        <w:tc>
          <w:tcPr>
            <w:tcW w:w="2520" w:type="dxa"/>
          </w:tcPr>
          <w:p w14:paraId="59E84AC6" w14:textId="77777777" w:rsidR="00383886" w:rsidRPr="00383886" w:rsidRDefault="00383886" w:rsidP="00FD6B98">
            <w:pPr>
              <w:spacing w:before="20" w:after="20"/>
              <w:rPr>
                <w:rFonts w:cs="Arial"/>
                <w:sz w:val="20"/>
              </w:rPr>
            </w:pPr>
            <w:r w:rsidRPr="00383886">
              <w:rPr>
                <w:rFonts w:cs="Arial"/>
                <w:sz w:val="20"/>
              </w:rPr>
              <w:t>Donošenjem novog zakona o organskoj proizvodnji uskladiće se nacionalno zakonodavstvo sa novim paketom propisa EU koja se odnosi na ovu oblast.</w:t>
            </w:r>
          </w:p>
        </w:tc>
      </w:tr>
      <w:tr w:rsidR="00383886" w:rsidRPr="00383886" w14:paraId="0F41DABE" w14:textId="77777777" w:rsidTr="00FD6B98">
        <w:tc>
          <w:tcPr>
            <w:tcW w:w="2886" w:type="dxa"/>
          </w:tcPr>
          <w:p w14:paraId="164A77A3" w14:textId="77777777" w:rsidR="00383886" w:rsidRPr="00383886" w:rsidRDefault="00383886" w:rsidP="00FD6B98">
            <w:pPr>
              <w:spacing w:before="20" w:after="20"/>
              <w:rPr>
                <w:rFonts w:cs="Arial"/>
                <w:sz w:val="20"/>
              </w:rPr>
            </w:pPr>
            <w:r w:rsidRPr="00383886">
              <w:rPr>
                <w:rFonts w:cs="Arial"/>
                <w:sz w:val="20"/>
              </w:rPr>
              <w:t>7. Izrada Zakona o morskom ribarstvu i marikulturi</w:t>
            </w:r>
          </w:p>
        </w:tc>
        <w:tc>
          <w:tcPr>
            <w:tcW w:w="2621" w:type="dxa"/>
            <w:gridSpan w:val="2"/>
          </w:tcPr>
          <w:p w14:paraId="41DC6296" w14:textId="77777777" w:rsidR="00383886" w:rsidRPr="00383886" w:rsidRDefault="00383886" w:rsidP="00FD6B98">
            <w:pPr>
              <w:spacing w:before="20" w:after="20"/>
              <w:rPr>
                <w:rFonts w:cs="Arial"/>
                <w:sz w:val="20"/>
              </w:rPr>
            </w:pPr>
            <w:r w:rsidRPr="00383886">
              <w:rPr>
                <w:rFonts w:cs="Arial"/>
                <w:sz w:val="20"/>
              </w:rPr>
              <w:t>Donešen Zakon o morskom ribarstvu i marikulturi</w:t>
            </w:r>
          </w:p>
        </w:tc>
        <w:tc>
          <w:tcPr>
            <w:tcW w:w="1693" w:type="dxa"/>
          </w:tcPr>
          <w:p w14:paraId="3EBEDB13" w14:textId="77777777" w:rsidR="00383886" w:rsidRPr="00383886" w:rsidRDefault="00383886" w:rsidP="00FD6B98">
            <w:pPr>
              <w:spacing w:before="20" w:after="20"/>
              <w:rPr>
                <w:rFonts w:cs="Arial"/>
                <w:sz w:val="20"/>
              </w:rPr>
            </w:pPr>
            <w:r w:rsidRPr="00383886">
              <w:rPr>
                <w:rFonts w:cs="Arial"/>
                <w:sz w:val="20"/>
              </w:rPr>
              <w:t>MPŠV</w:t>
            </w:r>
          </w:p>
        </w:tc>
        <w:tc>
          <w:tcPr>
            <w:tcW w:w="1530" w:type="dxa"/>
          </w:tcPr>
          <w:p w14:paraId="3AE745CA" w14:textId="77777777" w:rsidR="00383886" w:rsidRPr="00383886" w:rsidRDefault="00383886" w:rsidP="00FD6B98">
            <w:pPr>
              <w:spacing w:before="20" w:after="20"/>
              <w:rPr>
                <w:rFonts w:cs="Arial"/>
                <w:sz w:val="20"/>
              </w:rPr>
            </w:pPr>
            <w:r w:rsidRPr="00383886">
              <w:rPr>
                <w:rFonts w:cs="Arial"/>
                <w:sz w:val="20"/>
              </w:rPr>
              <w:t>I-IV Q 2022.</w:t>
            </w:r>
          </w:p>
        </w:tc>
        <w:tc>
          <w:tcPr>
            <w:tcW w:w="1800" w:type="dxa"/>
          </w:tcPr>
          <w:p w14:paraId="556D20B6" w14:textId="77777777" w:rsidR="00383886" w:rsidRPr="00383886" w:rsidRDefault="00383886" w:rsidP="00FD6B98">
            <w:pPr>
              <w:spacing w:before="20" w:after="20"/>
              <w:rPr>
                <w:rFonts w:cs="Arial"/>
                <w:sz w:val="20"/>
              </w:rPr>
            </w:pPr>
            <w:r w:rsidRPr="00383886">
              <w:rPr>
                <w:rFonts w:cs="Arial"/>
                <w:sz w:val="20"/>
              </w:rPr>
              <w:t>Za utvrđivanje procjene uticaja propisa će biti urađena RIA.</w:t>
            </w:r>
          </w:p>
        </w:tc>
        <w:tc>
          <w:tcPr>
            <w:tcW w:w="1710" w:type="dxa"/>
          </w:tcPr>
          <w:p w14:paraId="568CC726" w14:textId="77777777" w:rsidR="00383886" w:rsidRPr="00383886" w:rsidRDefault="00383886" w:rsidP="00FD6B98">
            <w:pPr>
              <w:spacing w:before="20" w:after="20"/>
              <w:rPr>
                <w:rFonts w:cs="Arial"/>
                <w:sz w:val="20"/>
              </w:rPr>
            </w:pPr>
            <w:r w:rsidRPr="00383886">
              <w:rPr>
                <w:rFonts w:cs="Arial"/>
                <w:sz w:val="20"/>
              </w:rPr>
              <w:t>Budžet/međunarodni projekti</w:t>
            </w:r>
          </w:p>
        </w:tc>
        <w:tc>
          <w:tcPr>
            <w:tcW w:w="2520" w:type="dxa"/>
          </w:tcPr>
          <w:p w14:paraId="71C0DF42" w14:textId="77777777" w:rsidR="00383886" w:rsidRPr="00383886" w:rsidRDefault="00383886" w:rsidP="00FD6B98">
            <w:pPr>
              <w:spacing w:before="20" w:after="20"/>
              <w:rPr>
                <w:rFonts w:cs="Arial"/>
                <w:sz w:val="20"/>
              </w:rPr>
            </w:pPr>
            <w:r w:rsidRPr="00383886">
              <w:rPr>
                <w:rFonts w:cs="Arial"/>
                <w:sz w:val="20"/>
              </w:rPr>
              <w:t>Donošenjem novog zakona o morskom ribarstvu i marikulturi uskladiće se nacionalno zakonodavstvo sa postojećim i novim propisima EU koji se odnose na ovu oblast.</w:t>
            </w:r>
          </w:p>
        </w:tc>
      </w:tr>
      <w:tr w:rsidR="00383886" w:rsidRPr="00383886" w14:paraId="115CA2EA" w14:textId="77777777" w:rsidTr="00FD6B98">
        <w:tc>
          <w:tcPr>
            <w:tcW w:w="2945" w:type="dxa"/>
            <w:gridSpan w:val="2"/>
          </w:tcPr>
          <w:p w14:paraId="6C7176EC" w14:textId="77777777" w:rsidR="00383886" w:rsidRPr="00383886" w:rsidRDefault="00383886" w:rsidP="00FD6B98">
            <w:pPr>
              <w:spacing w:before="20" w:after="20"/>
              <w:rPr>
                <w:rFonts w:cs="Arial"/>
                <w:sz w:val="20"/>
              </w:rPr>
            </w:pPr>
            <w:r w:rsidRPr="00383886">
              <w:rPr>
                <w:rFonts w:cs="Arial"/>
                <w:sz w:val="20"/>
              </w:rPr>
              <w:t xml:space="preserve">8. Izmjene i dopune Zakona o poljoprivredi i ruralnom razvoju </w:t>
            </w:r>
          </w:p>
        </w:tc>
        <w:tc>
          <w:tcPr>
            <w:tcW w:w="2562" w:type="dxa"/>
          </w:tcPr>
          <w:p w14:paraId="57EC3C03" w14:textId="77777777" w:rsidR="00383886" w:rsidRPr="00383886" w:rsidRDefault="00383886" w:rsidP="00FD6B98">
            <w:pPr>
              <w:spacing w:before="20" w:after="20"/>
              <w:rPr>
                <w:rFonts w:cs="Arial"/>
                <w:sz w:val="20"/>
              </w:rPr>
            </w:pPr>
            <w:r w:rsidRPr="00383886">
              <w:rPr>
                <w:rFonts w:cs="Arial"/>
                <w:sz w:val="20"/>
              </w:rPr>
              <w:t>Donešene Izmjene i dopune Zakona o poljoprivredi i ruralnom razvoju</w:t>
            </w:r>
          </w:p>
        </w:tc>
        <w:tc>
          <w:tcPr>
            <w:tcW w:w="1693" w:type="dxa"/>
          </w:tcPr>
          <w:p w14:paraId="1CC717BC" w14:textId="77777777" w:rsidR="00383886" w:rsidRPr="00383886" w:rsidRDefault="00383886" w:rsidP="00FD6B98">
            <w:pPr>
              <w:spacing w:before="20" w:after="20"/>
              <w:rPr>
                <w:rFonts w:cs="Arial"/>
                <w:sz w:val="20"/>
              </w:rPr>
            </w:pPr>
            <w:r w:rsidRPr="00383886">
              <w:rPr>
                <w:rFonts w:cs="Arial"/>
                <w:sz w:val="20"/>
              </w:rPr>
              <w:t>MPŠV</w:t>
            </w:r>
          </w:p>
        </w:tc>
        <w:tc>
          <w:tcPr>
            <w:tcW w:w="1530" w:type="dxa"/>
          </w:tcPr>
          <w:p w14:paraId="1CE63634" w14:textId="77777777" w:rsidR="00383886" w:rsidRPr="00383886" w:rsidRDefault="00383886" w:rsidP="00FD6B98">
            <w:pPr>
              <w:spacing w:before="20" w:after="20"/>
              <w:rPr>
                <w:rFonts w:cs="Arial"/>
                <w:sz w:val="20"/>
              </w:rPr>
            </w:pPr>
            <w:r w:rsidRPr="00383886">
              <w:rPr>
                <w:rFonts w:cs="Arial"/>
                <w:sz w:val="20"/>
              </w:rPr>
              <w:t>II Q 2022.</w:t>
            </w:r>
          </w:p>
        </w:tc>
        <w:tc>
          <w:tcPr>
            <w:tcW w:w="1800" w:type="dxa"/>
          </w:tcPr>
          <w:p w14:paraId="46BA377E" w14:textId="77777777" w:rsidR="00383886" w:rsidRPr="00383886" w:rsidRDefault="00383886" w:rsidP="00FD6B98">
            <w:pPr>
              <w:spacing w:before="20" w:after="20"/>
              <w:rPr>
                <w:rFonts w:cs="Arial"/>
                <w:sz w:val="20"/>
              </w:rPr>
            </w:pPr>
          </w:p>
        </w:tc>
        <w:tc>
          <w:tcPr>
            <w:tcW w:w="1710" w:type="dxa"/>
          </w:tcPr>
          <w:p w14:paraId="70EFA500" w14:textId="77777777" w:rsidR="00383886" w:rsidRPr="00383886" w:rsidRDefault="00383886" w:rsidP="00FD6B98">
            <w:pPr>
              <w:spacing w:before="20" w:after="20"/>
              <w:rPr>
                <w:rFonts w:cs="Arial"/>
                <w:sz w:val="20"/>
              </w:rPr>
            </w:pPr>
            <w:r w:rsidRPr="00383886">
              <w:rPr>
                <w:rFonts w:cs="Arial"/>
                <w:sz w:val="20"/>
              </w:rPr>
              <w:t>Budžet</w:t>
            </w:r>
          </w:p>
        </w:tc>
        <w:tc>
          <w:tcPr>
            <w:tcW w:w="2520" w:type="dxa"/>
          </w:tcPr>
          <w:p w14:paraId="3499F519" w14:textId="77777777" w:rsidR="00383886" w:rsidRPr="00383886" w:rsidRDefault="00383886" w:rsidP="00FD6B98">
            <w:pPr>
              <w:spacing w:before="20" w:after="20"/>
              <w:rPr>
                <w:rFonts w:cs="Arial"/>
                <w:sz w:val="20"/>
              </w:rPr>
            </w:pPr>
            <w:r w:rsidRPr="00383886">
              <w:rPr>
                <w:rFonts w:cs="Arial"/>
                <w:sz w:val="20"/>
              </w:rPr>
              <w:t>Stvaranje osnova za usklađevinja sa EU propisima u cilju ispunjenja završnog mjerila za PP 11</w:t>
            </w:r>
          </w:p>
        </w:tc>
      </w:tr>
      <w:tr w:rsidR="00383886" w:rsidRPr="00383886" w14:paraId="42E90303" w14:textId="77777777" w:rsidTr="00FD6B98">
        <w:tc>
          <w:tcPr>
            <w:tcW w:w="2945" w:type="dxa"/>
            <w:gridSpan w:val="2"/>
          </w:tcPr>
          <w:p w14:paraId="29E2B4E4" w14:textId="77777777" w:rsidR="00383886" w:rsidRPr="00383886" w:rsidRDefault="00383886" w:rsidP="00FD6B98">
            <w:pPr>
              <w:spacing w:before="20" w:after="20"/>
              <w:rPr>
                <w:rFonts w:cs="Arial"/>
                <w:sz w:val="20"/>
              </w:rPr>
            </w:pPr>
            <w:r w:rsidRPr="00383886">
              <w:rPr>
                <w:rFonts w:cs="Arial"/>
                <w:sz w:val="20"/>
              </w:rPr>
              <w:t>9. Donošenje Polugodišnjih izvještaja o praćenju</w:t>
            </w:r>
          </w:p>
          <w:p w14:paraId="7942460C" w14:textId="77777777" w:rsidR="00383886" w:rsidRPr="00383886" w:rsidRDefault="00383886" w:rsidP="00FD6B98">
            <w:pPr>
              <w:spacing w:before="20" w:after="20"/>
              <w:rPr>
                <w:rFonts w:cs="Arial"/>
                <w:sz w:val="20"/>
              </w:rPr>
            </w:pPr>
            <w:r w:rsidRPr="00383886">
              <w:rPr>
                <w:rFonts w:cs="Arial"/>
                <w:sz w:val="20"/>
              </w:rPr>
              <w:t>realizacije PRP u oblasti</w:t>
            </w:r>
          </w:p>
          <w:p w14:paraId="7E86358A" w14:textId="77777777" w:rsidR="00383886" w:rsidRPr="00383886" w:rsidRDefault="00383886" w:rsidP="00FD6B98">
            <w:pPr>
              <w:spacing w:before="20" w:after="20"/>
              <w:rPr>
                <w:rFonts w:cs="Arial"/>
                <w:sz w:val="20"/>
              </w:rPr>
            </w:pPr>
            <w:r w:rsidRPr="00383886">
              <w:rPr>
                <w:rFonts w:cs="Arial"/>
                <w:sz w:val="20"/>
              </w:rPr>
              <w:t>poljoprivrede</w:t>
            </w:r>
          </w:p>
        </w:tc>
        <w:tc>
          <w:tcPr>
            <w:tcW w:w="2562" w:type="dxa"/>
          </w:tcPr>
          <w:p w14:paraId="7DC0E0A5" w14:textId="77777777" w:rsidR="00383886" w:rsidRPr="00383886" w:rsidRDefault="00383886" w:rsidP="00FD6B98">
            <w:pPr>
              <w:spacing w:before="20" w:after="20"/>
              <w:rPr>
                <w:rFonts w:cs="Arial"/>
                <w:sz w:val="20"/>
              </w:rPr>
            </w:pPr>
            <w:r w:rsidRPr="00383886">
              <w:rPr>
                <w:rFonts w:cs="Arial"/>
                <w:sz w:val="20"/>
              </w:rPr>
              <w:t>Donijeti Polugodišnji izvještaji o praćenju</w:t>
            </w:r>
          </w:p>
          <w:p w14:paraId="6B772156" w14:textId="77777777" w:rsidR="00383886" w:rsidRPr="00383886" w:rsidRDefault="00383886" w:rsidP="00FD6B98">
            <w:pPr>
              <w:spacing w:before="20" w:after="20"/>
              <w:rPr>
                <w:rFonts w:cs="Arial"/>
                <w:sz w:val="20"/>
              </w:rPr>
            </w:pPr>
            <w:r w:rsidRPr="00383886">
              <w:rPr>
                <w:rFonts w:cs="Arial"/>
                <w:sz w:val="20"/>
              </w:rPr>
              <w:t>realizacije PRP u oblasti</w:t>
            </w:r>
          </w:p>
          <w:p w14:paraId="5446C2C6" w14:textId="77777777" w:rsidR="00383886" w:rsidRPr="00383886" w:rsidRDefault="00383886" w:rsidP="00FD6B98">
            <w:pPr>
              <w:spacing w:before="20" w:after="20"/>
              <w:rPr>
                <w:rFonts w:cs="Arial"/>
                <w:sz w:val="20"/>
              </w:rPr>
            </w:pPr>
            <w:r w:rsidRPr="00383886">
              <w:rPr>
                <w:rFonts w:cs="Arial"/>
                <w:sz w:val="20"/>
              </w:rPr>
              <w:t>poljoprivrede</w:t>
            </w:r>
          </w:p>
        </w:tc>
        <w:tc>
          <w:tcPr>
            <w:tcW w:w="1693" w:type="dxa"/>
          </w:tcPr>
          <w:p w14:paraId="39AAFA60" w14:textId="77777777" w:rsidR="00383886" w:rsidRPr="00383886" w:rsidRDefault="00383886" w:rsidP="00FD6B98">
            <w:pPr>
              <w:spacing w:before="20" w:after="20"/>
              <w:rPr>
                <w:rFonts w:cs="Arial"/>
                <w:sz w:val="20"/>
              </w:rPr>
            </w:pPr>
            <w:r w:rsidRPr="00383886">
              <w:rPr>
                <w:rFonts w:cs="Arial"/>
                <w:sz w:val="20"/>
              </w:rPr>
              <w:t>MPŠV</w:t>
            </w:r>
          </w:p>
        </w:tc>
        <w:tc>
          <w:tcPr>
            <w:tcW w:w="1530" w:type="dxa"/>
          </w:tcPr>
          <w:p w14:paraId="6F54038C" w14:textId="77777777" w:rsidR="00383886" w:rsidRPr="00383886" w:rsidRDefault="00383886" w:rsidP="00FD6B98">
            <w:pPr>
              <w:spacing w:before="20" w:after="20"/>
              <w:rPr>
                <w:rFonts w:cs="Arial"/>
                <w:sz w:val="20"/>
              </w:rPr>
            </w:pPr>
            <w:r w:rsidRPr="00383886">
              <w:rPr>
                <w:rFonts w:cs="Arial"/>
                <w:sz w:val="20"/>
              </w:rPr>
              <w:t>I i IV Q 2022</w:t>
            </w:r>
          </w:p>
        </w:tc>
        <w:tc>
          <w:tcPr>
            <w:tcW w:w="1800" w:type="dxa"/>
          </w:tcPr>
          <w:p w14:paraId="0519076D" w14:textId="77777777" w:rsidR="00383886" w:rsidRPr="00383886" w:rsidRDefault="00383886" w:rsidP="00FD6B98">
            <w:pPr>
              <w:spacing w:before="20" w:after="20"/>
              <w:jc w:val="center"/>
              <w:rPr>
                <w:rFonts w:cs="Arial"/>
                <w:sz w:val="20"/>
              </w:rPr>
            </w:pPr>
          </w:p>
        </w:tc>
        <w:tc>
          <w:tcPr>
            <w:tcW w:w="1710" w:type="dxa"/>
          </w:tcPr>
          <w:p w14:paraId="2C3E93ED" w14:textId="77777777" w:rsidR="00383886" w:rsidRPr="00383886" w:rsidRDefault="00383886" w:rsidP="00FD6B98">
            <w:pPr>
              <w:spacing w:before="20" w:after="20"/>
              <w:rPr>
                <w:rFonts w:cs="Arial"/>
                <w:sz w:val="20"/>
              </w:rPr>
            </w:pPr>
            <w:r w:rsidRPr="00383886">
              <w:rPr>
                <w:rFonts w:cs="Arial"/>
                <w:sz w:val="20"/>
              </w:rPr>
              <w:t>Budžet CG</w:t>
            </w:r>
          </w:p>
        </w:tc>
        <w:tc>
          <w:tcPr>
            <w:tcW w:w="2520" w:type="dxa"/>
          </w:tcPr>
          <w:p w14:paraId="77BDAED4" w14:textId="77777777" w:rsidR="00383886" w:rsidRPr="00383886" w:rsidRDefault="00383886" w:rsidP="00FD6B98">
            <w:pPr>
              <w:spacing w:before="20" w:after="20"/>
              <w:rPr>
                <w:rFonts w:cs="Arial"/>
                <w:sz w:val="20"/>
              </w:rPr>
            </w:pPr>
            <w:r w:rsidRPr="00383886">
              <w:rPr>
                <w:rFonts w:cs="Arial"/>
                <w:sz w:val="20"/>
              </w:rPr>
              <w:t>Vlada Crne Gore ima obavezu da prati realizaciju prioritetnih projekata koji se realizuju u resornim ministarstvima kroz usvajanje polugodišnjih izvještaja koje kandiduju ministarstva.</w:t>
            </w:r>
          </w:p>
        </w:tc>
      </w:tr>
    </w:tbl>
    <w:p w14:paraId="002557A5" w14:textId="77777777" w:rsidR="00EA56E8" w:rsidRDefault="00EA56E8">
      <w:pPr>
        <w:rPr>
          <w:rFonts w:cs="Arial"/>
          <w:sz w:val="20"/>
          <w:szCs w:val="20"/>
        </w:rPr>
      </w:pPr>
      <w:r>
        <w:rPr>
          <w:rFonts w:cs="Arial"/>
          <w:sz w:val="20"/>
          <w:szCs w:val="20"/>
        </w:rPr>
        <w:br w:type="page"/>
      </w:r>
    </w:p>
    <w:tbl>
      <w:tblPr>
        <w:tblW w:w="1488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3"/>
        <w:gridCol w:w="11"/>
        <w:gridCol w:w="16"/>
        <w:gridCol w:w="2003"/>
        <w:gridCol w:w="60"/>
        <w:gridCol w:w="158"/>
        <w:gridCol w:w="57"/>
        <w:gridCol w:w="2082"/>
        <w:gridCol w:w="156"/>
        <w:gridCol w:w="367"/>
        <w:gridCol w:w="18"/>
        <w:gridCol w:w="224"/>
        <w:gridCol w:w="33"/>
        <w:gridCol w:w="244"/>
        <w:gridCol w:w="13"/>
        <w:gridCol w:w="1185"/>
        <w:gridCol w:w="96"/>
        <w:gridCol w:w="12"/>
        <w:gridCol w:w="1579"/>
        <w:gridCol w:w="31"/>
        <w:gridCol w:w="1917"/>
        <w:gridCol w:w="93"/>
        <w:gridCol w:w="72"/>
        <w:gridCol w:w="66"/>
        <w:gridCol w:w="675"/>
        <w:gridCol w:w="32"/>
        <w:gridCol w:w="603"/>
        <w:gridCol w:w="32"/>
        <w:gridCol w:w="77"/>
        <w:gridCol w:w="47"/>
        <w:gridCol w:w="2228"/>
      </w:tblGrid>
      <w:tr w:rsidR="00B80AA5" w:rsidRPr="00B7090C" w14:paraId="51ED94A8" w14:textId="77777777" w:rsidTr="00EA56E8">
        <w:trPr>
          <w:trHeight w:val="440"/>
        </w:trPr>
        <w:tc>
          <w:tcPr>
            <w:tcW w:w="3004" w:type="dxa"/>
            <w:gridSpan w:val="8"/>
            <w:shd w:val="clear" w:color="auto" w:fill="D9E2F3"/>
          </w:tcPr>
          <w:p w14:paraId="33A00858" w14:textId="77777777" w:rsidR="00B80AA5" w:rsidRPr="00B7090C" w:rsidRDefault="00B80AA5" w:rsidP="00FD6B98">
            <w:pPr>
              <w:spacing w:before="40" w:after="40" w:line="240" w:lineRule="auto"/>
              <w:jc w:val="center"/>
              <w:rPr>
                <w:rFonts w:ascii="Arial Narrow" w:hAnsi="Arial Narrow" w:cs="Calibri"/>
                <w:b/>
                <w:sz w:val="24"/>
                <w:szCs w:val="24"/>
              </w:rPr>
            </w:pPr>
            <w:r w:rsidRPr="00B7090C">
              <w:rPr>
                <w:rFonts w:ascii="Arial Narrow" w:hAnsi="Arial Narrow" w:cs="Calibri"/>
                <w:b/>
                <w:sz w:val="24"/>
                <w:szCs w:val="24"/>
              </w:rPr>
              <w:lastRenderedPageBreak/>
              <w:t>PRIORITET 3</w:t>
            </w:r>
          </w:p>
        </w:tc>
        <w:tc>
          <w:tcPr>
            <w:tcW w:w="11882" w:type="dxa"/>
            <w:gridSpan w:val="24"/>
            <w:shd w:val="clear" w:color="auto" w:fill="D9E2F3"/>
          </w:tcPr>
          <w:p w14:paraId="1D6CE2AD" w14:textId="77777777" w:rsidR="00B80AA5" w:rsidRPr="00B7090C" w:rsidRDefault="00B80AA5" w:rsidP="00FD6B98">
            <w:pPr>
              <w:spacing w:after="0" w:line="240" w:lineRule="auto"/>
              <w:rPr>
                <w:rFonts w:ascii="Arial Narrow" w:hAnsi="Arial Narrow"/>
                <w:b/>
                <w:sz w:val="24"/>
                <w:szCs w:val="24"/>
              </w:rPr>
            </w:pPr>
            <w:r w:rsidRPr="00B7090C">
              <w:rPr>
                <w:rFonts w:ascii="Arial Narrow" w:hAnsi="Arial Narrow"/>
                <w:b/>
                <w:sz w:val="24"/>
                <w:szCs w:val="24"/>
              </w:rPr>
              <w:t xml:space="preserve">ZDRAVLJE I ZDRAVA </w:t>
            </w:r>
            <w:r w:rsidR="00591FB8">
              <w:rPr>
                <w:rFonts w:ascii="Arial Narrow" w:hAnsi="Arial Narrow"/>
                <w:b/>
                <w:sz w:val="24"/>
                <w:szCs w:val="24"/>
              </w:rPr>
              <w:t>ŽIVOTNA SREDINA</w:t>
            </w:r>
          </w:p>
          <w:p w14:paraId="7540CC61" w14:textId="77777777" w:rsidR="00B80AA5" w:rsidRPr="00B7090C" w:rsidRDefault="00B80AA5" w:rsidP="00FD6B98">
            <w:pPr>
              <w:spacing w:before="40" w:after="40" w:line="240" w:lineRule="auto"/>
              <w:jc w:val="both"/>
              <w:rPr>
                <w:rFonts w:ascii="Arial Narrow" w:hAnsi="Arial Narrow" w:cs="Calibri"/>
                <w:b/>
                <w:i/>
                <w:sz w:val="24"/>
                <w:szCs w:val="24"/>
              </w:rPr>
            </w:pPr>
          </w:p>
        </w:tc>
      </w:tr>
      <w:tr w:rsidR="00B80AA5" w:rsidRPr="00B7090C" w14:paraId="58672096" w14:textId="77777777" w:rsidTr="00591FB8">
        <w:trPr>
          <w:trHeight w:val="431"/>
        </w:trPr>
        <w:tc>
          <w:tcPr>
            <w:tcW w:w="3004" w:type="dxa"/>
            <w:gridSpan w:val="8"/>
            <w:shd w:val="clear" w:color="auto" w:fill="D9E2F3"/>
          </w:tcPr>
          <w:p w14:paraId="226CCEC5" w14:textId="77777777" w:rsidR="00B80AA5" w:rsidRPr="00B7090C" w:rsidRDefault="00B80AA5" w:rsidP="00FD6B98">
            <w:pPr>
              <w:spacing w:before="40" w:after="40" w:line="240" w:lineRule="auto"/>
              <w:jc w:val="center"/>
              <w:rPr>
                <w:rFonts w:ascii="Arial Narrow" w:hAnsi="Arial Narrow" w:cs="Calibri"/>
                <w:b/>
                <w:sz w:val="20"/>
                <w:szCs w:val="20"/>
              </w:rPr>
            </w:pPr>
            <w:r>
              <w:rPr>
                <w:rFonts w:ascii="Arial Narrow" w:hAnsi="Arial Narrow" w:cs="Calibri"/>
                <w:b/>
                <w:sz w:val="20"/>
                <w:szCs w:val="20"/>
              </w:rPr>
              <w:t>Cilj 3.1.</w:t>
            </w:r>
          </w:p>
          <w:p w14:paraId="434517F5" w14:textId="77777777" w:rsidR="00B80AA5" w:rsidRPr="00B7090C" w:rsidRDefault="00B80AA5" w:rsidP="00FD6B98">
            <w:pPr>
              <w:spacing w:before="40" w:after="40" w:line="240" w:lineRule="auto"/>
              <w:jc w:val="right"/>
              <w:rPr>
                <w:rFonts w:ascii="Arial Narrow" w:hAnsi="Arial Narrow" w:cs="Calibri"/>
                <w:b/>
                <w:sz w:val="20"/>
                <w:szCs w:val="20"/>
              </w:rPr>
            </w:pPr>
          </w:p>
        </w:tc>
        <w:tc>
          <w:tcPr>
            <w:tcW w:w="11882" w:type="dxa"/>
            <w:gridSpan w:val="24"/>
            <w:shd w:val="clear" w:color="auto" w:fill="D9E2F3"/>
          </w:tcPr>
          <w:p w14:paraId="4CB4FB47" w14:textId="77777777" w:rsidR="00B80AA5" w:rsidRPr="00B7090C" w:rsidRDefault="00B80AA5" w:rsidP="00FD6B98">
            <w:pPr>
              <w:spacing w:before="40" w:after="40" w:line="240" w:lineRule="auto"/>
              <w:jc w:val="both"/>
              <w:rPr>
                <w:rFonts w:ascii="Arial Narrow" w:hAnsi="Arial Narrow" w:cs="Calibri"/>
                <w:b/>
                <w:sz w:val="20"/>
                <w:szCs w:val="20"/>
              </w:rPr>
            </w:pPr>
            <w:r w:rsidRPr="00B7090C">
              <w:rPr>
                <w:rFonts w:ascii="Arial Narrow" w:hAnsi="Arial Narrow" w:cs="Calibri"/>
                <w:b/>
                <w:sz w:val="20"/>
                <w:szCs w:val="20"/>
              </w:rPr>
              <w:t xml:space="preserve">Obezbijediti kontinuitet u pruzanju zdravstvenih usluga i jednaku dostupnost svim pacijenatima </w:t>
            </w:r>
          </w:p>
          <w:p w14:paraId="5618B480" w14:textId="77777777" w:rsidR="00B80AA5" w:rsidRPr="00B7090C" w:rsidRDefault="00B80AA5" w:rsidP="00FD6B98">
            <w:pPr>
              <w:spacing w:before="40" w:after="40" w:line="240" w:lineRule="auto"/>
              <w:jc w:val="both"/>
              <w:rPr>
                <w:rFonts w:ascii="Arial Narrow" w:hAnsi="Arial Narrow" w:cs="Calibri"/>
                <w:b/>
                <w:sz w:val="20"/>
                <w:szCs w:val="20"/>
              </w:rPr>
            </w:pPr>
          </w:p>
          <w:p w14:paraId="0CD166F3" w14:textId="77777777" w:rsidR="00B80AA5" w:rsidRPr="00B7090C" w:rsidRDefault="00B80AA5" w:rsidP="00FD6B98">
            <w:pPr>
              <w:spacing w:before="40" w:after="40" w:line="240" w:lineRule="auto"/>
              <w:jc w:val="both"/>
              <w:rPr>
                <w:rFonts w:ascii="Arial Narrow" w:hAnsi="Arial Narrow" w:cs="Calibri"/>
                <w:b/>
                <w:sz w:val="20"/>
                <w:szCs w:val="20"/>
              </w:rPr>
            </w:pPr>
          </w:p>
        </w:tc>
      </w:tr>
      <w:tr w:rsidR="00B80AA5" w:rsidRPr="00B7090C" w14:paraId="05A44715" w14:textId="77777777" w:rsidTr="00EA56E8">
        <w:tc>
          <w:tcPr>
            <w:tcW w:w="3004" w:type="dxa"/>
            <w:gridSpan w:val="8"/>
            <w:shd w:val="clear" w:color="auto" w:fill="DAF2F6"/>
          </w:tcPr>
          <w:p w14:paraId="075A100F"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Indikator učinka</w:t>
            </w:r>
            <w:r w:rsidRPr="00B7090C">
              <w:rPr>
                <w:rStyle w:val="FootnoteReference"/>
                <w:rFonts w:ascii="Arial Narrow" w:hAnsi="Arial Narrow" w:cs="Calibri"/>
                <w:b/>
                <w:sz w:val="20"/>
                <w:szCs w:val="20"/>
              </w:rPr>
              <w:footnoteReference w:id="22"/>
            </w:r>
          </w:p>
        </w:tc>
        <w:tc>
          <w:tcPr>
            <w:tcW w:w="3137" w:type="dxa"/>
            <w:gridSpan w:val="8"/>
            <w:shd w:val="clear" w:color="auto" w:fill="DAF2F6"/>
          </w:tcPr>
          <w:p w14:paraId="2526C2B4"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Polazna vrijednost – 2021.g</w:t>
            </w:r>
          </w:p>
        </w:tc>
        <w:tc>
          <w:tcPr>
            <w:tcW w:w="2903" w:type="dxa"/>
            <w:gridSpan w:val="5"/>
            <w:shd w:val="clear" w:color="auto" w:fill="DAF2F6"/>
            <w:vAlign w:val="center"/>
          </w:tcPr>
          <w:p w14:paraId="5B083028"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Prelazna vrijednost – 2022.g</w:t>
            </w:r>
          </w:p>
        </w:tc>
        <w:tc>
          <w:tcPr>
            <w:tcW w:w="2855" w:type="dxa"/>
            <w:gridSpan w:val="6"/>
            <w:tcBorders>
              <w:bottom w:val="single" w:sz="4" w:space="0" w:color="FFFFFF"/>
            </w:tcBorders>
            <w:shd w:val="clear" w:color="auto" w:fill="DAF2F6"/>
            <w:vAlign w:val="center"/>
          </w:tcPr>
          <w:p w14:paraId="642C5448"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Prelazna vrijednost – 2023.g</w:t>
            </w:r>
          </w:p>
        </w:tc>
        <w:tc>
          <w:tcPr>
            <w:tcW w:w="2987" w:type="dxa"/>
            <w:gridSpan w:val="5"/>
            <w:tcBorders>
              <w:bottom w:val="single" w:sz="4" w:space="0" w:color="FFFFFF"/>
            </w:tcBorders>
            <w:shd w:val="clear" w:color="auto" w:fill="DAF2F6"/>
            <w:vAlign w:val="center"/>
          </w:tcPr>
          <w:p w14:paraId="13AA41A0"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Ciljna vrijednost - 2024.g</w:t>
            </w:r>
          </w:p>
        </w:tc>
      </w:tr>
      <w:tr w:rsidR="00B80AA5" w:rsidRPr="00B7090C" w14:paraId="35E1B980" w14:textId="77777777" w:rsidTr="00EA56E8">
        <w:trPr>
          <w:trHeight w:val="962"/>
        </w:trPr>
        <w:tc>
          <w:tcPr>
            <w:tcW w:w="3004" w:type="dxa"/>
            <w:gridSpan w:val="8"/>
            <w:shd w:val="clear" w:color="auto" w:fill="DAF2F6"/>
          </w:tcPr>
          <w:p w14:paraId="0A47ADB3" w14:textId="77777777" w:rsidR="00B80AA5" w:rsidRPr="00B7090C" w:rsidRDefault="00B80AA5" w:rsidP="00FD6B98">
            <w:pPr>
              <w:spacing w:before="40" w:after="40" w:line="240" w:lineRule="auto"/>
              <w:rPr>
                <w:rFonts w:ascii="Arial Narrow" w:hAnsi="Arial Narrow"/>
                <w:sz w:val="20"/>
                <w:szCs w:val="20"/>
              </w:rPr>
            </w:pPr>
          </w:p>
          <w:p w14:paraId="7ADF60EC" w14:textId="77777777" w:rsidR="00B80AA5" w:rsidRPr="00B7090C" w:rsidRDefault="00B80AA5" w:rsidP="00FD6B98">
            <w:pPr>
              <w:spacing w:before="40" w:after="40" w:line="240" w:lineRule="auto"/>
              <w:rPr>
                <w:rFonts w:ascii="Arial Narrow" w:hAnsi="Arial Narrow"/>
                <w:sz w:val="20"/>
                <w:szCs w:val="20"/>
              </w:rPr>
            </w:pPr>
            <w:r w:rsidRPr="00B7090C">
              <w:rPr>
                <w:rFonts w:ascii="Arial Narrow" w:hAnsi="Arial Narrow"/>
                <w:sz w:val="20"/>
                <w:szCs w:val="20"/>
              </w:rPr>
              <w:t>Broj prigovora pacijenata na pružanje zdravstvenih usluga</w:t>
            </w:r>
          </w:p>
        </w:tc>
        <w:tc>
          <w:tcPr>
            <w:tcW w:w="3137" w:type="dxa"/>
            <w:gridSpan w:val="8"/>
            <w:shd w:val="clear" w:color="auto" w:fill="DAF2F6"/>
          </w:tcPr>
          <w:p w14:paraId="66964713" w14:textId="77777777" w:rsidR="00B80AA5" w:rsidRPr="00B7090C" w:rsidRDefault="00B80AA5" w:rsidP="00FD6B98">
            <w:pPr>
              <w:spacing w:before="40" w:after="40" w:line="240" w:lineRule="auto"/>
              <w:jc w:val="center"/>
              <w:rPr>
                <w:rFonts w:ascii="Arial Narrow" w:hAnsi="Arial Narrow" w:cs="Calibri"/>
                <w:sz w:val="20"/>
                <w:szCs w:val="20"/>
              </w:rPr>
            </w:pPr>
          </w:p>
          <w:p w14:paraId="2E31A228"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2124 (podatak iz 2020)</w:t>
            </w:r>
          </w:p>
        </w:tc>
        <w:tc>
          <w:tcPr>
            <w:tcW w:w="2903" w:type="dxa"/>
            <w:gridSpan w:val="5"/>
            <w:shd w:val="clear" w:color="auto" w:fill="DAF2F6"/>
          </w:tcPr>
          <w:p w14:paraId="4126B4D8" w14:textId="77777777" w:rsidR="00B80AA5" w:rsidRPr="00B7090C" w:rsidRDefault="00B80AA5" w:rsidP="00FD6B98">
            <w:pPr>
              <w:spacing w:before="40" w:after="40" w:line="240" w:lineRule="auto"/>
              <w:jc w:val="center"/>
              <w:rPr>
                <w:rFonts w:ascii="Arial Narrow" w:hAnsi="Arial Narrow" w:cs="Calibri"/>
                <w:color w:val="FF0000"/>
                <w:sz w:val="20"/>
                <w:szCs w:val="20"/>
              </w:rPr>
            </w:pPr>
          </w:p>
          <w:p w14:paraId="04F493EB"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2018</w:t>
            </w:r>
          </w:p>
          <w:p w14:paraId="35DB62DB" w14:textId="77777777" w:rsidR="00B80AA5" w:rsidRPr="00B7090C" w:rsidRDefault="00B80AA5" w:rsidP="00FD6B98">
            <w:pPr>
              <w:spacing w:before="40" w:after="40" w:line="240" w:lineRule="auto"/>
              <w:jc w:val="center"/>
              <w:rPr>
                <w:rFonts w:ascii="Arial Narrow" w:hAnsi="Arial Narrow" w:cs="Calibri"/>
                <w:color w:val="FF0000"/>
                <w:sz w:val="20"/>
                <w:szCs w:val="20"/>
              </w:rPr>
            </w:pPr>
          </w:p>
        </w:tc>
        <w:tc>
          <w:tcPr>
            <w:tcW w:w="2855" w:type="dxa"/>
            <w:gridSpan w:val="6"/>
            <w:shd w:val="clear" w:color="auto" w:fill="DAF2F6"/>
          </w:tcPr>
          <w:p w14:paraId="3C6C4626" w14:textId="77777777" w:rsidR="00B80AA5" w:rsidRPr="00B7090C" w:rsidRDefault="00B80AA5" w:rsidP="00FD6B98">
            <w:pPr>
              <w:spacing w:before="40" w:after="40" w:line="240" w:lineRule="auto"/>
              <w:jc w:val="center"/>
              <w:rPr>
                <w:rFonts w:ascii="Arial Narrow" w:hAnsi="Arial Narrow" w:cs="Calibri"/>
                <w:color w:val="FF0000"/>
                <w:sz w:val="20"/>
                <w:szCs w:val="20"/>
              </w:rPr>
            </w:pPr>
          </w:p>
          <w:p w14:paraId="20CBEA6F"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1912</w:t>
            </w:r>
          </w:p>
          <w:p w14:paraId="49ED7ADE" w14:textId="77777777" w:rsidR="00B80AA5" w:rsidRPr="00B7090C" w:rsidRDefault="00B80AA5" w:rsidP="00FD6B98">
            <w:pPr>
              <w:spacing w:before="40" w:after="40" w:line="240" w:lineRule="auto"/>
              <w:jc w:val="center"/>
              <w:rPr>
                <w:rFonts w:ascii="Arial Narrow" w:hAnsi="Arial Narrow" w:cs="Calibri"/>
                <w:color w:val="FF0000"/>
                <w:sz w:val="20"/>
                <w:szCs w:val="20"/>
              </w:rPr>
            </w:pPr>
          </w:p>
        </w:tc>
        <w:tc>
          <w:tcPr>
            <w:tcW w:w="2987" w:type="dxa"/>
            <w:gridSpan w:val="5"/>
            <w:shd w:val="clear" w:color="auto" w:fill="DAF2F6"/>
          </w:tcPr>
          <w:p w14:paraId="368F689F" w14:textId="77777777" w:rsidR="00B80AA5" w:rsidRPr="00B7090C" w:rsidRDefault="00B80AA5" w:rsidP="00FD6B98">
            <w:pPr>
              <w:spacing w:before="40" w:after="40" w:line="240" w:lineRule="auto"/>
              <w:jc w:val="center"/>
              <w:rPr>
                <w:rFonts w:ascii="Arial Narrow" w:hAnsi="Arial Narrow" w:cs="Calibri"/>
                <w:color w:val="FF0000"/>
                <w:sz w:val="20"/>
                <w:szCs w:val="20"/>
              </w:rPr>
            </w:pPr>
          </w:p>
          <w:p w14:paraId="36AD6AA9"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1805</w:t>
            </w:r>
          </w:p>
        </w:tc>
      </w:tr>
      <w:tr w:rsidR="00B80AA5" w:rsidRPr="00B7090C" w14:paraId="0584BA45" w14:textId="77777777" w:rsidTr="00EA56E8">
        <w:trPr>
          <w:trHeight w:val="638"/>
        </w:trPr>
        <w:tc>
          <w:tcPr>
            <w:tcW w:w="3004" w:type="dxa"/>
            <w:gridSpan w:val="8"/>
            <w:shd w:val="clear" w:color="auto" w:fill="DAF2F6"/>
          </w:tcPr>
          <w:p w14:paraId="2F9630C1" w14:textId="77777777" w:rsidR="00B80AA5" w:rsidRPr="00B7090C" w:rsidRDefault="00B80AA5" w:rsidP="00FD6B98">
            <w:pPr>
              <w:spacing w:before="40" w:after="40" w:line="240" w:lineRule="auto"/>
              <w:rPr>
                <w:rFonts w:ascii="Arial Narrow" w:hAnsi="Arial Narrow" w:cs="Calibri"/>
                <w:color w:val="FF0000"/>
                <w:sz w:val="20"/>
                <w:szCs w:val="20"/>
              </w:rPr>
            </w:pPr>
            <w:r w:rsidRPr="00B7090C">
              <w:rPr>
                <w:rFonts w:ascii="Arial Narrow" w:hAnsi="Arial Narrow" w:cs="Calibri"/>
                <w:sz w:val="20"/>
                <w:szCs w:val="20"/>
              </w:rPr>
              <w:t>Broj dana čekanja na pregled u oblasti ORL, psihijatrije i dermatovenerologije</w:t>
            </w:r>
          </w:p>
        </w:tc>
        <w:tc>
          <w:tcPr>
            <w:tcW w:w="3137" w:type="dxa"/>
            <w:gridSpan w:val="8"/>
            <w:shd w:val="clear" w:color="auto" w:fill="DAF2F6"/>
          </w:tcPr>
          <w:p w14:paraId="2FD91A01"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 xml:space="preserve">45 </w:t>
            </w:r>
          </w:p>
        </w:tc>
        <w:tc>
          <w:tcPr>
            <w:tcW w:w="2903" w:type="dxa"/>
            <w:gridSpan w:val="5"/>
            <w:shd w:val="clear" w:color="auto" w:fill="DAF2F6"/>
          </w:tcPr>
          <w:p w14:paraId="36C7738D"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30</w:t>
            </w:r>
          </w:p>
        </w:tc>
        <w:tc>
          <w:tcPr>
            <w:tcW w:w="2855" w:type="dxa"/>
            <w:gridSpan w:val="6"/>
            <w:shd w:val="clear" w:color="auto" w:fill="DAF2F6"/>
          </w:tcPr>
          <w:p w14:paraId="1CA8C43D"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25</w:t>
            </w:r>
          </w:p>
        </w:tc>
        <w:tc>
          <w:tcPr>
            <w:tcW w:w="2987" w:type="dxa"/>
            <w:gridSpan w:val="5"/>
            <w:shd w:val="clear" w:color="auto" w:fill="DAF2F6"/>
          </w:tcPr>
          <w:p w14:paraId="117D0DBD" w14:textId="77777777" w:rsidR="00B80AA5" w:rsidRPr="00B7090C" w:rsidRDefault="00B80AA5" w:rsidP="00FD6B98">
            <w:pPr>
              <w:spacing w:before="40" w:after="40" w:line="240" w:lineRule="auto"/>
              <w:jc w:val="center"/>
              <w:rPr>
                <w:rFonts w:ascii="Arial Narrow" w:hAnsi="Arial Narrow" w:cs="Calibri"/>
                <w:color w:val="FF0000"/>
                <w:sz w:val="20"/>
                <w:szCs w:val="20"/>
              </w:rPr>
            </w:pPr>
            <w:r w:rsidRPr="00B7090C">
              <w:rPr>
                <w:rFonts w:ascii="Arial Narrow" w:hAnsi="Arial Narrow" w:cs="Calibri"/>
                <w:sz w:val="20"/>
                <w:szCs w:val="20"/>
              </w:rPr>
              <w:t>21</w:t>
            </w:r>
          </w:p>
        </w:tc>
      </w:tr>
      <w:tr w:rsidR="00B80AA5" w:rsidRPr="00B7090C" w14:paraId="53E77A5E" w14:textId="77777777" w:rsidTr="00EA56E8">
        <w:trPr>
          <w:trHeight w:val="638"/>
        </w:trPr>
        <w:tc>
          <w:tcPr>
            <w:tcW w:w="3004" w:type="dxa"/>
            <w:gridSpan w:val="8"/>
            <w:shd w:val="clear" w:color="auto" w:fill="DAF2F6"/>
          </w:tcPr>
          <w:p w14:paraId="4FEA9BCB" w14:textId="77777777" w:rsidR="00B80AA5" w:rsidRPr="00B7090C" w:rsidRDefault="00B80AA5" w:rsidP="00FD6B98">
            <w:pPr>
              <w:spacing w:before="40" w:after="40" w:line="240" w:lineRule="auto"/>
              <w:rPr>
                <w:rFonts w:ascii="Arial Narrow" w:hAnsi="Arial Narrow" w:cs="Calibri"/>
                <w:sz w:val="20"/>
                <w:szCs w:val="20"/>
              </w:rPr>
            </w:pPr>
            <w:r w:rsidRPr="00B7090C">
              <w:rPr>
                <w:rFonts w:ascii="Arial Narrow" w:hAnsi="Arial Narrow" w:cs="Calibri"/>
                <w:sz w:val="20"/>
                <w:szCs w:val="20"/>
              </w:rPr>
              <w:t>Brok adaptiranih mikrobioloških laboratorija</w:t>
            </w:r>
          </w:p>
        </w:tc>
        <w:tc>
          <w:tcPr>
            <w:tcW w:w="3137" w:type="dxa"/>
            <w:gridSpan w:val="8"/>
            <w:shd w:val="clear" w:color="auto" w:fill="DAF2F6"/>
          </w:tcPr>
          <w:p w14:paraId="76679375"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0</w:t>
            </w:r>
          </w:p>
        </w:tc>
        <w:tc>
          <w:tcPr>
            <w:tcW w:w="2903" w:type="dxa"/>
            <w:gridSpan w:val="5"/>
            <w:shd w:val="clear" w:color="auto" w:fill="DAF2F6"/>
          </w:tcPr>
          <w:p w14:paraId="7E90F21A"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0</w:t>
            </w:r>
          </w:p>
          <w:p w14:paraId="19A4C05D" w14:textId="77777777" w:rsidR="00B80AA5" w:rsidRPr="00B7090C" w:rsidRDefault="00B80AA5" w:rsidP="00FD6B98">
            <w:pPr>
              <w:spacing w:before="40" w:after="40" w:line="240" w:lineRule="auto"/>
              <w:jc w:val="center"/>
              <w:rPr>
                <w:rFonts w:ascii="Arial Narrow" w:hAnsi="Arial Narrow" w:cs="Calibri"/>
                <w:sz w:val="20"/>
                <w:szCs w:val="20"/>
              </w:rPr>
            </w:pPr>
          </w:p>
        </w:tc>
        <w:tc>
          <w:tcPr>
            <w:tcW w:w="2855" w:type="dxa"/>
            <w:gridSpan w:val="6"/>
            <w:shd w:val="clear" w:color="auto" w:fill="DAF2F6"/>
          </w:tcPr>
          <w:p w14:paraId="60747F6F"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0</w:t>
            </w:r>
          </w:p>
        </w:tc>
        <w:tc>
          <w:tcPr>
            <w:tcW w:w="2987" w:type="dxa"/>
            <w:gridSpan w:val="5"/>
            <w:shd w:val="clear" w:color="auto" w:fill="DAF2F6"/>
          </w:tcPr>
          <w:p w14:paraId="7049A262"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9</w:t>
            </w:r>
          </w:p>
        </w:tc>
      </w:tr>
      <w:tr w:rsidR="00B80AA5" w:rsidRPr="00B7090C" w14:paraId="7B208073" w14:textId="77777777" w:rsidTr="00EA56E8">
        <w:trPr>
          <w:trHeight w:val="638"/>
        </w:trPr>
        <w:tc>
          <w:tcPr>
            <w:tcW w:w="3004" w:type="dxa"/>
            <w:gridSpan w:val="8"/>
            <w:shd w:val="clear" w:color="auto" w:fill="DAF2F6"/>
          </w:tcPr>
          <w:p w14:paraId="724E5039" w14:textId="77777777" w:rsidR="00B80AA5" w:rsidRPr="00B7090C" w:rsidRDefault="00B80AA5" w:rsidP="00FD6B98">
            <w:pPr>
              <w:spacing w:before="40" w:after="40" w:line="240" w:lineRule="auto"/>
              <w:rPr>
                <w:rFonts w:ascii="Arial Narrow" w:hAnsi="Arial Narrow"/>
                <w:sz w:val="20"/>
                <w:szCs w:val="20"/>
              </w:rPr>
            </w:pPr>
            <w:r w:rsidRPr="00B7090C">
              <w:rPr>
                <w:rFonts w:ascii="Arial Narrow" w:hAnsi="Arial Narrow"/>
                <w:sz w:val="20"/>
                <w:szCs w:val="20"/>
              </w:rPr>
              <w:t xml:space="preserve">Broj </w:t>
            </w:r>
            <w:r w:rsidRPr="00B7090C">
              <w:rPr>
                <w:rFonts w:ascii="Arial Narrow" w:hAnsi="Arial Narrow" w:cs="Calibri"/>
                <w:sz w:val="20"/>
                <w:szCs w:val="20"/>
              </w:rPr>
              <w:t>klinika za infektivne bolesti i klinike za dermatovenerologiju</w:t>
            </w:r>
          </w:p>
        </w:tc>
        <w:tc>
          <w:tcPr>
            <w:tcW w:w="3137" w:type="dxa"/>
            <w:gridSpan w:val="8"/>
            <w:shd w:val="clear" w:color="auto" w:fill="DAF2F6"/>
          </w:tcPr>
          <w:p w14:paraId="41688003"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0</w:t>
            </w:r>
          </w:p>
        </w:tc>
        <w:tc>
          <w:tcPr>
            <w:tcW w:w="2903" w:type="dxa"/>
            <w:gridSpan w:val="5"/>
            <w:shd w:val="clear" w:color="auto" w:fill="DAF2F6"/>
          </w:tcPr>
          <w:p w14:paraId="6103BCBE"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0</w:t>
            </w:r>
          </w:p>
        </w:tc>
        <w:tc>
          <w:tcPr>
            <w:tcW w:w="2855" w:type="dxa"/>
            <w:gridSpan w:val="6"/>
            <w:shd w:val="clear" w:color="auto" w:fill="DAF2F6"/>
          </w:tcPr>
          <w:p w14:paraId="676CB411"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0</w:t>
            </w:r>
          </w:p>
        </w:tc>
        <w:tc>
          <w:tcPr>
            <w:tcW w:w="2987" w:type="dxa"/>
            <w:gridSpan w:val="5"/>
            <w:shd w:val="clear" w:color="auto" w:fill="DAF2F6"/>
          </w:tcPr>
          <w:p w14:paraId="5044D15B"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1</w:t>
            </w:r>
          </w:p>
        </w:tc>
      </w:tr>
      <w:tr w:rsidR="00B80AA5" w:rsidRPr="00B7090C" w14:paraId="4A8DE455" w14:textId="77777777" w:rsidTr="00EA56E8">
        <w:trPr>
          <w:trHeight w:val="638"/>
        </w:trPr>
        <w:tc>
          <w:tcPr>
            <w:tcW w:w="3004" w:type="dxa"/>
            <w:gridSpan w:val="8"/>
            <w:shd w:val="clear" w:color="auto" w:fill="DAF2F6"/>
          </w:tcPr>
          <w:p w14:paraId="28ECA74D" w14:textId="77777777" w:rsidR="00B80AA5" w:rsidRPr="00B7090C" w:rsidRDefault="00B80AA5" w:rsidP="00FD6B98">
            <w:pPr>
              <w:spacing w:before="40" w:after="40" w:line="240" w:lineRule="auto"/>
              <w:rPr>
                <w:rFonts w:ascii="Arial Narrow" w:hAnsi="Arial Narrow"/>
                <w:sz w:val="20"/>
                <w:szCs w:val="20"/>
              </w:rPr>
            </w:pPr>
            <w:r w:rsidRPr="00B7090C">
              <w:rPr>
                <w:rFonts w:ascii="Arial Narrow" w:hAnsi="Arial Narrow"/>
                <w:sz w:val="20"/>
                <w:szCs w:val="20"/>
              </w:rPr>
              <w:t>Broj centrara za kontrolu i prevenciju zaraznih bolesti sa Operativnim centrom za vanredne situacije (EOC) sa unapređenim IT sistemom u oblasti prikupljanja podataka i upravljanja u kriznim situacijama</w:t>
            </w:r>
          </w:p>
          <w:p w14:paraId="19DB01A1" w14:textId="77777777" w:rsidR="00B80AA5" w:rsidRPr="00B7090C" w:rsidRDefault="00B80AA5" w:rsidP="00FD6B98">
            <w:pPr>
              <w:spacing w:before="40" w:after="40" w:line="240" w:lineRule="auto"/>
              <w:rPr>
                <w:rFonts w:ascii="Arial Narrow" w:hAnsi="Arial Narrow"/>
                <w:sz w:val="20"/>
                <w:szCs w:val="20"/>
              </w:rPr>
            </w:pPr>
            <w:r w:rsidRPr="00B7090C">
              <w:rPr>
                <w:rFonts w:ascii="Arial Narrow" w:hAnsi="Arial Narrow"/>
                <w:sz w:val="20"/>
                <w:szCs w:val="20"/>
              </w:rPr>
              <w:t>Broj novih funkcionalnih centara</w:t>
            </w:r>
          </w:p>
        </w:tc>
        <w:tc>
          <w:tcPr>
            <w:tcW w:w="3137" w:type="dxa"/>
            <w:gridSpan w:val="8"/>
            <w:shd w:val="clear" w:color="auto" w:fill="DAF2F6"/>
          </w:tcPr>
          <w:p w14:paraId="01DA2A00"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0</w:t>
            </w:r>
          </w:p>
        </w:tc>
        <w:tc>
          <w:tcPr>
            <w:tcW w:w="2903" w:type="dxa"/>
            <w:gridSpan w:val="5"/>
            <w:shd w:val="clear" w:color="auto" w:fill="DAF2F6"/>
          </w:tcPr>
          <w:p w14:paraId="2989F16E"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0</w:t>
            </w:r>
          </w:p>
        </w:tc>
        <w:tc>
          <w:tcPr>
            <w:tcW w:w="2855" w:type="dxa"/>
            <w:gridSpan w:val="6"/>
            <w:shd w:val="clear" w:color="auto" w:fill="DAF2F6"/>
          </w:tcPr>
          <w:p w14:paraId="2BFFE1FB"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0</w:t>
            </w:r>
          </w:p>
        </w:tc>
        <w:tc>
          <w:tcPr>
            <w:tcW w:w="2987" w:type="dxa"/>
            <w:gridSpan w:val="5"/>
            <w:shd w:val="clear" w:color="auto" w:fill="DAF2F6"/>
          </w:tcPr>
          <w:p w14:paraId="128D1C93"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1</w:t>
            </w:r>
          </w:p>
        </w:tc>
      </w:tr>
      <w:tr w:rsidR="00B80AA5" w:rsidRPr="00B7090C" w14:paraId="40B78060" w14:textId="77777777" w:rsidTr="00EA56E8">
        <w:tc>
          <w:tcPr>
            <w:tcW w:w="710" w:type="dxa"/>
            <w:gridSpan w:val="3"/>
            <w:shd w:val="clear" w:color="auto" w:fill="FFF2CC"/>
          </w:tcPr>
          <w:p w14:paraId="407D5BCF" w14:textId="77777777" w:rsidR="00B80AA5" w:rsidRPr="00B7090C" w:rsidRDefault="00B80AA5" w:rsidP="00FD6B98">
            <w:pPr>
              <w:spacing w:before="20" w:after="20" w:line="240" w:lineRule="auto"/>
              <w:ind w:left="425"/>
              <w:contextualSpacing/>
              <w:rPr>
                <w:rFonts w:ascii="Arial Narrow" w:hAnsi="Arial Narrow" w:cs="Calibri"/>
                <w:sz w:val="20"/>
                <w:szCs w:val="20"/>
              </w:rPr>
            </w:pPr>
          </w:p>
        </w:tc>
        <w:tc>
          <w:tcPr>
            <w:tcW w:w="2294" w:type="dxa"/>
            <w:gridSpan w:val="5"/>
            <w:shd w:val="clear" w:color="auto" w:fill="FFF2CC"/>
          </w:tcPr>
          <w:p w14:paraId="2437E041" w14:textId="77777777" w:rsidR="00B80AA5" w:rsidRPr="00B7090C" w:rsidRDefault="00B80AA5" w:rsidP="00FD6B98">
            <w:pPr>
              <w:spacing w:before="20" w:after="20" w:line="240" w:lineRule="auto"/>
              <w:rPr>
                <w:rFonts w:ascii="Arial Narrow" w:hAnsi="Arial Narrow" w:cs="Calibri"/>
                <w:b/>
                <w:sz w:val="20"/>
                <w:szCs w:val="20"/>
              </w:rPr>
            </w:pPr>
            <w:r w:rsidRPr="00B7090C">
              <w:rPr>
                <w:rFonts w:ascii="Arial Narrow" w:hAnsi="Arial Narrow" w:cs="Calibri"/>
                <w:b/>
                <w:sz w:val="20"/>
                <w:szCs w:val="20"/>
              </w:rPr>
              <w:t>Aktivnosti</w:t>
            </w:r>
          </w:p>
        </w:tc>
        <w:tc>
          <w:tcPr>
            <w:tcW w:w="2623" w:type="dxa"/>
            <w:gridSpan w:val="4"/>
            <w:shd w:val="clear" w:color="auto" w:fill="FFF2CC"/>
          </w:tcPr>
          <w:p w14:paraId="0EA2DF1B" w14:textId="77777777" w:rsidR="00B80AA5" w:rsidRPr="00B7090C" w:rsidRDefault="00B80AA5" w:rsidP="00FD6B98">
            <w:pPr>
              <w:spacing w:before="20" w:after="20" w:line="240" w:lineRule="auto"/>
              <w:rPr>
                <w:rFonts w:ascii="Arial Narrow" w:hAnsi="Arial Narrow" w:cs="Calibri"/>
                <w:b/>
                <w:sz w:val="20"/>
                <w:szCs w:val="20"/>
              </w:rPr>
            </w:pPr>
            <w:r w:rsidRPr="00B7090C">
              <w:rPr>
                <w:rFonts w:ascii="Arial Narrow" w:hAnsi="Arial Narrow" w:cs="Calibri"/>
                <w:b/>
                <w:sz w:val="20"/>
                <w:szCs w:val="20"/>
              </w:rPr>
              <w:t>Indikator rezultata</w:t>
            </w:r>
          </w:p>
        </w:tc>
        <w:tc>
          <w:tcPr>
            <w:tcW w:w="1795" w:type="dxa"/>
            <w:gridSpan w:val="6"/>
            <w:shd w:val="clear" w:color="auto" w:fill="FFF2CC"/>
          </w:tcPr>
          <w:p w14:paraId="1955B8D9" w14:textId="77777777" w:rsidR="00B80AA5" w:rsidRPr="00B7090C" w:rsidRDefault="00B80AA5" w:rsidP="00FD6B98">
            <w:pPr>
              <w:spacing w:before="20" w:after="20" w:line="240" w:lineRule="auto"/>
              <w:rPr>
                <w:rFonts w:ascii="Arial Narrow" w:hAnsi="Arial Narrow" w:cs="Calibri"/>
                <w:b/>
                <w:sz w:val="20"/>
                <w:szCs w:val="20"/>
              </w:rPr>
            </w:pPr>
            <w:r w:rsidRPr="00B7090C">
              <w:rPr>
                <w:rFonts w:ascii="Arial Narrow" w:hAnsi="Arial Narrow" w:cs="Calibri"/>
                <w:b/>
                <w:sz w:val="20"/>
                <w:szCs w:val="20"/>
              </w:rPr>
              <w:t>Nadležne institucije i nadležna komisija</w:t>
            </w:r>
          </w:p>
        </w:tc>
        <w:tc>
          <w:tcPr>
            <w:tcW w:w="1622" w:type="dxa"/>
            <w:gridSpan w:val="3"/>
            <w:shd w:val="clear" w:color="auto" w:fill="FFF2CC"/>
          </w:tcPr>
          <w:p w14:paraId="08A10C7D" w14:textId="77777777" w:rsidR="00B80AA5" w:rsidRPr="00B7090C" w:rsidRDefault="00B80AA5" w:rsidP="00FD6B98">
            <w:pPr>
              <w:spacing w:before="20" w:after="20" w:line="240" w:lineRule="auto"/>
              <w:rPr>
                <w:rFonts w:ascii="Arial Narrow" w:hAnsi="Arial Narrow" w:cs="Calibri"/>
                <w:b/>
                <w:sz w:val="20"/>
                <w:szCs w:val="20"/>
              </w:rPr>
            </w:pPr>
            <w:r w:rsidRPr="00B7090C">
              <w:rPr>
                <w:rFonts w:ascii="Arial Narrow" w:hAnsi="Arial Narrow" w:cs="Calibri"/>
                <w:b/>
                <w:sz w:val="20"/>
                <w:szCs w:val="20"/>
              </w:rPr>
              <w:t>Planirani početak i završetak aktivnosti</w:t>
            </w:r>
          </w:p>
        </w:tc>
        <w:tc>
          <w:tcPr>
            <w:tcW w:w="2082" w:type="dxa"/>
            <w:gridSpan w:val="3"/>
            <w:shd w:val="clear" w:color="auto" w:fill="FFF2CC"/>
          </w:tcPr>
          <w:p w14:paraId="2568DEF8" w14:textId="77777777" w:rsidR="00B80AA5" w:rsidRPr="00B7090C" w:rsidRDefault="00B80AA5" w:rsidP="00FD6B98">
            <w:pPr>
              <w:spacing w:before="20" w:after="20" w:line="240" w:lineRule="auto"/>
              <w:rPr>
                <w:rFonts w:ascii="Arial Narrow" w:hAnsi="Arial Narrow" w:cs="Calibri"/>
                <w:b/>
                <w:sz w:val="20"/>
                <w:szCs w:val="20"/>
              </w:rPr>
            </w:pPr>
            <w:r w:rsidRPr="00B7090C">
              <w:rPr>
                <w:rFonts w:ascii="Arial Narrow" w:hAnsi="Arial Narrow" w:cs="Calibri"/>
                <w:b/>
                <w:sz w:val="20"/>
                <w:szCs w:val="20"/>
              </w:rPr>
              <w:t>Sredstva za realizaciju  i informacija o izradi RIA</w:t>
            </w:r>
          </w:p>
        </w:tc>
        <w:tc>
          <w:tcPr>
            <w:tcW w:w="1408" w:type="dxa"/>
            <w:gridSpan w:val="5"/>
            <w:shd w:val="clear" w:color="auto" w:fill="FFF2CC"/>
          </w:tcPr>
          <w:p w14:paraId="433E957A" w14:textId="77777777" w:rsidR="00B80AA5" w:rsidRPr="00B7090C" w:rsidRDefault="00B80AA5" w:rsidP="00FD6B98">
            <w:pPr>
              <w:spacing w:before="20" w:after="20" w:line="240" w:lineRule="auto"/>
              <w:rPr>
                <w:rFonts w:ascii="Arial Narrow" w:hAnsi="Arial Narrow" w:cs="Calibri"/>
                <w:b/>
                <w:sz w:val="20"/>
                <w:szCs w:val="20"/>
              </w:rPr>
            </w:pPr>
            <w:r w:rsidRPr="00B7090C">
              <w:rPr>
                <w:rFonts w:ascii="Arial Narrow" w:hAnsi="Arial Narrow" w:cs="Calibri"/>
                <w:b/>
                <w:sz w:val="20"/>
                <w:szCs w:val="20"/>
              </w:rPr>
              <w:t>Izvor finansiranja</w:t>
            </w:r>
          </w:p>
        </w:tc>
        <w:tc>
          <w:tcPr>
            <w:tcW w:w="2352" w:type="dxa"/>
            <w:gridSpan w:val="3"/>
            <w:shd w:val="clear" w:color="auto" w:fill="FFF2CC"/>
          </w:tcPr>
          <w:p w14:paraId="52F94ACD" w14:textId="77777777" w:rsidR="00B80AA5" w:rsidRPr="00B7090C" w:rsidRDefault="00B80AA5" w:rsidP="00FD6B98">
            <w:pPr>
              <w:spacing w:before="20" w:after="20" w:line="240" w:lineRule="auto"/>
              <w:rPr>
                <w:rFonts w:ascii="Arial Narrow" w:hAnsi="Arial Narrow" w:cs="Calibri"/>
                <w:b/>
                <w:sz w:val="20"/>
                <w:szCs w:val="20"/>
              </w:rPr>
            </w:pPr>
            <w:r w:rsidRPr="00B7090C">
              <w:rPr>
                <w:rFonts w:ascii="Arial Narrow" w:hAnsi="Arial Narrow" w:cs="Calibri"/>
                <w:b/>
                <w:sz w:val="20"/>
                <w:szCs w:val="20"/>
              </w:rPr>
              <w:t>Obrazloženje</w:t>
            </w:r>
          </w:p>
        </w:tc>
      </w:tr>
      <w:tr w:rsidR="00B80AA5" w:rsidRPr="00B7090C" w14:paraId="2753F6FF" w14:textId="77777777" w:rsidTr="00EA56E8">
        <w:tc>
          <w:tcPr>
            <w:tcW w:w="710" w:type="dxa"/>
            <w:gridSpan w:val="3"/>
          </w:tcPr>
          <w:p w14:paraId="5AC4BDE9" w14:textId="77777777" w:rsidR="00B80AA5" w:rsidRPr="00B7090C" w:rsidRDefault="00B80AA5" w:rsidP="00B80AA5">
            <w:pPr>
              <w:numPr>
                <w:ilvl w:val="0"/>
                <w:numId w:val="7"/>
              </w:numPr>
              <w:spacing w:before="20" w:after="20" w:line="240" w:lineRule="auto"/>
              <w:contextualSpacing/>
              <w:rPr>
                <w:rFonts w:ascii="Arial Narrow" w:hAnsi="Arial Narrow" w:cs="Calibri"/>
                <w:sz w:val="20"/>
                <w:szCs w:val="20"/>
              </w:rPr>
            </w:pPr>
          </w:p>
        </w:tc>
        <w:tc>
          <w:tcPr>
            <w:tcW w:w="2294" w:type="dxa"/>
            <w:gridSpan w:val="5"/>
          </w:tcPr>
          <w:p w14:paraId="48B68815"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 xml:space="preserve">Priprema i usvajanje Zakona o zdravstvenoj zaštiti </w:t>
            </w:r>
          </w:p>
        </w:tc>
        <w:tc>
          <w:tcPr>
            <w:tcW w:w="2623" w:type="dxa"/>
            <w:gridSpan w:val="4"/>
          </w:tcPr>
          <w:p w14:paraId="1D8F71CF"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 xml:space="preserve">Usvojen </w:t>
            </w:r>
          </w:p>
        </w:tc>
        <w:tc>
          <w:tcPr>
            <w:tcW w:w="1795" w:type="dxa"/>
            <w:gridSpan w:val="6"/>
          </w:tcPr>
          <w:p w14:paraId="230DE66C"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Ministarstvo zdravlja</w:t>
            </w:r>
          </w:p>
        </w:tc>
        <w:tc>
          <w:tcPr>
            <w:tcW w:w="1622" w:type="dxa"/>
            <w:gridSpan w:val="3"/>
          </w:tcPr>
          <w:p w14:paraId="674D7701"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Q I-III 2022</w:t>
            </w:r>
          </w:p>
        </w:tc>
        <w:tc>
          <w:tcPr>
            <w:tcW w:w="2082" w:type="dxa"/>
            <w:gridSpan w:val="3"/>
          </w:tcPr>
          <w:p w14:paraId="21DB3CEE"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Za utvrđivanje procjene uticaja propisa ce biti uradjena RIA</w:t>
            </w:r>
          </w:p>
        </w:tc>
        <w:tc>
          <w:tcPr>
            <w:tcW w:w="1408" w:type="dxa"/>
            <w:gridSpan w:val="5"/>
          </w:tcPr>
          <w:p w14:paraId="72BD2896"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Budžet</w:t>
            </w:r>
          </w:p>
        </w:tc>
        <w:tc>
          <w:tcPr>
            <w:tcW w:w="2352" w:type="dxa"/>
            <w:gridSpan w:val="3"/>
          </w:tcPr>
          <w:p w14:paraId="5DCAF030"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U skladu sa sprovođenjem reformi u zdravstvenom sistemu neophodno je izvršiti izmjenu i dopunu Zakona o zdravstvenoj zaštiti</w:t>
            </w:r>
          </w:p>
          <w:p w14:paraId="4D6D3847" w14:textId="77777777" w:rsidR="00B80AA5" w:rsidRPr="00B7090C" w:rsidRDefault="00B80AA5" w:rsidP="00FD6B98">
            <w:pPr>
              <w:spacing w:before="20" w:after="20" w:line="240" w:lineRule="auto"/>
              <w:rPr>
                <w:rFonts w:ascii="Arial Narrow" w:hAnsi="Arial Narrow" w:cs="Calibri"/>
                <w:sz w:val="20"/>
                <w:szCs w:val="20"/>
              </w:rPr>
            </w:pPr>
          </w:p>
          <w:p w14:paraId="7214E9A3" w14:textId="77777777" w:rsidR="00B80AA5" w:rsidRPr="00B7090C" w:rsidRDefault="00B80AA5" w:rsidP="00FD6B98">
            <w:pPr>
              <w:spacing w:before="20" w:after="20" w:line="240" w:lineRule="auto"/>
              <w:rPr>
                <w:rFonts w:ascii="Arial Narrow" w:hAnsi="Arial Narrow" w:cs="Calibri"/>
                <w:sz w:val="20"/>
                <w:szCs w:val="20"/>
              </w:rPr>
            </w:pPr>
          </w:p>
        </w:tc>
      </w:tr>
      <w:tr w:rsidR="00B80AA5" w:rsidRPr="00B7090C" w14:paraId="22BA371C" w14:textId="77777777" w:rsidTr="00EA56E8">
        <w:tc>
          <w:tcPr>
            <w:tcW w:w="710" w:type="dxa"/>
            <w:gridSpan w:val="3"/>
          </w:tcPr>
          <w:p w14:paraId="5B3753F3" w14:textId="77777777" w:rsidR="00B80AA5" w:rsidRPr="00B7090C" w:rsidRDefault="00B80AA5" w:rsidP="00B80AA5">
            <w:pPr>
              <w:numPr>
                <w:ilvl w:val="0"/>
                <w:numId w:val="7"/>
              </w:numPr>
              <w:spacing w:before="20" w:after="20" w:line="240" w:lineRule="auto"/>
              <w:contextualSpacing/>
              <w:rPr>
                <w:rFonts w:ascii="Arial Narrow" w:hAnsi="Arial Narrow" w:cs="Calibri"/>
                <w:sz w:val="20"/>
                <w:szCs w:val="20"/>
              </w:rPr>
            </w:pPr>
          </w:p>
        </w:tc>
        <w:tc>
          <w:tcPr>
            <w:tcW w:w="2294" w:type="dxa"/>
            <w:gridSpan w:val="5"/>
          </w:tcPr>
          <w:p w14:paraId="749C7DC5"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Priprema i usvajanje Strategije razvoja zdravstva 2022-2026. sa Akcionim planom 2022-2023.</w:t>
            </w:r>
          </w:p>
        </w:tc>
        <w:tc>
          <w:tcPr>
            <w:tcW w:w="2623" w:type="dxa"/>
            <w:gridSpan w:val="4"/>
          </w:tcPr>
          <w:p w14:paraId="3291EF5F"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Usvojena</w:t>
            </w:r>
          </w:p>
        </w:tc>
        <w:tc>
          <w:tcPr>
            <w:tcW w:w="1795" w:type="dxa"/>
            <w:gridSpan w:val="6"/>
          </w:tcPr>
          <w:p w14:paraId="2398CC48"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Ministarstvo zdravlja</w:t>
            </w:r>
          </w:p>
        </w:tc>
        <w:tc>
          <w:tcPr>
            <w:tcW w:w="1622" w:type="dxa"/>
            <w:gridSpan w:val="3"/>
          </w:tcPr>
          <w:p w14:paraId="37E1A58C"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Q I 2022</w:t>
            </w:r>
          </w:p>
        </w:tc>
        <w:tc>
          <w:tcPr>
            <w:tcW w:w="2082" w:type="dxa"/>
            <w:gridSpan w:val="3"/>
          </w:tcPr>
          <w:p w14:paraId="6698B8F5"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Za utvrđivanje procjene uticaja propisa ce biti uradjena RIA</w:t>
            </w:r>
          </w:p>
        </w:tc>
        <w:tc>
          <w:tcPr>
            <w:tcW w:w="1408" w:type="dxa"/>
            <w:gridSpan w:val="5"/>
          </w:tcPr>
          <w:p w14:paraId="0BFC8BB0"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Budzet</w:t>
            </w:r>
          </w:p>
        </w:tc>
        <w:tc>
          <w:tcPr>
            <w:tcW w:w="2352" w:type="dxa"/>
            <w:gridSpan w:val="3"/>
          </w:tcPr>
          <w:p w14:paraId="72879C00" w14:textId="77777777" w:rsidR="00B80AA5" w:rsidRPr="003D266A" w:rsidRDefault="00B80AA5" w:rsidP="00FD6B98">
            <w:pPr>
              <w:spacing w:before="20" w:after="20" w:line="240" w:lineRule="auto"/>
              <w:rPr>
                <w:rFonts w:ascii="Arial Narrow" w:hAnsi="Arial Narrow" w:cs="Calibri"/>
                <w:sz w:val="20"/>
                <w:szCs w:val="20"/>
              </w:rPr>
            </w:pPr>
            <w:r w:rsidRPr="003D266A">
              <w:rPr>
                <w:rFonts w:ascii="Arial Narrow" w:hAnsi="Arial Narrow" w:cs="Calibri"/>
                <w:sz w:val="20"/>
                <w:szCs w:val="20"/>
              </w:rPr>
              <w:t>Predstavlja sveobuhvatni krovni dokument i okvir u kojem pravcu želimo razvijati zdravstveni sistem.  Navedeni dokument, osim ključnih mjera, ciljeva i prioriteta definiše i jačanje ljudskih resursa, digtalizaciju zdravstvenog kao organizaciono i tehničko okruženje</w:t>
            </w:r>
          </w:p>
          <w:p w14:paraId="5778ADA0" w14:textId="77777777" w:rsidR="00B80AA5" w:rsidRPr="003D266A" w:rsidRDefault="00B80AA5" w:rsidP="00FD6B98">
            <w:pPr>
              <w:spacing w:before="20" w:after="20" w:line="240" w:lineRule="auto"/>
              <w:rPr>
                <w:rFonts w:ascii="Arial Narrow" w:hAnsi="Arial Narrow" w:cs="Calibri"/>
                <w:sz w:val="20"/>
                <w:szCs w:val="20"/>
              </w:rPr>
            </w:pPr>
            <w:r w:rsidRPr="003D266A">
              <w:rPr>
                <w:rFonts w:ascii="Arial Narrow" w:hAnsi="Arial Narrow" w:cs="Calibri"/>
                <w:sz w:val="20"/>
                <w:szCs w:val="20"/>
              </w:rPr>
              <w:t>kao osnova za razvoj novih i unaprjeđenje postojećih e-usluga u zdravstvu, u</w:t>
            </w:r>
          </w:p>
          <w:p w14:paraId="4BA9B641" w14:textId="77777777" w:rsidR="00B80AA5" w:rsidRPr="003D266A" w:rsidRDefault="00B80AA5" w:rsidP="00FD6B98">
            <w:pPr>
              <w:spacing w:before="20" w:after="20" w:line="240" w:lineRule="auto"/>
              <w:rPr>
                <w:rFonts w:ascii="Arial Narrow" w:hAnsi="Arial Narrow" w:cs="Calibri"/>
                <w:sz w:val="20"/>
                <w:szCs w:val="20"/>
              </w:rPr>
            </w:pPr>
            <w:r w:rsidRPr="003D266A">
              <w:rPr>
                <w:rFonts w:ascii="Arial Narrow" w:hAnsi="Arial Narrow" w:cs="Calibri"/>
                <w:sz w:val="20"/>
                <w:szCs w:val="20"/>
              </w:rPr>
              <w:t>cilju poboljšanja poslovne produktivnosti korištenjem IKT-a i novih vještina</w:t>
            </w:r>
          </w:p>
          <w:p w14:paraId="48C1C15E" w14:textId="77777777" w:rsidR="00B80AA5" w:rsidRPr="003D266A" w:rsidRDefault="00B80AA5" w:rsidP="00FD6B98">
            <w:pPr>
              <w:spacing w:before="20" w:after="20" w:line="240" w:lineRule="auto"/>
              <w:rPr>
                <w:rFonts w:ascii="Arial Narrow" w:hAnsi="Arial Narrow" w:cs="Calibri"/>
                <w:sz w:val="20"/>
                <w:szCs w:val="20"/>
              </w:rPr>
            </w:pPr>
            <w:r w:rsidRPr="003D266A">
              <w:rPr>
                <w:rFonts w:ascii="Arial Narrow" w:hAnsi="Arial Narrow" w:cs="Calibri"/>
                <w:sz w:val="20"/>
                <w:szCs w:val="20"/>
              </w:rPr>
              <w:t>unutar samog zdravstvenog sistema i prema korisnicima, te pravovremene i</w:t>
            </w:r>
          </w:p>
          <w:p w14:paraId="4C240040" w14:textId="77777777" w:rsidR="00B80AA5" w:rsidRPr="003D266A" w:rsidRDefault="00B80AA5" w:rsidP="00FD6B98">
            <w:pPr>
              <w:spacing w:before="20" w:after="20" w:line="240" w:lineRule="auto"/>
              <w:rPr>
                <w:rFonts w:ascii="Arial Narrow" w:hAnsi="Arial Narrow" w:cs="Calibri"/>
                <w:sz w:val="20"/>
                <w:szCs w:val="20"/>
              </w:rPr>
            </w:pPr>
            <w:r w:rsidRPr="003D266A">
              <w:rPr>
                <w:rFonts w:ascii="Arial Narrow" w:hAnsi="Arial Narrow" w:cs="Calibri"/>
                <w:sz w:val="20"/>
                <w:szCs w:val="20"/>
              </w:rPr>
              <w:t>kvalitetne razmjene informacija, kao i boljeg upravljanja cjelokupnim</w:t>
            </w:r>
          </w:p>
          <w:p w14:paraId="1C2A6D92" w14:textId="77777777" w:rsidR="00B80AA5" w:rsidRPr="003D266A" w:rsidRDefault="00B80AA5" w:rsidP="00FD6B98">
            <w:pPr>
              <w:spacing w:before="20" w:after="20" w:line="240" w:lineRule="auto"/>
              <w:rPr>
                <w:rFonts w:ascii="Arial Narrow" w:hAnsi="Arial Narrow" w:cs="Calibri"/>
                <w:sz w:val="20"/>
                <w:szCs w:val="20"/>
              </w:rPr>
            </w:pPr>
            <w:r w:rsidRPr="003D266A">
              <w:rPr>
                <w:rFonts w:ascii="Arial Narrow" w:hAnsi="Arial Narrow" w:cs="Calibri"/>
                <w:sz w:val="20"/>
                <w:szCs w:val="20"/>
              </w:rPr>
              <w:t>zdravstvenim sistemom.</w:t>
            </w:r>
          </w:p>
        </w:tc>
      </w:tr>
      <w:tr w:rsidR="00B80AA5" w:rsidRPr="00B7090C" w14:paraId="179F2AFC" w14:textId="77777777" w:rsidTr="00EA56E8">
        <w:tc>
          <w:tcPr>
            <w:tcW w:w="710" w:type="dxa"/>
            <w:gridSpan w:val="3"/>
          </w:tcPr>
          <w:p w14:paraId="5CE0E212" w14:textId="77777777" w:rsidR="00B80AA5" w:rsidRPr="00B7090C" w:rsidRDefault="00B80AA5" w:rsidP="00B80AA5">
            <w:pPr>
              <w:numPr>
                <w:ilvl w:val="0"/>
                <w:numId w:val="7"/>
              </w:numPr>
              <w:spacing w:before="20" w:after="20" w:line="240" w:lineRule="auto"/>
              <w:contextualSpacing/>
              <w:rPr>
                <w:rFonts w:ascii="Arial Narrow" w:hAnsi="Arial Narrow" w:cs="Calibri"/>
                <w:sz w:val="20"/>
                <w:szCs w:val="20"/>
              </w:rPr>
            </w:pPr>
          </w:p>
        </w:tc>
        <w:tc>
          <w:tcPr>
            <w:tcW w:w="2294" w:type="dxa"/>
            <w:gridSpan w:val="5"/>
          </w:tcPr>
          <w:p w14:paraId="3A4DAF85"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Priprema i usvajanje Akcionog plana za sprovođenje Strategije razvoja integralnog zdravstvenog informacionog sistema za period 2022-2023.</w:t>
            </w:r>
          </w:p>
        </w:tc>
        <w:tc>
          <w:tcPr>
            <w:tcW w:w="2623" w:type="dxa"/>
            <w:gridSpan w:val="4"/>
          </w:tcPr>
          <w:p w14:paraId="51535922"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Usvojen</w:t>
            </w:r>
          </w:p>
        </w:tc>
        <w:tc>
          <w:tcPr>
            <w:tcW w:w="1795" w:type="dxa"/>
            <w:gridSpan w:val="6"/>
          </w:tcPr>
          <w:p w14:paraId="058F42B3"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Ministarstvo zdravlja, Fond za zdravstveno osiguranja, zdravstvene ustanove</w:t>
            </w:r>
          </w:p>
        </w:tc>
        <w:tc>
          <w:tcPr>
            <w:tcW w:w="1622" w:type="dxa"/>
            <w:gridSpan w:val="3"/>
          </w:tcPr>
          <w:p w14:paraId="63FE7C3B"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Q I-II 2022</w:t>
            </w:r>
          </w:p>
        </w:tc>
        <w:tc>
          <w:tcPr>
            <w:tcW w:w="2082" w:type="dxa"/>
            <w:gridSpan w:val="3"/>
          </w:tcPr>
          <w:p w14:paraId="34F0CDE8"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Za utvrđivanje procjene uticaja propisa ce biti uradjena RIA</w:t>
            </w:r>
          </w:p>
        </w:tc>
        <w:tc>
          <w:tcPr>
            <w:tcW w:w="1408" w:type="dxa"/>
            <w:gridSpan w:val="5"/>
          </w:tcPr>
          <w:p w14:paraId="15181B65"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Budzet</w:t>
            </w:r>
          </w:p>
        </w:tc>
        <w:tc>
          <w:tcPr>
            <w:tcW w:w="2352" w:type="dxa"/>
            <w:gridSpan w:val="3"/>
          </w:tcPr>
          <w:p w14:paraId="58DFAA90"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Daje prikaz konkretnih aktivnosti, takođe AP daje i mrezni plan aktivnosti procjenu trajanja aktivnosti i okvirni godišnji budzet.</w:t>
            </w:r>
          </w:p>
        </w:tc>
      </w:tr>
      <w:tr w:rsidR="00B80AA5" w:rsidRPr="00B7090C" w14:paraId="1594F552" w14:textId="77777777" w:rsidTr="00EA56E8">
        <w:tc>
          <w:tcPr>
            <w:tcW w:w="710" w:type="dxa"/>
            <w:gridSpan w:val="3"/>
          </w:tcPr>
          <w:p w14:paraId="5040C2C3" w14:textId="77777777" w:rsidR="00B80AA5" w:rsidRPr="00B7090C" w:rsidRDefault="00B80AA5" w:rsidP="00B80AA5">
            <w:pPr>
              <w:numPr>
                <w:ilvl w:val="0"/>
                <w:numId w:val="7"/>
              </w:numPr>
              <w:spacing w:before="20" w:after="20" w:line="240" w:lineRule="auto"/>
              <w:contextualSpacing/>
              <w:rPr>
                <w:rFonts w:ascii="Arial Narrow" w:hAnsi="Arial Narrow" w:cs="Calibri"/>
                <w:sz w:val="20"/>
                <w:szCs w:val="20"/>
              </w:rPr>
            </w:pPr>
          </w:p>
        </w:tc>
        <w:tc>
          <w:tcPr>
            <w:tcW w:w="2294" w:type="dxa"/>
            <w:gridSpan w:val="5"/>
          </w:tcPr>
          <w:p w14:paraId="5F7C9C0A" w14:textId="77777777" w:rsidR="00B80AA5" w:rsidRPr="00B7090C" w:rsidRDefault="00B80AA5" w:rsidP="00FD6B98">
            <w:pPr>
              <w:spacing w:before="40" w:after="40" w:line="240" w:lineRule="auto"/>
              <w:rPr>
                <w:rFonts w:ascii="Arial Narrow" w:hAnsi="Arial Narrow" w:cs="Calibri"/>
                <w:sz w:val="20"/>
                <w:szCs w:val="20"/>
              </w:rPr>
            </w:pPr>
            <w:r w:rsidRPr="00B7090C">
              <w:rPr>
                <w:rFonts w:ascii="Arial Narrow" w:hAnsi="Arial Narrow"/>
                <w:sz w:val="20"/>
                <w:szCs w:val="20"/>
              </w:rPr>
              <w:t xml:space="preserve">Priprema i usvajanje Strategije za   sprečavanja zloupotrebe droga 2022-2025. </w:t>
            </w:r>
          </w:p>
          <w:p w14:paraId="4A7B065F" w14:textId="77777777" w:rsidR="00B80AA5" w:rsidRPr="00B7090C" w:rsidRDefault="00B80AA5" w:rsidP="00FD6B98">
            <w:pPr>
              <w:spacing w:before="20" w:after="20" w:line="240" w:lineRule="auto"/>
              <w:rPr>
                <w:rFonts w:ascii="Arial Narrow" w:hAnsi="Arial Narrow" w:cs="Calibri"/>
                <w:sz w:val="20"/>
                <w:szCs w:val="20"/>
              </w:rPr>
            </w:pPr>
          </w:p>
        </w:tc>
        <w:tc>
          <w:tcPr>
            <w:tcW w:w="2623" w:type="dxa"/>
            <w:gridSpan w:val="4"/>
          </w:tcPr>
          <w:p w14:paraId="6CB04313"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Usvojena</w:t>
            </w:r>
          </w:p>
        </w:tc>
        <w:tc>
          <w:tcPr>
            <w:tcW w:w="1795" w:type="dxa"/>
            <w:gridSpan w:val="6"/>
          </w:tcPr>
          <w:p w14:paraId="410A2491"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Ministarstvo zdravlja</w:t>
            </w:r>
          </w:p>
        </w:tc>
        <w:tc>
          <w:tcPr>
            <w:tcW w:w="1622" w:type="dxa"/>
            <w:gridSpan w:val="3"/>
          </w:tcPr>
          <w:p w14:paraId="3D29A179"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QI -II2022</w:t>
            </w:r>
          </w:p>
        </w:tc>
        <w:tc>
          <w:tcPr>
            <w:tcW w:w="2082" w:type="dxa"/>
            <w:gridSpan w:val="3"/>
          </w:tcPr>
          <w:p w14:paraId="01246DC9"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Za utvrđivanje procjene uticaja propisa ce biti uradjena RIA</w:t>
            </w:r>
          </w:p>
        </w:tc>
        <w:tc>
          <w:tcPr>
            <w:tcW w:w="1408" w:type="dxa"/>
            <w:gridSpan w:val="5"/>
          </w:tcPr>
          <w:p w14:paraId="6D946ECA"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Budzet</w:t>
            </w:r>
          </w:p>
        </w:tc>
        <w:tc>
          <w:tcPr>
            <w:tcW w:w="2352" w:type="dxa"/>
            <w:gridSpan w:val="3"/>
          </w:tcPr>
          <w:p w14:paraId="726B331E"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 xml:space="preserve">Ovim dokumentom obezbjeđuje se kontinuitet sprovođenja nacionalnih politika u oblasti sprečavanja zloupotreba droga kroz multidisciplinarni i multisektorski pristup učešće </w:t>
            </w:r>
            <w:r w:rsidRPr="00B7090C">
              <w:rPr>
                <w:rFonts w:ascii="Arial Narrow" w:hAnsi="Arial Narrow" w:cs="Calibri"/>
                <w:sz w:val="20"/>
                <w:szCs w:val="20"/>
              </w:rPr>
              <w:lastRenderedPageBreak/>
              <w:t>nadležnih institucija u skladu sa međunarodnim standardima i EU politikama u ovoj oblasti</w:t>
            </w:r>
          </w:p>
        </w:tc>
      </w:tr>
      <w:tr w:rsidR="00B80AA5" w:rsidRPr="00B7090C" w14:paraId="37EB64AD" w14:textId="77777777" w:rsidTr="00EA56E8">
        <w:tc>
          <w:tcPr>
            <w:tcW w:w="710" w:type="dxa"/>
            <w:gridSpan w:val="3"/>
          </w:tcPr>
          <w:p w14:paraId="0E94022A" w14:textId="77777777" w:rsidR="00B80AA5" w:rsidRPr="00B7090C" w:rsidRDefault="00B80AA5" w:rsidP="00B80AA5">
            <w:pPr>
              <w:numPr>
                <w:ilvl w:val="0"/>
                <w:numId w:val="7"/>
              </w:numPr>
              <w:spacing w:before="20" w:after="20" w:line="240" w:lineRule="auto"/>
              <w:contextualSpacing/>
              <w:rPr>
                <w:rFonts w:ascii="Arial Narrow" w:hAnsi="Arial Narrow" w:cs="Calibri"/>
                <w:sz w:val="20"/>
                <w:szCs w:val="20"/>
              </w:rPr>
            </w:pPr>
          </w:p>
        </w:tc>
        <w:tc>
          <w:tcPr>
            <w:tcW w:w="2294" w:type="dxa"/>
            <w:gridSpan w:val="5"/>
          </w:tcPr>
          <w:p w14:paraId="5F23C1A6" w14:textId="77777777" w:rsidR="00B80AA5" w:rsidRPr="00B7090C" w:rsidRDefault="00B80AA5" w:rsidP="00FD6B98">
            <w:pPr>
              <w:spacing w:before="40" w:after="40" w:line="240" w:lineRule="auto"/>
              <w:rPr>
                <w:rFonts w:ascii="Arial Narrow" w:hAnsi="Arial Narrow"/>
                <w:sz w:val="20"/>
                <w:szCs w:val="20"/>
              </w:rPr>
            </w:pPr>
            <w:r w:rsidRPr="00B7090C">
              <w:rPr>
                <w:rFonts w:ascii="Arial Narrow" w:hAnsi="Arial Narrow"/>
                <w:sz w:val="20"/>
                <w:szCs w:val="20"/>
              </w:rPr>
              <w:t>Priprema I usvanjanje program mjera za prevenciju štetne upotrebe alkohola i alkoholom uzrokovanih poremećaja u Crnoj Gori za period od 2022. do 2024. godine sa Akcionim planom za 2022 – 2023. godinu</w:t>
            </w:r>
          </w:p>
        </w:tc>
        <w:tc>
          <w:tcPr>
            <w:tcW w:w="2623" w:type="dxa"/>
            <w:gridSpan w:val="4"/>
          </w:tcPr>
          <w:p w14:paraId="79C8E693"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Usvojen</w:t>
            </w:r>
          </w:p>
        </w:tc>
        <w:tc>
          <w:tcPr>
            <w:tcW w:w="1795" w:type="dxa"/>
            <w:gridSpan w:val="6"/>
          </w:tcPr>
          <w:p w14:paraId="2B429D79"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MZ, IJZ, zdravstvene ustanove</w:t>
            </w:r>
          </w:p>
        </w:tc>
        <w:tc>
          <w:tcPr>
            <w:tcW w:w="1622" w:type="dxa"/>
            <w:gridSpan w:val="3"/>
          </w:tcPr>
          <w:p w14:paraId="359FFF67"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Q I 2022</w:t>
            </w:r>
          </w:p>
        </w:tc>
        <w:tc>
          <w:tcPr>
            <w:tcW w:w="2082" w:type="dxa"/>
            <w:gridSpan w:val="3"/>
          </w:tcPr>
          <w:p w14:paraId="5615E117"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Za utvrđivanje procjene uticaja propisa ce biti uradjena RIA</w:t>
            </w:r>
          </w:p>
        </w:tc>
        <w:tc>
          <w:tcPr>
            <w:tcW w:w="1408" w:type="dxa"/>
            <w:gridSpan w:val="5"/>
          </w:tcPr>
          <w:p w14:paraId="206924EC"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Budžet</w:t>
            </w:r>
          </w:p>
          <w:p w14:paraId="7CBA24FB" w14:textId="77777777" w:rsidR="00B80AA5" w:rsidRPr="00B7090C" w:rsidRDefault="00B80AA5" w:rsidP="00FD6B98">
            <w:pPr>
              <w:spacing w:before="20" w:after="20" w:line="240" w:lineRule="auto"/>
              <w:rPr>
                <w:rFonts w:ascii="Arial Narrow" w:hAnsi="Arial Narrow" w:cs="Calibri"/>
                <w:sz w:val="20"/>
                <w:szCs w:val="20"/>
              </w:rPr>
            </w:pPr>
          </w:p>
        </w:tc>
        <w:tc>
          <w:tcPr>
            <w:tcW w:w="2352" w:type="dxa"/>
            <w:gridSpan w:val="3"/>
          </w:tcPr>
          <w:p w14:paraId="0C29BAAE"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Ovim dokumentom obezbeđuje se kontinuitet sprovođenja aktivnosti u cilju prevencije štetne upotrebe alkohola i alkoholon uzrokovanih poremećaja</w:t>
            </w:r>
          </w:p>
        </w:tc>
      </w:tr>
      <w:tr w:rsidR="00B80AA5" w:rsidRPr="00B7090C" w14:paraId="25A0EEAF" w14:textId="77777777" w:rsidTr="00EA56E8">
        <w:tc>
          <w:tcPr>
            <w:tcW w:w="726" w:type="dxa"/>
            <w:gridSpan w:val="4"/>
          </w:tcPr>
          <w:p w14:paraId="5C8214EA" w14:textId="77777777" w:rsidR="00B80AA5" w:rsidRPr="00B7090C" w:rsidRDefault="00B80AA5" w:rsidP="00B80AA5">
            <w:pPr>
              <w:pStyle w:val="ListParagraph"/>
              <w:numPr>
                <w:ilvl w:val="0"/>
                <w:numId w:val="7"/>
              </w:numPr>
              <w:spacing w:before="20" w:after="20" w:line="240" w:lineRule="auto"/>
              <w:rPr>
                <w:rFonts w:cs="Calibri"/>
                <w:sz w:val="20"/>
              </w:rPr>
            </w:pPr>
          </w:p>
        </w:tc>
        <w:tc>
          <w:tcPr>
            <w:tcW w:w="2221" w:type="dxa"/>
            <w:gridSpan w:val="3"/>
          </w:tcPr>
          <w:p w14:paraId="05694D92"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Priprema i usvajanje Strategije ranog razvoja djeteta2022-2026</w:t>
            </w:r>
          </w:p>
        </w:tc>
        <w:tc>
          <w:tcPr>
            <w:tcW w:w="2662" w:type="dxa"/>
            <w:gridSpan w:val="4"/>
          </w:tcPr>
          <w:p w14:paraId="33D1977B"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Usvojena</w:t>
            </w:r>
          </w:p>
        </w:tc>
        <w:tc>
          <w:tcPr>
            <w:tcW w:w="1825" w:type="dxa"/>
            <w:gridSpan w:val="8"/>
          </w:tcPr>
          <w:p w14:paraId="0AAD216E"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MZ,UNICEF</w:t>
            </w:r>
          </w:p>
        </w:tc>
        <w:tc>
          <w:tcPr>
            <w:tcW w:w="1610" w:type="dxa"/>
            <w:gridSpan w:val="2"/>
          </w:tcPr>
          <w:p w14:paraId="2EE820F9"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QII-III 2022</w:t>
            </w:r>
          </w:p>
        </w:tc>
        <w:tc>
          <w:tcPr>
            <w:tcW w:w="2148" w:type="dxa"/>
            <w:gridSpan w:val="4"/>
          </w:tcPr>
          <w:p w14:paraId="1A45CA26"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Za utvrđivanje procjene uticaja propisa ce biti uradjena RIA</w:t>
            </w:r>
          </w:p>
        </w:tc>
        <w:tc>
          <w:tcPr>
            <w:tcW w:w="1310" w:type="dxa"/>
            <w:gridSpan w:val="3"/>
          </w:tcPr>
          <w:p w14:paraId="0268D78B"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Budžet, Unicef</w:t>
            </w:r>
          </w:p>
        </w:tc>
        <w:tc>
          <w:tcPr>
            <w:tcW w:w="2384" w:type="dxa"/>
            <w:gridSpan w:val="4"/>
          </w:tcPr>
          <w:p w14:paraId="0B21AAC5"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 xml:space="preserve">Ovim dokumentom će se unaprijediti njega trudnica u perinatalnom i postantalnom periodu.kao i njega novorođenčadi, uz ranu detekciju poremećaja razvoja djeteta. </w:t>
            </w:r>
          </w:p>
        </w:tc>
      </w:tr>
      <w:tr w:rsidR="00B80AA5" w:rsidRPr="00B7090C" w14:paraId="599A3BBC" w14:textId="77777777" w:rsidTr="00EA56E8">
        <w:tc>
          <w:tcPr>
            <w:tcW w:w="726" w:type="dxa"/>
            <w:gridSpan w:val="4"/>
          </w:tcPr>
          <w:p w14:paraId="29F17301" w14:textId="77777777" w:rsidR="00B80AA5" w:rsidRPr="00B7090C" w:rsidRDefault="00B80AA5" w:rsidP="00B80AA5">
            <w:pPr>
              <w:pStyle w:val="ListParagraph"/>
              <w:numPr>
                <w:ilvl w:val="0"/>
                <w:numId w:val="7"/>
              </w:numPr>
              <w:spacing w:before="20" w:after="20" w:line="240" w:lineRule="auto"/>
              <w:rPr>
                <w:rFonts w:cs="Calibri"/>
                <w:sz w:val="20"/>
              </w:rPr>
            </w:pPr>
          </w:p>
        </w:tc>
        <w:tc>
          <w:tcPr>
            <w:tcW w:w="2221" w:type="dxa"/>
            <w:gridSpan w:val="3"/>
          </w:tcPr>
          <w:p w14:paraId="2ED5A3E0"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Priprema i usvajanje Uredbe o kriterijumima za stavljanje odnosno skidanje ljekova sa Liste ljekova</w:t>
            </w:r>
          </w:p>
        </w:tc>
        <w:tc>
          <w:tcPr>
            <w:tcW w:w="2662" w:type="dxa"/>
            <w:gridSpan w:val="4"/>
          </w:tcPr>
          <w:p w14:paraId="54FC948A"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Usvojena</w:t>
            </w:r>
          </w:p>
        </w:tc>
        <w:tc>
          <w:tcPr>
            <w:tcW w:w="1825" w:type="dxa"/>
            <w:gridSpan w:val="8"/>
          </w:tcPr>
          <w:p w14:paraId="78DB5140"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MZ</w:t>
            </w:r>
          </w:p>
        </w:tc>
        <w:tc>
          <w:tcPr>
            <w:tcW w:w="1610" w:type="dxa"/>
            <w:gridSpan w:val="2"/>
          </w:tcPr>
          <w:p w14:paraId="10C907FA"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Q III-IV 2022</w:t>
            </w:r>
          </w:p>
        </w:tc>
        <w:tc>
          <w:tcPr>
            <w:tcW w:w="2148" w:type="dxa"/>
            <w:gridSpan w:val="4"/>
          </w:tcPr>
          <w:p w14:paraId="0B43C1E3"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Za utvrđivanje procjene uticaja propisa ce biti uradjena RIA</w:t>
            </w:r>
          </w:p>
        </w:tc>
        <w:tc>
          <w:tcPr>
            <w:tcW w:w="1310" w:type="dxa"/>
            <w:gridSpan w:val="3"/>
          </w:tcPr>
          <w:p w14:paraId="4171E08E"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Budžet</w:t>
            </w:r>
          </w:p>
          <w:p w14:paraId="48C07F2D" w14:textId="77777777" w:rsidR="00B80AA5" w:rsidRPr="00B7090C" w:rsidRDefault="00B80AA5" w:rsidP="00FD6B98">
            <w:pPr>
              <w:spacing w:before="20" w:after="20" w:line="240" w:lineRule="auto"/>
              <w:rPr>
                <w:rFonts w:ascii="Arial Narrow" w:hAnsi="Arial Narrow" w:cs="Calibri"/>
                <w:sz w:val="20"/>
                <w:szCs w:val="20"/>
              </w:rPr>
            </w:pPr>
          </w:p>
        </w:tc>
        <w:tc>
          <w:tcPr>
            <w:tcW w:w="2384" w:type="dxa"/>
            <w:gridSpan w:val="4"/>
          </w:tcPr>
          <w:p w14:paraId="1BDBC827"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U Procesu pristupanja Evropskoj uniji, Crna Gora ima obavezu da potpuno uskladi nacionalno zakonodavstvo sa Evropskom regulativom kojom je uređena oblast ljekova.--</w:t>
            </w:r>
          </w:p>
        </w:tc>
      </w:tr>
      <w:tr w:rsidR="00B80AA5" w:rsidRPr="00B7090C" w14:paraId="2289A52E" w14:textId="77777777" w:rsidTr="00EA56E8">
        <w:tc>
          <w:tcPr>
            <w:tcW w:w="726" w:type="dxa"/>
            <w:gridSpan w:val="4"/>
          </w:tcPr>
          <w:p w14:paraId="0CF284A6" w14:textId="77777777" w:rsidR="00B80AA5" w:rsidRPr="00B7090C" w:rsidRDefault="00B80AA5" w:rsidP="00B80AA5">
            <w:pPr>
              <w:pStyle w:val="ListParagraph"/>
              <w:numPr>
                <w:ilvl w:val="0"/>
                <w:numId w:val="7"/>
              </w:numPr>
              <w:spacing w:before="20" w:after="20" w:line="240" w:lineRule="auto"/>
              <w:rPr>
                <w:rFonts w:cs="Calibri"/>
                <w:sz w:val="20"/>
              </w:rPr>
            </w:pPr>
          </w:p>
        </w:tc>
        <w:tc>
          <w:tcPr>
            <w:tcW w:w="2221" w:type="dxa"/>
            <w:gridSpan w:val="3"/>
          </w:tcPr>
          <w:p w14:paraId="4ED7969E"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 xml:space="preserve">Priprema i usvajanje Akcionog plana za sprovođenje Strategije za poboljšanje kvaliteta zdravstvene zaštite i bezbijednosti pacijenata od 2021. do 2023. godine </w:t>
            </w:r>
          </w:p>
        </w:tc>
        <w:tc>
          <w:tcPr>
            <w:tcW w:w="2662" w:type="dxa"/>
            <w:gridSpan w:val="4"/>
          </w:tcPr>
          <w:p w14:paraId="3FB9FBB9"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Usvojen</w:t>
            </w:r>
          </w:p>
        </w:tc>
        <w:tc>
          <w:tcPr>
            <w:tcW w:w="1825" w:type="dxa"/>
            <w:gridSpan w:val="8"/>
          </w:tcPr>
          <w:p w14:paraId="5CFAB741"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MZ</w:t>
            </w:r>
          </w:p>
        </w:tc>
        <w:tc>
          <w:tcPr>
            <w:tcW w:w="1610" w:type="dxa"/>
            <w:gridSpan w:val="2"/>
          </w:tcPr>
          <w:p w14:paraId="19552AA8"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QI -II2022</w:t>
            </w:r>
          </w:p>
        </w:tc>
        <w:tc>
          <w:tcPr>
            <w:tcW w:w="2148" w:type="dxa"/>
            <w:gridSpan w:val="4"/>
          </w:tcPr>
          <w:p w14:paraId="7352340A"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Za utvrđivanje procjene uticaja propisa ce biti uradjena RIA</w:t>
            </w:r>
          </w:p>
        </w:tc>
        <w:tc>
          <w:tcPr>
            <w:tcW w:w="1310" w:type="dxa"/>
            <w:gridSpan w:val="3"/>
          </w:tcPr>
          <w:p w14:paraId="33A348A3"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Budžet</w:t>
            </w:r>
          </w:p>
          <w:p w14:paraId="1A26695D" w14:textId="77777777" w:rsidR="00B80AA5" w:rsidRPr="00B7090C" w:rsidRDefault="00B80AA5" w:rsidP="00FD6B98">
            <w:pPr>
              <w:spacing w:before="20" w:after="20" w:line="240" w:lineRule="auto"/>
              <w:rPr>
                <w:rFonts w:ascii="Arial Narrow" w:hAnsi="Arial Narrow" w:cs="Calibri"/>
                <w:sz w:val="20"/>
                <w:szCs w:val="20"/>
              </w:rPr>
            </w:pPr>
          </w:p>
        </w:tc>
        <w:tc>
          <w:tcPr>
            <w:tcW w:w="2384" w:type="dxa"/>
            <w:gridSpan w:val="4"/>
          </w:tcPr>
          <w:p w14:paraId="4EA4C796"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Ovim dokumentom definisaće se aktivnosti čijim sprovođenjem će se unaprijediti kvalitet zdravstvene zaštite i zadovoljstvo pacijenata istom</w:t>
            </w:r>
          </w:p>
        </w:tc>
      </w:tr>
      <w:tr w:rsidR="00B80AA5" w:rsidRPr="00B7090C" w14:paraId="43EC34E0" w14:textId="77777777" w:rsidTr="00EA56E8">
        <w:tc>
          <w:tcPr>
            <w:tcW w:w="2947" w:type="dxa"/>
            <w:gridSpan w:val="7"/>
            <w:shd w:val="clear" w:color="auto" w:fill="D9E2F3"/>
          </w:tcPr>
          <w:p w14:paraId="15928777" w14:textId="77777777" w:rsidR="00B80AA5" w:rsidRPr="00B7090C" w:rsidRDefault="00B80AA5" w:rsidP="00FD6B98">
            <w:pPr>
              <w:spacing w:before="40" w:after="40" w:line="240" w:lineRule="auto"/>
              <w:jc w:val="center"/>
              <w:rPr>
                <w:rFonts w:ascii="Arial Narrow" w:hAnsi="Arial Narrow" w:cs="Calibri"/>
                <w:b/>
                <w:sz w:val="20"/>
                <w:szCs w:val="20"/>
              </w:rPr>
            </w:pPr>
            <w:r>
              <w:rPr>
                <w:rFonts w:ascii="Arial Narrow" w:hAnsi="Arial Narrow" w:cs="Calibri"/>
                <w:b/>
                <w:sz w:val="20"/>
                <w:szCs w:val="20"/>
              </w:rPr>
              <w:t>Cilj 3.2.</w:t>
            </w:r>
          </w:p>
          <w:p w14:paraId="3163AB16" w14:textId="77777777" w:rsidR="00B80AA5" w:rsidRPr="00B7090C" w:rsidRDefault="00B80AA5" w:rsidP="00FD6B98">
            <w:pPr>
              <w:spacing w:before="40" w:after="40" w:line="240" w:lineRule="auto"/>
              <w:jc w:val="center"/>
              <w:rPr>
                <w:rFonts w:ascii="Arial Narrow" w:hAnsi="Arial Narrow" w:cs="Calibri"/>
                <w:b/>
                <w:sz w:val="20"/>
                <w:szCs w:val="20"/>
              </w:rPr>
            </w:pPr>
          </w:p>
        </w:tc>
        <w:tc>
          <w:tcPr>
            <w:tcW w:w="11939" w:type="dxa"/>
            <w:gridSpan w:val="25"/>
            <w:shd w:val="clear" w:color="auto" w:fill="D9E2F3"/>
          </w:tcPr>
          <w:p w14:paraId="57A73013" w14:textId="77777777" w:rsidR="00B80AA5" w:rsidRPr="00B7090C" w:rsidRDefault="00B80AA5" w:rsidP="00FD6B98">
            <w:pPr>
              <w:spacing w:before="40" w:after="40" w:line="240" w:lineRule="auto"/>
              <w:jc w:val="both"/>
              <w:rPr>
                <w:rFonts w:ascii="Arial Narrow" w:hAnsi="Arial Narrow" w:cs="Calibri"/>
                <w:b/>
                <w:sz w:val="20"/>
                <w:szCs w:val="20"/>
              </w:rPr>
            </w:pPr>
            <w:r w:rsidRPr="00B7090C">
              <w:rPr>
                <w:rFonts w:ascii="Arial Narrow" w:hAnsi="Arial Narrow" w:cs="Calibri"/>
                <w:b/>
                <w:sz w:val="20"/>
                <w:szCs w:val="20"/>
              </w:rPr>
              <w:t>Unapređenje koordinacije i kontrole u oblasti prevencije hronočnih nezaraznih bolesti</w:t>
            </w:r>
          </w:p>
        </w:tc>
      </w:tr>
      <w:tr w:rsidR="00B80AA5" w:rsidRPr="00B7090C" w14:paraId="7870722D" w14:textId="77777777" w:rsidTr="00EA56E8">
        <w:tc>
          <w:tcPr>
            <w:tcW w:w="2947" w:type="dxa"/>
            <w:gridSpan w:val="7"/>
            <w:shd w:val="clear" w:color="auto" w:fill="DAF2F6"/>
          </w:tcPr>
          <w:p w14:paraId="57B54566"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Indikator učinka</w:t>
            </w:r>
          </w:p>
        </w:tc>
        <w:tc>
          <w:tcPr>
            <w:tcW w:w="3181" w:type="dxa"/>
            <w:gridSpan w:val="8"/>
            <w:shd w:val="clear" w:color="auto" w:fill="DAF2F6"/>
          </w:tcPr>
          <w:p w14:paraId="60343398"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Polazna vrijednost – 2021.g</w:t>
            </w:r>
          </w:p>
        </w:tc>
        <w:tc>
          <w:tcPr>
            <w:tcW w:w="2916" w:type="dxa"/>
            <w:gridSpan w:val="6"/>
            <w:shd w:val="clear" w:color="auto" w:fill="DAF2F6"/>
            <w:vAlign w:val="center"/>
          </w:tcPr>
          <w:p w14:paraId="4DAC2A61"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Prelazna vrijednost – 2022.g</w:t>
            </w:r>
          </w:p>
        </w:tc>
        <w:tc>
          <w:tcPr>
            <w:tcW w:w="2823" w:type="dxa"/>
            <w:gridSpan w:val="5"/>
            <w:tcBorders>
              <w:bottom w:val="single" w:sz="4" w:space="0" w:color="FFFFFF"/>
            </w:tcBorders>
            <w:shd w:val="clear" w:color="auto" w:fill="DAF2F6"/>
            <w:vAlign w:val="center"/>
          </w:tcPr>
          <w:p w14:paraId="60E2B51C"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Prelazna vrijednost – 2023.g</w:t>
            </w:r>
          </w:p>
        </w:tc>
        <w:tc>
          <w:tcPr>
            <w:tcW w:w="3019" w:type="dxa"/>
            <w:gridSpan w:val="6"/>
            <w:tcBorders>
              <w:bottom w:val="single" w:sz="4" w:space="0" w:color="FFFFFF"/>
            </w:tcBorders>
            <w:shd w:val="clear" w:color="auto" w:fill="DAF2F6"/>
            <w:vAlign w:val="center"/>
          </w:tcPr>
          <w:p w14:paraId="744AE642"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Ciljna vrijednost - 2024.g</w:t>
            </w:r>
          </w:p>
        </w:tc>
      </w:tr>
      <w:tr w:rsidR="00B80AA5" w:rsidRPr="00B7090C" w14:paraId="0FD7BF75" w14:textId="77777777" w:rsidTr="00EA56E8">
        <w:tc>
          <w:tcPr>
            <w:tcW w:w="2947" w:type="dxa"/>
            <w:gridSpan w:val="7"/>
            <w:shd w:val="clear" w:color="auto" w:fill="DAF2F6"/>
          </w:tcPr>
          <w:p w14:paraId="0CD92076" w14:textId="77777777" w:rsidR="00B80AA5" w:rsidRPr="00B7090C" w:rsidRDefault="00B80AA5" w:rsidP="00FD6B98">
            <w:pPr>
              <w:spacing w:before="40" w:after="40" w:line="240" w:lineRule="auto"/>
              <w:rPr>
                <w:rFonts w:ascii="Arial Narrow" w:hAnsi="Arial Narrow"/>
                <w:sz w:val="20"/>
                <w:szCs w:val="20"/>
                <w:lang w:eastAsia="x-none"/>
              </w:rPr>
            </w:pPr>
            <w:r w:rsidRPr="00B7090C">
              <w:rPr>
                <w:rFonts w:ascii="Arial Narrow" w:hAnsi="Arial Narrow"/>
                <w:sz w:val="20"/>
                <w:szCs w:val="20"/>
                <w:lang w:eastAsia="x-none"/>
              </w:rPr>
              <w:lastRenderedPageBreak/>
              <w:t>Procenat umrlih od hroničnih nezaraznih bolesti u odnosu na ukupan broj umrlih</w:t>
            </w:r>
          </w:p>
        </w:tc>
        <w:tc>
          <w:tcPr>
            <w:tcW w:w="3181" w:type="dxa"/>
            <w:gridSpan w:val="8"/>
            <w:shd w:val="clear" w:color="auto" w:fill="DAF2F6"/>
          </w:tcPr>
          <w:p w14:paraId="00BF08F1"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 xml:space="preserve">75% </w:t>
            </w:r>
          </w:p>
          <w:p w14:paraId="3BC6B043" w14:textId="77777777" w:rsidR="00B80AA5" w:rsidRPr="00B7090C" w:rsidRDefault="00B80AA5" w:rsidP="00FD6B98">
            <w:pPr>
              <w:spacing w:before="40" w:after="40" w:line="240" w:lineRule="auto"/>
              <w:jc w:val="center"/>
              <w:rPr>
                <w:rFonts w:ascii="Arial Narrow" w:hAnsi="Arial Narrow" w:cs="Calibri"/>
                <w:sz w:val="20"/>
                <w:szCs w:val="20"/>
                <w:highlight w:val="yellow"/>
              </w:rPr>
            </w:pPr>
            <w:r w:rsidRPr="00B7090C">
              <w:rPr>
                <w:rFonts w:ascii="Arial Narrow" w:hAnsi="Arial Narrow" w:cs="Calibri"/>
                <w:sz w:val="20"/>
                <w:szCs w:val="20"/>
              </w:rPr>
              <w:t>(2020. izvor MZ)</w:t>
            </w:r>
          </w:p>
        </w:tc>
        <w:tc>
          <w:tcPr>
            <w:tcW w:w="2916" w:type="dxa"/>
            <w:gridSpan w:val="6"/>
            <w:shd w:val="clear" w:color="auto" w:fill="DAF2F6"/>
          </w:tcPr>
          <w:p w14:paraId="5064C259" w14:textId="77777777" w:rsidR="00B80AA5" w:rsidRPr="00B7090C" w:rsidRDefault="00B80AA5" w:rsidP="00FD6B98">
            <w:pPr>
              <w:spacing w:before="40" w:after="40" w:line="240" w:lineRule="auto"/>
              <w:jc w:val="center"/>
              <w:rPr>
                <w:rFonts w:ascii="Arial Narrow" w:hAnsi="Arial Narrow" w:cs="Calibri"/>
                <w:sz w:val="20"/>
                <w:szCs w:val="20"/>
                <w:highlight w:val="yellow"/>
              </w:rPr>
            </w:pPr>
            <w:r w:rsidRPr="00B7090C">
              <w:rPr>
                <w:rFonts w:ascii="Arial Narrow" w:hAnsi="Arial Narrow" w:cs="Calibri"/>
                <w:sz w:val="20"/>
                <w:szCs w:val="20"/>
              </w:rPr>
              <w:t>70%</w:t>
            </w:r>
          </w:p>
          <w:p w14:paraId="4480A4A0" w14:textId="77777777" w:rsidR="00B80AA5" w:rsidRPr="00B7090C" w:rsidRDefault="00B80AA5" w:rsidP="00FD6B98">
            <w:pPr>
              <w:spacing w:before="40" w:after="40" w:line="240" w:lineRule="auto"/>
              <w:jc w:val="center"/>
              <w:rPr>
                <w:rFonts w:ascii="Arial Narrow" w:hAnsi="Arial Narrow" w:cs="Calibri"/>
                <w:color w:val="FF0000"/>
                <w:sz w:val="20"/>
                <w:szCs w:val="20"/>
                <w:highlight w:val="yellow"/>
              </w:rPr>
            </w:pPr>
          </w:p>
        </w:tc>
        <w:tc>
          <w:tcPr>
            <w:tcW w:w="2823" w:type="dxa"/>
            <w:gridSpan w:val="5"/>
            <w:shd w:val="clear" w:color="auto" w:fill="DAF2F6"/>
          </w:tcPr>
          <w:p w14:paraId="1638753B"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68%</w:t>
            </w:r>
          </w:p>
        </w:tc>
        <w:tc>
          <w:tcPr>
            <w:tcW w:w="3019" w:type="dxa"/>
            <w:gridSpan w:val="6"/>
            <w:shd w:val="clear" w:color="auto" w:fill="DAF2F6"/>
          </w:tcPr>
          <w:p w14:paraId="0EF60984"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65%</w:t>
            </w:r>
          </w:p>
        </w:tc>
      </w:tr>
      <w:tr w:rsidR="00B80AA5" w:rsidRPr="00B7090C" w14:paraId="47C93835" w14:textId="77777777" w:rsidTr="00EA56E8">
        <w:tc>
          <w:tcPr>
            <w:tcW w:w="2947" w:type="dxa"/>
            <w:gridSpan w:val="7"/>
            <w:shd w:val="clear" w:color="auto" w:fill="FFF2CC"/>
            <w:vAlign w:val="center"/>
          </w:tcPr>
          <w:p w14:paraId="62D8AF50"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Aktivnosti</w:t>
            </w:r>
          </w:p>
        </w:tc>
        <w:tc>
          <w:tcPr>
            <w:tcW w:w="2662" w:type="dxa"/>
            <w:gridSpan w:val="4"/>
            <w:shd w:val="clear" w:color="auto" w:fill="FFF2CC"/>
            <w:vAlign w:val="center"/>
          </w:tcPr>
          <w:p w14:paraId="2DCA78AA"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Indikator rezultata</w:t>
            </w:r>
          </w:p>
        </w:tc>
        <w:tc>
          <w:tcPr>
            <w:tcW w:w="1825" w:type="dxa"/>
            <w:gridSpan w:val="8"/>
            <w:shd w:val="clear" w:color="auto" w:fill="FFF2CC"/>
            <w:vAlign w:val="center"/>
          </w:tcPr>
          <w:p w14:paraId="4B83DB1D"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Nadležne institucije i nadležna komisija</w:t>
            </w:r>
          </w:p>
        </w:tc>
        <w:tc>
          <w:tcPr>
            <w:tcW w:w="1610" w:type="dxa"/>
            <w:gridSpan w:val="2"/>
            <w:shd w:val="clear" w:color="auto" w:fill="FFF2CC"/>
            <w:vAlign w:val="center"/>
          </w:tcPr>
          <w:p w14:paraId="1C79BAB5"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Planirani početak i završetak aktivnosti</w:t>
            </w:r>
          </w:p>
        </w:tc>
        <w:tc>
          <w:tcPr>
            <w:tcW w:w="2148" w:type="dxa"/>
            <w:gridSpan w:val="4"/>
            <w:shd w:val="clear" w:color="auto" w:fill="FFF2CC"/>
            <w:vAlign w:val="center"/>
          </w:tcPr>
          <w:p w14:paraId="04FC7D10"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Sredstva za realizaciju  i informacija o izradi RIA</w:t>
            </w:r>
          </w:p>
        </w:tc>
        <w:tc>
          <w:tcPr>
            <w:tcW w:w="1310" w:type="dxa"/>
            <w:gridSpan w:val="3"/>
            <w:shd w:val="clear" w:color="auto" w:fill="FFF2CC"/>
            <w:vAlign w:val="center"/>
          </w:tcPr>
          <w:p w14:paraId="655670FA"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 xml:space="preserve"> Izvor finansiranja</w:t>
            </w:r>
          </w:p>
        </w:tc>
        <w:tc>
          <w:tcPr>
            <w:tcW w:w="2384" w:type="dxa"/>
            <w:gridSpan w:val="4"/>
            <w:shd w:val="clear" w:color="auto" w:fill="FFF2CC"/>
            <w:vAlign w:val="center"/>
          </w:tcPr>
          <w:p w14:paraId="4039206E" w14:textId="77777777" w:rsidR="00B80AA5" w:rsidRPr="00B7090C" w:rsidRDefault="00B80AA5" w:rsidP="00FD6B98">
            <w:pPr>
              <w:spacing w:before="20" w:after="20" w:line="240" w:lineRule="auto"/>
              <w:jc w:val="center"/>
              <w:rPr>
                <w:rFonts w:ascii="Arial Narrow" w:hAnsi="Arial Narrow" w:cs="Calibri"/>
                <w:b/>
                <w:sz w:val="20"/>
                <w:szCs w:val="20"/>
              </w:rPr>
            </w:pPr>
          </w:p>
          <w:p w14:paraId="6A9DEE3B"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Obrazloženje</w:t>
            </w:r>
          </w:p>
        </w:tc>
      </w:tr>
      <w:tr w:rsidR="00B80AA5" w:rsidRPr="00B7090C" w14:paraId="13D84C8A" w14:textId="77777777" w:rsidTr="00EA56E8">
        <w:tc>
          <w:tcPr>
            <w:tcW w:w="726" w:type="dxa"/>
            <w:gridSpan w:val="4"/>
          </w:tcPr>
          <w:p w14:paraId="0D7E1CE1" w14:textId="77777777" w:rsidR="00B80AA5" w:rsidRPr="00B7090C" w:rsidRDefault="00B80AA5" w:rsidP="00FD6B98">
            <w:pPr>
              <w:spacing w:before="20" w:after="20" w:line="240" w:lineRule="auto"/>
              <w:jc w:val="right"/>
              <w:rPr>
                <w:rFonts w:ascii="Arial Narrow" w:hAnsi="Arial Narrow" w:cs="Calibri"/>
                <w:sz w:val="20"/>
                <w:szCs w:val="20"/>
              </w:rPr>
            </w:pPr>
            <w:r w:rsidRPr="00B7090C">
              <w:rPr>
                <w:rFonts w:ascii="Arial Narrow" w:hAnsi="Arial Narrow" w:cs="Calibri"/>
                <w:sz w:val="20"/>
                <w:szCs w:val="20"/>
              </w:rPr>
              <w:t>1.</w:t>
            </w:r>
          </w:p>
        </w:tc>
        <w:tc>
          <w:tcPr>
            <w:tcW w:w="2221" w:type="dxa"/>
            <w:gridSpan w:val="3"/>
          </w:tcPr>
          <w:p w14:paraId="3A268C20"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 xml:space="preserve">Priprema i izrada Nacionalne Strategija za kontrolu i prevenciju hroničnih nezaraznih bolesti </w:t>
            </w:r>
          </w:p>
        </w:tc>
        <w:tc>
          <w:tcPr>
            <w:tcW w:w="2662" w:type="dxa"/>
            <w:gridSpan w:val="4"/>
          </w:tcPr>
          <w:p w14:paraId="73DA7DCA"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Usvojena</w:t>
            </w:r>
          </w:p>
        </w:tc>
        <w:tc>
          <w:tcPr>
            <w:tcW w:w="1825" w:type="dxa"/>
            <w:gridSpan w:val="8"/>
          </w:tcPr>
          <w:p w14:paraId="2018AA3E"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MZ, IJZ, zdravstvene ustanove</w:t>
            </w:r>
          </w:p>
        </w:tc>
        <w:tc>
          <w:tcPr>
            <w:tcW w:w="1610" w:type="dxa"/>
            <w:gridSpan w:val="2"/>
          </w:tcPr>
          <w:p w14:paraId="6D47C9BD"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Q II-III 2022</w:t>
            </w:r>
          </w:p>
        </w:tc>
        <w:tc>
          <w:tcPr>
            <w:tcW w:w="2148" w:type="dxa"/>
            <w:gridSpan w:val="4"/>
          </w:tcPr>
          <w:p w14:paraId="761340DB"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Za utvrđivanje procjene uticaja propisa ce biti uradjena RIA</w:t>
            </w:r>
          </w:p>
        </w:tc>
        <w:tc>
          <w:tcPr>
            <w:tcW w:w="1310" w:type="dxa"/>
            <w:gridSpan w:val="3"/>
          </w:tcPr>
          <w:p w14:paraId="5BAC12A9"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Budžet</w:t>
            </w:r>
          </w:p>
        </w:tc>
        <w:tc>
          <w:tcPr>
            <w:tcW w:w="2384" w:type="dxa"/>
            <w:gridSpan w:val="4"/>
          </w:tcPr>
          <w:p w14:paraId="7354B608"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 xml:space="preserve">Ovaj dokument ima za cilj sprovođenja aktivnosti u smanjenju broja prijevremenih smrtnih ishoda i značajno smanjenje opterećenja obolijevanja i invaliditeta od vodećih nezaraznih bolesti. </w:t>
            </w:r>
          </w:p>
        </w:tc>
      </w:tr>
      <w:tr w:rsidR="00B80AA5" w:rsidRPr="00B7090C" w14:paraId="205BD933" w14:textId="77777777" w:rsidTr="00EA56E8">
        <w:tc>
          <w:tcPr>
            <w:tcW w:w="2947" w:type="dxa"/>
            <w:gridSpan w:val="7"/>
            <w:shd w:val="clear" w:color="auto" w:fill="D9E2F3"/>
          </w:tcPr>
          <w:p w14:paraId="6BFD18E1" w14:textId="77777777" w:rsidR="00B80AA5" w:rsidRPr="00B7090C" w:rsidRDefault="00B80AA5" w:rsidP="00FD6B98">
            <w:pPr>
              <w:spacing w:before="40" w:after="40" w:line="240" w:lineRule="auto"/>
              <w:jc w:val="center"/>
              <w:rPr>
                <w:rFonts w:ascii="Arial Narrow" w:hAnsi="Arial Narrow" w:cs="Calibri"/>
                <w:b/>
                <w:sz w:val="20"/>
                <w:szCs w:val="20"/>
              </w:rPr>
            </w:pPr>
            <w:r>
              <w:rPr>
                <w:rFonts w:ascii="Arial Narrow" w:hAnsi="Arial Narrow" w:cs="Calibri"/>
                <w:b/>
                <w:sz w:val="20"/>
                <w:szCs w:val="20"/>
              </w:rPr>
              <w:t>Cilj 3.3.</w:t>
            </w:r>
          </w:p>
          <w:p w14:paraId="67B06C44" w14:textId="77777777" w:rsidR="00B80AA5" w:rsidRPr="00B7090C" w:rsidRDefault="00B80AA5" w:rsidP="00FD6B98">
            <w:pPr>
              <w:spacing w:before="40" w:after="40" w:line="240" w:lineRule="auto"/>
              <w:jc w:val="center"/>
              <w:rPr>
                <w:rFonts w:ascii="Arial Narrow" w:hAnsi="Arial Narrow" w:cs="Calibri"/>
                <w:b/>
                <w:sz w:val="20"/>
                <w:szCs w:val="20"/>
              </w:rPr>
            </w:pPr>
          </w:p>
        </w:tc>
        <w:tc>
          <w:tcPr>
            <w:tcW w:w="11939" w:type="dxa"/>
            <w:gridSpan w:val="25"/>
            <w:shd w:val="clear" w:color="auto" w:fill="D9E2F3"/>
          </w:tcPr>
          <w:p w14:paraId="763668B5" w14:textId="77777777" w:rsidR="00B80AA5" w:rsidRPr="00B7090C" w:rsidRDefault="00B80AA5" w:rsidP="00FD6B98">
            <w:pPr>
              <w:spacing w:before="40" w:after="40" w:line="240" w:lineRule="auto"/>
              <w:jc w:val="both"/>
              <w:rPr>
                <w:rFonts w:ascii="Arial Narrow" w:hAnsi="Arial Narrow" w:cs="Calibri"/>
                <w:b/>
                <w:i/>
                <w:sz w:val="20"/>
                <w:szCs w:val="20"/>
              </w:rPr>
            </w:pPr>
            <w:r w:rsidRPr="00B7090C">
              <w:rPr>
                <w:rFonts w:ascii="Arial Narrow" w:hAnsi="Arial Narrow"/>
                <w:b/>
                <w:sz w:val="20"/>
                <w:szCs w:val="20"/>
              </w:rPr>
              <w:t>Jačanje integrisanog pristupa otkrivanju, dijagnostici, prevenciji i socijalnoj integraciji lica sa rijetkim bolestima i njihovih porodica</w:t>
            </w:r>
          </w:p>
        </w:tc>
      </w:tr>
      <w:tr w:rsidR="00B80AA5" w:rsidRPr="00B7090C" w14:paraId="1FFA06F7" w14:textId="77777777" w:rsidTr="00EA56E8">
        <w:tc>
          <w:tcPr>
            <w:tcW w:w="2947" w:type="dxa"/>
            <w:gridSpan w:val="7"/>
            <w:shd w:val="clear" w:color="auto" w:fill="DAF2F6"/>
          </w:tcPr>
          <w:p w14:paraId="7EA82D4D"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Indikator učinka</w:t>
            </w:r>
          </w:p>
        </w:tc>
        <w:tc>
          <w:tcPr>
            <w:tcW w:w="3181" w:type="dxa"/>
            <w:gridSpan w:val="8"/>
            <w:shd w:val="clear" w:color="auto" w:fill="DAF2F6"/>
          </w:tcPr>
          <w:p w14:paraId="14DED085"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Polazna vrijednost – 2021.g</w:t>
            </w:r>
          </w:p>
        </w:tc>
        <w:tc>
          <w:tcPr>
            <w:tcW w:w="2916" w:type="dxa"/>
            <w:gridSpan w:val="6"/>
            <w:shd w:val="clear" w:color="auto" w:fill="DAF2F6"/>
            <w:vAlign w:val="center"/>
          </w:tcPr>
          <w:p w14:paraId="42F2475F"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Prelazna vrijednost – 2022.g</w:t>
            </w:r>
          </w:p>
        </w:tc>
        <w:tc>
          <w:tcPr>
            <w:tcW w:w="2823" w:type="dxa"/>
            <w:gridSpan w:val="5"/>
            <w:tcBorders>
              <w:bottom w:val="single" w:sz="4" w:space="0" w:color="FFFFFF"/>
            </w:tcBorders>
            <w:shd w:val="clear" w:color="auto" w:fill="DAF2F6"/>
            <w:vAlign w:val="center"/>
          </w:tcPr>
          <w:p w14:paraId="63A8E52C"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Prelazna vrijednost – 2023.g</w:t>
            </w:r>
          </w:p>
        </w:tc>
        <w:tc>
          <w:tcPr>
            <w:tcW w:w="3019" w:type="dxa"/>
            <w:gridSpan w:val="6"/>
            <w:tcBorders>
              <w:bottom w:val="single" w:sz="4" w:space="0" w:color="FFFFFF"/>
            </w:tcBorders>
            <w:shd w:val="clear" w:color="auto" w:fill="DAF2F6"/>
            <w:vAlign w:val="center"/>
          </w:tcPr>
          <w:p w14:paraId="616CA4C5" w14:textId="77777777" w:rsidR="00B80AA5" w:rsidRPr="00B7090C" w:rsidRDefault="00B80AA5" w:rsidP="00FD6B98">
            <w:pPr>
              <w:spacing w:before="40" w:after="40" w:line="240" w:lineRule="auto"/>
              <w:jc w:val="center"/>
              <w:rPr>
                <w:rFonts w:ascii="Arial Narrow" w:hAnsi="Arial Narrow" w:cs="Calibri"/>
                <w:b/>
                <w:sz w:val="20"/>
                <w:szCs w:val="20"/>
              </w:rPr>
            </w:pPr>
            <w:r w:rsidRPr="00B7090C">
              <w:rPr>
                <w:rFonts w:ascii="Arial Narrow" w:hAnsi="Arial Narrow" w:cs="Calibri"/>
                <w:b/>
                <w:sz w:val="20"/>
                <w:szCs w:val="20"/>
              </w:rPr>
              <w:t>Ciljna vrijednost - 2024.g</w:t>
            </w:r>
          </w:p>
        </w:tc>
      </w:tr>
      <w:tr w:rsidR="00B80AA5" w:rsidRPr="00B7090C" w14:paraId="1F59EDEF" w14:textId="77777777" w:rsidTr="00EA56E8">
        <w:tc>
          <w:tcPr>
            <w:tcW w:w="2947" w:type="dxa"/>
            <w:gridSpan w:val="7"/>
            <w:shd w:val="clear" w:color="auto" w:fill="DAF2F6"/>
          </w:tcPr>
          <w:p w14:paraId="55E9ECB3" w14:textId="77777777" w:rsidR="00B80AA5" w:rsidRPr="00B7090C" w:rsidRDefault="00B80AA5" w:rsidP="00FD6B98">
            <w:pPr>
              <w:spacing w:before="40" w:after="40" w:line="240" w:lineRule="auto"/>
              <w:rPr>
                <w:rFonts w:ascii="Arial Narrow" w:hAnsi="Arial Narrow"/>
                <w:sz w:val="20"/>
                <w:szCs w:val="20"/>
              </w:rPr>
            </w:pPr>
            <w:r w:rsidRPr="00B7090C">
              <w:rPr>
                <w:rFonts w:ascii="Arial Narrow" w:hAnsi="Arial Narrow"/>
                <w:sz w:val="20"/>
                <w:szCs w:val="20"/>
              </w:rPr>
              <w:t>Procenat potvrđenih slučajeva sa sumnjom na rijetke bolesti</w:t>
            </w:r>
          </w:p>
        </w:tc>
        <w:tc>
          <w:tcPr>
            <w:tcW w:w="3181" w:type="dxa"/>
            <w:gridSpan w:val="8"/>
            <w:shd w:val="clear" w:color="auto" w:fill="DAF2F6"/>
          </w:tcPr>
          <w:p w14:paraId="0A2A66FF"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 xml:space="preserve">62% </w:t>
            </w:r>
          </w:p>
          <w:p w14:paraId="17BE018E"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(izvor: KCCG)</w:t>
            </w:r>
          </w:p>
          <w:p w14:paraId="6F4E71E9" w14:textId="77777777" w:rsidR="00B80AA5" w:rsidRPr="00B7090C" w:rsidRDefault="00B80AA5" w:rsidP="00FD6B98">
            <w:pPr>
              <w:spacing w:before="40" w:after="40" w:line="240" w:lineRule="auto"/>
              <w:jc w:val="center"/>
              <w:rPr>
                <w:rFonts w:ascii="Arial Narrow" w:hAnsi="Arial Narrow" w:cs="Calibri"/>
                <w:sz w:val="20"/>
                <w:szCs w:val="20"/>
                <w:highlight w:val="yellow"/>
              </w:rPr>
            </w:pPr>
          </w:p>
          <w:p w14:paraId="2F74E2DE" w14:textId="77777777" w:rsidR="00B80AA5" w:rsidRPr="00B7090C" w:rsidRDefault="00B80AA5" w:rsidP="00FD6B98">
            <w:pPr>
              <w:spacing w:before="40" w:after="40" w:line="240" w:lineRule="auto"/>
              <w:jc w:val="center"/>
              <w:rPr>
                <w:rFonts w:ascii="Arial Narrow" w:hAnsi="Arial Narrow" w:cs="Calibri"/>
                <w:sz w:val="20"/>
                <w:szCs w:val="20"/>
                <w:highlight w:val="yellow"/>
              </w:rPr>
            </w:pPr>
          </w:p>
        </w:tc>
        <w:tc>
          <w:tcPr>
            <w:tcW w:w="2916" w:type="dxa"/>
            <w:gridSpan w:val="6"/>
            <w:shd w:val="clear" w:color="auto" w:fill="DAF2F6"/>
          </w:tcPr>
          <w:p w14:paraId="323035CB" w14:textId="77777777" w:rsidR="00B80AA5" w:rsidRPr="00B7090C" w:rsidRDefault="00B80AA5" w:rsidP="00FD6B98">
            <w:pPr>
              <w:spacing w:before="40" w:after="40" w:line="240" w:lineRule="auto"/>
              <w:jc w:val="center"/>
              <w:rPr>
                <w:rFonts w:ascii="Arial Narrow" w:hAnsi="Arial Narrow" w:cs="Calibri"/>
                <w:sz w:val="20"/>
                <w:szCs w:val="20"/>
              </w:rPr>
            </w:pPr>
            <w:r w:rsidRPr="00B7090C">
              <w:rPr>
                <w:rFonts w:ascii="Arial Narrow" w:hAnsi="Arial Narrow" w:cs="Calibri"/>
                <w:sz w:val="20"/>
                <w:szCs w:val="20"/>
              </w:rPr>
              <w:t>65%</w:t>
            </w:r>
          </w:p>
          <w:p w14:paraId="7E8C69BC" w14:textId="77777777" w:rsidR="00B80AA5" w:rsidRPr="00B7090C" w:rsidRDefault="00B80AA5" w:rsidP="00FD6B98">
            <w:pPr>
              <w:spacing w:before="40" w:after="40" w:line="240" w:lineRule="auto"/>
              <w:jc w:val="center"/>
              <w:rPr>
                <w:rFonts w:ascii="Arial Narrow" w:hAnsi="Arial Narrow" w:cs="Calibri"/>
                <w:sz w:val="20"/>
                <w:szCs w:val="20"/>
                <w:highlight w:val="yellow"/>
              </w:rPr>
            </w:pPr>
          </w:p>
          <w:p w14:paraId="6BC14BF4" w14:textId="77777777" w:rsidR="00B80AA5" w:rsidRPr="00B7090C" w:rsidRDefault="00B80AA5" w:rsidP="00FD6B98">
            <w:pPr>
              <w:spacing w:before="40" w:after="40" w:line="240" w:lineRule="auto"/>
              <w:jc w:val="center"/>
              <w:rPr>
                <w:rFonts w:ascii="Arial Narrow" w:hAnsi="Arial Narrow" w:cs="Calibri"/>
                <w:sz w:val="20"/>
                <w:szCs w:val="20"/>
                <w:highlight w:val="yellow"/>
              </w:rPr>
            </w:pPr>
          </w:p>
        </w:tc>
        <w:tc>
          <w:tcPr>
            <w:tcW w:w="2823" w:type="dxa"/>
            <w:gridSpan w:val="5"/>
            <w:shd w:val="clear" w:color="auto" w:fill="DAF2F6"/>
          </w:tcPr>
          <w:p w14:paraId="718BB6D0" w14:textId="77777777" w:rsidR="00B80AA5" w:rsidRPr="00B7090C" w:rsidRDefault="00B80AA5" w:rsidP="00FD6B98">
            <w:pPr>
              <w:spacing w:before="40" w:after="40" w:line="240" w:lineRule="auto"/>
              <w:jc w:val="center"/>
              <w:rPr>
                <w:rFonts w:ascii="Arial Narrow" w:hAnsi="Arial Narrow" w:cs="Calibri"/>
                <w:sz w:val="20"/>
                <w:szCs w:val="20"/>
                <w:highlight w:val="yellow"/>
              </w:rPr>
            </w:pPr>
            <w:r w:rsidRPr="00B7090C">
              <w:rPr>
                <w:rFonts w:ascii="Arial Narrow" w:hAnsi="Arial Narrow" w:cs="Calibri"/>
                <w:sz w:val="20"/>
                <w:szCs w:val="20"/>
              </w:rPr>
              <w:t>68%</w:t>
            </w:r>
          </w:p>
        </w:tc>
        <w:tc>
          <w:tcPr>
            <w:tcW w:w="3019" w:type="dxa"/>
            <w:gridSpan w:val="6"/>
            <w:shd w:val="clear" w:color="auto" w:fill="DAF2F6"/>
          </w:tcPr>
          <w:p w14:paraId="17F14E6A" w14:textId="77777777" w:rsidR="00B80AA5" w:rsidRPr="00B7090C" w:rsidRDefault="00B80AA5" w:rsidP="00FD6B98">
            <w:pPr>
              <w:spacing w:before="40" w:after="40" w:line="240" w:lineRule="auto"/>
              <w:jc w:val="center"/>
              <w:rPr>
                <w:rFonts w:ascii="Arial Narrow" w:hAnsi="Arial Narrow" w:cs="Calibri"/>
                <w:sz w:val="20"/>
                <w:szCs w:val="20"/>
                <w:highlight w:val="yellow"/>
              </w:rPr>
            </w:pPr>
            <w:r w:rsidRPr="00B7090C">
              <w:rPr>
                <w:rFonts w:ascii="Arial Narrow" w:hAnsi="Arial Narrow" w:cs="Calibri"/>
                <w:sz w:val="20"/>
                <w:szCs w:val="20"/>
              </w:rPr>
              <w:t>70%</w:t>
            </w:r>
          </w:p>
        </w:tc>
      </w:tr>
      <w:tr w:rsidR="00B80AA5" w:rsidRPr="00B7090C" w14:paraId="424AF315" w14:textId="77777777" w:rsidTr="00EA56E8">
        <w:tc>
          <w:tcPr>
            <w:tcW w:w="2947" w:type="dxa"/>
            <w:gridSpan w:val="7"/>
            <w:shd w:val="clear" w:color="auto" w:fill="FFF2CC"/>
            <w:vAlign w:val="center"/>
          </w:tcPr>
          <w:p w14:paraId="5809B0DB"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Aktivnosti</w:t>
            </w:r>
          </w:p>
        </w:tc>
        <w:tc>
          <w:tcPr>
            <w:tcW w:w="2662" w:type="dxa"/>
            <w:gridSpan w:val="4"/>
            <w:shd w:val="clear" w:color="auto" w:fill="FFF2CC"/>
            <w:vAlign w:val="center"/>
          </w:tcPr>
          <w:p w14:paraId="06D2A2E5"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Indikator rezultata</w:t>
            </w:r>
          </w:p>
        </w:tc>
        <w:tc>
          <w:tcPr>
            <w:tcW w:w="1825" w:type="dxa"/>
            <w:gridSpan w:val="8"/>
            <w:shd w:val="clear" w:color="auto" w:fill="FFF2CC"/>
            <w:vAlign w:val="center"/>
          </w:tcPr>
          <w:p w14:paraId="59BFDCCB"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Nadležne institucije i nadležna komisija</w:t>
            </w:r>
          </w:p>
        </w:tc>
        <w:tc>
          <w:tcPr>
            <w:tcW w:w="1610" w:type="dxa"/>
            <w:gridSpan w:val="2"/>
            <w:shd w:val="clear" w:color="auto" w:fill="FFF2CC"/>
            <w:vAlign w:val="center"/>
          </w:tcPr>
          <w:p w14:paraId="30863B07"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Planirani početak i završetak aktivnosti</w:t>
            </w:r>
          </w:p>
        </w:tc>
        <w:tc>
          <w:tcPr>
            <w:tcW w:w="2148" w:type="dxa"/>
            <w:gridSpan w:val="4"/>
            <w:shd w:val="clear" w:color="auto" w:fill="FFF2CC"/>
            <w:vAlign w:val="center"/>
          </w:tcPr>
          <w:p w14:paraId="289348DF"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Sredstva za realizaciju  i informacija o izradi RIA</w:t>
            </w:r>
          </w:p>
        </w:tc>
        <w:tc>
          <w:tcPr>
            <w:tcW w:w="1310" w:type="dxa"/>
            <w:gridSpan w:val="3"/>
            <w:shd w:val="clear" w:color="auto" w:fill="FFF2CC"/>
            <w:vAlign w:val="center"/>
          </w:tcPr>
          <w:p w14:paraId="355F57DF"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 xml:space="preserve"> Izvor finansiranja</w:t>
            </w:r>
          </w:p>
        </w:tc>
        <w:tc>
          <w:tcPr>
            <w:tcW w:w="2384" w:type="dxa"/>
            <w:gridSpan w:val="4"/>
            <w:shd w:val="clear" w:color="auto" w:fill="FFF2CC"/>
            <w:vAlign w:val="center"/>
          </w:tcPr>
          <w:p w14:paraId="25BADD15" w14:textId="77777777" w:rsidR="00B80AA5" w:rsidRPr="00B7090C" w:rsidRDefault="00B80AA5" w:rsidP="00FD6B98">
            <w:pPr>
              <w:spacing w:before="20" w:after="20" w:line="240" w:lineRule="auto"/>
              <w:jc w:val="center"/>
              <w:rPr>
                <w:rFonts w:ascii="Arial Narrow" w:hAnsi="Arial Narrow" w:cs="Calibri"/>
                <w:b/>
                <w:sz w:val="20"/>
                <w:szCs w:val="20"/>
              </w:rPr>
            </w:pPr>
          </w:p>
          <w:p w14:paraId="0CC024A8" w14:textId="77777777" w:rsidR="00B80AA5" w:rsidRPr="00B7090C" w:rsidRDefault="00B80AA5" w:rsidP="00FD6B98">
            <w:pPr>
              <w:spacing w:before="20" w:after="20" w:line="240" w:lineRule="auto"/>
              <w:jc w:val="center"/>
              <w:rPr>
                <w:rFonts w:ascii="Arial Narrow" w:hAnsi="Arial Narrow" w:cs="Calibri"/>
                <w:b/>
                <w:sz w:val="20"/>
                <w:szCs w:val="20"/>
              </w:rPr>
            </w:pPr>
            <w:r w:rsidRPr="00B7090C">
              <w:rPr>
                <w:rFonts w:ascii="Arial Narrow" w:hAnsi="Arial Narrow" w:cs="Calibri"/>
                <w:b/>
                <w:sz w:val="20"/>
                <w:szCs w:val="20"/>
              </w:rPr>
              <w:t>Obrazloženje</w:t>
            </w:r>
          </w:p>
        </w:tc>
      </w:tr>
      <w:tr w:rsidR="00B80AA5" w:rsidRPr="00B7090C" w14:paraId="18AA8342" w14:textId="77777777" w:rsidTr="00EA56E8">
        <w:trPr>
          <w:trHeight w:val="1702"/>
        </w:trPr>
        <w:tc>
          <w:tcPr>
            <w:tcW w:w="726" w:type="dxa"/>
            <w:gridSpan w:val="4"/>
          </w:tcPr>
          <w:p w14:paraId="505C535B" w14:textId="77777777" w:rsidR="00B80AA5" w:rsidRPr="00B7090C" w:rsidRDefault="00B80AA5" w:rsidP="00FD6B98">
            <w:pPr>
              <w:spacing w:before="20" w:after="20" w:line="240" w:lineRule="auto"/>
              <w:jc w:val="right"/>
              <w:rPr>
                <w:rFonts w:ascii="Arial Narrow" w:hAnsi="Arial Narrow" w:cs="Calibri"/>
                <w:sz w:val="20"/>
                <w:szCs w:val="20"/>
              </w:rPr>
            </w:pPr>
            <w:r w:rsidRPr="00B7090C">
              <w:rPr>
                <w:rFonts w:ascii="Arial Narrow" w:hAnsi="Arial Narrow" w:cs="Calibri"/>
                <w:sz w:val="20"/>
                <w:szCs w:val="20"/>
              </w:rPr>
              <w:t>1.</w:t>
            </w:r>
          </w:p>
        </w:tc>
        <w:tc>
          <w:tcPr>
            <w:tcW w:w="2221" w:type="dxa"/>
            <w:gridSpan w:val="3"/>
          </w:tcPr>
          <w:p w14:paraId="00F6A507" w14:textId="77777777" w:rsidR="00B80AA5" w:rsidRPr="00B7090C" w:rsidRDefault="00B80AA5" w:rsidP="00FD6B98">
            <w:pPr>
              <w:spacing w:before="40" w:after="40" w:line="240" w:lineRule="auto"/>
              <w:rPr>
                <w:rFonts w:ascii="Arial Narrow" w:hAnsi="Arial Narrow" w:cs="Calibri"/>
                <w:sz w:val="20"/>
                <w:szCs w:val="20"/>
              </w:rPr>
            </w:pPr>
            <w:r w:rsidRPr="00B7090C">
              <w:rPr>
                <w:rFonts w:ascii="Arial Narrow" w:hAnsi="Arial Narrow" w:cs="Calibri"/>
                <w:sz w:val="20"/>
                <w:szCs w:val="20"/>
              </w:rPr>
              <w:t>Priprema i usvajanje programa za rijetke bolesti 2022-2024 sa Akcionim planom 2022-2024</w:t>
            </w:r>
          </w:p>
          <w:p w14:paraId="11259E4A" w14:textId="77777777" w:rsidR="00B80AA5" w:rsidRPr="00B7090C" w:rsidRDefault="00B80AA5" w:rsidP="00FD6B98">
            <w:pPr>
              <w:spacing w:before="20" w:after="20" w:line="240" w:lineRule="auto"/>
              <w:rPr>
                <w:rFonts w:ascii="Arial Narrow" w:hAnsi="Arial Narrow" w:cs="Calibri"/>
                <w:sz w:val="20"/>
                <w:szCs w:val="20"/>
              </w:rPr>
            </w:pPr>
          </w:p>
        </w:tc>
        <w:tc>
          <w:tcPr>
            <w:tcW w:w="2662" w:type="dxa"/>
            <w:gridSpan w:val="4"/>
          </w:tcPr>
          <w:p w14:paraId="6B363ED2"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Definisan registar rijetkih bolesti</w:t>
            </w:r>
          </w:p>
        </w:tc>
        <w:tc>
          <w:tcPr>
            <w:tcW w:w="1825" w:type="dxa"/>
            <w:gridSpan w:val="8"/>
          </w:tcPr>
          <w:p w14:paraId="1B14DDA3"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MZ, FZO, IJZ. Zdravstvene ustanove</w:t>
            </w:r>
          </w:p>
        </w:tc>
        <w:tc>
          <w:tcPr>
            <w:tcW w:w="1610" w:type="dxa"/>
            <w:gridSpan w:val="2"/>
          </w:tcPr>
          <w:p w14:paraId="0A878245"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QI- II 222</w:t>
            </w:r>
          </w:p>
          <w:p w14:paraId="0B9D528F" w14:textId="77777777" w:rsidR="00B80AA5" w:rsidRPr="00B7090C" w:rsidRDefault="00B80AA5" w:rsidP="00FD6B98">
            <w:pPr>
              <w:spacing w:before="20" w:after="20" w:line="240" w:lineRule="auto"/>
              <w:rPr>
                <w:rFonts w:ascii="Arial Narrow" w:hAnsi="Arial Narrow" w:cs="Calibri"/>
                <w:sz w:val="20"/>
                <w:szCs w:val="20"/>
              </w:rPr>
            </w:pPr>
          </w:p>
        </w:tc>
        <w:tc>
          <w:tcPr>
            <w:tcW w:w="2148" w:type="dxa"/>
            <w:gridSpan w:val="4"/>
          </w:tcPr>
          <w:p w14:paraId="2D74E1FC"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Za utvrđivanje procjene uticaja propisa ce biti uradjena RIA</w:t>
            </w:r>
          </w:p>
        </w:tc>
        <w:tc>
          <w:tcPr>
            <w:tcW w:w="1310" w:type="dxa"/>
            <w:gridSpan w:val="3"/>
          </w:tcPr>
          <w:p w14:paraId="780E5690" w14:textId="77777777" w:rsidR="00B80AA5" w:rsidRPr="00B7090C" w:rsidRDefault="00B80AA5" w:rsidP="00FD6B98">
            <w:pPr>
              <w:spacing w:before="20" w:after="20" w:line="240" w:lineRule="auto"/>
              <w:rPr>
                <w:rFonts w:ascii="Arial Narrow" w:hAnsi="Arial Narrow" w:cs="Calibri"/>
                <w:sz w:val="20"/>
                <w:szCs w:val="20"/>
              </w:rPr>
            </w:pPr>
            <w:r w:rsidRPr="00B7090C">
              <w:rPr>
                <w:rFonts w:ascii="Arial Narrow" w:hAnsi="Arial Narrow" w:cs="Calibri"/>
                <w:sz w:val="20"/>
                <w:szCs w:val="20"/>
              </w:rPr>
              <w:t>Budzet</w:t>
            </w:r>
          </w:p>
        </w:tc>
        <w:tc>
          <w:tcPr>
            <w:tcW w:w="2384" w:type="dxa"/>
            <w:gridSpan w:val="4"/>
          </w:tcPr>
          <w:p w14:paraId="591BC03B" w14:textId="77777777" w:rsidR="00B80AA5" w:rsidRPr="00B7090C" w:rsidRDefault="00B80AA5" w:rsidP="00FD6B98">
            <w:pPr>
              <w:spacing w:before="20" w:after="20" w:line="240" w:lineRule="auto"/>
              <w:jc w:val="both"/>
              <w:rPr>
                <w:rFonts w:ascii="Arial Narrow" w:hAnsi="Arial Narrow" w:cs="Calibri"/>
                <w:sz w:val="20"/>
                <w:szCs w:val="20"/>
              </w:rPr>
            </w:pPr>
            <w:r w:rsidRPr="00B7090C">
              <w:rPr>
                <w:rFonts w:ascii="Arial Narrow" w:hAnsi="Arial Narrow" w:cs="Calibri"/>
                <w:sz w:val="20"/>
                <w:szCs w:val="20"/>
              </w:rPr>
              <w:t>Implementacija Programai Akcionog plana će unaprijediti prevenciju, ranu dijagnostiku, tretman i rehabilitaciju lica koja boluju od rijetkih bolesti.</w:t>
            </w:r>
          </w:p>
        </w:tc>
      </w:tr>
      <w:tr w:rsidR="00B80AA5" w:rsidRPr="00B7090C" w14:paraId="363D52A2" w14:textId="77777777" w:rsidTr="00EA56E8">
        <w:tc>
          <w:tcPr>
            <w:tcW w:w="2729" w:type="dxa"/>
            <w:gridSpan w:val="5"/>
            <w:shd w:val="clear" w:color="auto" w:fill="D9E2F3"/>
          </w:tcPr>
          <w:p w14:paraId="607A3D10" w14:textId="77777777" w:rsidR="00B80AA5" w:rsidRPr="00B7090C" w:rsidRDefault="00B80AA5" w:rsidP="00FD6B98">
            <w:pPr>
              <w:spacing w:before="40" w:after="40" w:line="240" w:lineRule="auto"/>
              <w:jc w:val="center"/>
              <w:rPr>
                <w:rFonts w:ascii="Arial Narrow" w:hAnsi="Arial Narrow" w:cs="Arial"/>
                <w:b/>
                <w:color w:val="000000"/>
                <w:sz w:val="20"/>
                <w:szCs w:val="20"/>
              </w:rPr>
            </w:pPr>
            <w:r w:rsidRPr="00B7090C">
              <w:rPr>
                <w:rFonts w:ascii="Arial Narrow" w:hAnsi="Arial Narrow" w:cs="Arial"/>
                <w:b/>
                <w:color w:val="000000"/>
                <w:sz w:val="20"/>
                <w:szCs w:val="20"/>
              </w:rPr>
              <w:t>Cilj</w:t>
            </w:r>
            <w:r>
              <w:rPr>
                <w:rFonts w:ascii="Arial Narrow" w:hAnsi="Arial Narrow" w:cs="Arial"/>
                <w:b/>
                <w:color w:val="000000"/>
                <w:sz w:val="20"/>
                <w:szCs w:val="20"/>
              </w:rPr>
              <w:t xml:space="preserve"> 3.</w:t>
            </w:r>
            <w:r w:rsidRPr="00B7090C">
              <w:rPr>
                <w:rFonts w:ascii="Arial Narrow" w:hAnsi="Arial Narrow" w:cs="Arial"/>
                <w:b/>
                <w:color w:val="000000"/>
                <w:sz w:val="20"/>
                <w:szCs w:val="20"/>
              </w:rPr>
              <w:t>4</w:t>
            </w:r>
            <w:r>
              <w:rPr>
                <w:rFonts w:ascii="Arial Narrow" w:hAnsi="Arial Narrow" w:cs="Arial"/>
                <w:b/>
                <w:color w:val="000000"/>
                <w:sz w:val="20"/>
                <w:szCs w:val="20"/>
              </w:rPr>
              <w:t>.</w:t>
            </w:r>
          </w:p>
        </w:tc>
        <w:tc>
          <w:tcPr>
            <w:tcW w:w="12157" w:type="dxa"/>
            <w:gridSpan w:val="27"/>
            <w:shd w:val="clear" w:color="auto" w:fill="D9E2F3"/>
          </w:tcPr>
          <w:p w14:paraId="4C857098" w14:textId="77777777" w:rsidR="00B80AA5" w:rsidRPr="00B7090C" w:rsidRDefault="00B80AA5" w:rsidP="00FD6B98">
            <w:pPr>
              <w:rPr>
                <w:rFonts w:ascii="Arial Narrow" w:hAnsi="Arial Narrow" w:cs="Arial"/>
                <w:b/>
                <w:color w:val="000000"/>
                <w:sz w:val="20"/>
                <w:szCs w:val="20"/>
              </w:rPr>
            </w:pPr>
            <w:r w:rsidRPr="00B7090C">
              <w:rPr>
                <w:rFonts w:ascii="Arial Narrow" w:hAnsi="Arial Narrow" w:cs="Arial"/>
                <w:b/>
                <w:sz w:val="20"/>
                <w:szCs w:val="20"/>
              </w:rPr>
              <w:t>Unaprijeđenje stanja i očuvanje životne sredine</w:t>
            </w:r>
          </w:p>
        </w:tc>
      </w:tr>
      <w:tr w:rsidR="00B80AA5" w:rsidRPr="00B7090C" w14:paraId="769D5E3F" w14:textId="77777777" w:rsidTr="00EA56E8">
        <w:tc>
          <w:tcPr>
            <w:tcW w:w="2729" w:type="dxa"/>
            <w:gridSpan w:val="5"/>
            <w:shd w:val="clear" w:color="auto" w:fill="DAF2F6"/>
          </w:tcPr>
          <w:p w14:paraId="6997DB67" w14:textId="77777777" w:rsidR="00B80AA5" w:rsidRPr="00B7090C" w:rsidRDefault="00B80AA5" w:rsidP="00FD6B98">
            <w:pPr>
              <w:spacing w:before="40" w:after="4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Indikator učinka</w:t>
            </w:r>
          </w:p>
        </w:tc>
        <w:tc>
          <w:tcPr>
            <w:tcW w:w="3122" w:type="dxa"/>
            <w:gridSpan w:val="8"/>
            <w:shd w:val="clear" w:color="auto" w:fill="DAF2F6"/>
          </w:tcPr>
          <w:p w14:paraId="01C8F45C" w14:textId="77777777" w:rsidR="00B80AA5" w:rsidRPr="00B7090C" w:rsidRDefault="00B80AA5" w:rsidP="00FD6B98">
            <w:pPr>
              <w:spacing w:before="40" w:after="4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Polazna vrijednost – 2021.g</w:t>
            </w:r>
          </w:p>
        </w:tc>
        <w:tc>
          <w:tcPr>
            <w:tcW w:w="3162" w:type="dxa"/>
            <w:gridSpan w:val="7"/>
            <w:shd w:val="clear" w:color="auto" w:fill="DAF2F6"/>
            <w:vAlign w:val="center"/>
          </w:tcPr>
          <w:p w14:paraId="15531D27" w14:textId="77777777" w:rsidR="00B80AA5" w:rsidRPr="00B7090C" w:rsidRDefault="00B80AA5" w:rsidP="00FD6B98">
            <w:pPr>
              <w:spacing w:before="40" w:after="4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Prelazna vrijednost – 2022.g</w:t>
            </w:r>
          </w:p>
        </w:tc>
        <w:tc>
          <w:tcPr>
            <w:tcW w:w="2854" w:type="dxa"/>
            <w:gridSpan w:val="6"/>
            <w:tcBorders>
              <w:bottom w:val="single" w:sz="4" w:space="0" w:color="FFFFFF"/>
            </w:tcBorders>
            <w:shd w:val="clear" w:color="auto" w:fill="DAF2F6"/>
            <w:vAlign w:val="center"/>
          </w:tcPr>
          <w:p w14:paraId="30922FB2" w14:textId="77777777" w:rsidR="00B80AA5" w:rsidRPr="00B7090C" w:rsidRDefault="00B80AA5" w:rsidP="00FD6B98">
            <w:pPr>
              <w:spacing w:before="40" w:after="4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Prelazna vrijednost – 2023.g</w:t>
            </w:r>
          </w:p>
        </w:tc>
        <w:tc>
          <w:tcPr>
            <w:tcW w:w="3019" w:type="dxa"/>
            <w:gridSpan w:val="6"/>
            <w:tcBorders>
              <w:bottom w:val="single" w:sz="4" w:space="0" w:color="FFFFFF"/>
            </w:tcBorders>
            <w:shd w:val="clear" w:color="auto" w:fill="DAF2F6"/>
            <w:vAlign w:val="center"/>
          </w:tcPr>
          <w:p w14:paraId="733C97ED" w14:textId="77777777" w:rsidR="00B80AA5" w:rsidRPr="00B7090C" w:rsidRDefault="00B80AA5" w:rsidP="00FD6B98">
            <w:pPr>
              <w:spacing w:before="40" w:after="4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Ciljna vrijednost - 2024.g</w:t>
            </w:r>
          </w:p>
        </w:tc>
      </w:tr>
      <w:tr w:rsidR="00B80AA5" w:rsidRPr="00B7090C" w14:paraId="118595E2" w14:textId="77777777" w:rsidTr="00EA56E8">
        <w:tc>
          <w:tcPr>
            <w:tcW w:w="2729" w:type="dxa"/>
            <w:gridSpan w:val="5"/>
            <w:shd w:val="clear" w:color="auto" w:fill="DAF2F6"/>
          </w:tcPr>
          <w:p w14:paraId="0E35A089" w14:textId="77777777" w:rsidR="00B80AA5" w:rsidRPr="00AE274D" w:rsidRDefault="00B80AA5" w:rsidP="00FD6B98">
            <w:pPr>
              <w:spacing w:before="40" w:after="40" w:line="240" w:lineRule="auto"/>
              <w:jc w:val="both"/>
              <w:rPr>
                <w:rFonts w:ascii="Arial Narrow" w:hAnsi="Arial Narrow" w:cs="Arial"/>
                <w:bCs/>
                <w:iCs/>
                <w:color w:val="000000"/>
                <w:sz w:val="20"/>
                <w:szCs w:val="20"/>
              </w:rPr>
            </w:pPr>
            <w:r w:rsidRPr="00AE274D">
              <w:rPr>
                <w:rFonts w:ascii="Arial Narrow" w:hAnsi="Arial Narrow" w:cs="Arial"/>
                <w:bCs/>
                <w:iCs/>
                <w:color w:val="000000"/>
                <w:sz w:val="20"/>
                <w:szCs w:val="20"/>
              </w:rPr>
              <w:lastRenderedPageBreak/>
              <w:t>Procenat količina otpada pripremljenih za ponovnu upotrebu i recikliranje</w:t>
            </w:r>
            <w:r w:rsidRPr="00AE274D">
              <w:rPr>
                <w:rFonts w:ascii="Arial Narrow" w:hAnsi="Arial Narrow" w:cs="Arial"/>
                <w:bCs/>
                <w:iCs/>
                <w:color w:val="000000"/>
                <w:sz w:val="20"/>
                <w:szCs w:val="20"/>
                <w:vertAlign w:val="superscript"/>
              </w:rPr>
              <w:footnoteReference w:id="23"/>
            </w:r>
          </w:p>
        </w:tc>
        <w:tc>
          <w:tcPr>
            <w:tcW w:w="3122" w:type="dxa"/>
            <w:gridSpan w:val="8"/>
            <w:shd w:val="clear" w:color="auto" w:fill="DAF2F6"/>
          </w:tcPr>
          <w:p w14:paraId="3A5C4ECF" w14:textId="77777777" w:rsidR="00B80AA5" w:rsidRPr="00B7090C" w:rsidRDefault="00B80AA5" w:rsidP="00FD6B98">
            <w:pPr>
              <w:spacing w:before="40" w:after="40" w:line="240" w:lineRule="auto"/>
              <w:jc w:val="center"/>
              <w:rPr>
                <w:rFonts w:ascii="Arial Narrow" w:hAnsi="Arial Narrow" w:cs="Arial"/>
                <w:iCs/>
                <w:color w:val="000000"/>
                <w:sz w:val="20"/>
                <w:szCs w:val="20"/>
              </w:rPr>
            </w:pPr>
            <w:r w:rsidRPr="00B7090C">
              <w:rPr>
                <w:rFonts w:ascii="Arial Narrow" w:hAnsi="Arial Narrow" w:cs="Arial"/>
                <w:iCs/>
                <w:color w:val="000000"/>
                <w:sz w:val="20"/>
                <w:szCs w:val="20"/>
              </w:rPr>
              <w:t>15%</w:t>
            </w:r>
          </w:p>
        </w:tc>
        <w:tc>
          <w:tcPr>
            <w:tcW w:w="3162" w:type="dxa"/>
            <w:gridSpan w:val="7"/>
            <w:shd w:val="clear" w:color="auto" w:fill="DAF2F6"/>
          </w:tcPr>
          <w:p w14:paraId="02482708" w14:textId="77777777" w:rsidR="00B80AA5" w:rsidRPr="00B7090C" w:rsidRDefault="00B80AA5" w:rsidP="00FD6B98">
            <w:pPr>
              <w:spacing w:before="40" w:after="40" w:line="240" w:lineRule="auto"/>
              <w:jc w:val="center"/>
              <w:rPr>
                <w:rFonts w:ascii="Arial Narrow" w:hAnsi="Arial Narrow" w:cs="Arial"/>
                <w:iCs/>
                <w:color w:val="000000"/>
                <w:sz w:val="20"/>
                <w:szCs w:val="20"/>
              </w:rPr>
            </w:pPr>
            <w:r w:rsidRPr="00B7090C">
              <w:rPr>
                <w:rFonts w:ascii="Arial Narrow" w:hAnsi="Arial Narrow" w:cs="Arial"/>
                <w:iCs/>
                <w:color w:val="000000"/>
                <w:sz w:val="20"/>
                <w:szCs w:val="20"/>
              </w:rPr>
              <w:t>18%</w:t>
            </w:r>
          </w:p>
        </w:tc>
        <w:tc>
          <w:tcPr>
            <w:tcW w:w="2854" w:type="dxa"/>
            <w:gridSpan w:val="6"/>
            <w:shd w:val="clear" w:color="auto" w:fill="DAF2F6"/>
          </w:tcPr>
          <w:p w14:paraId="250E0A7E" w14:textId="77777777" w:rsidR="00B80AA5" w:rsidRPr="00B7090C" w:rsidRDefault="00B80AA5" w:rsidP="00FD6B98">
            <w:pPr>
              <w:spacing w:before="40" w:after="40" w:line="240" w:lineRule="auto"/>
              <w:jc w:val="center"/>
              <w:rPr>
                <w:rFonts w:ascii="Arial Narrow" w:hAnsi="Arial Narrow" w:cs="Arial"/>
                <w:iCs/>
                <w:color w:val="000000"/>
                <w:sz w:val="20"/>
                <w:szCs w:val="20"/>
              </w:rPr>
            </w:pPr>
            <w:r w:rsidRPr="00B7090C">
              <w:rPr>
                <w:rFonts w:ascii="Arial Narrow" w:hAnsi="Arial Narrow" w:cs="Arial"/>
                <w:iCs/>
                <w:color w:val="000000"/>
                <w:sz w:val="20"/>
                <w:szCs w:val="20"/>
              </w:rPr>
              <w:t>22%</w:t>
            </w:r>
          </w:p>
        </w:tc>
        <w:tc>
          <w:tcPr>
            <w:tcW w:w="3019" w:type="dxa"/>
            <w:gridSpan w:val="6"/>
            <w:shd w:val="clear" w:color="auto" w:fill="DAF2F6"/>
          </w:tcPr>
          <w:p w14:paraId="26B53A2D" w14:textId="77777777" w:rsidR="00B80AA5" w:rsidRPr="00B7090C" w:rsidRDefault="00B80AA5" w:rsidP="00FD6B98">
            <w:pPr>
              <w:spacing w:before="40" w:after="40" w:line="240" w:lineRule="auto"/>
              <w:jc w:val="center"/>
              <w:rPr>
                <w:rFonts w:ascii="Arial Narrow" w:hAnsi="Arial Narrow" w:cs="Arial"/>
                <w:iCs/>
                <w:color w:val="000000"/>
                <w:sz w:val="20"/>
                <w:szCs w:val="20"/>
              </w:rPr>
            </w:pPr>
            <w:r w:rsidRPr="00B7090C">
              <w:rPr>
                <w:rFonts w:ascii="Arial Narrow" w:hAnsi="Arial Narrow" w:cs="Arial"/>
                <w:iCs/>
                <w:color w:val="000000"/>
                <w:sz w:val="20"/>
                <w:szCs w:val="20"/>
              </w:rPr>
              <w:t>25 %</w:t>
            </w:r>
          </w:p>
        </w:tc>
      </w:tr>
      <w:tr w:rsidR="00B80AA5" w:rsidRPr="00B7090C" w14:paraId="4A66A6F7" w14:textId="77777777" w:rsidTr="00EA56E8">
        <w:tc>
          <w:tcPr>
            <w:tcW w:w="2729" w:type="dxa"/>
            <w:gridSpan w:val="5"/>
            <w:shd w:val="clear" w:color="auto" w:fill="DAF2F6"/>
          </w:tcPr>
          <w:p w14:paraId="4CD3C828" w14:textId="77777777" w:rsidR="00B80AA5" w:rsidRPr="00AE274D" w:rsidRDefault="00B80AA5" w:rsidP="00FD6B98">
            <w:pPr>
              <w:spacing w:before="40" w:after="40"/>
              <w:jc w:val="both"/>
              <w:rPr>
                <w:rFonts w:ascii="Arial Narrow" w:hAnsi="Arial Narrow" w:cs="Arial"/>
                <w:bCs/>
                <w:iCs/>
                <w:color w:val="000000"/>
                <w:sz w:val="20"/>
                <w:szCs w:val="20"/>
              </w:rPr>
            </w:pPr>
            <w:r w:rsidRPr="00AE274D">
              <w:rPr>
                <w:rFonts w:ascii="Arial Narrow" w:hAnsi="Arial Narrow" w:cs="Arial"/>
                <w:bCs/>
                <w:iCs/>
                <w:color w:val="000000"/>
                <w:sz w:val="20"/>
                <w:szCs w:val="20"/>
              </w:rPr>
              <w:t>Udio zaštićenih područja u ukupnoj teritoriji Crne Gore do 2024. godine</w:t>
            </w:r>
          </w:p>
        </w:tc>
        <w:tc>
          <w:tcPr>
            <w:tcW w:w="3122" w:type="dxa"/>
            <w:gridSpan w:val="8"/>
            <w:shd w:val="clear" w:color="auto" w:fill="DAF2F6"/>
          </w:tcPr>
          <w:p w14:paraId="73B28430" w14:textId="77777777" w:rsidR="00B80AA5" w:rsidRPr="00B7090C" w:rsidRDefault="00B80AA5" w:rsidP="00FD6B98">
            <w:pPr>
              <w:spacing w:before="40" w:after="40"/>
              <w:jc w:val="center"/>
              <w:rPr>
                <w:rFonts w:ascii="Arial Narrow" w:hAnsi="Arial Narrow" w:cs="Arial"/>
                <w:iCs/>
                <w:color w:val="000000"/>
                <w:sz w:val="20"/>
                <w:szCs w:val="20"/>
              </w:rPr>
            </w:pPr>
            <w:r w:rsidRPr="00B7090C">
              <w:rPr>
                <w:rFonts w:ascii="Arial Narrow" w:hAnsi="Arial Narrow" w:cs="Arial"/>
                <w:iCs/>
                <w:color w:val="000000"/>
                <w:sz w:val="20"/>
                <w:szCs w:val="20"/>
              </w:rPr>
              <w:t>13%</w:t>
            </w:r>
          </w:p>
        </w:tc>
        <w:tc>
          <w:tcPr>
            <w:tcW w:w="3162" w:type="dxa"/>
            <w:gridSpan w:val="7"/>
            <w:shd w:val="clear" w:color="auto" w:fill="DAF2F6"/>
          </w:tcPr>
          <w:p w14:paraId="22862797" w14:textId="77777777" w:rsidR="00B80AA5" w:rsidRPr="00B7090C" w:rsidRDefault="00B80AA5" w:rsidP="00FD6B98">
            <w:pPr>
              <w:spacing w:before="40" w:after="40"/>
              <w:jc w:val="center"/>
              <w:rPr>
                <w:rFonts w:ascii="Arial Narrow" w:hAnsi="Arial Narrow" w:cs="Arial"/>
                <w:iCs/>
                <w:color w:val="000000"/>
                <w:sz w:val="20"/>
                <w:szCs w:val="20"/>
              </w:rPr>
            </w:pPr>
            <w:r w:rsidRPr="00B7090C">
              <w:rPr>
                <w:rFonts w:ascii="Arial Narrow" w:hAnsi="Arial Narrow" w:cs="Arial"/>
                <w:iCs/>
                <w:color w:val="000000"/>
                <w:sz w:val="20"/>
                <w:szCs w:val="20"/>
              </w:rPr>
              <w:t>14%</w:t>
            </w:r>
          </w:p>
        </w:tc>
        <w:tc>
          <w:tcPr>
            <w:tcW w:w="2854" w:type="dxa"/>
            <w:gridSpan w:val="6"/>
            <w:shd w:val="clear" w:color="auto" w:fill="DAF2F6"/>
          </w:tcPr>
          <w:p w14:paraId="0FA992F7" w14:textId="77777777" w:rsidR="00B80AA5" w:rsidRPr="00B7090C" w:rsidRDefault="00B80AA5" w:rsidP="00FD6B98">
            <w:pPr>
              <w:spacing w:before="40" w:after="40"/>
              <w:jc w:val="center"/>
              <w:rPr>
                <w:rFonts w:ascii="Arial Narrow" w:hAnsi="Arial Narrow" w:cs="Arial"/>
                <w:iCs/>
                <w:color w:val="000000"/>
                <w:sz w:val="20"/>
                <w:szCs w:val="20"/>
              </w:rPr>
            </w:pPr>
            <w:r w:rsidRPr="00B7090C">
              <w:rPr>
                <w:rFonts w:ascii="Arial Narrow" w:hAnsi="Arial Narrow" w:cs="Arial"/>
                <w:iCs/>
                <w:color w:val="000000"/>
                <w:sz w:val="20"/>
                <w:szCs w:val="20"/>
              </w:rPr>
              <w:t>15%</w:t>
            </w:r>
          </w:p>
        </w:tc>
        <w:tc>
          <w:tcPr>
            <w:tcW w:w="3019" w:type="dxa"/>
            <w:gridSpan w:val="6"/>
            <w:shd w:val="clear" w:color="auto" w:fill="DAF2F6"/>
          </w:tcPr>
          <w:p w14:paraId="7777CFAA" w14:textId="77777777" w:rsidR="00B80AA5" w:rsidRPr="00B7090C" w:rsidRDefault="00B80AA5" w:rsidP="00FD6B98">
            <w:pPr>
              <w:spacing w:before="40" w:after="40"/>
              <w:jc w:val="center"/>
              <w:rPr>
                <w:rFonts w:ascii="Arial Narrow" w:hAnsi="Arial Narrow" w:cs="Arial"/>
                <w:iCs/>
                <w:color w:val="000000"/>
                <w:sz w:val="20"/>
                <w:szCs w:val="20"/>
              </w:rPr>
            </w:pPr>
            <w:r w:rsidRPr="00B7090C">
              <w:rPr>
                <w:rFonts w:ascii="Arial Narrow" w:hAnsi="Arial Narrow" w:cs="Arial"/>
                <w:iCs/>
                <w:color w:val="000000"/>
                <w:sz w:val="20"/>
                <w:szCs w:val="20"/>
              </w:rPr>
              <w:t>17%</w:t>
            </w:r>
          </w:p>
        </w:tc>
      </w:tr>
      <w:tr w:rsidR="00B80AA5" w:rsidRPr="00B7090C" w14:paraId="18B90139" w14:textId="77777777" w:rsidTr="00EA56E8">
        <w:tc>
          <w:tcPr>
            <w:tcW w:w="2729" w:type="dxa"/>
            <w:gridSpan w:val="5"/>
            <w:shd w:val="clear" w:color="auto" w:fill="FFF2CC"/>
            <w:vAlign w:val="center"/>
          </w:tcPr>
          <w:p w14:paraId="5F203575"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Aktivnosti</w:t>
            </w:r>
          </w:p>
        </w:tc>
        <w:tc>
          <w:tcPr>
            <w:tcW w:w="2357" w:type="dxa"/>
            <w:gridSpan w:val="4"/>
            <w:shd w:val="clear" w:color="auto" w:fill="FFF2CC"/>
            <w:vAlign w:val="center"/>
          </w:tcPr>
          <w:p w14:paraId="71AFC0A3"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Indikator rezultata</w:t>
            </w:r>
          </w:p>
        </w:tc>
        <w:tc>
          <w:tcPr>
            <w:tcW w:w="2240" w:type="dxa"/>
            <w:gridSpan w:val="8"/>
            <w:shd w:val="clear" w:color="auto" w:fill="FFF2CC"/>
            <w:vAlign w:val="center"/>
          </w:tcPr>
          <w:p w14:paraId="7E7E2612"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Nadležne institucije i nadležna komisija</w:t>
            </w:r>
          </w:p>
        </w:tc>
        <w:tc>
          <w:tcPr>
            <w:tcW w:w="1687" w:type="dxa"/>
            <w:gridSpan w:val="3"/>
            <w:shd w:val="clear" w:color="auto" w:fill="FFF2CC"/>
            <w:vAlign w:val="center"/>
          </w:tcPr>
          <w:p w14:paraId="4887804B"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Planirani početak i završetak aktivnosti</w:t>
            </w:r>
          </w:p>
        </w:tc>
        <w:tc>
          <w:tcPr>
            <w:tcW w:w="1948" w:type="dxa"/>
            <w:gridSpan w:val="2"/>
            <w:shd w:val="clear" w:color="auto" w:fill="FFF2CC"/>
            <w:vAlign w:val="center"/>
          </w:tcPr>
          <w:p w14:paraId="11518B8D"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Sredstva za realizaciju  i informacija o izradi RIA</w:t>
            </w:r>
          </w:p>
        </w:tc>
        <w:tc>
          <w:tcPr>
            <w:tcW w:w="1697" w:type="dxa"/>
            <w:gridSpan w:val="9"/>
            <w:shd w:val="clear" w:color="auto" w:fill="FFF2CC"/>
            <w:vAlign w:val="center"/>
          </w:tcPr>
          <w:p w14:paraId="00634C96"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 xml:space="preserve"> Izvor finansiranja</w:t>
            </w:r>
          </w:p>
        </w:tc>
        <w:tc>
          <w:tcPr>
            <w:tcW w:w="2228" w:type="dxa"/>
            <w:shd w:val="clear" w:color="auto" w:fill="FFF2CC"/>
            <w:vAlign w:val="center"/>
          </w:tcPr>
          <w:p w14:paraId="7C7DB7FB" w14:textId="77777777" w:rsidR="00B80AA5" w:rsidRPr="00B7090C" w:rsidRDefault="00B80AA5" w:rsidP="00FD6B98">
            <w:pPr>
              <w:spacing w:before="20" w:after="20" w:line="240" w:lineRule="auto"/>
              <w:jc w:val="both"/>
              <w:rPr>
                <w:rFonts w:ascii="Arial Narrow" w:hAnsi="Arial Narrow" w:cs="Arial"/>
                <w:b/>
                <w:color w:val="000000"/>
                <w:sz w:val="20"/>
                <w:szCs w:val="20"/>
              </w:rPr>
            </w:pPr>
          </w:p>
          <w:p w14:paraId="7E081FCD"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Obrazloženje</w:t>
            </w:r>
          </w:p>
        </w:tc>
      </w:tr>
      <w:tr w:rsidR="00B80AA5" w:rsidRPr="00B7090C" w14:paraId="3ADD8762" w14:textId="77777777" w:rsidTr="00EA56E8">
        <w:tc>
          <w:tcPr>
            <w:tcW w:w="676" w:type="dxa"/>
            <w:shd w:val="clear" w:color="auto" w:fill="auto"/>
          </w:tcPr>
          <w:p w14:paraId="0C70A407"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t>1.</w:t>
            </w:r>
          </w:p>
        </w:tc>
        <w:tc>
          <w:tcPr>
            <w:tcW w:w="2053" w:type="dxa"/>
            <w:gridSpan w:val="4"/>
            <w:shd w:val="clear" w:color="auto" w:fill="auto"/>
          </w:tcPr>
          <w:p w14:paraId="58515C7C"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Pripremiti Početnu procjenu stanja morske sredine</w:t>
            </w:r>
          </w:p>
        </w:tc>
        <w:tc>
          <w:tcPr>
            <w:tcW w:w="2357" w:type="dxa"/>
            <w:gridSpan w:val="4"/>
            <w:shd w:val="clear" w:color="auto" w:fill="auto"/>
          </w:tcPr>
          <w:p w14:paraId="4455E6E0"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Utvrđena Početna procjena stanja morske sredine</w:t>
            </w:r>
          </w:p>
        </w:tc>
        <w:tc>
          <w:tcPr>
            <w:tcW w:w="2240" w:type="dxa"/>
            <w:gridSpan w:val="8"/>
            <w:shd w:val="clear" w:color="auto" w:fill="auto"/>
          </w:tcPr>
          <w:p w14:paraId="2E86F372"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0A362E9D" w14:textId="77777777" w:rsidR="00B80AA5" w:rsidRPr="00B7090C" w:rsidRDefault="00B80AA5" w:rsidP="00FD6B98">
            <w:pPr>
              <w:spacing w:before="20" w:after="20"/>
              <w:jc w:val="both"/>
              <w:rPr>
                <w:rFonts w:ascii="Arial Narrow" w:hAnsi="Arial Narrow" w:cs="Arial"/>
                <w:color w:val="000000"/>
                <w:sz w:val="20"/>
                <w:szCs w:val="20"/>
              </w:rPr>
            </w:pPr>
          </w:p>
          <w:p w14:paraId="5BA6FA7A"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P: MPLjMP, MKI, IBM, JPMDCG, HMZ </w:t>
            </w:r>
          </w:p>
          <w:p w14:paraId="2FE3F210" w14:textId="77777777" w:rsidR="00B80AA5" w:rsidRPr="00B7090C" w:rsidRDefault="00B80AA5" w:rsidP="00FD6B98">
            <w:pPr>
              <w:spacing w:before="20" w:after="20"/>
              <w:jc w:val="both"/>
              <w:rPr>
                <w:rFonts w:ascii="Arial Narrow" w:hAnsi="Arial Narrow" w:cs="Arial"/>
                <w:color w:val="000000"/>
                <w:sz w:val="20"/>
                <w:szCs w:val="20"/>
              </w:rPr>
            </w:pPr>
          </w:p>
          <w:p w14:paraId="56CA1E30"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w:t>
            </w:r>
          </w:p>
          <w:p w14:paraId="22F4F121" w14:textId="77777777" w:rsidR="00B80AA5" w:rsidRPr="00B7090C" w:rsidRDefault="00B80AA5" w:rsidP="00FD6B98">
            <w:pPr>
              <w:spacing w:before="20" w:after="20"/>
              <w:jc w:val="both"/>
              <w:rPr>
                <w:rFonts w:ascii="Arial Narrow" w:hAnsi="Arial Narrow" w:cs="Arial"/>
                <w:color w:val="000000"/>
                <w:sz w:val="20"/>
                <w:szCs w:val="20"/>
              </w:rPr>
            </w:pPr>
          </w:p>
          <w:p w14:paraId="29D342BA" w14:textId="77777777" w:rsidR="00B80AA5" w:rsidRPr="00B7090C" w:rsidRDefault="00B80AA5" w:rsidP="00FD6B98">
            <w:pPr>
              <w:spacing w:before="20" w:after="20"/>
              <w:jc w:val="both"/>
              <w:rPr>
                <w:rFonts w:ascii="Arial Narrow" w:hAnsi="Arial Narrow" w:cs="Arial"/>
                <w:color w:val="000000"/>
                <w:sz w:val="20"/>
                <w:szCs w:val="20"/>
              </w:rPr>
            </w:pPr>
          </w:p>
        </w:tc>
        <w:tc>
          <w:tcPr>
            <w:tcW w:w="1687" w:type="dxa"/>
            <w:gridSpan w:val="3"/>
            <w:shd w:val="clear" w:color="auto" w:fill="auto"/>
          </w:tcPr>
          <w:p w14:paraId="28B394D7"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 - II Q 2022.</w:t>
            </w:r>
          </w:p>
          <w:p w14:paraId="0C61C996" w14:textId="77777777" w:rsidR="00B80AA5" w:rsidRPr="00B7090C" w:rsidRDefault="00B80AA5" w:rsidP="00FD6B98">
            <w:pPr>
              <w:spacing w:before="20" w:after="20"/>
              <w:jc w:val="both"/>
              <w:rPr>
                <w:rFonts w:ascii="Arial Narrow" w:hAnsi="Arial Narrow" w:cs="Arial"/>
                <w:color w:val="000000"/>
                <w:sz w:val="20"/>
                <w:szCs w:val="20"/>
              </w:rPr>
            </w:pPr>
          </w:p>
        </w:tc>
        <w:tc>
          <w:tcPr>
            <w:tcW w:w="1948" w:type="dxa"/>
            <w:gridSpan w:val="2"/>
            <w:shd w:val="clear" w:color="auto" w:fill="auto"/>
          </w:tcPr>
          <w:p w14:paraId="1E7F2BED"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697" w:type="dxa"/>
            <w:gridSpan w:val="9"/>
            <w:shd w:val="clear" w:color="auto" w:fill="auto"/>
          </w:tcPr>
          <w:p w14:paraId="0FC4F1ED"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IPA projekat „Podrška implementaciji i monitoringu upravljanja vodama u Crnoj Gori“</w:t>
            </w:r>
          </w:p>
        </w:tc>
        <w:tc>
          <w:tcPr>
            <w:tcW w:w="2228" w:type="dxa"/>
            <w:shd w:val="clear" w:color="auto" w:fill="auto"/>
          </w:tcPr>
          <w:p w14:paraId="1181C7E0"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Početna procjena stanja morske sredine predstavlja prvi dokument Strategije zaštite morske sredine, shodno Zakonu o zaštiti morske sredine, u kojem će se konstatovati trenutno stanje, osnovne karakteristike i pritisci, i na osnovu kojeg će se utvrditi program monitoringa i mjere za postizanje i/ili održavanje dobrog stanja morske sredine.</w:t>
            </w:r>
          </w:p>
        </w:tc>
      </w:tr>
      <w:tr w:rsidR="00B80AA5" w:rsidRPr="00B7090C" w14:paraId="17C72DFB" w14:textId="77777777" w:rsidTr="00EA56E8">
        <w:tc>
          <w:tcPr>
            <w:tcW w:w="676" w:type="dxa"/>
            <w:shd w:val="clear" w:color="auto" w:fill="auto"/>
          </w:tcPr>
          <w:p w14:paraId="5F9F9E7B"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t>2.</w:t>
            </w:r>
          </w:p>
        </w:tc>
        <w:tc>
          <w:tcPr>
            <w:tcW w:w="2053" w:type="dxa"/>
            <w:gridSpan w:val="4"/>
            <w:shd w:val="clear" w:color="auto" w:fill="auto"/>
          </w:tcPr>
          <w:p w14:paraId="098FB366"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Pripremiti karaktersitike, ciljeve i indikatore dobrog stanja morske sredine</w:t>
            </w:r>
          </w:p>
        </w:tc>
        <w:tc>
          <w:tcPr>
            <w:tcW w:w="2357" w:type="dxa"/>
            <w:gridSpan w:val="4"/>
            <w:shd w:val="clear" w:color="auto" w:fill="auto"/>
          </w:tcPr>
          <w:p w14:paraId="68E1F3F1" w14:textId="77777777" w:rsidR="00B80AA5" w:rsidRPr="00B7090C" w:rsidRDefault="00B80AA5" w:rsidP="00FD6B98">
            <w:pPr>
              <w:spacing w:before="20" w:after="20"/>
              <w:jc w:val="both"/>
              <w:rPr>
                <w:rFonts w:ascii="Arial Narrow" w:hAnsi="Arial Narrow" w:cs="Arial"/>
                <w:color w:val="000000"/>
                <w:sz w:val="20"/>
                <w:szCs w:val="20"/>
              </w:rPr>
            </w:pPr>
          </w:p>
        </w:tc>
        <w:tc>
          <w:tcPr>
            <w:tcW w:w="2240" w:type="dxa"/>
            <w:gridSpan w:val="8"/>
            <w:shd w:val="clear" w:color="auto" w:fill="auto"/>
          </w:tcPr>
          <w:p w14:paraId="3F5864FA"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3D26B166" w14:textId="77777777" w:rsidR="00B80AA5" w:rsidRPr="00B7090C" w:rsidRDefault="00B80AA5" w:rsidP="00FD6B98">
            <w:pPr>
              <w:spacing w:before="20" w:after="20"/>
              <w:jc w:val="both"/>
              <w:rPr>
                <w:rFonts w:ascii="Arial Narrow" w:hAnsi="Arial Narrow" w:cs="Arial"/>
                <w:color w:val="000000"/>
                <w:sz w:val="20"/>
                <w:szCs w:val="20"/>
              </w:rPr>
            </w:pPr>
          </w:p>
          <w:p w14:paraId="10706316"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 MPLjMP, MKI, IBM, JPMDCG, HMZ</w:t>
            </w:r>
          </w:p>
          <w:p w14:paraId="4295EBFA" w14:textId="77777777" w:rsidR="00B80AA5" w:rsidRPr="00B7090C" w:rsidRDefault="00B80AA5" w:rsidP="00FD6B98">
            <w:pPr>
              <w:spacing w:before="20" w:after="20"/>
              <w:jc w:val="both"/>
              <w:rPr>
                <w:rFonts w:ascii="Arial Narrow" w:hAnsi="Arial Narrow" w:cs="Arial"/>
                <w:color w:val="000000"/>
                <w:sz w:val="20"/>
                <w:szCs w:val="20"/>
              </w:rPr>
            </w:pPr>
          </w:p>
          <w:p w14:paraId="0C8ABD60"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w:t>
            </w:r>
          </w:p>
          <w:p w14:paraId="418FC066" w14:textId="77777777" w:rsidR="00B80AA5" w:rsidRPr="00B7090C" w:rsidRDefault="00B80AA5" w:rsidP="00FD6B98">
            <w:pPr>
              <w:spacing w:before="20" w:after="20"/>
              <w:jc w:val="both"/>
              <w:rPr>
                <w:rFonts w:ascii="Arial Narrow" w:hAnsi="Arial Narrow" w:cs="Arial"/>
                <w:color w:val="000000"/>
                <w:sz w:val="20"/>
                <w:szCs w:val="20"/>
              </w:rPr>
            </w:pPr>
          </w:p>
        </w:tc>
        <w:tc>
          <w:tcPr>
            <w:tcW w:w="1687" w:type="dxa"/>
            <w:gridSpan w:val="3"/>
            <w:shd w:val="clear" w:color="auto" w:fill="auto"/>
          </w:tcPr>
          <w:p w14:paraId="42D4EF8F"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 - II Q 2022.</w:t>
            </w:r>
          </w:p>
          <w:p w14:paraId="7DF70701" w14:textId="77777777" w:rsidR="00B80AA5" w:rsidRPr="00B7090C" w:rsidRDefault="00B80AA5" w:rsidP="00FD6B98">
            <w:pPr>
              <w:spacing w:before="20" w:after="20"/>
              <w:jc w:val="both"/>
              <w:rPr>
                <w:rFonts w:ascii="Arial Narrow" w:hAnsi="Arial Narrow" w:cs="Arial"/>
                <w:color w:val="000000"/>
                <w:sz w:val="20"/>
                <w:szCs w:val="20"/>
              </w:rPr>
            </w:pPr>
          </w:p>
        </w:tc>
        <w:tc>
          <w:tcPr>
            <w:tcW w:w="1948" w:type="dxa"/>
            <w:gridSpan w:val="2"/>
            <w:shd w:val="clear" w:color="auto" w:fill="auto"/>
          </w:tcPr>
          <w:p w14:paraId="08D4AB33"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697" w:type="dxa"/>
            <w:gridSpan w:val="9"/>
            <w:shd w:val="clear" w:color="auto" w:fill="auto"/>
          </w:tcPr>
          <w:p w14:paraId="61B8847D"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IPA projekat „Podrška implementaciji i monitoringu upravljanja vodama u Crnoj Gori“</w:t>
            </w:r>
          </w:p>
        </w:tc>
        <w:tc>
          <w:tcPr>
            <w:tcW w:w="2228" w:type="dxa"/>
            <w:shd w:val="clear" w:color="auto" w:fill="auto"/>
          </w:tcPr>
          <w:p w14:paraId="7EBF9BC1"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Karakteristike, ciljevi i indikatori dobrog stanja morske sredine nadovezuje se na početnu procjenu stanja morske sredine, sastavni je element Strategije i daje osnovu za definisanje programa monitoringa i mjera.</w:t>
            </w:r>
          </w:p>
        </w:tc>
      </w:tr>
      <w:tr w:rsidR="00B80AA5" w:rsidRPr="00B7090C" w14:paraId="20502266" w14:textId="77777777" w:rsidTr="00EA56E8">
        <w:tc>
          <w:tcPr>
            <w:tcW w:w="676" w:type="dxa"/>
            <w:shd w:val="clear" w:color="auto" w:fill="auto"/>
          </w:tcPr>
          <w:p w14:paraId="4F3BBB31"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t>3.</w:t>
            </w:r>
          </w:p>
        </w:tc>
        <w:tc>
          <w:tcPr>
            <w:tcW w:w="2053" w:type="dxa"/>
            <w:gridSpan w:val="4"/>
            <w:shd w:val="clear" w:color="auto" w:fill="auto"/>
          </w:tcPr>
          <w:p w14:paraId="41892BCE"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Pripremiti Program monitoringa stanja </w:t>
            </w:r>
            <w:r w:rsidRPr="00B7090C">
              <w:rPr>
                <w:rFonts w:ascii="Arial Narrow" w:hAnsi="Arial Narrow" w:cs="Arial"/>
                <w:color w:val="000000"/>
                <w:sz w:val="20"/>
                <w:szCs w:val="20"/>
              </w:rPr>
              <w:lastRenderedPageBreak/>
              <w:t>morske sredine shodno zahtjevima MSFD</w:t>
            </w:r>
          </w:p>
        </w:tc>
        <w:tc>
          <w:tcPr>
            <w:tcW w:w="2357" w:type="dxa"/>
            <w:gridSpan w:val="4"/>
            <w:shd w:val="clear" w:color="auto" w:fill="auto"/>
          </w:tcPr>
          <w:p w14:paraId="466251FB" w14:textId="77777777" w:rsidR="00B80AA5" w:rsidRPr="00B7090C" w:rsidRDefault="00B80AA5" w:rsidP="00FD6B98">
            <w:pPr>
              <w:spacing w:before="20" w:after="20"/>
              <w:jc w:val="both"/>
              <w:rPr>
                <w:rFonts w:ascii="Arial Narrow" w:hAnsi="Arial Narrow" w:cs="Arial"/>
                <w:color w:val="000000"/>
                <w:sz w:val="20"/>
                <w:szCs w:val="20"/>
              </w:rPr>
            </w:pPr>
          </w:p>
        </w:tc>
        <w:tc>
          <w:tcPr>
            <w:tcW w:w="2240" w:type="dxa"/>
            <w:gridSpan w:val="8"/>
            <w:shd w:val="clear" w:color="auto" w:fill="auto"/>
          </w:tcPr>
          <w:p w14:paraId="44EFE359"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41F1AD04" w14:textId="77777777" w:rsidR="00B80AA5" w:rsidRPr="00B7090C" w:rsidRDefault="00B80AA5" w:rsidP="00FD6B98">
            <w:pPr>
              <w:spacing w:before="20" w:after="20"/>
              <w:jc w:val="both"/>
              <w:rPr>
                <w:rFonts w:ascii="Arial Narrow" w:hAnsi="Arial Narrow" w:cs="Arial"/>
                <w:color w:val="000000"/>
                <w:sz w:val="20"/>
                <w:szCs w:val="20"/>
              </w:rPr>
            </w:pPr>
          </w:p>
          <w:p w14:paraId="6F874A91"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lastRenderedPageBreak/>
              <w:t>P: MPLjMP, MKI, IBM, JPMDCG, HMZ</w:t>
            </w:r>
          </w:p>
          <w:p w14:paraId="34448DE5" w14:textId="77777777" w:rsidR="00B80AA5" w:rsidRPr="00B7090C" w:rsidRDefault="00B80AA5" w:rsidP="00FD6B98">
            <w:pPr>
              <w:spacing w:before="20" w:after="20"/>
              <w:jc w:val="both"/>
              <w:rPr>
                <w:rFonts w:ascii="Arial Narrow" w:hAnsi="Arial Narrow" w:cs="Arial"/>
                <w:color w:val="000000"/>
                <w:sz w:val="20"/>
                <w:szCs w:val="20"/>
              </w:rPr>
            </w:pPr>
          </w:p>
          <w:p w14:paraId="45044F5A"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687" w:type="dxa"/>
            <w:gridSpan w:val="3"/>
            <w:shd w:val="clear" w:color="auto" w:fill="auto"/>
          </w:tcPr>
          <w:p w14:paraId="5164FC45"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lastRenderedPageBreak/>
              <w:t>I - III Q 2022.</w:t>
            </w:r>
          </w:p>
          <w:p w14:paraId="2A2ED555" w14:textId="77777777" w:rsidR="00B80AA5" w:rsidRPr="00B7090C" w:rsidRDefault="00B80AA5" w:rsidP="00FD6B98">
            <w:pPr>
              <w:spacing w:before="20" w:after="20"/>
              <w:jc w:val="both"/>
              <w:rPr>
                <w:rFonts w:ascii="Arial Narrow" w:hAnsi="Arial Narrow" w:cs="Arial"/>
                <w:color w:val="000000"/>
                <w:sz w:val="20"/>
                <w:szCs w:val="20"/>
              </w:rPr>
            </w:pPr>
          </w:p>
        </w:tc>
        <w:tc>
          <w:tcPr>
            <w:tcW w:w="1948" w:type="dxa"/>
            <w:gridSpan w:val="2"/>
            <w:shd w:val="clear" w:color="auto" w:fill="auto"/>
          </w:tcPr>
          <w:p w14:paraId="61BAF7CB"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697" w:type="dxa"/>
            <w:gridSpan w:val="9"/>
            <w:shd w:val="clear" w:color="auto" w:fill="auto"/>
          </w:tcPr>
          <w:p w14:paraId="5CC0FF63"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IPA projekat „Podrška implementaciji i </w:t>
            </w:r>
            <w:r w:rsidRPr="00B7090C">
              <w:rPr>
                <w:rFonts w:ascii="Arial Narrow" w:hAnsi="Arial Narrow" w:cs="Arial"/>
                <w:color w:val="000000"/>
                <w:sz w:val="20"/>
                <w:szCs w:val="20"/>
              </w:rPr>
              <w:lastRenderedPageBreak/>
              <w:t>monitoringu upravljanja vodama u Crnoj Gori“</w:t>
            </w:r>
          </w:p>
        </w:tc>
        <w:tc>
          <w:tcPr>
            <w:tcW w:w="2228" w:type="dxa"/>
            <w:shd w:val="clear" w:color="auto" w:fill="auto"/>
          </w:tcPr>
          <w:p w14:paraId="73124E3B"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lastRenderedPageBreak/>
              <w:t xml:space="preserve">Program monitoringa predstavlja sastavni dio Strategije zaštite morske </w:t>
            </w:r>
            <w:r w:rsidRPr="00B7090C">
              <w:rPr>
                <w:rFonts w:ascii="Arial Narrow" w:hAnsi="Arial Narrow" w:cs="Arial"/>
                <w:color w:val="000000"/>
                <w:sz w:val="20"/>
                <w:szCs w:val="20"/>
              </w:rPr>
              <w:lastRenderedPageBreak/>
              <w:t>sredine, koji se priprema na osnovu početnog stanja a shodno standardima koje propisuje Zakon o zaštiti morske sredine.</w:t>
            </w:r>
          </w:p>
        </w:tc>
      </w:tr>
      <w:tr w:rsidR="00B80AA5" w:rsidRPr="00B7090C" w14:paraId="11F487F8" w14:textId="77777777" w:rsidTr="00EA56E8">
        <w:trPr>
          <w:trHeight w:val="2609"/>
        </w:trPr>
        <w:tc>
          <w:tcPr>
            <w:tcW w:w="676" w:type="dxa"/>
            <w:shd w:val="clear" w:color="auto" w:fill="auto"/>
          </w:tcPr>
          <w:p w14:paraId="3D446B5C" w14:textId="77777777" w:rsidR="00B80AA5" w:rsidRPr="00B7090C" w:rsidRDefault="00B80AA5" w:rsidP="00FD6B98">
            <w:pPr>
              <w:spacing w:before="20" w:after="20" w:line="240" w:lineRule="auto"/>
              <w:jc w:val="right"/>
              <w:rPr>
                <w:rFonts w:ascii="Arial Narrow" w:hAnsi="Arial Narrow" w:cs="Arial"/>
                <w:color w:val="000000"/>
                <w:sz w:val="20"/>
                <w:szCs w:val="20"/>
              </w:rPr>
            </w:pPr>
            <w:r w:rsidRPr="00B7090C">
              <w:rPr>
                <w:rFonts w:ascii="Arial Narrow" w:hAnsi="Arial Narrow" w:cs="Arial"/>
                <w:color w:val="000000"/>
                <w:sz w:val="20"/>
                <w:szCs w:val="20"/>
              </w:rPr>
              <w:t>4.</w:t>
            </w:r>
          </w:p>
        </w:tc>
        <w:tc>
          <w:tcPr>
            <w:tcW w:w="2053" w:type="dxa"/>
            <w:gridSpan w:val="4"/>
            <w:shd w:val="clear" w:color="auto" w:fill="auto"/>
          </w:tcPr>
          <w:p w14:paraId="04D78D21"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Izrada Državnog plana upravljanja otpadom u Crnoj Gori za period 2022-2027. godina </w:t>
            </w:r>
          </w:p>
        </w:tc>
        <w:tc>
          <w:tcPr>
            <w:tcW w:w="2357" w:type="dxa"/>
            <w:gridSpan w:val="4"/>
            <w:shd w:val="clear" w:color="auto" w:fill="auto"/>
          </w:tcPr>
          <w:p w14:paraId="5C4DE342"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Usvojen Državni plan upravljanja otpadom u Crnoj Gori za period 2022-2027. godina</w:t>
            </w:r>
          </w:p>
          <w:p w14:paraId="331444A0"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2B998C50" w14:textId="77777777" w:rsidR="00B80AA5" w:rsidRPr="00B7090C" w:rsidRDefault="00B80AA5" w:rsidP="00FD6B98">
            <w:pPr>
              <w:spacing w:before="20" w:after="20" w:line="240" w:lineRule="auto"/>
              <w:jc w:val="both"/>
              <w:rPr>
                <w:rFonts w:ascii="Arial Narrow" w:hAnsi="Arial Narrow" w:cs="Arial"/>
                <w:color w:val="000000"/>
                <w:sz w:val="20"/>
                <w:szCs w:val="20"/>
              </w:rPr>
            </w:pPr>
          </w:p>
        </w:tc>
        <w:tc>
          <w:tcPr>
            <w:tcW w:w="2240" w:type="dxa"/>
            <w:gridSpan w:val="8"/>
            <w:shd w:val="clear" w:color="auto" w:fill="auto"/>
          </w:tcPr>
          <w:p w14:paraId="3CA898E7"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2AFEA678"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06450730"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687" w:type="dxa"/>
            <w:gridSpan w:val="3"/>
            <w:shd w:val="clear" w:color="auto" w:fill="auto"/>
          </w:tcPr>
          <w:p w14:paraId="21317BC1"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 - III Q 2022.</w:t>
            </w:r>
          </w:p>
          <w:p w14:paraId="02656140" w14:textId="77777777" w:rsidR="00B80AA5" w:rsidRPr="00B7090C" w:rsidRDefault="00B80AA5" w:rsidP="00FD6B98">
            <w:pPr>
              <w:spacing w:before="20" w:after="20" w:line="240" w:lineRule="auto"/>
              <w:jc w:val="both"/>
              <w:rPr>
                <w:rFonts w:ascii="Arial Narrow" w:hAnsi="Arial Narrow" w:cs="Arial"/>
                <w:color w:val="000000"/>
                <w:sz w:val="20"/>
                <w:szCs w:val="20"/>
              </w:rPr>
            </w:pPr>
          </w:p>
        </w:tc>
        <w:tc>
          <w:tcPr>
            <w:tcW w:w="1948" w:type="dxa"/>
            <w:gridSpan w:val="2"/>
            <w:shd w:val="clear" w:color="auto" w:fill="auto"/>
          </w:tcPr>
          <w:p w14:paraId="06508854"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200.000€ </w:t>
            </w:r>
          </w:p>
          <w:p w14:paraId="5A8ABB35"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173CD609"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697" w:type="dxa"/>
            <w:gridSpan w:val="9"/>
            <w:shd w:val="clear" w:color="auto" w:fill="auto"/>
          </w:tcPr>
          <w:p w14:paraId="13EBD025"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Budžet Crne Gore </w:t>
            </w:r>
          </w:p>
        </w:tc>
        <w:tc>
          <w:tcPr>
            <w:tcW w:w="2228" w:type="dxa"/>
            <w:shd w:val="clear" w:color="auto" w:fill="auto"/>
          </w:tcPr>
          <w:p w14:paraId="589CC9BF" w14:textId="77777777" w:rsidR="00B80AA5" w:rsidRPr="003D266A" w:rsidRDefault="00B80AA5" w:rsidP="00FD6B98">
            <w:pPr>
              <w:autoSpaceDE w:val="0"/>
              <w:autoSpaceDN w:val="0"/>
              <w:adjustRightInd w:val="0"/>
              <w:spacing w:before="60" w:after="60" w:line="240" w:lineRule="auto"/>
              <w:ind w:hanging="283"/>
              <w:jc w:val="both"/>
              <w:rPr>
                <w:rFonts w:ascii="Arial Narrow" w:eastAsia="Times New Roman" w:hAnsi="Arial Narrow" w:cs="Arial"/>
                <w:color w:val="000000"/>
                <w:sz w:val="20"/>
                <w:szCs w:val="20"/>
                <w:lang w:eastAsia="en-GB"/>
              </w:rPr>
            </w:pPr>
            <w:r w:rsidRPr="00B7090C">
              <w:rPr>
                <w:rFonts w:ascii="Arial Narrow" w:eastAsia="Times New Roman" w:hAnsi="Arial Narrow" w:cs="Arial"/>
                <w:color w:val="000000"/>
                <w:sz w:val="20"/>
                <w:szCs w:val="20"/>
                <w:lang w:eastAsia="en-GB"/>
              </w:rPr>
              <w:t>U U skladu sa Zakonom o upravljanju otpadom Državni plan upravljanja otpa</w:t>
            </w:r>
            <w:r>
              <w:rPr>
                <w:rFonts w:ascii="Arial Narrow" w:eastAsia="Times New Roman" w:hAnsi="Arial Narrow" w:cs="Arial"/>
                <w:color w:val="000000"/>
                <w:sz w:val="20"/>
                <w:szCs w:val="20"/>
                <w:lang w:eastAsia="en-GB"/>
              </w:rPr>
              <w:t xml:space="preserve">dom je osnovni dokument kojim se  određuju dugoročni ciljevi upravljanja </w:t>
            </w:r>
            <w:r w:rsidRPr="00B7090C">
              <w:rPr>
                <w:rFonts w:ascii="Arial Narrow" w:eastAsia="Times New Roman" w:hAnsi="Arial Narrow" w:cs="Arial"/>
                <w:color w:val="000000"/>
                <w:sz w:val="20"/>
                <w:szCs w:val="20"/>
                <w:lang w:eastAsia="en-GB"/>
              </w:rPr>
              <w:t>otpadom i utvrđuju uslovi za racion</w:t>
            </w:r>
            <w:r>
              <w:rPr>
                <w:rFonts w:ascii="Arial Narrow" w:eastAsia="Times New Roman" w:hAnsi="Arial Narrow" w:cs="Arial"/>
                <w:color w:val="000000"/>
                <w:sz w:val="20"/>
                <w:szCs w:val="20"/>
                <w:lang w:eastAsia="en-GB"/>
              </w:rPr>
              <w:t>alno i održivo upravljanje otpadom u Crnoj Gori.</w:t>
            </w:r>
          </w:p>
        </w:tc>
      </w:tr>
      <w:tr w:rsidR="00B80AA5" w:rsidRPr="00B7090C" w14:paraId="2A36DA7A" w14:textId="77777777" w:rsidTr="00EA56E8">
        <w:trPr>
          <w:trHeight w:val="1938"/>
        </w:trPr>
        <w:tc>
          <w:tcPr>
            <w:tcW w:w="676" w:type="dxa"/>
            <w:shd w:val="clear" w:color="auto" w:fill="auto"/>
          </w:tcPr>
          <w:p w14:paraId="6D10F7ED" w14:textId="77777777" w:rsidR="00B80AA5" w:rsidRPr="00B7090C" w:rsidRDefault="00B80AA5" w:rsidP="00FD6B98">
            <w:pPr>
              <w:spacing w:before="20" w:after="20" w:line="240" w:lineRule="auto"/>
              <w:jc w:val="right"/>
              <w:rPr>
                <w:rFonts w:ascii="Arial Narrow" w:hAnsi="Arial Narrow" w:cs="Arial"/>
                <w:color w:val="000000"/>
                <w:sz w:val="20"/>
                <w:szCs w:val="20"/>
              </w:rPr>
            </w:pPr>
            <w:r w:rsidRPr="00B7090C">
              <w:rPr>
                <w:rFonts w:ascii="Arial Narrow" w:hAnsi="Arial Narrow" w:cs="Arial"/>
                <w:color w:val="000000"/>
                <w:sz w:val="20"/>
                <w:szCs w:val="20"/>
              </w:rPr>
              <w:t>5.</w:t>
            </w:r>
          </w:p>
        </w:tc>
        <w:tc>
          <w:tcPr>
            <w:tcW w:w="2053" w:type="dxa"/>
            <w:gridSpan w:val="4"/>
            <w:shd w:val="clear" w:color="auto" w:fill="auto"/>
          </w:tcPr>
          <w:p w14:paraId="3F044033"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Izrada Strategije upravljanja otpadom do 2035. godine</w:t>
            </w:r>
          </w:p>
        </w:tc>
        <w:tc>
          <w:tcPr>
            <w:tcW w:w="2357" w:type="dxa"/>
            <w:gridSpan w:val="4"/>
            <w:shd w:val="clear" w:color="auto" w:fill="auto"/>
          </w:tcPr>
          <w:p w14:paraId="211FBD2B"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Usvojena Strategija upravljanja otpadom do 2035. godine </w:t>
            </w:r>
          </w:p>
        </w:tc>
        <w:tc>
          <w:tcPr>
            <w:tcW w:w="2240" w:type="dxa"/>
            <w:gridSpan w:val="8"/>
            <w:shd w:val="clear" w:color="auto" w:fill="auto"/>
          </w:tcPr>
          <w:p w14:paraId="59A8EFE3"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4107CC6E"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633A6031"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687" w:type="dxa"/>
            <w:gridSpan w:val="3"/>
            <w:shd w:val="clear" w:color="auto" w:fill="auto"/>
          </w:tcPr>
          <w:p w14:paraId="51891589"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 I - III Q 2022.</w:t>
            </w:r>
          </w:p>
          <w:p w14:paraId="130C0B87"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5022FCF4" w14:textId="77777777" w:rsidR="00B80AA5" w:rsidRPr="00B7090C" w:rsidRDefault="00B80AA5" w:rsidP="00FD6B98">
            <w:pPr>
              <w:spacing w:before="20" w:after="20" w:line="240" w:lineRule="auto"/>
              <w:jc w:val="both"/>
              <w:rPr>
                <w:rFonts w:ascii="Arial Narrow" w:hAnsi="Arial Narrow" w:cs="Arial"/>
                <w:color w:val="000000"/>
                <w:sz w:val="20"/>
                <w:szCs w:val="20"/>
              </w:rPr>
            </w:pPr>
          </w:p>
        </w:tc>
        <w:tc>
          <w:tcPr>
            <w:tcW w:w="1948" w:type="dxa"/>
            <w:gridSpan w:val="2"/>
            <w:shd w:val="clear" w:color="auto" w:fill="auto"/>
          </w:tcPr>
          <w:p w14:paraId="694EFE58"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50 000€ (u slučaju obezbjeđenja ovih sredstava)</w:t>
            </w:r>
          </w:p>
          <w:p w14:paraId="168070C7"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587350F7"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697" w:type="dxa"/>
            <w:gridSpan w:val="9"/>
            <w:shd w:val="clear" w:color="auto" w:fill="auto"/>
          </w:tcPr>
          <w:p w14:paraId="5AF6094B"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Budžet Crne Gore </w:t>
            </w:r>
          </w:p>
        </w:tc>
        <w:tc>
          <w:tcPr>
            <w:tcW w:w="2228" w:type="dxa"/>
            <w:shd w:val="clear" w:color="auto" w:fill="auto"/>
          </w:tcPr>
          <w:p w14:paraId="2BCF5BDD" w14:textId="77777777" w:rsidR="00B80AA5" w:rsidRPr="003D266A" w:rsidRDefault="00B80AA5" w:rsidP="00FD6B98">
            <w:pPr>
              <w:spacing w:after="0" w:line="240" w:lineRule="auto"/>
              <w:jc w:val="both"/>
              <w:rPr>
                <w:rFonts w:ascii="Arial Narrow" w:hAnsi="Arial Narrow" w:cs="Arial"/>
                <w:color w:val="000000"/>
                <w:sz w:val="20"/>
                <w:szCs w:val="20"/>
              </w:rPr>
            </w:pPr>
            <w:r w:rsidRPr="00B7090C">
              <w:rPr>
                <w:rFonts w:ascii="Arial Narrow" w:hAnsi="Arial Narrow" w:cs="Arial"/>
                <w:color w:val="000000"/>
                <w:sz w:val="20"/>
                <w:szCs w:val="20"/>
              </w:rPr>
              <w:t>Strategija upravljanja otpadom podrazumIjeva širok spektar ostvarenih ciljeva u pogledu stvaranja željenih uslova koji, kao rezultat, treba da doprinesu poboljšanju kvaliteta živ</w:t>
            </w:r>
            <w:r>
              <w:rPr>
                <w:rFonts w:ascii="Arial Narrow" w:hAnsi="Arial Narrow" w:cs="Arial"/>
                <w:color w:val="000000"/>
                <w:sz w:val="20"/>
                <w:szCs w:val="20"/>
              </w:rPr>
              <w:t>ota stanovništva.</w:t>
            </w:r>
          </w:p>
          <w:p w14:paraId="4D03EA0D" w14:textId="77777777" w:rsidR="00B80AA5" w:rsidRPr="00B7090C" w:rsidRDefault="00B80AA5" w:rsidP="00FD6B98">
            <w:pPr>
              <w:spacing w:before="20" w:after="20" w:line="240" w:lineRule="auto"/>
              <w:jc w:val="both"/>
              <w:rPr>
                <w:rFonts w:ascii="Arial Narrow" w:hAnsi="Arial Narrow" w:cs="Arial"/>
                <w:color w:val="000000"/>
                <w:sz w:val="20"/>
                <w:szCs w:val="20"/>
              </w:rPr>
            </w:pPr>
          </w:p>
        </w:tc>
      </w:tr>
      <w:tr w:rsidR="00B80AA5" w:rsidRPr="00B7090C" w14:paraId="7FEAF856" w14:textId="77777777" w:rsidTr="00EA56E8">
        <w:tc>
          <w:tcPr>
            <w:tcW w:w="676" w:type="dxa"/>
            <w:shd w:val="clear" w:color="auto" w:fill="auto"/>
          </w:tcPr>
          <w:p w14:paraId="1568476D"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t>6.</w:t>
            </w:r>
          </w:p>
        </w:tc>
        <w:tc>
          <w:tcPr>
            <w:tcW w:w="2053" w:type="dxa"/>
            <w:gridSpan w:val="4"/>
            <w:shd w:val="clear" w:color="auto" w:fill="auto"/>
          </w:tcPr>
          <w:p w14:paraId="5C88D08D"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Izrada i usvajanje Informacije o stanju životne sredine Crne Gore za 2021. godinu</w:t>
            </w:r>
          </w:p>
        </w:tc>
        <w:tc>
          <w:tcPr>
            <w:tcW w:w="2357" w:type="dxa"/>
            <w:gridSpan w:val="4"/>
            <w:shd w:val="clear" w:color="auto" w:fill="auto"/>
          </w:tcPr>
          <w:p w14:paraId="07B594A8"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Usvojena Informacija o stanju životne sredine Crne Gore za 2021. godinu</w:t>
            </w:r>
          </w:p>
        </w:tc>
        <w:tc>
          <w:tcPr>
            <w:tcW w:w="2240" w:type="dxa"/>
            <w:gridSpan w:val="8"/>
            <w:shd w:val="clear" w:color="auto" w:fill="auto"/>
          </w:tcPr>
          <w:p w14:paraId="5C14A5EE"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1F2E7E72"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55B58CDE"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KEPIFKEPIF</w:t>
            </w:r>
          </w:p>
        </w:tc>
        <w:tc>
          <w:tcPr>
            <w:tcW w:w="1687" w:type="dxa"/>
            <w:gridSpan w:val="3"/>
            <w:shd w:val="clear" w:color="auto" w:fill="auto"/>
          </w:tcPr>
          <w:p w14:paraId="30E9F5FE"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 - III Q 2022.</w:t>
            </w:r>
          </w:p>
          <w:p w14:paraId="1A8EE6D8" w14:textId="77777777" w:rsidR="00B80AA5" w:rsidRPr="00B7090C" w:rsidRDefault="00B80AA5" w:rsidP="00FD6B98">
            <w:pPr>
              <w:spacing w:before="20" w:after="20"/>
              <w:jc w:val="both"/>
              <w:rPr>
                <w:rFonts w:ascii="Arial Narrow" w:hAnsi="Arial Narrow" w:cs="Arial"/>
                <w:color w:val="000000"/>
                <w:sz w:val="20"/>
                <w:szCs w:val="20"/>
              </w:rPr>
            </w:pPr>
          </w:p>
        </w:tc>
        <w:tc>
          <w:tcPr>
            <w:tcW w:w="1948" w:type="dxa"/>
            <w:gridSpan w:val="2"/>
            <w:shd w:val="clear" w:color="auto" w:fill="auto"/>
          </w:tcPr>
          <w:p w14:paraId="773AB093"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neće biti urađena RIA.</w:t>
            </w:r>
          </w:p>
        </w:tc>
        <w:tc>
          <w:tcPr>
            <w:tcW w:w="1697" w:type="dxa"/>
            <w:gridSpan w:val="9"/>
            <w:shd w:val="clear" w:color="auto" w:fill="auto"/>
          </w:tcPr>
          <w:p w14:paraId="2194FBE1"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Nijesu potrebna finansijska sredstava.</w:t>
            </w:r>
          </w:p>
        </w:tc>
        <w:tc>
          <w:tcPr>
            <w:tcW w:w="2228" w:type="dxa"/>
            <w:shd w:val="clear" w:color="auto" w:fill="auto"/>
          </w:tcPr>
          <w:p w14:paraId="6B8F9F9B"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U cilju daljeg usklađivanja zakonodavstva Crne Gore sa zakonodavstvom EU u oblasti zaštitie od jonizujućih zračenja, radijacionoj i nuklearnoj sigurnosti i bezbjednosti kao i potrebi efikasnije implementacije ukazala se potreba izrade novog Zakona.</w:t>
            </w:r>
          </w:p>
        </w:tc>
      </w:tr>
      <w:tr w:rsidR="00B80AA5" w:rsidRPr="00B7090C" w14:paraId="4F08F77F" w14:textId="77777777" w:rsidTr="00EA56E8">
        <w:tc>
          <w:tcPr>
            <w:tcW w:w="676" w:type="dxa"/>
            <w:shd w:val="clear" w:color="auto" w:fill="auto"/>
          </w:tcPr>
          <w:p w14:paraId="74460555"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lastRenderedPageBreak/>
              <w:t>7.</w:t>
            </w:r>
          </w:p>
        </w:tc>
        <w:tc>
          <w:tcPr>
            <w:tcW w:w="2053" w:type="dxa"/>
            <w:gridSpan w:val="4"/>
            <w:shd w:val="clear" w:color="auto" w:fill="auto"/>
          </w:tcPr>
          <w:p w14:paraId="3D478517"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Pripremiti planove upravljanja za tri morska zaštićena područja </w:t>
            </w:r>
          </w:p>
        </w:tc>
        <w:tc>
          <w:tcPr>
            <w:tcW w:w="2357" w:type="dxa"/>
            <w:gridSpan w:val="4"/>
            <w:shd w:val="clear" w:color="auto" w:fill="auto"/>
          </w:tcPr>
          <w:p w14:paraId="7BC99CE4"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Pripremljeni  planovi upravljanja za tri morska zaštićena područja</w:t>
            </w:r>
          </w:p>
        </w:tc>
        <w:tc>
          <w:tcPr>
            <w:tcW w:w="2240" w:type="dxa"/>
            <w:gridSpan w:val="8"/>
            <w:shd w:val="clear" w:color="auto" w:fill="auto"/>
          </w:tcPr>
          <w:p w14:paraId="0094D95B"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69633BB7" w14:textId="77777777" w:rsidR="00B80AA5" w:rsidRPr="00B7090C" w:rsidRDefault="00B80AA5" w:rsidP="00FD6B98">
            <w:pPr>
              <w:spacing w:before="20" w:after="20"/>
              <w:jc w:val="both"/>
              <w:rPr>
                <w:rFonts w:ascii="Arial Narrow" w:hAnsi="Arial Narrow" w:cs="Arial"/>
                <w:color w:val="000000"/>
                <w:sz w:val="20"/>
                <w:szCs w:val="20"/>
              </w:rPr>
            </w:pPr>
          </w:p>
          <w:p w14:paraId="1EF6DC83"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 NPCG, JPMDCG, opštine, Uprava za inspekcijske poslove</w:t>
            </w:r>
          </w:p>
          <w:p w14:paraId="7F764449" w14:textId="77777777" w:rsidR="00B80AA5" w:rsidRPr="00B7090C" w:rsidRDefault="00B80AA5" w:rsidP="00FD6B98">
            <w:pPr>
              <w:spacing w:before="20" w:after="20"/>
              <w:jc w:val="both"/>
              <w:rPr>
                <w:rFonts w:ascii="Arial Narrow" w:hAnsi="Arial Narrow" w:cs="Arial"/>
                <w:color w:val="000000"/>
                <w:sz w:val="20"/>
                <w:szCs w:val="20"/>
              </w:rPr>
            </w:pPr>
          </w:p>
          <w:p w14:paraId="77269549"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687" w:type="dxa"/>
            <w:gridSpan w:val="3"/>
            <w:shd w:val="clear" w:color="auto" w:fill="auto"/>
          </w:tcPr>
          <w:p w14:paraId="1E39F999"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 - IV Q 2022.</w:t>
            </w:r>
          </w:p>
          <w:p w14:paraId="31292199" w14:textId="77777777" w:rsidR="00B80AA5" w:rsidRPr="00B7090C" w:rsidRDefault="00B80AA5" w:rsidP="00FD6B98">
            <w:pPr>
              <w:spacing w:before="20" w:after="20"/>
              <w:jc w:val="both"/>
              <w:rPr>
                <w:rFonts w:ascii="Arial Narrow" w:hAnsi="Arial Narrow" w:cs="Arial"/>
                <w:color w:val="000000"/>
                <w:sz w:val="20"/>
                <w:szCs w:val="20"/>
              </w:rPr>
            </w:pPr>
          </w:p>
        </w:tc>
        <w:tc>
          <w:tcPr>
            <w:tcW w:w="1948" w:type="dxa"/>
            <w:gridSpan w:val="2"/>
            <w:shd w:val="clear" w:color="auto" w:fill="auto"/>
          </w:tcPr>
          <w:p w14:paraId="11FABB35"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30.000 €</w:t>
            </w:r>
          </w:p>
          <w:p w14:paraId="5AECA4D0" w14:textId="77777777" w:rsidR="00B80AA5" w:rsidRPr="00B7090C" w:rsidRDefault="00B80AA5" w:rsidP="00FD6B98">
            <w:pPr>
              <w:spacing w:before="20" w:after="20"/>
              <w:jc w:val="both"/>
              <w:rPr>
                <w:rFonts w:ascii="Arial Narrow" w:hAnsi="Arial Narrow" w:cs="Arial"/>
                <w:color w:val="000000"/>
                <w:sz w:val="20"/>
                <w:szCs w:val="20"/>
              </w:rPr>
            </w:pPr>
          </w:p>
          <w:p w14:paraId="437BA11F"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697" w:type="dxa"/>
            <w:gridSpan w:val="9"/>
            <w:shd w:val="clear" w:color="auto" w:fill="auto"/>
          </w:tcPr>
          <w:p w14:paraId="78E0E8C4"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Projekat „Promocija upravljanja zaštićenim podru</w:t>
            </w:r>
            <w:r w:rsidRPr="00B7090C">
              <w:rPr>
                <w:rFonts w:ascii="Arial Narrow" w:hAnsi="Arial Narrow" w:cs="Arial Narrow"/>
                <w:color w:val="000000"/>
                <w:sz w:val="20"/>
                <w:szCs w:val="20"/>
              </w:rPr>
              <w:t>č</w:t>
            </w:r>
            <w:r w:rsidRPr="00B7090C">
              <w:rPr>
                <w:rFonts w:ascii="Arial Narrow" w:hAnsi="Arial Narrow" w:cs="Arial"/>
                <w:color w:val="000000"/>
                <w:sz w:val="20"/>
                <w:szCs w:val="20"/>
              </w:rPr>
              <w:t>jima kroz integrisanu za</w:t>
            </w:r>
            <w:r w:rsidRPr="00B7090C">
              <w:rPr>
                <w:rFonts w:ascii="Arial Narrow" w:hAnsi="Arial Narrow" w:cs="Arial Narrow"/>
                <w:color w:val="000000"/>
                <w:sz w:val="20"/>
                <w:szCs w:val="20"/>
              </w:rPr>
              <w:t>š</w:t>
            </w:r>
            <w:r w:rsidRPr="00B7090C">
              <w:rPr>
                <w:rFonts w:ascii="Arial Narrow" w:hAnsi="Arial Narrow" w:cs="Arial"/>
                <w:color w:val="000000"/>
                <w:sz w:val="20"/>
                <w:szCs w:val="20"/>
              </w:rPr>
              <w:t>titu morskog i obalnog ekosistema Crne Gore</w:t>
            </w:r>
            <w:r w:rsidRPr="00B7090C">
              <w:rPr>
                <w:rFonts w:ascii="Arial Narrow" w:hAnsi="Arial Narrow" w:cs="Arial Narrow"/>
                <w:color w:val="000000"/>
                <w:sz w:val="20"/>
                <w:szCs w:val="20"/>
              </w:rPr>
              <w:t>“</w:t>
            </w:r>
          </w:p>
        </w:tc>
        <w:tc>
          <w:tcPr>
            <w:tcW w:w="2228" w:type="dxa"/>
            <w:shd w:val="clear" w:color="auto" w:fill="auto"/>
          </w:tcPr>
          <w:p w14:paraId="674EA47B"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Priprema planova upravljanja za zaštićena područja osnovni je preduslov za obezbjeđivanje efikasne zaštite, odnosno sprovođenja mjera u skladu s Odlukom o proglašavanju.</w:t>
            </w:r>
          </w:p>
        </w:tc>
      </w:tr>
      <w:tr w:rsidR="00B80AA5" w:rsidRPr="00B7090C" w14:paraId="11E1DBED" w14:textId="77777777" w:rsidTr="00EA56E8">
        <w:tc>
          <w:tcPr>
            <w:tcW w:w="676" w:type="dxa"/>
            <w:shd w:val="clear" w:color="auto" w:fill="auto"/>
          </w:tcPr>
          <w:p w14:paraId="260BA3CC"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t>8.</w:t>
            </w:r>
          </w:p>
        </w:tc>
        <w:tc>
          <w:tcPr>
            <w:tcW w:w="2053" w:type="dxa"/>
            <w:gridSpan w:val="4"/>
            <w:shd w:val="clear" w:color="auto" w:fill="auto"/>
          </w:tcPr>
          <w:p w14:paraId="279788BA"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Pripremiti izvještaje o sprovođenju planova upravljanja zaštićenim područjima u CG</w:t>
            </w:r>
          </w:p>
        </w:tc>
        <w:tc>
          <w:tcPr>
            <w:tcW w:w="2357" w:type="dxa"/>
            <w:gridSpan w:val="4"/>
            <w:shd w:val="clear" w:color="auto" w:fill="auto"/>
          </w:tcPr>
          <w:p w14:paraId="7B650336"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Pripremljeni izvještaji o sprovođenju planova upravljanja zaštićenim područjima u CG</w:t>
            </w:r>
          </w:p>
        </w:tc>
        <w:tc>
          <w:tcPr>
            <w:tcW w:w="2240" w:type="dxa"/>
            <w:gridSpan w:val="8"/>
            <w:shd w:val="clear" w:color="auto" w:fill="auto"/>
          </w:tcPr>
          <w:p w14:paraId="6D391EEF"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43649B74" w14:textId="77777777" w:rsidR="00B80AA5" w:rsidRPr="00B7090C" w:rsidRDefault="00B80AA5" w:rsidP="00FD6B98">
            <w:pPr>
              <w:spacing w:before="20" w:after="20"/>
              <w:jc w:val="both"/>
              <w:rPr>
                <w:rFonts w:ascii="Arial Narrow" w:hAnsi="Arial Narrow" w:cs="Arial"/>
                <w:color w:val="000000"/>
                <w:sz w:val="20"/>
                <w:szCs w:val="20"/>
              </w:rPr>
            </w:pPr>
          </w:p>
          <w:p w14:paraId="05AC88E3"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 NPCG, JPMDCG, opštine, Uprava za inspekcijske poslove</w:t>
            </w:r>
          </w:p>
          <w:p w14:paraId="470C147A" w14:textId="77777777" w:rsidR="00B80AA5" w:rsidRPr="00B7090C" w:rsidRDefault="00B80AA5" w:rsidP="00FD6B98">
            <w:pPr>
              <w:spacing w:before="20" w:after="20"/>
              <w:jc w:val="both"/>
              <w:rPr>
                <w:rFonts w:ascii="Arial Narrow" w:hAnsi="Arial Narrow" w:cs="Arial"/>
                <w:color w:val="000000"/>
                <w:sz w:val="20"/>
                <w:szCs w:val="20"/>
              </w:rPr>
            </w:pPr>
          </w:p>
          <w:p w14:paraId="357A6603"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687" w:type="dxa"/>
            <w:gridSpan w:val="3"/>
            <w:shd w:val="clear" w:color="auto" w:fill="auto"/>
          </w:tcPr>
          <w:p w14:paraId="33A844D3"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 - IV Q 2022.</w:t>
            </w:r>
          </w:p>
          <w:p w14:paraId="59653448" w14:textId="77777777" w:rsidR="00B80AA5" w:rsidRPr="00B7090C" w:rsidRDefault="00B80AA5" w:rsidP="00FD6B98">
            <w:pPr>
              <w:spacing w:before="20" w:after="20"/>
              <w:jc w:val="both"/>
              <w:rPr>
                <w:rFonts w:ascii="Arial Narrow" w:hAnsi="Arial Narrow" w:cs="Arial"/>
                <w:color w:val="000000"/>
                <w:sz w:val="20"/>
                <w:szCs w:val="20"/>
              </w:rPr>
            </w:pPr>
          </w:p>
          <w:p w14:paraId="1A93A1FF" w14:textId="77777777" w:rsidR="00B80AA5" w:rsidRPr="00B7090C" w:rsidRDefault="00B80AA5" w:rsidP="00FD6B98">
            <w:pPr>
              <w:spacing w:before="20" w:after="20"/>
              <w:jc w:val="both"/>
              <w:rPr>
                <w:rFonts w:ascii="Arial Narrow" w:hAnsi="Arial Narrow" w:cs="Arial"/>
                <w:color w:val="000000"/>
                <w:sz w:val="20"/>
                <w:szCs w:val="20"/>
              </w:rPr>
            </w:pPr>
          </w:p>
        </w:tc>
        <w:tc>
          <w:tcPr>
            <w:tcW w:w="1948" w:type="dxa"/>
            <w:gridSpan w:val="2"/>
            <w:shd w:val="clear" w:color="auto" w:fill="auto"/>
          </w:tcPr>
          <w:p w14:paraId="2CBA866F"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w:t>
            </w:r>
          </w:p>
        </w:tc>
        <w:tc>
          <w:tcPr>
            <w:tcW w:w="1697" w:type="dxa"/>
            <w:gridSpan w:val="9"/>
            <w:shd w:val="clear" w:color="auto" w:fill="auto"/>
          </w:tcPr>
          <w:p w14:paraId="0AC41F27" w14:textId="77777777" w:rsidR="00B80AA5" w:rsidRPr="00B7090C" w:rsidRDefault="00B80AA5" w:rsidP="00FD6B98">
            <w:pPr>
              <w:spacing w:before="20" w:after="20"/>
              <w:jc w:val="both"/>
              <w:rPr>
                <w:rFonts w:ascii="Arial Narrow" w:hAnsi="Arial Narrow" w:cs="Arial"/>
                <w:color w:val="000000"/>
                <w:sz w:val="20"/>
                <w:szCs w:val="20"/>
              </w:rPr>
            </w:pPr>
          </w:p>
        </w:tc>
        <w:tc>
          <w:tcPr>
            <w:tcW w:w="2228" w:type="dxa"/>
            <w:shd w:val="clear" w:color="auto" w:fill="auto"/>
          </w:tcPr>
          <w:p w14:paraId="20EBD1F1"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Priprema planova upravljanja za zaštićena područja osnovni je preduslov za obezbjeđivanje efikasne zaštite, odnosno sprovođenja mjera u skladu s Odlukom o proglašavanju.</w:t>
            </w:r>
          </w:p>
        </w:tc>
      </w:tr>
      <w:tr w:rsidR="00B80AA5" w:rsidRPr="00B7090C" w14:paraId="23BB2118" w14:textId="77777777" w:rsidTr="00EA56E8">
        <w:tc>
          <w:tcPr>
            <w:tcW w:w="676" w:type="dxa"/>
            <w:shd w:val="clear" w:color="auto" w:fill="auto"/>
          </w:tcPr>
          <w:p w14:paraId="20BED09E"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t>9.</w:t>
            </w:r>
          </w:p>
        </w:tc>
        <w:tc>
          <w:tcPr>
            <w:tcW w:w="2053" w:type="dxa"/>
            <w:gridSpan w:val="4"/>
            <w:shd w:val="clear" w:color="auto" w:fill="auto"/>
          </w:tcPr>
          <w:p w14:paraId="5355F5BE"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Izvršiti reviziju dijela postojećih zaštićenih područja, s fokusom na nacionalne parkove</w:t>
            </w:r>
          </w:p>
        </w:tc>
        <w:tc>
          <w:tcPr>
            <w:tcW w:w="2357" w:type="dxa"/>
            <w:gridSpan w:val="4"/>
            <w:shd w:val="clear" w:color="auto" w:fill="auto"/>
          </w:tcPr>
          <w:p w14:paraId="23C16AA5"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Izvršena revizija dijela postojećih zaštićenih područja, s fokusom na nacionalne parkove</w:t>
            </w:r>
          </w:p>
        </w:tc>
        <w:tc>
          <w:tcPr>
            <w:tcW w:w="2240" w:type="dxa"/>
            <w:gridSpan w:val="8"/>
            <w:shd w:val="clear" w:color="auto" w:fill="auto"/>
          </w:tcPr>
          <w:p w14:paraId="4E24EFA4"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7A0A4D27" w14:textId="77777777" w:rsidR="00B80AA5" w:rsidRPr="00B7090C" w:rsidRDefault="00B80AA5" w:rsidP="00FD6B98">
            <w:pPr>
              <w:spacing w:before="20" w:after="20"/>
              <w:jc w:val="both"/>
              <w:rPr>
                <w:rFonts w:ascii="Arial Narrow" w:hAnsi="Arial Narrow" w:cs="Arial"/>
                <w:color w:val="000000"/>
                <w:sz w:val="20"/>
                <w:szCs w:val="20"/>
              </w:rPr>
            </w:pPr>
          </w:p>
          <w:p w14:paraId="783EC48E"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 NPCG, JPMDCG, opštine, Uprava za inspekcijske poslove</w:t>
            </w:r>
          </w:p>
          <w:p w14:paraId="1B07714D" w14:textId="77777777" w:rsidR="00B80AA5" w:rsidRPr="00B7090C" w:rsidRDefault="00B80AA5" w:rsidP="00FD6B98">
            <w:pPr>
              <w:spacing w:before="20" w:after="20"/>
              <w:jc w:val="both"/>
              <w:rPr>
                <w:rFonts w:ascii="Arial Narrow" w:hAnsi="Arial Narrow" w:cs="Arial"/>
                <w:color w:val="000000"/>
                <w:sz w:val="20"/>
                <w:szCs w:val="20"/>
              </w:rPr>
            </w:pPr>
          </w:p>
          <w:p w14:paraId="0792583D"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KEPIFKEPIF</w:t>
            </w:r>
          </w:p>
        </w:tc>
        <w:tc>
          <w:tcPr>
            <w:tcW w:w="1687" w:type="dxa"/>
            <w:gridSpan w:val="3"/>
            <w:shd w:val="clear" w:color="auto" w:fill="auto"/>
          </w:tcPr>
          <w:p w14:paraId="144FD7A8"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 - IV Q 2022</w:t>
            </w:r>
          </w:p>
        </w:tc>
        <w:tc>
          <w:tcPr>
            <w:tcW w:w="1948" w:type="dxa"/>
            <w:gridSpan w:val="2"/>
            <w:shd w:val="clear" w:color="auto" w:fill="auto"/>
          </w:tcPr>
          <w:p w14:paraId="5611040C"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100.000 €</w:t>
            </w:r>
          </w:p>
          <w:p w14:paraId="65D52D27" w14:textId="77777777" w:rsidR="00B80AA5" w:rsidRPr="00B7090C" w:rsidRDefault="00B80AA5" w:rsidP="00FD6B98">
            <w:pPr>
              <w:spacing w:before="20" w:after="20"/>
              <w:jc w:val="both"/>
              <w:rPr>
                <w:rFonts w:ascii="Arial Narrow" w:hAnsi="Arial Narrow" w:cs="Arial"/>
                <w:color w:val="000000"/>
                <w:sz w:val="20"/>
                <w:szCs w:val="20"/>
              </w:rPr>
            </w:pPr>
          </w:p>
          <w:p w14:paraId="3E32277B"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697" w:type="dxa"/>
            <w:gridSpan w:val="9"/>
            <w:shd w:val="clear" w:color="auto" w:fill="auto"/>
          </w:tcPr>
          <w:p w14:paraId="25216C42"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Budžet Crne Gore </w:t>
            </w:r>
          </w:p>
          <w:p w14:paraId="0E42D9E6" w14:textId="77777777" w:rsidR="00B80AA5" w:rsidRPr="00B7090C" w:rsidRDefault="00B80AA5" w:rsidP="00FD6B98">
            <w:pPr>
              <w:spacing w:before="20" w:after="20"/>
              <w:jc w:val="both"/>
              <w:rPr>
                <w:rFonts w:ascii="Arial Narrow" w:hAnsi="Arial Narrow" w:cs="Arial"/>
                <w:color w:val="000000"/>
                <w:sz w:val="20"/>
                <w:szCs w:val="20"/>
              </w:rPr>
            </w:pPr>
          </w:p>
          <w:p w14:paraId="35AE0FB1"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GEF 7 nacionalna alokacija</w:t>
            </w:r>
          </w:p>
          <w:p w14:paraId="719CC98C" w14:textId="77777777" w:rsidR="00B80AA5" w:rsidRPr="00B7090C" w:rsidRDefault="00B80AA5" w:rsidP="00FD6B98">
            <w:pPr>
              <w:spacing w:before="20" w:after="20"/>
              <w:jc w:val="both"/>
              <w:rPr>
                <w:rFonts w:ascii="Arial Narrow" w:hAnsi="Arial Narrow" w:cs="Arial"/>
                <w:color w:val="000000"/>
                <w:sz w:val="20"/>
                <w:szCs w:val="20"/>
              </w:rPr>
            </w:pPr>
          </w:p>
          <w:p w14:paraId="26ECEE4E"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Projekat „Promocija upravljanja zaštićenim podru</w:t>
            </w:r>
            <w:r w:rsidRPr="00B7090C">
              <w:rPr>
                <w:rFonts w:ascii="Arial Narrow" w:hAnsi="Arial Narrow" w:cs="Arial Narrow"/>
                <w:color w:val="000000"/>
                <w:sz w:val="20"/>
                <w:szCs w:val="20"/>
              </w:rPr>
              <w:t>č</w:t>
            </w:r>
            <w:r w:rsidRPr="00B7090C">
              <w:rPr>
                <w:rFonts w:ascii="Arial Narrow" w:hAnsi="Arial Narrow" w:cs="Arial"/>
                <w:color w:val="000000"/>
                <w:sz w:val="20"/>
                <w:szCs w:val="20"/>
              </w:rPr>
              <w:t>jima kroz integrisanu zaštitu morskog i obalnog ekosistema Crne Gore“</w:t>
            </w:r>
          </w:p>
        </w:tc>
        <w:tc>
          <w:tcPr>
            <w:tcW w:w="2228" w:type="dxa"/>
            <w:shd w:val="clear" w:color="auto" w:fill="auto"/>
          </w:tcPr>
          <w:p w14:paraId="6A7EF648"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Revizija postojećih zaštićenih područja predstavlja preduslov za ažuriranje baze podataka i shodno tome utvrđivanja sadašnjeg stanja područja, s definisanjem granica i preciznijih mjera zaštite.</w:t>
            </w:r>
          </w:p>
        </w:tc>
      </w:tr>
      <w:tr w:rsidR="00B80AA5" w:rsidRPr="00B7090C" w14:paraId="491F19AC" w14:textId="77777777" w:rsidTr="00EA56E8">
        <w:tc>
          <w:tcPr>
            <w:tcW w:w="676" w:type="dxa"/>
            <w:shd w:val="clear" w:color="auto" w:fill="auto"/>
          </w:tcPr>
          <w:p w14:paraId="5CF14FA3"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t>10.</w:t>
            </w:r>
          </w:p>
        </w:tc>
        <w:tc>
          <w:tcPr>
            <w:tcW w:w="2053" w:type="dxa"/>
            <w:gridSpan w:val="4"/>
            <w:shd w:val="clear" w:color="auto" w:fill="auto"/>
          </w:tcPr>
          <w:p w14:paraId="308909B7"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Pripremiti Strategiju biodiverziteta s Akcionim planom 2023-2027. godine</w:t>
            </w:r>
          </w:p>
        </w:tc>
        <w:tc>
          <w:tcPr>
            <w:tcW w:w="2357" w:type="dxa"/>
            <w:gridSpan w:val="4"/>
            <w:shd w:val="clear" w:color="auto" w:fill="auto"/>
          </w:tcPr>
          <w:p w14:paraId="144681BB"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Pripremljena Strategija biodiverziteta s Akcionim planom 2023-2027. godine</w:t>
            </w:r>
          </w:p>
        </w:tc>
        <w:tc>
          <w:tcPr>
            <w:tcW w:w="2240" w:type="dxa"/>
            <w:gridSpan w:val="8"/>
            <w:shd w:val="clear" w:color="auto" w:fill="auto"/>
          </w:tcPr>
          <w:p w14:paraId="6FEBAB03"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NI: MEPPU, </w:t>
            </w:r>
          </w:p>
          <w:p w14:paraId="3F0C8841" w14:textId="77777777" w:rsidR="00B80AA5" w:rsidRPr="00B7090C" w:rsidRDefault="00B80AA5" w:rsidP="00FD6B98">
            <w:pPr>
              <w:spacing w:before="20" w:after="20"/>
              <w:jc w:val="both"/>
              <w:rPr>
                <w:rFonts w:ascii="Arial Narrow" w:hAnsi="Arial Narrow" w:cs="Arial"/>
                <w:color w:val="000000"/>
                <w:sz w:val="20"/>
                <w:szCs w:val="20"/>
              </w:rPr>
            </w:pPr>
          </w:p>
          <w:p w14:paraId="5ED3EA52"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P: MPŠV, MPNKS, MKI, AZŽS, NPCG, JPMDCG, opštine, Uprava za inspekcijske poslove </w:t>
            </w:r>
          </w:p>
          <w:p w14:paraId="02D13B49" w14:textId="77777777" w:rsidR="00B80AA5" w:rsidRPr="00B7090C" w:rsidRDefault="00B80AA5" w:rsidP="00FD6B98">
            <w:pPr>
              <w:spacing w:before="20" w:after="20"/>
              <w:jc w:val="both"/>
              <w:rPr>
                <w:rFonts w:ascii="Arial Narrow" w:hAnsi="Arial Narrow" w:cs="Arial"/>
                <w:color w:val="000000"/>
                <w:sz w:val="20"/>
                <w:szCs w:val="20"/>
              </w:rPr>
            </w:pPr>
          </w:p>
          <w:p w14:paraId="2FDC1DC9"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lastRenderedPageBreak/>
              <w:t>NK: KEPIF</w:t>
            </w:r>
          </w:p>
          <w:p w14:paraId="2A6F7FB1" w14:textId="77777777" w:rsidR="00B80AA5" w:rsidRPr="00B7090C" w:rsidRDefault="00B80AA5" w:rsidP="00FD6B98">
            <w:pPr>
              <w:spacing w:before="20" w:after="20"/>
              <w:jc w:val="both"/>
              <w:rPr>
                <w:rFonts w:ascii="Arial Narrow" w:hAnsi="Arial Narrow" w:cs="Arial"/>
                <w:color w:val="000000"/>
                <w:sz w:val="20"/>
                <w:szCs w:val="20"/>
              </w:rPr>
            </w:pPr>
          </w:p>
          <w:p w14:paraId="1282615A"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KEPIF</w:t>
            </w:r>
          </w:p>
        </w:tc>
        <w:tc>
          <w:tcPr>
            <w:tcW w:w="1687" w:type="dxa"/>
            <w:gridSpan w:val="3"/>
            <w:shd w:val="clear" w:color="auto" w:fill="auto"/>
          </w:tcPr>
          <w:p w14:paraId="2EDD6814"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lastRenderedPageBreak/>
              <w:t>I - IV Q 2022</w:t>
            </w:r>
          </w:p>
        </w:tc>
        <w:tc>
          <w:tcPr>
            <w:tcW w:w="1948" w:type="dxa"/>
            <w:gridSpan w:val="2"/>
            <w:shd w:val="clear" w:color="auto" w:fill="auto"/>
          </w:tcPr>
          <w:p w14:paraId="7EEE8B72"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30.000 € </w:t>
            </w:r>
          </w:p>
          <w:p w14:paraId="20689FDC" w14:textId="77777777" w:rsidR="00B80AA5" w:rsidRPr="00B7090C" w:rsidRDefault="00B80AA5" w:rsidP="00FD6B98">
            <w:pPr>
              <w:spacing w:before="20" w:after="20"/>
              <w:jc w:val="both"/>
              <w:rPr>
                <w:rFonts w:ascii="Arial Narrow" w:hAnsi="Arial Narrow" w:cs="Arial"/>
                <w:color w:val="000000"/>
                <w:sz w:val="20"/>
                <w:szCs w:val="20"/>
              </w:rPr>
            </w:pPr>
          </w:p>
          <w:p w14:paraId="68C96FBF"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angažovanje tima konsultanata</w:t>
            </w:r>
          </w:p>
          <w:p w14:paraId="12D0CE67" w14:textId="77777777" w:rsidR="00B80AA5" w:rsidRPr="00B7090C" w:rsidRDefault="00B80AA5" w:rsidP="00FD6B98">
            <w:pPr>
              <w:spacing w:before="20" w:after="20"/>
              <w:jc w:val="both"/>
              <w:rPr>
                <w:rFonts w:ascii="Arial Narrow" w:hAnsi="Arial Narrow" w:cs="Arial"/>
                <w:color w:val="000000"/>
                <w:sz w:val="20"/>
                <w:szCs w:val="20"/>
              </w:rPr>
            </w:pPr>
          </w:p>
          <w:p w14:paraId="6F8AFAFD"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lastRenderedPageBreak/>
              <w:t>Za utvrđivanje procjene uticaja propisa će biti urađena RIA.</w:t>
            </w:r>
          </w:p>
          <w:p w14:paraId="41CBB73E" w14:textId="77777777" w:rsidR="00B80AA5" w:rsidRPr="00B7090C" w:rsidRDefault="00B80AA5" w:rsidP="00FD6B98">
            <w:pPr>
              <w:spacing w:before="20" w:after="20"/>
              <w:jc w:val="both"/>
              <w:rPr>
                <w:rFonts w:ascii="Arial Narrow" w:hAnsi="Arial Narrow" w:cs="Arial"/>
                <w:color w:val="000000"/>
                <w:sz w:val="20"/>
                <w:szCs w:val="20"/>
              </w:rPr>
            </w:pPr>
          </w:p>
          <w:p w14:paraId="3F419EC3" w14:textId="77777777" w:rsidR="00B80AA5" w:rsidRPr="00B7090C" w:rsidRDefault="00B80AA5" w:rsidP="00FD6B98">
            <w:pPr>
              <w:spacing w:before="20" w:after="20"/>
              <w:jc w:val="both"/>
              <w:rPr>
                <w:rFonts w:ascii="Arial Narrow" w:hAnsi="Arial Narrow" w:cs="Arial"/>
                <w:color w:val="000000"/>
                <w:sz w:val="20"/>
                <w:szCs w:val="20"/>
              </w:rPr>
            </w:pPr>
          </w:p>
        </w:tc>
        <w:tc>
          <w:tcPr>
            <w:tcW w:w="1697" w:type="dxa"/>
            <w:gridSpan w:val="9"/>
            <w:shd w:val="clear" w:color="auto" w:fill="auto"/>
          </w:tcPr>
          <w:p w14:paraId="5374857E"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lastRenderedPageBreak/>
              <w:t xml:space="preserve">Budžet Crne Gore </w:t>
            </w:r>
          </w:p>
          <w:p w14:paraId="383206C5" w14:textId="77777777" w:rsidR="00B80AA5" w:rsidRPr="00B7090C" w:rsidRDefault="00B80AA5" w:rsidP="00FD6B98">
            <w:pPr>
              <w:spacing w:before="20" w:after="20"/>
              <w:jc w:val="both"/>
              <w:rPr>
                <w:rFonts w:ascii="Arial Narrow" w:hAnsi="Arial Narrow" w:cs="Arial"/>
                <w:color w:val="000000"/>
                <w:sz w:val="20"/>
                <w:szCs w:val="20"/>
              </w:rPr>
            </w:pPr>
          </w:p>
        </w:tc>
        <w:tc>
          <w:tcPr>
            <w:tcW w:w="2228" w:type="dxa"/>
            <w:shd w:val="clear" w:color="auto" w:fill="auto"/>
          </w:tcPr>
          <w:p w14:paraId="723A7ECB"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Strategija biodiverziteta predstavlja ključcni nacionalni strateški dokument za definisanje pilitike u oblati biodiverziteta za  period od 4 godine. Ova Strategija će biti </w:t>
            </w:r>
            <w:r w:rsidRPr="00B7090C">
              <w:rPr>
                <w:rFonts w:ascii="Arial Narrow" w:hAnsi="Arial Narrow" w:cs="Arial"/>
                <w:color w:val="000000"/>
                <w:sz w:val="20"/>
                <w:szCs w:val="20"/>
              </w:rPr>
              <w:lastRenderedPageBreak/>
              <w:t>usaglašenja sa najnovijim međunarodnim dokumentom – Okvirom za biodiverzitet nakon 2020. godine.</w:t>
            </w:r>
          </w:p>
        </w:tc>
      </w:tr>
      <w:tr w:rsidR="00B80AA5" w:rsidRPr="00B7090C" w14:paraId="08CAA152" w14:textId="77777777" w:rsidTr="00EA56E8">
        <w:tc>
          <w:tcPr>
            <w:tcW w:w="676" w:type="dxa"/>
            <w:shd w:val="clear" w:color="auto" w:fill="auto"/>
          </w:tcPr>
          <w:p w14:paraId="4928B2ED"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t>11.</w:t>
            </w:r>
          </w:p>
        </w:tc>
        <w:tc>
          <w:tcPr>
            <w:tcW w:w="2053" w:type="dxa"/>
            <w:gridSpan w:val="4"/>
            <w:shd w:val="clear" w:color="auto" w:fill="auto"/>
          </w:tcPr>
          <w:p w14:paraId="396506F7"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Izrada Programa monitoringa životne sredine Crne Gore za 2023. godinu</w:t>
            </w:r>
          </w:p>
        </w:tc>
        <w:tc>
          <w:tcPr>
            <w:tcW w:w="2357" w:type="dxa"/>
            <w:gridSpan w:val="4"/>
            <w:shd w:val="clear" w:color="auto" w:fill="auto"/>
          </w:tcPr>
          <w:p w14:paraId="73C8F58A"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Usvojen Program monitoringa životne sredine Crne Gore za 2023. godinu</w:t>
            </w:r>
          </w:p>
        </w:tc>
        <w:tc>
          <w:tcPr>
            <w:tcW w:w="2240" w:type="dxa"/>
            <w:gridSpan w:val="8"/>
            <w:shd w:val="clear" w:color="auto" w:fill="auto"/>
          </w:tcPr>
          <w:p w14:paraId="7F8097BB"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0349D0A8"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41D669EA"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KEPIFKEPIF</w:t>
            </w:r>
          </w:p>
        </w:tc>
        <w:tc>
          <w:tcPr>
            <w:tcW w:w="1687" w:type="dxa"/>
            <w:gridSpan w:val="3"/>
            <w:shd w:val="clear" w:color="auto" w:fill="auto"/>
          </w:tcPr>
          <w:p w14:paraId="59AA0848"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IV Q 2022.</w:t>
            </w:r>
          </w:p>
          <w:p w14:paraId="6B0C8D91" w14:textId="77777777" w:rsidR="00B80AA5" w:rsidRPr="00B7090C" w:rsidRDefault="00B80AA5" w:rsidP="00FD6B98">
            <w:pPr>
              <w:spacing w:before="20" w:after="20"/>
              <w:jc w:val="both"/>
              <w:rPr>
                <w:rFonts w:ascii="Arial Narrow" w:hAnsi="Arial Narrow" w:cs="Arial"/>
                <w:color w:val="000000"/>
                <w:sz w:val="20"/>
                <w:szCs w:val="20"/>
              </w:rPr>
            </w:pPr>
          </w:p>
        </w:tc>
        <w:tc>
          <w:tcPr>
            <w:tcW w:w="1948" w:type="dxa"/>
            <w:gridSpan w:val="2"/>
            <w:shd w:val="clear" w:color="auto" w:fill="auto"/>
          </w:tcPr>
          <w:p w14:paraId="5B9FE497"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697" w:type="dxa"/>
            <w:gridSpan w:val="9"/>
            <w:shd w:val="clear" w:color="auto" w:fill="auto"/>
          </w:tcPr>
          <w:p w14:paraId="20116ADF"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Budžet</w:t>
            </w:r>
          </w:p>
        </w:tc>
        <w:tc>
          <w:tcPr>
            <w:tcW w:w="2228" w:type="dxa"/>
            <w:shd w:val="clear" w:color="auto" w:fill="auto"/>
          </w:tcPr>
          <w:p w14:paraId="573DA3B5"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Monitoring životne sredine predstavlja sistematsko mjerenje i ispitivanje parametara, kao i ocjenjivanje indikatora stanja i zagađenja životne sredine, u skladu sa Zakonom o životnoj sredini. </w:t>
            </w:r>
          </w:p>
          <w:p w14:paraId="72BE4785"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u w:val="single"/>
              </w:rPr>
              <w:t xml:space="preserve">Potrebno je obezbijediti finansijska sredstva </w:t>
            </w:r>
            <w:r w:rsidRPr="00B7090C">
              <w:rPr>
                <w:rFonts w:ascii="Arial Narrow" w:hAnsi="Arial Narrow" w:cs="Arial"/>
                <w:b/>
                <w:color w:val="000000"/>
                <w:sz w:val="20"/>
                <w:szCs w:val="20"/>
                <w:u w:val="single"/>
              </w:rPr>
              <w:t>za sve</w:t>
            </w:r>
            <w:r w:rsidRPr="00B7090C">
              <w:rPr>
                <w:rFonts w:ascii="Arial Narrow" w:hAnsi="Arial Narrow" w:cs="Arial"/>
                <w:color w:val="000000"/>
                <w:sz w:val="20"/>
                <w:szCs w:val="20"/>
                <w:u w:val="single"/>
              </w:rPr>
              <w:t xml:space="preserve"> programe monitoringa životne sredine</w:t>
            </w:r>
          </w:p>
        </w:tc>
      </w:tr>
      <w:tr w:rsidR="00B80AA5" w:rsidRPr="00B7090C" w14:paraId="25F96A93" w14:textId="77777777" w:rsidTr="00EA56E8">
        <w:tc>
          <w:tcPr>
            <w:tcW w:w="676" w:type="dxa"/>
            <w:shd w:val="clear" w:color="auto" w:fill="auto"/>
          </w:tcPr>
          <w:p w14:paraId="609B7EC2"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t>12.</w:t>
            </w:r>
          </w:p>
        </w:tc>
        <w:tc>
          <w:tcPr>
            <w:tcW w:w="2053" w:type="dxa"/>
            <w:gridSpan w:val="4"/>
            <w:shd w:val="clear" w:color="auto" w:fill="auto"/>
          </w:tcPr>
          <w:p w14:paraId="485ACC9D"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Izrada Zakona o upravljanju otpadom</w:t>
            </w:r>
          </w:p>
        </w:tc>
        <w:tc>
          <w:tcPr>
            <w:tcW w:w="2357" w:type="dxa"/>
            <w:gridSpan w:val="4"/>
            <w:shd w:val="clear" w:color="auto" w:fill="auto"/>
          </w:tcPr>
          <w:p w14:paraId="5E6891B4"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Utvrđen Predlog zakona o upravljanju otpadom</w:t>
            </w:r>
          </w:p>
        </w:tc>
        <w:tc>
          <w:tcPr>
            <w:tcW w:w="2240" w:type="dxa"/>
            <w:gridSpan w:val="8"/>
            <w:shd w:val="clear" w:color="auto" w:fill="auto"/>
          </w:tcPr>
          <w:p w14:paraId="6CAA8B18"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65A6F65A"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5145C46B"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KEPIFKEPIF</w:t>
            </w:r>
          </w:p>
        </w:tc>
        <w:tc>
          <w:tcPr>
            <w:tcW w:w="1687" w:type="dxa"/>
            <w:gridSpan w:val="3"/>
            <w:shd w:val="clear" w:color="auto" w:fill="auto"/>
          </w:tcPr>
          <w:p w14:paraId="7C8D2205"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 - III Q 2022.</w:t>
            </w:r>
          </w:p>
          <w:p w14:paraId="4D5F2243" w14:textId="77777777" w:rsidR="00B80AA5" w:rsidRPr="00B7090C" w:rsidRDefault="00B80AA5" w:rsidP="00FD6B98">
            <w:pPr>
              <w:spacing w:before="20" w:after="20"/>
              <w:jc w:val="both"/>
              <w:rPr>
                <w:rFonts w:ascii="Arial Narrow" w:hAnsi="Arial Narrow" w:cs="Arial"/>
                <w:color w:val="000000"/>
                <w:sz w:val="20"/>
                <w:szCs w:val="20"/>
              </w:rPr>
            </w:pPr>
          </w:p>
        </w:tc>
        <w:tc>
          <w:tcPr>
            <w:tcW w:w="1948" w:type="dxa"/>
            <w:gridSpan w:val="2"/>
            <w:shd w:val="clear" w:color="auto" w:fill="auto"/>
          </w:tcPr>
          <w:p w14:paraId="55B23556"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697" w:type="dxa"/>
            <w:gridSpan w:val="9"/>
            <w:shd w:val="clear" w:color="auto" w:fill="auto"/>
          </w:tcPr>
          <w:p w14:paraId="30B50BA5"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Nijesu potrebna finansijska sredstava.</w:t>
            </w:r>
          </w:p>
        </w:tc>
        <w:tc>
          <w:tcPr>
            <w:tcW w:w="2228" w:type="dxa"/>
            <w:shd w:val="clear" w:color="auto" w:fill="auto"/>
          </w:tcPr>
          <w:p w14:paraId="2C8C85E5"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U cilju daljeg usklađivanja zakonodavstva Crne Gore sa zakonodavstvom EU u oblasti upravljanja otpadom, kao i potrebi efikasnije implementacije važećeg Zakona o upravljanju otpadom, ukazala se potreba izrade novog Zakona o upravljanju otpadom</w:t>
            </w:r>
          </w:p>
        </w:tc>
      </w:tr>
      <w:tr w:rsidR="00B80AA5" w:rsidRPr="00B7090C" w14:paraId="72E3FCDC" w14:textId="77777777" w:rsidTr="00EA56E8">
        <w:tc>
          <w:tcPr>
            <w:tcW w:w="676" w:type="dxa"/>
            <w:shd w:val="clear" w:color="auto" w:fill="auto"/>
          </w:tcPr>
          <w:p w14:paraId="6C7A4EB5"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t>13.</w:t>
            </w:r>
          </w:p>
        </w:tc>
        <w:tc>
          <w:tcPr>
            <w:tcW w:w="2053" w:type="dxa"/>
            <w:gridSpan w:val="4"/>
            <w:shd w:val="clear" w:color="auto" w:fill="auto"/>
          </w:tcPr>
          <w:p w14:paraId="2B2A76A2"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Izrada Predloga Zakona o zaštiti od jonizujućih zračenja, radijacionoj i nuklearnoj sigurnosti i bezbjednosti </w:t>
            </w:r>
          </w:p>
        </w:tc>
        <w:tc>
          <w:tcPr>
            <w:tcW w:w="2357" w:type="dxa"/>
            <w:gridSpan w:val="4"/>
            <w:shd w:val="clear" w:color="auto" w:fill="auto"/>
          </w:tcPr>
          <w:p w14:paraId="1715E884"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Utvrđen Predlog zakona o zaštiti od jonizujućih zračenja, radijacionoj i nuklearnoj sigurnosti i bezbjednosti</w:t>
            </w:r>
          </w:p>
        </w:tc>
        <w:tc>
          <w:tcPr>
            <w:tcW w:w="2240" w:type="dxa"/>
            <w:gridSpan w:val="8"/>
            <w:shd w:val="clear" w:color="auto" w:fill="auto"/>
          </w:tcPr>
          <w:p w14:paraId="3E85C441"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2CC6C336"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603BC109"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KEPIFKEPIF</w:t>
            </w:r>
          </w:p>
        </w:tc>
        <w:tc>
          <w:tcPr>
            <w:tcW w:w="1687" w:type="dxa"/>
            <w:gridSpan w:val="3"/>
            <w:shd w:val="clear" w:color="auto" w:fill="auto"/>
          </w:tcPr>
          <w:p w14:paraId="6F696EFA"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IV Q 2022.</w:t>
            </w:r>
          </w:p>
          <w:p w14:paraId="3AD35E90" w14:textId="77777777" w:rsidR="00B80AA5" w:rsidRPr="00B7090C" w:rsidRDefault="00B80AA5" w:rsidP="00FD6B98">
            <w:pPr>
              <w:spacing w:before="20" w:after="20"/>
              <w:jc w:val="both"/>
              <w:rPr>
                <w:rFonts w:ascii="Arial Narrow" w:hAnsi="Arial Narrow" w:cs="Arial"/>
                <w:color w:val="000000"/>
                <w:sz w:val="20"/>
                <w:szCs w:val="20"/>
              </w:rPr>
            </w:pPr>
          </w:p>
        </w:tc>
        <w:tc>
          <w:tcPr>
            <w:tcW w:w="1948" w:type="dxa"/>
            <w:gridSpan w:val="2"/>
            <w:shd w:val="clear" w:color="auto" w:fill="auto"/>
          </w:tcPr>
          <w:p w14:paraId="59DF89F6"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697" w:type="dxa"/>
            <w:gridSpan w:val="9"/>
            <w:shd w:val="clear" w:color="auto" w:fill="auto"/>
          </w:tcPr>
          <w:p w14:paraId="6FBC7F6D"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Nijesu potrebna finansijska sredstava.</w:t>
            </w:r>
          </w:p>
        </w:tc>
        <w:tc>
          <w:tcPr>
            <w:tcW w:w="2228" w:type="dxa"/>
            <w:shd w:val="clear" w:color="auto" w:fill="auto"/>
          </w:tcPr>
          <w:p w14:paraId="2D71695E"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U cilju daljeg usklađivanja zakonodavstva Crne Gore sa zakonodavstvom EU u oblasti zaštitie od jonizujućih zračenja, radijacionoj i nuklearnoj sigurnosti i bezbjednosti kao i potrebi efikasnije implementacije ukazala se </w:t>
            </w:r>
            <w:r w:rsidRPr="00B7090C">
              <w:rPr>
                <w:rFonts w:ascii="Arial Narrow" w:hAnsi="Arial Narrow" w:cs="Arial"/>
                <w:color w:val="000000"/>
                <w:sz w:val="20"/>
                <w:szCs w:val="20"/>
              </w:rPr>
              <w:lastRenderedPageBreak/>
              <w:t>potreba izrade novog Zakona.</w:t>
            </w:r>
          </w:p>
        </w:tc>
      </w:tr>
      <w:tr w:rsidR="00B80AA5" w:rsidRPr="00B7090C" w14:paraId="47916B40" w14:textId="77777777" w:rsidTr="00EA56E8">
        <w:tc>
          <w:tcPr>
            <w:tcW w:w="2789" w:type="dxa"/>
            <w:gridSpan w:val="6"/>
            <w:shd w:val="clear" w:color="auto" w:fill="D9E2F3"/>
          </w:tcPr>
          <w:p w14:paraId="2F68693A" w14:textId="77777777" w:rsidR="00B80AA5" w:rsidRPr="00B7090C" w:rsidRDefault="00B80AA5" w:rsidP="00FD6B98">
            <w:pPr>
              <w:spacing w:before="40" w:after="40" w:line="240" w:lineRule="auto"/>
              <w:jc w:val="center"/>
              <w:rPr>
                <w:rFonts w:ascii="Arial Narrow" w:hAnsi="Arial Narrow" w:cs="Arial"/>
                <w:b/>
                <w:color w:val="000000"/>
                <w:sz w:val="20"/>
                <w:szCs w:val="20"/>
              </w:rPr>
            </w:pPr>
            <w:bookmarkStart w:id="35" w:name="_Hlk89414311"/>
            <w:r>
              <w:rPr>
                <w:rFonts w:ascii="Arial Narrow" w:hAnsi="Arial Narrow" w:cs="Arial"/>
                <w:b/>
                <w:color w:val="000000"/>
                <w:sz w:val="20"/>
                <w:szCs w:val="20"/>
              </w:rPr>
              <w:t>Cilj 3.</w:t>
            </w:r>
            <w:r w:rsidRPr="00B7090C">
              <w:rPr>
                <w:rFonts w:ascii="Arial Narrow" w:hAnsi="Arial Narrow" w:cs="Arial"/>
                <w:b/>
                <w:color w:val="000000"/>
                <w:sz w:val="20"/>
                <w:szCs w:val="20"/>
              </w:rPr>
              <w:t>5</w:t>
            </w:r>
            <w:r>
              <w:rPr>
                <w:rFonts w:ascii="Arial Narrow" w:hAnsi="Arial Narrow" w:cs="Arial"/>
                <w:b/>
                <w:color w:val="000000"/>
                <w:sz w:val="20"/>
                <w:szCs w:val="20"/>
              </w:rPr>
              <w:t>.</w:t>
            </w:r>
          </w:p>
        </w:tc>
        <w:tc>
          <w:tcPr>
            <w:tcW w:w="12097" w:type="dxa"/>
            <w:gridSpan w:val="26"/>
            <w:shd w:val="clear" w:color="auto" w:fill="D9E2F3"/>
          </w:tcPr>
          <w:p w14:paraId="53999FB9" w14:textId="77777777" w:rsidR="00B80AA5" w:rsidRPr="00B7090C" w:rsidRDefault="00B80AA5" w:rsidP="00FD6B98">
            <w:pPr>
              <w:spacing w:after="120" w:line="240" w:lineRule="auto"/>
              <w:jc w:val="both"/>
              <w:rPr>
                <w:rFonts w:ascii="Arial Narrow" w:hAnsi="Arial Narrow" w:cs="Arial"/>
                <w:b/>
                <w:noProof/>
                <w:color w:val="000000"/>
                <w:sz w:val="20"/>
                <w:szCs w:val="20"/>
                <w:lang w:eastAsia="en-GB"/>
              </w:rPr>
            </w:pPr>
            <w:r w:rsidRPr="00B7090C">
              <w:rPr>
                <w:rFonts w:ascii="Arial Narrow" w:hAnsi="Arial Narrow" w:cs="Arial"/>
                <w:b/>
                <w:sz w:val="20"/>
                <w:szCs w:val="20"/>
              </w:rPr>
              <w:t>Stvaranje preduslova za efikasno upravljanje prostorom i izgradnjom objekata</w:t>
            </w:r>
            <w:r w:rsidRPr="00B7090C" w:rsidDel="00C52B66">
              <w:rPr>
                <w:rFonts w:ascii="Arial Narrow" w:hAnsi="Arial Narrow" w:cs="Arial"/>
                <w:noProof/>
                <w:color w:val="000000"/>
                <w:sz w:val="20"/>
                <w:szCs w:val="20"/>
                <w:lang w:eastAsia="en-GB"/>
              </w:rPr>
              <w:t xml:space="preserve"> </w:t>
            </w:r>
          </w:p>
        </w:tc>
      </w:tr>
      <w:bookmarkEnd w:id="35"/>
      <w:tr w:rsidR="00B80AA5" w:rsidRPr="00B7090C" w14:paraId="131A9B22" w14:textId="77777777" w:rsidTr="00EA56E8">
        <w:trPr>
          <w:trHeight w:val="1233"/>
        </w:trPr>
        <w:tc>
          <w:tcPr>
            <w:tcW w:w="2789" w:type="dxa"/>
            <w:gridSpan w:val="6"/>
            <w:shd w:val="clear" w:color="auto" w:fill="DAF2F6"/>
          </w:tcPr>
          <w:p w14:paraId="30CC576F" w14:textId="77777777" w:rsidR="00B80AA5" w:rsidRPr="00AE274D" w:rsidRDefault="00B80AA5" w:rsidP="00FD6B98">
            <w:pPr>
              <w:spacing w:before="40" w:after="40" w:line="240" w:lineRule="auto"/>
              <w:jc w:val="both"/>
              <w:rPr>
                <w:rFonts w:ascii="Arial Narrow" w:hAnsi="Arial Narrow" w:cs="Arial"/>
                <w:bCs/>
                <w:iCs/>
                <w:color w:val="000000"/>
                <w:sz w:val="20"/>
                <w:szCs w:val="20"/>
              </w:rPr>
            </w:pPr>
            <w:r w:rsidRPr="00AE274D">
              <w:rPr>
                <w:rFonts w:ascii="Arial Narrow" w:hAnsi="Arial Narrow" w:cs="Arial"/>
                <w:bCs/>
                <w:iCs/>
                <w:color w:val="000000"/>
                <w:sz w:val="20"/>
                <w:szCs w:val="20"/>
              </w:rPr>
              <w:t>Procenat usaglašenosti nacionalnog zakonodavstva za zakonodavstvom EU iz oblasti građevinarstva</w:t>
            </w:r>
          </w:p>
        </w:tc>
        <w:tc>
          <w:tcPr>
            <w:tcW w:w="3095" w:type="dxa"/>
            <w:gridSpan w:val="8"/>
            <w:shd w:val="clear" w:color="auto" w:fill="DAF2F6"/>
          </w:tcPr>
          <w:p w14:paraId="2A43075B" w14:textId="77777777" w:rsidR="00B80AA5" w:rsidRPr="00B7090C" w:rsidRDefault="00B80AA5" w:rsidP="00FD6B98">
            <w:pPr>
              <w:spacing w:before="40" w:after="40" w:line="240" w:lineRule="auto"/>
              <w:jc w:val="center"/>
              <w:rPr>
                <w:rFonts w:ascii="Arial Narrow" w:hAnsi="Arial Narrow" w:cs="Arial"/>
                <w:iCs/>
                <w:color w:val="000000"/>
                <w:sz w:val="20"/>
                <w:szCs w:val="20"/>
              </w:rPr>
            </w:pPr>
            <w:r w:rsidRPr="00B7090C">
              <w:rPr>
                <w:rFonts w:ascii="Arial Narrow" w:hAnsi="Arial Narrow" w:cs="Arial"/>
                <w:iCs/>
                <w:color w:val="000000"/>
                <w:sz w:val="20"/>
                <w:szCs w:val="20"/>
              </w:rPr>
              <w:t>50%</w:t>
            </w:r>
          </w:p>
        </w:tc>
        <w:tc>
          <w:tcPr>
            <w:tcW w:w="3160" w:type="dxa"/>
            <w:gridSpan w:val="7"/>
            <w:shd w:val="clear" w:color="auto" w:fill="DAF2F6"/>
          </w:tcPr>
          <w:p w14:paraId="687DF337" w14:textId="77777777" w:rsidR="00B80AA5" w:rsidRPr="00B7090C" w:rsidRDefault="00B80AA5" w:rsidP="00FD6B98">
            <w:pPr>
              <w:spacing w:before="40" w:after="40" w:line="240" w:lineRule="auto"/>
              <w:jc w:val="center"/>
              <w:rPr>
                <w:rFonts w:ascii="Arial Narrow" w:hAnsi="Arial Narrow" w:cs="Arial"/>
                <w:iCs/>
                <w:color w:val="000000"/>
                <w:sz w:val="20"/>
                <w:szCs w:val="20"/>
              </w:rPr>
            </w:pPr>
            <w:r w:rsidRPr="00B7090C">
              <w:rPr>
                <w:rFonts w:ascii="Arial Narrow" w:hAnsi="Arial Narrow" w:cs="Arial"/>
                <w:iCs/>
                <w:color w:val="000000"/>
                <w:sz w:val="20"/>
                <w:szCs w:val="20"/>
              </w:rPr>
              <w:t>60%</w:t>
            </w:r>
          </w:p>
        </w:tc>
        <w:tc>
          <w:tcPr>
            <w:tcW w:w="2823" w:type="dxa"/>
            <w:gridSpan w:val="5"/>
            <w:shd w:val="clear" w:color="auto" w:fill="DAF2F6"/>
          </w:tcPr>
          <w:p w14:paraId="42E877EC" w14:textId="77777777" w:rsidR="00B80AA5" w:rsidRPr="00B7090C" w:rsidRDefault="00B80AA5" w:rsidP="00FD6B98">
            <w:pPr>
              <w:spacing w:before="40" w:after="40" w:line="240" w:lineRule="auto"/>
              <w:jc w:val="center"/>
              <w:rPr>
                <w:rFonts w:ascii="Arial Narrow" w:hAnsi="Arial Narrow" w:cs="Arial"/>
                <w:iCs/>
                <w:color w:val="000000"/>
                <w:sz w:val="20"/>
                <w:szCs w:val="20"/>
              </w:rPr>
            </w:pPr>
            <w:r w:rsidRPr="00B7090C">
              <w:rPr>
                <w:rFonts w:ascii="Arial Narrow" w:hAnsi="Arial Narrow" w:cs="Arial"/>
                <w:iCs/>
                <w:color w:val="000000"/>
                <w:sz w:val="20"/>
                <w:szCs w:val="20"/>
              </w:rPr>
              <w:t>70%</w:t>
            </w:r>
          </w:p>
        </w:tc>
        <w:tc>
          <w:tcPr>
            <w:tcW w:w="3019" w:type="dxa"/>
            <w:gridSpan w:val="6"/>
            <w:shd w:val="clear" w:color="auto" w:fill="DAF2F6"/>
          </w:tcPr>
          <w:p w14:paraId="6B4D64A2" w14:textId="77777777" w:rsidR="00B80AA5" w:rsidRPr="00B7090C" w:rsidRDefault="00B80AA5" w:rsidP="00FD6B98">
            <w:pPr>
              <w:spacing w:before="40" w:after="40" w:line="240" w:lineRule="auto"/>
              <w:jc w:val="center"/>
              <w:rPr>
                <w:rFonts w:ascii="Arial Narrow" w:hAnsi="Arial Narrow" w:cs="Arial"/>
                <w:iCs/>
                <w:color w:val="000000"/>
                <w:sz w:val="20"/>
                <w:szCs w:val="20"/>
              </w:rPr>
            </w:pPr>
            <w:r w:rsidRPr="00B7090C">
              <w:rPr>
                <w:rFonts w:ascii="Arial Narrow" w:hAnsi="Arial Narrow" w:cs="Arial"/>
                <w:iCs/>
                <w:color w:val="000000"/>
                <w:sz w:val="20"/>
                <w:szCs w:val="20"/>
              </w:rPr>
              <w:t>100 %</w:t>
            </w:r>
          </w:p>
        </w:tc>
      </w:tr>
      <w:tr w:rsidR="00B80AA5" w:rsidRPr="00B7090C" w14:paraId="5F60ACEA" w14:textId="77777777" w:rsidTr="00EA56E8">
        <w:tc>
          <w:tcPr>
            <w:tcW w:w="2789" w:type="dxa"/>
            <w:gridSpan w:val="6"/>
            <w:shd w:val="clear" w:color="auto" w:fill="DAF2F6"/>
            <w:vAlign w:val="center"/>
          </w:tcPr>
          <w:p w14:paraId="7EBE19A0" w14:textId="77777777" w:rsidR="00B80AA5" w:rsidRPr="00AE274D" w:rsidRDefault="00B80AA5" w:rsidP="00FD6B98">
            <w:pPr>
              <w:spacing w:before="20" w:after="20"/>
              <w:jc w:val="both"/>
              <w:rPr>
                <w:rFonts w:ascii="Arial Narrow" w:hAnsi="Arial Narrow" w:cs="Arial"/>
                <w:bCs/>
                <w:iCs/>
                <w:color w:val="000000"/>
                <w:sz w:val="20"/>
                <w:szCs w:val="20"/>
              </w:rPr>
            </w:pPr>
            <w:r w:rsidRPr="00AE274D">
              <w:rPr>
                <w:rFonts w:ascii="Arial Narrow" w:hAnsi="Arial Narrow" w:cs="Arial"/>
                <w:bCs/>
                <w:iCs/>
                <w:color w:val="000000"/>
                <w:sz w:val="20"/>
                <w:szCs w:val="20"/>
              </w:rPr>
              <w:t>Ukupan broj inspekcijskin nadzora u cilju poboljšanja uslova stanovanja u stambenim zgradama</w:t>
            </w:r>
          </w:p>
        </w:tc>
        <w:tc>
          <w:tcPr>
            <w:tcW w:w="3095" w:type="dxa"/>
            <w:gridSpan w:val="8"/>
            <w:shd w:val="clear" w:color="auto" w:fill="DAF2F6"/>
          </w:tcPr>
          <w:p w14:paraId="5DEA0AC1" w14:textId="77777777" w:rsidR="00B80AA5" w:rsidRPr="00B7090C" w:rsidRDefault="00B80AA5" w:rsidP="00FD6B98">
            <w:pPr>
              <w:spacing w:before="20" w:after="20"/>
              <w:jc w:val="center"/>
              <w:rPr>
                <w:rFonts w:ascii="Arial Narrow" w:hAnsi="Arial Narrow" w:cs="Arial"/>
                <w:iCs/>
                <w:color w:val="000000"/>
                <w:sz w:val="20"/>
                <w:szCs w:val="20"/>
              </w:rPr>
            </w:pPr>
            <w:r w:rsidRPr="00B7090C">
              <w:rPr>
                <w:rFonts w:ascii="Arial Narrow" w:hAnsi="Arial Narrow" w:cs="Arial"/>
                <w:iCs/>
                <w:color w:val="000000"/>
                <w:sz w:val="20"/>
                <w:szCs w:val="20"/>
              </w:rPr>
              <w:t>422</w:t>
            </w:r>
          </w:p>
        </w:tc>
        <w:tc>
          <w:tcPr>
            <w:tcW w:w="3160" w:type="dxa"/>
            <w:gridSpan w:val="7"/>
            <w:shd w:val="clear" w:color="auto" w:fill="DAF2F6"/>
          </w:tcPr>
          <w:p w14:paraId="76AB8339" w14:textId="77777777" w:rsidR="00B80AA5" w:rsidRPr="00B7090C" w:rsidRDefault="00B80AA5" w:rsidP="00FD6B98">
            <w:pPr>
              <w:spacing w:before="20" w:after="20"/>
              <w:jc w:val="center"/>
              <w:rPr>
                <w:rFonts w:ascii="Arial Narrow" w:hAnsi="Arial Narrow" w:cs="Arial"/>
                <w:iCs/>
                <w:color w:val="000000"/>
                <w:sz w:val="20"/>
                <w:szCs w:val="20"/>
              </w:rPr>
            </w:pPr>
            <w:r w:rsidRPr="00B7090C">
              <w:rPr>
                <w:rFonts w:ascii="Arial Narrow" w:hAnsi="Arial Narrow" w:cs="Arial"/>
                <w:iCs/>
                <w:color w:val="000000"/>
                <w:sz w:val="20"/>
                <w:szCs w:val="20"/>
              </w:rPr>
              <w:t>450</w:t>
            </w:r>
          </w:p>
        </w:tc>
        <w:tc>
          <w:tcPr>
            <w:tcW w:w="2823" w:type="dxa"/>
            <w:gridSpan w:val="5"/>
            <w:shd w:val="clear" w:color="auto" w:fill="DAF2F6"/>
          </w:tcPr>
          <w:p w14:paraId="2CD61E3D" w14:textId="77777777" w:rsidR="00B80AA5" w:rsidRPr="00B7090C" w:rsidRDefault="00B80AA5" w:rsidP="00FD6B98">
            <w:pPr>
              <w:spacing w:before="20" w:after="20"/>
              <w:jc w:val="center"/>
              <w:rPr>
                <w:rFonts w:ascii="Arial Narrow" w:hAnsi="Arial Narrow" w:cs="Arial"/>
                <w:iCs/>
                <w:color w:val="000000"/>
                <w:sz w:val="20"/>
                <w:szCs w:val="20"/>
              </w:rPr>
            </w:pPr>
            <w:r w:rsidRPr="00B7090C">
              <w:rPr>
                <w:rFonts w:ascii="Arial Narrow" w:hAnsi="Arial Narrow" w:cs="Arial"/>
                <w:iCs/>
                <w:color w:val="000000"/>
                <w:sz w:val="20"/>
                <w:szCs w:val="20"/>
              </w:rPr>
              <w:t>470</w:t>
            </w:r>
          </w:p>
        </w:tc>
        <w:tc>
          <w:tcPr>
            <w:tcW w:w="3019" w:type="dxa"/>
            <w:gridSpan w:val="6"/>
            <w:shd w:val="clear" w:color="auto" w:fill="DAF2F6"/>
          </w:tcPr>
          <w:p w14:paraId="2D52DFCE" w14:textId="77777777" w:rsidR="00B80AA5" w:rsidRPr="00B7090C" w:rsidRDefault="00B80AA5" w:rsidP="00FD6B98">
            <w:pPr>
              <w:spacing w:before="20" w:after="20"/>
              <w:jc w:val="center"/>
              <w:rPr>
                <w:rFonts w:ascii="Arial Narrow" w:hAnsi="Arial Narrow" w:cs="Arial"/>
                <w:iCs/>
                <w:color w:val="000000"/>
                <w:sz w:val="20"/>
                <w:szCs w:val="20"/>
              </w:rPr>
            </w:pPr>
            <w:r w:rsidRPr="00B7090C">
              <w:rPr>
                <w:rFonts w:ascii="Arial Narrow" w:hAnsi="Arial Narrow" w:cs="Arial"/>
                <w:iCs/>
                <w:color w:val="000000"/>
                <w:sz w:val="20"/>
                <w:szCs w:val="20"/>
              </w:rPr>
              <w:t>500</w:t>
            </w:r>
          </w:p>
        </w:tc>
      </w:tr>
      <w:tr w:rsidR="00B80AA5" w:rsidRPr="00B7090C" w14:paraId="2DE10101" w14:textId="77777777" w:rsidTr="00EA56E8">
        <w:tc>
          <w:tcPr>
            <w:tcW w:w="2789" w:type="dxa"/>
            <w:gridSpan w:val="6"/>
            <w:shd w:val="clear" w:color="auto" w:fill="DAF2F6"/>
          </w:tcPr>
          <w:p w14:paraId="1AD66700" w14:textId="77777777" w:rsidR="00B80AA5" w:rsidRPr="00AE274D" w:rsidRDefault="00B80AA5" w:rsidP="00FD6B98">
            <w:pPr>
              <w:spacing w:before="20" w:after="20"/>
              <w:jc w:val="both"/>
              <w:rPr>
                <w:rFonts w:ascii="Arial Narrow" w:hAnsi="Arial Narrow" w:cs="Arial"/>
                <w:bCs/>
                <w:iCs/>
                <w:sz w:val="20"/>
                <w:szCs w:val="20"/>
              </w:rPr>
            </w:pPr>
            <w:r w:rsidRPr="00AE274D">
              <w:rPr>
                <w:rFonts w:ascii="Arial Narrow" w:hAnsi="Arial Narrow" w:cs="Arial"/>
                <w:bCs/>
                <w:iCs/>
                <w:sz w:val="20"/>
                <w:szCs w:val="20"/>
              </w:rPr>
              <w:t>Broj donijetih rješenja  za  legalizaciju bespravnih objekata ili procenat riješenih predmeta</w:t>
            </w:r>
          </w:p>
        </w:tc>
        <w:tc>
          <w:tcPr>
            <w:tcW w:w="3095" w:type="dxa"/>
            <w:gridSpan w:val="8"/>
            <w:shd w:val="clear" w:color="auto" w:fill="DAF2F6"/>
          </w:tcPr>
          <w:p w14:paraId="2E3A243F" w14:textId="77777777" w:rsidR="00B80AA5" w:rsidRPr="00B7090C" w:rsidRDefault="00B80AA5" w:rsidP="00FD6B98">
            <w:pPr>
              <w:spacing w:before="20" w:after="20"/>
              <w:jc w:val="center"/>
              <w:rPr>
                <w:rFonts w:ascii="Arial Narrow" w:hAnsi="Arial Narrow" w:cs="Arial"/>
                <w:iCs/>
                <w:sz w:val="20"/>
                <w:szCs w:val="20"/>
              </w:rPr>
            </w:pPr>
            <w:r w:rsidRPr="00B7090C">
              <w:rPr>
                <w:rFonts w:ascii="Arial Narrow" w:hAnsi="Arial Narrow" w:cs="Arial"/>
                <w:iCs/>
                <w:sz w:val="20"/>
                <w:szCs w:val="20"/>
              </w:rPr>
              <w:t>38000</w:t>
            </w:r>
          </w:p>
          <w:p w14:paraId="078D560A" w14:textId="77777777" w:rsidR="00B80AA5" w:rsidRPr="00B7090C" w:rsidRDefault="00B80AA5" w:rsidP="00FD6B98">
            <w:pPr>
              <w:spacing w:before="20" w:after="20"/>
              <w:jc w:val="center"/>
              <w:rPr>
                <w:rFonts w:ascii="Arial Narrow" w:hAnsi="Arial Narrow" w:cs="Arial"/>
                <w:iCs/>
                <w:sz w:val="20"/>
                <w:szCs w:val="20"/>
              </w:rPr>
            </w:pPr>
          </w:p>
          <w:p w14:paraId="542A663E" w14:textId="77777777" w:rsidR="00B80AA5" w:rsidRPr="00B7090C" w:rsidRDefault="00B80AA5" w:rsidP="00FD6B98">
            <w:pPr>
              <w:spacing w:before="20" w:after="20"/>
              <w:jc w:val="center"/>
              <w:rPr>
                <w:rFonts w:ascii="Arial Narrow" w:hAnsi="Arial Narrow" w:cs="Arial"/>
                <w:iCs/>
                <w:sz w:val="20"/>
                <w:szCs w:val="20"/>
              </w:rPr>
            </w:pPr>
            <w:r w:rsidRPr="00B7090C">
              <w:rPr>
                <w:rFonts w:ascii="Arial Narrow" w:hAnsi="Arial Narrow" w:cs="Arial"/>
                <w:iCs/>
                <w:sz w:val="20"/>
                <w:szCs w:val="20"/>
              </w:rPr>
              <w:t xml:space="preserve">70% </w:t>
            </w:r>
          </w:p>
        </w:tc>
        <w:tc>
          <w:tcPr>
            <w:tcW w:w="3160" w:type="dxa"/>
            <w:gridSpan w:val="7"/>
            <w:shd w:val="clear" w:color="auto" w:fill="DAF2F6"/>
          </w:tcPr>
          <w:p w14:paraId="79A14398" w14:textId="77777777" w:rsidR="00B80AA5" w:rsidRPr="00B7090C" w:rsidRDefault="00B80AA5" w:rsidP="00FD6B98">
            <w:pPr>
              <w:spacing w:before="20" w:after="20"/>
              <w:jc w:val="center"/>
              <w:rPr>
                <w:rFonts w:ascii="Arial Narrow" w:hAnsi="Arial Narrow" w:cs="Arial"/>
                <w:iCs/>
                <w:sz w:val="20"/>
                <w:szCs w:val="20"/>
              </w:rPr>
            </w:pPr>
            <w:r w:rsidRPr="00B7090C">
              <w:rPr>
                <w:rFonts w:ascii="Arial Narrow" w:hAnsi="Arial Narrow" w:cs="Arial"/>
                <w:iCs/>
                <w:sz w:val="20"/>
                <w:szCs w:val="20"/>
              </w:rPr>
              <w:t xml:space="preserve">54053 </w:t>
            </w:r>
          </w:p>
          <w:p w14:paraId="3AAB0DB6" w14:textId="77777777" w:rsidR="00B80AA5" w:rsidRPr="00B7090C" w:rsidRDefault="00B80AA5" w:rsidP="00FD6B98">
            <w:pPr>
              <w:spacing w:before="20" w:after="20"/>
              <w:jc w:val="center"/>
              <w:rPr>
                <w:rFonts w:ascii="Arial Narrow" w:hAnsi="Arial Narrow" w:cs="Arial"/>
                <w:iCs/>
                <w:sz w:val="20"/>
                <w:szCs w:val="20"/>
              </w:rPr>
            </w:pPr>
          </w:p>
          <w:p w14:paraId="4F39E3BF" w14:textId="77777777" w:rsidR="00B80AA5" w:rsidRPr="00B7090C" w:rsidRDefault="00B80AA5" w:rsidP="00FD6B98">
            <w:pPr>
              <w:spacing w:before="20" w:after="20"/>
              <w:jc w:val="center"/>
              <w:rPr>
                <w:rFonts w:ascii="Arial Narrow" w:hAnsi="Arial Narrow" w:cs="Arial"/>
                <w:iCs/>
                <w:sz w:val="20"/>
                <w:szCs w:val="20"/>
              </w:rPr>
            </w:pPr>
            <w:r w:rsidRPr="00B7090C">
              <w:rPr>
                <w:rFonts w:ascii="Arial Narrow" w:hAnsi="Arial Narrow" w:cs="Arial"/>
                <w:iCs/>
                <w:sz w:val="20"/>
                <w:szCs w:val="20"/>
              </w:rPr>
              <w:t xml:space="preserve">100% </w:t>
            </w:r>
          </w:p>
        </w:tc>
        <w:tc>
          <w:tcPr>
            <w:tcW w:w="2823" w:type="dxa"/>
            <w:gridSpan w:val="5"/>
            <w:shd w:val="clear" w:color="auto" w:fill="DAF2F6"/>
          </w:tcPr>
          <w:p w14:paraId="7AE2EE0D" w14:textId="77777777" w:rsidR="00B80AA5" w:rsidRPr="00B7090C" w:rsidRDefault="00B80AA5" w:rsidP="00FD6B98">
            <w:pPr>
              <w:spacing w:before="20" w:after="20"/>
              <w:jc w:val="center"/>
              <w:rPr>
                <w:rFonts w:ascii="Arial Narrow" w:hAnsi="Arial Narrow" w:cs="Arial"/>
                <w:iCs/>
                <w:sz w:val="20"/>
                <w:szCs w:val="20"/>
              </w:rPr>
            </w:pPr>
            <w:r w:rsidRPr="00B7090C">
              <w:rPr>
                <w:rFonts w:ascii="Arial Narrow" w:hAnsi="Arial Narrow" w:cs="Arial"/>
                <w:iCs/>
                <w:sz w:val="20"/>
                <w:szCs w:val="20"/>
              </w:rPr>
              <w:t xml:space="preserve">16000 </w:t>
            </w:r>
          </w:p>
          <w:p w14:paraId="6ED3567D" w14:textId="77777777" w:rsidR="00B80AA5" w:rsidRPr="00B7090C" w:rsidRDefault="00B80AA5" w:rsidP="00FD6B98">
            <w:pPr>
              <w:spacing w:before="20" w:after="20"/>
              <w:jc w:val="center"/>
              <w:rPr>
                <w:rFonts w:ascii="Arial Narrow" w:hAnsi="Arial Narrow" w:cs="Arial"/>
                <w:iCs/>
                <w:sz w:val="20"/>
                <w:szCs w:val="20"/>
              </w:rPr>
            </w:pPr>
          </w:p>
          <w:p w14:paraId="3CA9FDA9" w14:textId="77777777" w:rsidR="00B80AA5" w:rsidRPr="00B7090C" w:rsidRDefault="00B80AA5" w:rsidP="00FD6B98">
            <w:pPr>
              <w:spacing w:before="20" w:after="20"/>
              <w:jc w:val="center"/>
              <w:rPr>
                <w:rFonts w:ascii="Arial Narrow" w:hAnsi="Arial Narrow" w:cs="Arial"/>
                <w:iCs/>
                <w:sz w:val="20"/>
                <w:szCs w:val="20"/>
              </w:rPr>
            </w:pPr>
            <w:r w:rsidRPr="00B7090C">
              <w:rPr>
                <w:rFonts w:ascii="Arial Narrow" w:hAnsi="Arial Narrow" w:cs="Arial"/>
                <w:iCs/>
                <w:sz w:val="20"/>
                <w:szCs w:val="20"/>
              </w:rPr>
              <w:t xml:space="preserve">30% </w:t>
            </w:r>
          </w:p>
        </w:tc>
        <w:tc>
          <w:tcPr>
            <w:tcW w:w="3019" w:type="dxa"/>
            <w:gridSpan w:val="6"/>
            <w:shd w:val="clear" w:color="auto" w:fill="DAF2F6"/>
          </w:tcPr>
          <w:p w14:paraId="607506CC" w14:textId="77777777" w:rsidR="00B80AA5" w:rsidRPr="00B7090C" w:rsidRDefault="00B80AA5" w:rsidP="00FD6B98">
            <w:pPr>
              <w:spacing w:before="20" w:after="20"/>
              <w:jc w:val="center"/>
              <w:rPr>
                <w:rFonts w:ascii="Arial Narrow" w:hAnsi="Arial Narrow" w:cs="Arial"/>
                <w:iCs/>
                <w:sz w:val="20"/>
                <w:szCs w:val="20"/>
              </w:rPr>
            </w:pPr>
            <w:r w:rsidRPr="00B7090C">
              <w:rPr>
                <w:rFonts w:ascii="Arial Narrow" w:hAnsi="Arial Narrow" w:cs="Arial"/>
                <w:iCs/>
                <w:sz w:val="20"/>
                <w:szCs w:val="20"/>
              </w:rPr>
              <w:t xml:space="preserve">38000 </w:t>
            </w:r>
          </w:p>
          <w:p w14:paraId="0492A81D" w14:textId="77777777" w:rsidR="00B80AA5" w:rsidRPr="00B7090C" w:rsidRDefault="00B80AA5" w:rsidP="00FD6B98">
            <w:pPr>
              <w:spacing w:before="20" w:after="20"/>
              <w:jc w:val="center"/>
              <w:rPr>
                <w:rFonts w:ascii="Arial Narrow" w:hAnsi="Arial Narrow" w:cs="Arial"/>
                <w:iCs/>
                <w:sz w:val="20"/>
                <w:szCs w:val="20"/>
              </w:rPr>
            </w:pPr>
          </w:p>
          <w:p w14:paraId="09481883" w14:textId="77777777" w:rsidR="00B80AA5" w:rsidRPr="00B7090C" w:rsidRDefault="00B80AA5" w:rsidP="00FD6B98">
            <w:pPr>
              <w:spacing w:before="20" w:after="20"/>
              <w:jc w:val="center"/>
              <w:rPr>
                <w:rFonts w:ascii="Arial Narrow" w:hAnsi="Arial Narrow" w:cs="Arial"/>
                <w:iCs/>
                <w:sz w:val="20"/>
                <w:szCs w:val="20"/>
              </w:rPr>
            </w:pPr>
            <w:r w:rsidRPr="00B7090C">
              <w:rPr>
                <w:rFonts w:ascii="Arial Narrow" w:hAnsi="Arial Narrow" w:cs="Arial"/>
                <w:iCs/>
                <w:sz w:val="20"/>
                <w:szCs w:val="20"/>
              </w:rPr>
              <w:t xml:space="preserve">70% </w:t>
            </w:r>
          </w:p>
        </w:tc>
      </w:tr>
      <w:tr w:rsidR="00B80AA5" w:rsidRPr="00B7090C" w14:paraId="4D06154E" w14:textId="77777777" w:rsidTr="00EA56E8">
        <w:tc>
          <w:tcPr>
            <w:tcW w:w="2789" w:type="dxa"/>
            <w:gridSpan w:val="6"/>
            <w:shd w:val="clear" w:color="auto" w:fill="FFF2CC"/>
            <w:vAlign w:val="center"/>
          </w:tcPr>
          <w:p w14:paraId="2BF04BAC"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Aktivnosti</w:t>
            </w:r>
          </w:p>
        </w:tc>
        <w:tc>
          <w:tcPr>
            <w:tcW w:w="2453" w:type="dxa"/>
            <w:gridSpan w:val="4"/>
            <w:shd w:val="clear" w:color="auto" w:fill="FFF2CC"/>
            <w:vAlign w:val="center"/>
          </w:tcPr>
          <w:p w14:paraId="3C93C3D3"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Indikator rezultata</w:t>
            </w:r>
          </w:p>
        </w:tc>
        <w:tc>
          <w:tcPr>
            <w:tcW w:w="2084" w:type="dxa"/>
            <w:gridSpan w:val="7"/>
            <w:shd w:val="clear" w:color="auto" w:fill="FFF2CC"/>
            <w:vAlign w:val="center"/>
          </w:tcPr>
          <w:p w14:paraId="0BCC544A"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Nadležne institucije i nadležna komisija</w:t>
            </w:r>
          </w:p>
        </w:tc>
        <w:tc>
          <w:tcPr>
            <w:tcW w:w="1718" w:type="dxa"/>
            <w:gridSpan w:val="4"/>
            <w:shd w:val="clear" w:color="auto" w:fill="FFF2CC"/>
            <w:vAlign w:val="center"/>
          </w:tcPr>
          <w:p w14:paraId="38CA5E2B"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Planirani početak i završetak aktivnosti</w:t>
            </w:r>
          </w:p>
        </w:tc>
        <w:tc>
          <w:tcPr>
            <w:tcW w:w="2010" w:type="dxa"/>
            <w:gridSpan w:val="2"/>
            <w:shd w:val="clear" w:color="auto" w:fill="FFF2CC"/>
            <w:vAlign w:val="center"/>
          </w:tcPr>
          <w:p w14:paraId="468B75CE"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Sredstva za realizaciju  i informacija o izradi RIA</w:t>
            </w:r>
          </w:p>
        </w:tc>
        <w:tc>
          <w:tcPr>
            <w:tcW w:w="1557" w:type="dxa"/>
            <w:gridSpan w:val="7"/>
            <w:shd w:val="clear" w:color="auto" w:fill="FFF2CC"/>
            <w:vAlign w:val="center"/>
          </w:tcPr>
          <w:p w14:paraId="6F334609"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 xml:space="preserve"> Izvor finansiranja</w:t>
            </w:r>
          </w:p>
        </w:tc>
        <w:tc>
          <w:tcPr>
            <w:tcW w:w="2275" w:type="dxa"/>
            <w:gridSpan w:val="2"/>
            <w:shd w:val="clear" w:color="auto" w:fill="FFF2CC"/>
            <w:vAlign w:val="center"/>
          </w:tcPr>
          <w:p w14:paraId="1D12BE2F" w14:textId="77777777" w:rsidR="00B80AA5" w:rsidRPr="00B7090C" w:rsidRDefault="00B80AA5" w:rsidP="00FD6B98">
            <w:pPr>
              <w:spacing w:before="20" w:after="20" w:line="240" w:lineRule="auto"/>
              <w:jc w:val="both"/>
              <w:rPr>
                <w:rFonts w:ascii="Arial Narrow" w:hAnsi="Arial Narrow" w:cs="Arial"/>
                <w:b/>
                <w:color w:val="000000"/>
                <w:sz w:val="20"/>
                <w:szCs w:val="20"/>
              </w:rPr>
            </w:pPr>
          </w:p>
          <w:p w14:paraId="7316CEBD" w14:textId="77777777" w:rsidR="00B80AA5" w:rsidRPr="00B7090C" w:rsidRDefault="00B80AA5" w:rsidP="00FD6B98">
            <w:pPr>
              <w:spacing w:before="20" w:after="20" w:line="240" w:lineRule="auto"/>
              <w:jc w:val="both"/>
              <w:rPr>
                <w:rFonts w:ascii="Arial Narrow" w:hAnsi="Arial Narrow" w:cs="Arial"/>
                <w:b/>
                <w:color w:val="000000"/>
                <w:sz w:val="20"/>
                <w:szCs w:val="20"/>
              </w:rPr>
            </w:pPr>
            <w:r w:rsidRPr="00B7090C">
              <w:rPr>
                <w:rFonts w:ascii="Arial Narrow" w:hAnsi="Arial Narrow" w:cs="Arial"/>
                <w:b/>
                <w:color w:val="000000"/>
                <w:sz w:val="20"/>
                <w:szCs w:val="20"/>
              </w:rPr>
              <w:t>Obrazloženje</w:t>
            </w:r>
          </w:p>
        </w:tc>
      </w:tr>
      <w:tr w:rsidR="00B80AA5" w:rsidRPr="00B7090C" w14:paraId="08926E29" w14:textId="77777777" w:rsidTr="00EA56E8">
        <w:tc>
          <w:tcPr>
            <w:tcW w:w="699" w:type="dxa"/>
            <w:gridSpan w:val="2"/>
            <w:shd w:val="clear" w:color="auto" w:fill="auto"/>
          </w:tcPr>
          <w:p w14:paraId="7D6C39DC"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t>1.</w:t>
            </w:r>
          </w:p>
        </w:tc>
        <w:tc>
          <w:tcPr>
            <w:tcW w:w="2090" w:type="dxa"/>
            <w:gridSpan w:val="4"/>
            <w:shd w:val="clear" w:color="auto" w:fill="auto"/>
          </w:tcPr>
          <w:p w14:paraId="3BF495AC"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Usvajanje Drugog nacionalnog dobrovoljnog izvještaja (pregleda) za sprovođenje ciljeva održivog razvoja</w:t>
            </w:r>
          </w:p>
        </w:tc>
        <w:tc>
          <w:tcPr>
            <w:tcW w:w="2453" w:type="dxa"/>
            <w:gridSpan w:val="4"/>
            <w:shd w:val="clear" w:color="auto" w:fill="auto"/>
          </w:tcPr>
          <w:p w14:paraId="311EBEED"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Usvojen Drugi Nacionalni dobrovoljni izvještaj (pregled) za sprovođenje ciljeva održivog razvoja</w:t>
            </w:r>
          </w:p>
        </w:tc>
        <w:tc>
          <w:tcPr>
            <w:tcW w:w="2084" w:type="dxa"/>
            <w:gridSpan w:val="7"/>
            <w:shd w:val="clear" w:color="auto" w:fill="auto"/>
          </w:tcPr>
          <w:p w14:paraId="038F62F7"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NI: MEPPU </w:t>
            </w:r>
          </w:p>
          <w:p w14:paraId="2ED4618B" w14:textId="77777777" w:rsidR="00B80AA5" w:rsidRPr="00B7090C" w:rsidRDefault="00B80AA5" w:rsidP="00FD6B98">
            <w:pPr>
              <w:spacing w:before="20" w:after="20"/>
              <w:jc w:val="both"/>
              <w:rPr>
                <w:rFonts w:ascii="Arial Narrow" w:hAnsi="Arial Narrow" w:cs="Arial"/>
                <w:color w:val="000000"/>
                <w:sz w:val="20"/>
                <w:szCs w:val="20"/>
              </w:rPr>
            </w:pPr>
          </w:p>
          <w:p w14:paraId="24AED3BC"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718" w:type="dxa"/>
            <w:gridSpan w:val="4"/>
            <w:shd w:val="clear" w:color="auto" w:fill="auto"/>
          </w:tcPr>
          <w:p w14:paraId="61FD9CA6"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 - II Q 2022.</w:t>
            </w:r>
          </w:p>
          <w:p w14:paraId="596F85D6" w14:textId="77777777" w:rsidR="00B80AA5" w:rsidRPr="00B7090C" w:rsidRDefault="00B80AA5" w:rsidP="00FD6B98">
            <w:pPr>
              <w:spacing w:before="20" w:after="20"/>
              <w:jc w:val="both"/>
              <w:rPr>
                <w:rFonts w:ascii="Arial Narrow" w:hAnsi="Arial Narrow" w:cs="Arial"/>
                <w:color w:val="000000"/>
                <w:sz w:val="20"/>
                <w:szCs w:val="20"/>
              </w:rPr>
            </w:pPr>
          </w:p>
        </w:tc>
        <w:tc>
          <w:tcPr>
            <w:tcW w:w="2010" w:type="dxa"/>
            <w:gridSpan w:val="2"/>
            <w:shd w:val="clear" w:color="auto" w:fill="auto"/>
          </w:tcPr>
          <w:p w14:paraId="266E5469"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10.000 € </w:t>
            </w:r>
          </w:p>
          <w:p w14:paraId="71A908AC" w14:textId="77777777" w:rsidR="00B80AA5" w:rsidRPr="00B7090C" w:rsidRDefault="00B80AA5" w:rsidP="00FD6B98">
            <w:pPr>
              <w:spacing w:before="20" w:after="20"/>
              <w:jc w:val="both"/>
              <w:rPr>
                <w:rFonts w:ascii="Arial Narrow" w:hAnsi="Arial Narrow" w:cs="Arial"/>
                <w:color w:val="000000"/>
                <w:sz w:val="20"/>
                <w:szCs w:val="20"/>
              </w:rPr>
            </w:pPr>
          </w:p>
          <w:p w14:paraId="7CBEA817"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angažovanje lokalnog konsultanta i sprovođenje konsultativnog procesa</w:t>
            </w:r>
          </w:p>
        </w:tc>
        <w:tc>
          <w:tcPr>
            <w:tcW w:w="1557" w:type="dxa"/>
            <w:gridSpan w:val="7"/>
            <w:shd w:val="clear" w:color="auto" w:fill="auto"/>
          </w:tcPr>
          <w:p w14:paraId="39437311"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Budžet Crne Gore </w:t>
            </w:r>
          </w:p>
          <w:p w14:paraId="6BA21EA0" w14:textId="77777777" w:rsidR="00B80AA5" w:rsidRPr="00B7090C" w:rsidRDefault="00B80AA5" w:rsidP="00FD6B98">
            <w:pPr>
              <w:spacing w:before="20" w:after="20"/>
              <w:jc w:val="both"/>
              <w:rPr>
                <w:rFonts w:ascii="Arial Narrow" w:hAnsi="Arial Narrow" w:cs="Arial"/>
                <w:color w:val="000000"/>
                <w:sz w:val="20"/>
                <w:szCs w:val="20"/>
              </w:rPr>
            </w:pPr>
          </w:p>
        </w:tc>
        <w:tc>
          <w:tcPr>
            <w:tcW w:w="2275" w:type="dxa"/>
            <w:gridSpan w:val="2"/>
            <w:shd w:val="clear" w:color="auto" w:fill="auto"/>
          </w:tcPr>
          <w:p w14:paraId="457DDCF5"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Crna Gora kao članica UN-a, donošenjem Agende za održivi razvoj do 2030. godine i njenim transponovanjem u okviru nacionalne strategije održivog razvoja obavezala se za izvještavanje ka UN-u kroz dobrovoljni nacionalni pregled/izvještaj. Izradom ovog izvještaja daće se pregled stanja u svim oblastima te na osnovu toga mogućnost kreiranje i unaprijeđenja razvojnih politika CG, odnosno unaprijeđenje dostizanja 17 Ciljeva održivog razvoja.</w:t>
            </w:r>
          </w:p>
        </w:tc>
      </w:tr>
      <w:tr w:rsidR="00B80AA5" w:rsidRPr="00B7090C" w14:paraId="0CC62576" w14:textId="77777777" w:rsidTr="00EA56E8">
        <w:tc>
          <w:tcPr>
            <w:tcW w:w="699" w:type="dxa"/>
            <w:gridSpan w:val="2"/>
            <w:shd w:val="clear" w:color="auto" w:fill="auto"/>
          </w:tcPr>
          <w:p w14:paraId="7498D57C" w14:textId="77777777" w:rsidR="00B80AA5" w:rsidRPr="00B7090C" w:rsidRDefault="00B80AA5" w:rsidP="00FD6B98">
            <w:pPr>
              <w:spacing w:before="20" w:after="20"/>
              <w:jc w:val="right"/>
              <w:rPr>
                <w:rFonts w:ascii="Arial Narrow" w:hAnsi="Arial Narrow" w:cs="Arial"/>
                <w:color w:val="000000"/>
                <w:sz w:val="20"/>
                <w:szCs w:val="20"/>
              </w:rPr>
            </w:pPr>
            <w:r w:rsidRPr="00B7090C">
              <w:rPr>
                <w:rFonts w:ascii="Arial Narrow" w:hAnsi="Arial Narrow" w:cs="Arial"/>
                <w:color w:val="000000"/>
                <w:sz w:val="20"/>
                <w:szCs w:val="20"/>
              </w:rPr>
              <w:lastRenderedPageBreak/>
              <w:t>2.</w:t>
            </w:r>
          </w:p>
        </w:tc>
        <w:tc>
          <w:tcPr>
            <w:tcW w:w="2090" w:type="dxa"/>
            <w:gridSpan w:val="4"/>
            <w:shd w:val="clear" w:color="auto" w:fill="auto"/>
          </w:tcPr>
          <w:p w14:paraId="2642F7E6"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Usvajanje Izvještaja o sprovođenju Nacionalne strategije održivog razvoja do 2030. godine za period 2016-2021. godine</w:t>
            </w:r>
          </w:p>
        </w:tc>
        <w:tc>
          <w:tcPr>
            <w:tcW w:w="2453" w:type="dxa"/>
            <w:gridSpan w:val="4"/>
            <w:shd w:val="clear" w:color="auto" w:fill="auto"/>
          </w:tcPr>
          <w:p w14:paraId="722D0426"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Usvojen Izvještaj o sprovođenju Nacionalne strategije održivog razvoja do 2030. godine za period 2016-2021. godine</w:t>
            </w:r>
          </w:p>
        </w:tc>
        <w:tc>
          <w:tcPr>
            <w:tcW w:w="2084" w:type="dxa"/>
            <w:gridSpan w:val="7"/>
            <w:shd w:val="clear" w:color="auto" w:fill="auto"/>
          </w:tcPr>
          <w:p w14:paraId="44051E97"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13735934"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 </w:t>
            </w:r>
          </w:p>
          <w:p w14:paraId="4B31EB45"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718" w:type="dxa"/>
            <w:gridSpan w:val="4"/>
            <w:shd w:val="clear" w:color="auto" w:fill="auto"/>
          </w:tcPr>
          <w:p w14:paraId="551B8590"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I - III Q 2022.</w:t>
            </w:r>
          </w:p>
          <w:p w14:paraId="1BDFDACD" w14:textId="77777777" w:rsidR="00B80AA5" w:rsidRPr="00B7090C" w:rsidRDefault="00B80AA5" w:rsidP="00FD6B98">
            <w:pPr>
              <w:spacing w:before="20" w:after="20"/>
              <w:jc w:val="both"/>
              <w:rPr>
                <w:rFonts w:ascii="Arial Narrow" w:hAnsi="Arial Narrow" w:cs="Arial"/>
                <w:color w:val="000000"/>
                <w:sz w:val="20"/>
                <w:szCs w:val="20"/>
              </w:rPr>
            </w:pPr>
          </w:p>
          <w:p w14:paraId="75D9BD1E" w14:textId="77777777" w:rsidR="00B80AA5" w:rsidRPr="00B7090C" w:rsidRDefault="00B80AA5" w:rsidP="00FD6B98">
            <w:pPr>
              <w:spacing w:before="20" w:after="20"/>
              <w:jc w:val="both"/>
              <w:rPr>
                <w:rFonts w:ascii="Arial Narrow" w:hAnsi="Arial Narrow" w:cs="Arial"/>
                <w:color w:val="000000"/>
                <w:sz w:val="20"/>
                <w:szCs w:val="20"/>
              </w:rPr>
            </w:pPr>
          </w:p>
        </w:tc>
        <w:tc>
          <w:tcPr>
            <w:tcW w:w="2010" w:type="dxa"/>
            <w:gridSpan w:val="2"/>
            <w:shd w:val="clear" w:color="auto" w:fill="auto"/>
          </w:tcPr>
          <w:p w14:paraId="3D390F26"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5.000 €</w:t>
            </w:r>
          </w:p>
          <w:p w14:paraId="51070A55" w14:textId="77777777" w:rsidR="00B80AA5" w:rsidRPr="00B7090C" w:rsidRDefault="00B80AA5" w:rsidP="00FD6B98">
            <w:pPr>
              <w:spacing w:before="20" w:after="20"/>
              <w:jc w:val="both"/>
              <w:rPr>
                <w:rFonts w:ascii="Arial Narrow" w:hAnsi="Arial Narrow" w:cs="Arial"/>
                <w:color w:val="000000"/>
                <w:sz w:val="20"/>
                <w:szCs w:val="20"/>
              </w:rPr>
            </w:pPr>
          </w:p>
          <w:p w14:paraId="16243D71"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Za angažovanje lokalnog konsultanta i sprovođenje konsultativnog procesa</w:t>
            </w:r>
          </w:p>
          <w:p w14:paraId="0755D45F" w14:textId="77777777" w:rsidR="00B80AA5" w:rsidRPr="00B7090C" w:rsidRDefault="00B80AA5" w:rsidP="00FD6B98">
            <w:pPr>
              <w:spacing w:before="20" w:after="20"/>
              <w:jc w:val="both"/>
              <w:rPr>
                <w:rFonts w:ascii="Arial Narrow" w:hAnsi="Arial Narrow" w:cs="Arial"/>
                <w:color w:val="000000"/>
                <w:sz w:val="20"/>
                <w:szCs w:val="20"/>
              </w:rPr>
            </w:pPr>
          </w:p>
        </w:tc>
        <w:tc>
          <w:tcPr>
            <w:tcW w:w="1557" w:type="dxa"/>
            <w:gridSpan w:val="7"/>
            <w:shd w:val="clear" w:color="auto" w:fill="auto"/>
          </w:tcPr>
          <w:p w14:paraId="02C0FC75" w14:textId="77777777" w:rsidR="00B80AA5" w:rsidRPr="00B7090C" w:rsidRDefault="00B80AA5" w:rsidP="00FD6B98">
            <w:pPr>
              <w:spacing w:before="20" w:after="20"/>
              <w:jc w:val="both"/>
              <w:rPr>
                <w:rFonts w:ascii="Arial Narrow" w:hAnsi="Arial Narrow" w:cs="Arial"/>
                <w:color w:val="000000"/>
                <w:sz w:val="20"/>
                <w:szCs w:val="20"/>
              </w:rPr>
            </w:pPr>
            <w:r w:rsidRPr="00B7090C">
              <w:rPr>
                <w:rFonts w:ascii="Arial Narrow" w:hAnsi="Arial Narrow" w:cs="Arial"/>
                <w:color w:val="000000"/>
                <w:sz w:val="20"/>
                <w:szCs w:val="20"/>
              </w:rPr>
              <w:t xml:space="preserve">Budžet Crne Gore </w:t>
            </w:r>
          </w:p>
          <w:p w14:paraId="40A1D3F8" w14:textId="77777777" w:rsidR="00B80AA5" w:rsidRPr="00B7090C" w:rsidRDefault="00B80AA5" w:rsidP="00FD6B98">
            <w:pPr>
              <w:spacing w:before="20" w:after="20"/>
              <w:jc w:val="both"/>
              <w:rPr>
                <w:rFonts w:ascii="Arial Narrow" w:hAnsi="Arial Narrow" w:cs="Arial"/>
                <w:color w:val="000000"/>
                <w:sz w:val="20"/>
                <w:szCs w:val="20"/>
              </w:rPr>
            </w:pPr>
          </w:p>
        </w:tc>
        <w:tc>
          <w:tcPr>
            <w:tcW w:w="2275" w:type="dxa"/>
            <w:gridSpan w:val="2"/>
            <w:shd w:val="clear" w:color="auto" w:fill="auto"/>
          </w:tcPr>
          <w:p w14:paraId="1B4DA52B" w14:textId="77777777" w:rsidR="00B80AA5" w:rsidRPr="00B7090C" w:rsidRDefault="00B80AA5" w:rsidP="00FD6B98">
            <w:pPr>
              <w:jc w:val="both"/>
              <w:rPr>
                <w:rFonts w:ascii="Arial Narrow" w:hAnsi="Arial Narrow" w:cs="Arial"/>
                <w:color w:val="000000"/>
                <w:sz w:val="20"/>
                <w:szCs w:val="20"/>
              </w:rPr>
            </w:pPr>
            <w:r w:rsidRPr="00B7090C">
              <w:rPr>
                <w:rFonts w:ascii="Arial Narrow" w:hAnsi="Arial Narrow" w:cs="Arial"/>
                <w:color w:val="000000"/>
                <w:sz w:val="20"/>
                <w:szCs w:val="20"/>
              </w:rPr>
              <w:t>U skladu s obavezom sporovođenja Nacionalne strategije održivog razvoja do 2030. godine (NSOR) predviđena je izrada izvještaja o njenom sprovođenju. Izvještaj će ukazati na stanje, stepen realizacije mjera/aktivnosti NSOR, te ukazati na izazove u implementaciji ovog dokumenta što će doprinjeti u kreiranju razvojne politike CG i otvaranju ideja za buduće razvojne projekte.</w:t>
            </w:r>
          </w:p>
        </w:tc>
      </w:tr>
      <w:tr w:rsidR="00B80AA5" w:rsidRPr="00B7090C" w14:paraId="5F93E70F" w14:textId="77777777" w:rsidTr="00EA56E8">
        <w:tc>
          <w:tcPr>
            <w:tcW w:w="699" w:type="dxa"/>
            <w:gridSpan w:val="2"/>
            <w:shd w:val="clear" w:color="auto" w:fill="auto"/>
          </w:tcPr>
          <w:p w14:paraId="2897D43E" w14:textId="77777777" w:rsidR="00B80AA5" w:rsidRPr="00B7090C" w:rsidRDefault="00B80AA5" w:rsidP="00FD6B98">
            <w:pPr>
              <w:spacing w:before="20" w:after="20" w:line="240" w:lineRule="auto"/>
              <w:jc w:val="right"/>
              <w:rPr>
                <w:rFonts w:ascii="Arial Narrow" w:hAnsi="Arial Narrow" w:cs="Arial"/>
                <w:color w:val="000000"/>
                <w:sz w:val="20"/>
                <w:szCs w:val="20"/>
              </w:rPr>
            </w:pPr>
            <w:r w:rsidRPr="00B7090C">
              <w:rPr>
                <w:rFonts w:ascii="Arial Narrow" w:hAnsi="Arial Narrow" w:cs="Arial"/>
                <w:color w:val="000000"/>
                <w:sz w:val="20"/>
                <w:szCs w:val="20"/>
              </w:rPr>
              <w:t>3.</w:t>
            </w:r>
          </w:p>
        </w:tc>
        <w:tc>
          <w:tcPr>
            <w:tcW w:w="2090" w:type="dxa"/>
            <w:gridSpan w:val="4"/>
            <w:shd w:val="clear" w:color="auto" w:fill="auto"/>
          </w:tcPr>
          <w:p w14:paraId="63B62716" w14:textId="77777777" w:rsidR="00B80AA5" w:rsidRPr="00B7090C" w:rsidRDefault="00B80AA5" w:rsidP="00FD6B98">
            <w:pPr>
              <w:spacing w:before="40" w:after="4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Izrada Prostornog plana Crne Gore</w:t>
            </w:r>
          </w:p>
          <w:p w14:paraId="5E066BA7" w14:textId="77777777" w:rsidR="00B80AA5" w:rsidRPr="00B7090C" w:rsidRDefault="00B80AA5" w:rsidP="00FD6B98">
            <w:pPr>
              <w:spacing w:before="20" w:after="20" w:line="240" w:lineRule="auto"/>
              <w:jc w:val="both"/>
              <w:rPr>
                <w:rFonts w:ascii="Arial Narrow" w:hAnsi="Arial Narrow" w:cs="Arial"/>
                <w:color w:val="000000"/>
                <w:sz w:val="20"/>
                <w:szCs w:val="20"/>
              </w:rPr>
            </w:pPr>
          </w:p>
        </w:tc>
        <w:tc>
          <w:tcPr>
            <w:tcW w:w="2453" w:type="dxa"/>
            <w:gridSpan w:val="4"/>
            <w:shd w:val="clear" w:color="auto" w:fill="auto"/>
          </w:tcPr>
          <w:p w14:paraId="375CDEC1"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Utvrditi Nacrt PPCG</w:t>
            </w:r>
          </w:p>
        </w:tc>
        <w:tc>
          <w:tcPr>
            <w:tcW w:w="2084" w:type="dxa"/>
            <w:gridSpan w:val="7"/>
            <w:shd w:val="clear" w:color="auto" w:fill="auto"/>
          </w:tcPr>
          <w:p w14:paraId="00DA59F9"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53BA605A"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300F2DB2"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718" w:type="dxa"/>
            <w:gridSpan w:val="4"/>
            <w:shd w:val="clear" w:color="auto" w:fill="auto"/>
          </w:tcPr>
          <w:p w14:paraId="5158D22A"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I-IV Q 2022.</w:t>
            </w:r>
          </w:p>
          <w:p w14:paraId="5783808E" w14:textId="77777777" w:rsidR="00B80AA5" w:rsidRPr="00B7090C" w:rsidRDefault="00B80AA5" w:rsidP="00FD6B98">
            <w:pPr>
              <w:spacing w:before="20" w:after="20" w:line="240" w:lineRule="auto"/>
              <w:jc w:val="both"/>
              <w:rPr>
                <w:rFonts w:ascii="Arial Narrow" w:hAnsi="Arial Narrow" w:cs="Arial"/>
                <w:color w:val="000000"/>
                <w:sz w:val="20"/>
                <w:szCs w:val="20"/>
              </w:rPr>
            </w:pPr>
          </w:p>
        </w:tc>
        <w:tc>
          <w:tcPr>
            <w:tcW w:w="2010" w:type="dxa"/>
            <w:gridSpan w:val="2"/>
            <w:shd w:val="clear" w:color="auto" w:fill="auto"/>
          </w:tcPr>
          <w:p w14:paraId="6AE7A59E"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400 000 €</w:t>
            </w:r>
          </w:p>
          <w:p w14:paraId="53C99D07"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7899EE7B"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je urađena RIA.</w:t>
            </w:r>
          </w:p>
          <w:p w14:paraId="445ED5D3" w14:textId="77777777" w:rsidR="00B80AA5" w:rsidRPr="00B7090C" w:rsidRDefault="00B80AA5" w:rsidP="00FD6B98">
            <w:pPr>
              <w:spacing w:before="20" w:after="20" w:line="240" w:lineRule="auto"/>
              <w:jc w:val="both"/>
              <w:rPr>
                <w:rFonts w:ascii="Arial Narrow" w:hAnsi="Arial Narrow" w:cs="Arial"/>
                <w:color w:val="000000"/>
                <w:sz w:val="20"/>
                <w:szCs w:val="20"/>
              </w:rPr>
            </w:pPr>
          </w:p>
        </w:tc>
        <w:tc>
          <w:tcPr>
            <w:tcW w:w="1557" w:type="dxa"/>
            <w:gridSpan w:val="7"/>
            <w:shd w:val="clear" w:color="auto" w:fill="auto"/>
          </w:tcPr>
          <w:p w14:paraId="053DE449"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Budžet Crne Gore</w:t>
            </w:r>
          </w:p>
        </w:tc>
        <w:tc>
          <w:tcPr>
            <w:tcW w:w="2275" w:type="dxa"/>
            <w:gridSpan w:val="2"/>
            <w:shd w:val="clear" w:color="auto" w:fill="auto"/>
          </w:tcPr>
          <w:p w14:paraId="326B75D3" w14:textId="77777777" w:rsidR="00B80AA5" w:rsidRPr="003D266A" w:rsidRDefault="00B80AA5" w:rsidP="00FD6B98">
            <w:pPr>
              <w:autoSpaceDE w:val="0"/>
              <w:autoSpaceDN w:val="0"/>
              <w:adjustRightInd w:val="0"/>
              <w:spacing w:before="60" w:after="60" w:line="240" w:lineRule="auto"/>
              <w:jc w:val="both"/>
              <w:rPr>
                <w:rFonts w:ascii="Arial Narrow" w:eastAsia="Times New Roman" w:hAnsi="Arial Narrow" w:cs="Arial"/>
                <w:color w:val="000000"/>
                <w:sz w:val="20"/>
                <w:szCs w:val="20"/>
                <w:lang w:eastAsia="en-GB"/>
              </w:rPr>
            </w:pPr>
            <w:r w:rsidRPr="00B7090C">
              <w:rPr>
                <w:rFonts w:ascii="Arial Narrow" w:eastAsia="Times New Roman" w:hAnsi="Arial Narrow" w:cs="Arial"/>
                <w:color w:val="000000"/>
                <w:sz w:val="20"/>
                <w:szCs w:val="20"/>
                <w:lang w:eastAsia="en-GB"/>
              </w:rPr>
              <w:t>Prostorni plan Crne Gore je strateški dokument i opšta osnova organizacije i uređenja prostora Crne Gore, kojim se određuju državni ciljevi i mjere prostornog razvoja, u skladu sa ukupnim ekonomskim, socijalnim, ekološkim i kulturno-istorijskim razvojem Crne Gore.</w:t>
            </w:r>
          </w:p>
        </w:tc>
      </w:tr>
      <w:tr w:rsidR="00B80AA5" w:rsidRPr="00B7090C" w14:paraId="03FD995B" w14:textId="77777777" w:rsidTr="00EA56E8">
        <w:tc>
          <w:tcPr>
            <w:tcW w:w="699" w:type="dxa"/>
            <w:gridSpan w:val="2"/>
            <w:shd w:val="clear" w:color="auto" w:fill="auto"/>
          </w:tcPr>
          <w:p w14:paraId="48140842" w14:textId="77777777" w:rsidR="00B80AA5" w:rsidRPr="00B7090C" w:rsidRDefault="00B80AA5" w:rsidP="00FD6B98">
            <w:pPr>
              <w:spacing w:before="20" w:after="20" w:line="240" w:lineRule="auto"/>
              <w:jc w:val="right"/>
              <w:rPr>
                <w:rFonts w:ascii="Arial Narrow" w:hAnsi="Arial Narrow" w:cs="Arial"/>
                <w:color w:val="000000"/>
                <w:sz w:val="20"/>
                <w:szCs w:val="20"/>
              </w:rPr>
            </w:pPr>
            <w:r w:rsidRPr="00B7090C">
              <w:rPr>
                <w:rFonts w:ascii="Arial Narrow" w:hAnsi="Arial Narrow" w:cs="Arial"/>
                <w:color w:val="000000"/>
                <w:sz w:val="20"/>
                <w:szCs w:val="20"/>
              </w:rPr>
              <w:t>4.</w:t>
            </w:r>
          </w:p>
        </w:tc>
        <w:tc>
          <w:tcPr>
            <w:tcW w:w="2090" w:type="dxa"/>
            <w:gridSpan w:val="4"/>
            <w:shd w:val="clear" w:color="auto" w:fill="auto"/>
          </w:tcPr>
          <w:p w14:paraId="438DB5B3"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Usvojiti Program razvoja građevinarstva Crne Gore 2022-2025 godina</w:t>
            </w:r>
          </w:p>
        </w:tc>
        <w:tc>
          <w:tcPr>
            <w:tcW w:w="2453" w:type="dxa"/>
            <w:gridSpan w:val="4"/>
            <w:shd w:val="clear" w:color="auto" w:fill="auto"/>
          </w:tcPr>
          <w:p w14:paraId="2E80792F"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Usvojen program razvoja građevinarstva Crne Gore 2022-2025 godina</w:t>
            </w:r>
          </w:p>
          <w:p w14:paraId="11B5BBCC"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03F22BAC" w14:textId="77777777" w:rsidR="00B80AA5" w:rsidRPr="00B7090C" w:rsidRDefault="00B80AA5" w:rsidP="00FD6B98">
            <w:pPr>
              <w:spacing w:before="20" w:after="20" w:line="240" w:lineRule="auto"/>
              <w:jc w:val="both"/>
              <w:rPr>
                <w:rFonts w:ascii="Arial Narrow" w:hAnsi="Arial Narrow" w:cs="Arial"/>
                <w:color w:val="000000"/>
                <w:sz w:val="20"/>
                <w:szCs w:val="20"/>
              </w:rPr>
            </w:pPr>
          </w:p>
        </w:tc>
        <w:tc>
          <w:tcPr>
            <w:tcW w:w="2084" w:type="dxa"/>
            <w:gridSpan w:val="7"/>
            <w:shd w:val="clear" w:color="auto" w:fill="auto"/>
          </w:tcPr>
          <w:p w14:paraId="7C821F8D"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27015BA9"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7A262A8C"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718" w:type="dxa"/>
            <w:gridSpan w:val="4"/>
            <w:shd w:val="clear" w:color="auto" w:fill="auto"/>
          </w:tcPr>
          <w:p w14:paraId="253B39FE"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 - IV Q 2022.</w:t>
            </w:r>
          </w:p>
          <w:p w14:paraId="6C2C85EF" w14:textId="77777777" w:rsidR="00B80AA5" w:rsidRPr="00B7090C" w:rsidRDefault="00B80AA5" w:rsidP="00FD6B98">
            <w:pPr>
              <w:spacing w:before="20" w:after="20" w:line="240" w:lineRule="auto"/>
              <w:jc w:val="both"/>
              <w:rPr>
                <w:rFonts w:ascii="Arial Narrow" w:hAnsi="Arial Narrow" w:cs="Arial"/>
                <w:color w:val="000000"/>
                <w:sz w:val="20"/>
                <w:szCs w:val="20"/>
              </w:rPr>
            </w:pPr>
          </w:p>
        </w:tc>
        <w:tc>
          <w:tcPr>
            <w:tcW w:w="2010" w:type="dxa"/>
            <w:gridSpan w:val="2"/>
            <w:shd w:val="clear" w:color="auto" w:fill="auto"/>
          </w:tcPr>
          <w:p w14:paraId="031B18AA"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78 650 €</w:t>
            </w:r>
          </w:p>
          <w:p w14:paraId="418DE888"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7C1E7AC7"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557" w:type="dxa"/>
            <w:gridSpan w:val="7"/>
            <w:shd w:val="clear" w:color="auto" w:fill="auto"/>
          </w:tcPr>
          <w:p w14:paraId="38591F2D"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Budžet Crne Gore</w:t>
            </w:r>
          </w:p>
        </w:tc>
        <w:tc>
          <w:tcPr>
            <w:tcW w:w="2275" w:type="dxa"/>
            <w:gridSpan w:val="2"/>
            <w:shd w:val="clear" w:color="auto" w:fill="auto"/>
          </w:tcPr>
          <w:p w14:paraId="4E0DD6FD"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Programom razvoja građevinarstva Crne Gore 2022-.2025.godine  definisaće se  operativni ciljeve i aktivnosti za rješavanje pitanja razvoja legislative, unapređenje kvalifikacionog okvira i rayvoja industrije odgovarajućih građevinskih materijala, čime bi se </w:t>
            </w:r>
            <w:r w:rsidRPr="00B7090C">
              <w:rPr>
                <w:rFonts w:ascii="Arial Narrow" w:hAnsi="Arial Narrow" w:cs="Arial"/>
                <w:color w:val="000000"/>
                <w:sz w:val="20"/>
                <w:szCs w:val="20"/>
              </w:rPr>
              <w:lastRenderedPageBreak/>
              <w:t xml:space="preserve">doprinijelo daljem razvoju građevinarstva. </w:t>
            </w:r>
          </w:p>
        </w:tc>
      </w:tr>
      <w:tr w:rsidR="00B80AA5" w:rsidRPr="00B7090C" w14:paraId="1A56420F" w14:textId="77777777" w:rsidTr="00EA56E8">
        <w:tc>
          <w:tcPr>
            <w:tcW w:w="699" w:type="dxa"/>
            <w:gridSpan w:val="2"/>
            <w:shd w:val="clear" w:color="auto" w:fill="auto"/>
          </w:tcPr>
          <w:p w14:paraId="32F0EBAF" w14:textId="77777777" w:rsidR="00B80AA5" w:rsidRPr="00B7090C" w:rsidRDefault="00B80AA5" w:rsidP="00FD6B98">
            <w:pPr>
              <w:spacing w:before="20" w:after="20" w:line="240" w:lineRule="auto"/>
              <w:jc w:val="right"/>
              <w:rPr>
                <w:rFonts w:ascii="Arial Narrow" w:hAnsi="Arial Narrow" w:cs="Arial"/>
                <w:color w:val="000000"/>
                <w:sz w:val="20"/>
                <w:szCs w:val="20"/>
              </w:rPr>
            </w:pPr>
            <w:r w:rsidRPr="00B7090C">
              <w:rPr>
                <w:rFonts w:ascii="Arial Narrow" w:hAnsi="Arial Narrow" w:cs="Arial"/>
                <w:color w:val="000000"/>
                <w:sz w:val="20"/>
                <w:szCs w:val="20"/>
              </w:rPr>
              <w:t>5.</w:t>
            </w:r>
          </w:p>
        </w:tc>
        <w:tc>
          <w:tcPr>
            <w:tcW w:w="2090" w:type="dxa"/>
            <w:gridSpan w:val="4"/>
            <w:shd w:val="clear" w:color="auto" w:fill="auto"/>
          </w:tcPr>
          <w:p w14:paraId="5F8E782E"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Donijeti Državne smjernice arhitekture</w:t>
            </w:r>
          </w:p>
        </w:tc>
        <w:tc>
          <w:tcPr>
            <w:tcW w:w="2453" w:type="dxa"/>
            <w:gridSpan w:val="4"/>
            <w:shd w:val="clear" w:color="auto" w:fill="auto"/>
          </w:tcPr>
          <w:p w14:paraId="77A57438"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Donijete Državne smjernice arhitekture</w:t>
            </w:r>
          </w:p>
        </w:tc>
        <w:tc>
          <w:tcPr>
            <w:tcW w:w="2084" w:type="dxa"/>
            <w:gridSpan w:val="7"/>
            <w:shd w:val="clear" w:color="auto" w:fill="auto"/>
          </w:tcPr>
          <w:p w14:paraId="21687DAF"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40AA676F"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644EE464"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718" w:type="dxa"/>
            <w:gridSpan w:val="4"/>
            <w:shd w:val="clear" w:color="auto" w:fill="auto"/>
          </w:tcPr>
          <w:p w14:paraId="419CACB7"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I-IV Q 2022.</w:t>
            </w:r>
          </w:p>
          <w:p w14:paraId="329AC0E6" w14:textId="77777777" w:rsidR="00B80AA5" w:rsidRPr="00B7090C" w:rsidRDefault="00B80AA5" w:rsidP="00FD6B98">
            <w:pPr>
              <w:spacing w:before="20" w:after="20" w:line="240" w:lineRule="auto"/>
              <w:jc w:val="both"/>
              <w:rPr>
                <w:rFonts w:ascii="Arial Narrow" w:hAnsi="Arial Narrow" w:cs="Arial"/>
                <w:color w:val="000000"/>
                <w:sz w:val="20"/>
                <w:szCs w:val="20"/>
              </w:rPr>
            </w:pPr>
          </w:p>
        </w:tc>
        <w:tc>
          <w:tcPr>
            <w:tcW w:w="2010" w:type="dxa"/>
            <w:gridSpan w:val="2"/>
            <w:shd w:val="clear" w:color="auto" w:fill="auto"/>
          </w:tcPr>
          <w:p w14:paraId="75E6F7EA"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20 000 € </w:t>
            </w:r>
          </w:p>
          <w:p w14:paraId="38C1CD56"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7DEF237F"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Za potrebe angažovanja saradnika i konsultanata</w:t>
            </w:r>
          </w:p>
          <w:p w14:paraId="5A31B55F"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4007EFA1"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557" w:type="dxa"/>
            <w:gridSpan w:val="7"/>
            <w:shd w:val="clear" w:color="auto" w:fill="auto"/>
          </w:tcPr>
          <w:p w14:paraId="0B80BF78"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Budžet Crne Gore</w:t>
            </w:r>
          </w:p>
        </w:tc>
        <w:tc>
          <w:tcPr>
            <w:tcW w:w="2275" w:type="dxa"/>
            <w:gridSpan w:val="2"/>
            <w:shd w:val="clear" w:color="auto" w:fill="auto"/>
          </w:tcPr>
          <w:p w14:paraId="653E191C"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Državnim smjernicama razvoja arhitekture daće se preporuke oblikovanja i materijalizacije objekata, u odnosu na ambijentalna svojstva područja, a u cilju unapređenja kvaliteta i kulture prostornog i arhitektonskog oblikovanja i stvaranja visokovrijednog izgrađenog prostora, kao i stvaranja uslova za unapređenje kvaliteta izgrađene sredine, očuvanje identiteta i prepoznatljivosti prirodnog i kulturnog predjela i podsticanja održivog razvoja, za 2023-2033. godinu</w:t>
            </w:r>
          </w:p>
        </w:tc>
      </w:tr>
      <w:tr w:rsidR="00B80AA5" w:rsidRPr="00B7090C" w14:paraId="7BF68FD4" w14:textId="77777777" w:rsidTr="00EA56E8">
        <w:tc>
          <w:tcPr>
            <w:tcW w:w="699" w:type="dxa"/>
            <w:gridSpan w:val="2"/>
            <w:shd w:val="clear" w:color="auto" w:fill="auto"/>
          </w:tcPr>
          <w:p w14:paraId="7A30E8BA" w14:textId="77777777" w:rsidR="00B80AA5" w:rsidRPr="00B7090C" w:rsidRDefault="00B80AA5" w:rsidP="00FD6B98">
            <w:pPr>
              <w:spacing w:before="20" w:after="20" w:line="240" w:lineRule="auto"/>
              <w:jc w:val="right"/>
              <w:rPr>
                <w:rFonts w:ascii="Arial Narrow" w:hAnsi="Arial Narrow" w:cs="Arial"/>
                <w:color w:val="000000"/>
                <w:sz w:val="20"/>
                <w:szCs w:val="20"/>
              </w:rPr>
            </w:pPr>
            <w:r w:rsidRPr="00B7090C">
              <w:rPr>
                <w:rFonts w:ascii="Arial Narrow" w:hAnsi="Arial Narrow" w:cs="Arial"/>
                <w:color w:val="000000"/>
                <w:sz w:val="20"/>
                <w:szCs w:val="20"/>
              </w:rPr>
              <w:t>6.</w:t>
            </w:r>
          </w:p>
        </w:tc>
        <w:tc>
          <w:tcPr>
            <w:tcW w:w="2090" w:type="dxa"/>
            <w:gridSpan w:val="4"/>
            <w:shd w:val="clear" w:color="auto" w:fill="auto"/>
          </w:tcPr>
          <w:p w14:paraId="415D1903"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Izrada novog Zakona o planiranju proistora i izgaradnji objekata</w:t>
            </w:r>
          </w:p>
        </w:tc>
        <w:tc>
          <w:tcPr>
            <w:tcW w:w="2453" w:type="dxa"/>
            <w:gridSpan w:val="4"/>
            <w:shd w:val="clear" w:color="auto" w:fill="auto"/>
          </w:tcPr>
          <w:p w14:paraId="2B95623B"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Ustvrđen Zakon o planiranju prostora i izgradnji objekata</w:t>
            </w:r>
          </w:p>
        </w:tc>
        <w:tc>
          <w:tcPr>
            <w:tcW w:w="2084" w:type="dxa"/>
            <w:gridSpan w:val="7"/>
            <w:shd w:val="clear" w:color="auto" w:fill="auto"/>
          </w:tcPr>
          <w:p w14:paraId="1CE6389E"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4716CE4E"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50F5560F"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718" w:type="dxa"/>
            <w:gridSpan w:val="4"/>
            <w:shd w:val="clear" w:color="auto" w:fill="auto"/>
          </w:tcPr>
          <w:p w14:paraId="6EF3617A"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 - III Q 2022.</w:t>
            </w:r>
          </w:p>
        </w:tc>
        <w:tc>
          <w:tcPr>
            <w:tcW w:w="2010" w:type="dxa"/>
            <w:gridSpan w:val="2"/>
            <w:shd w:val="clear" w:color="auto" w:fill="auto"/>
          </w:tcPr>
          <w:p w14:paraId="09EF71F8"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je urađena RIA.</w:t>
            </w:r>
          </w:p>
          <w:p w14:paraId="41F3F941" w14:textId="77777777" w:rsidR="00B80AA5" w:rsidRPr="00B7090C" w:rsidRDefault="00B80AA5" w:rsidP="00FD6B98">
            <w:pPr>
              <w:spacing w:before="20" w:after="20" w:line="240" w:lineRule="auto"/>
              <w:jc w:val="both"/>
              <w:rPr>
                <w:rFonts w:ascii="Arial Narrow" w:hAnsi="Arial Narrow" w:cs="Arial"/>
                <w:color w:val="000000"/>
                <w:sz w:val="20"/>
                <w:szCs w:val="20"/>
              </w:rPr>
            </w:pPr>
          </w:p>
        </w:tc>
        <w:tc>
          <w:tcPr>
            <w:tcW w:w="1557" w:type="dxa"/>
            <w:gridSpan w:val="7"/>
            <w:shd w:val="clear" w:color="auto" w:fill="auto"/>
          </w:tcPr>
          <w:p w14:paraId="47AE1B5D"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w:t>
            </w:r>
          </w:p>
        </w:tc>
        <w:tc>
          <w:tcPr>
            <w:tcW w:w="2275" w:type="dxa"/>
            <w:gridSpan w:val="2"/>
            <w:shd w:val="clear" w:color="auto" w:fill="auto"/>
          </w:tcPr>
          <w:p w14:paraId="7D5C9613"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Ministarstvo ekologije, prostornog planiranja i urbanizma  je  pristupilo izradi novog Zakona o planiranju prostora i izgradnji objekata i, u ovoj fazi rada, aktuelna su, generalno uzevši, rješenja kojim se predviđa decentralizacija planiranja prostora, institucionalizacija izrade planskih dokumenata, građenje objekata na osnovu  građevinske dozvole i dr. </w:t>
            </w:r>
          </w:p>
          <w:p w14:paraId="63F64831"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7A3C7237"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Legalizacija objekata  će se  urediti posebnim Zakonom, s tim što po  pitanju broja </w:t>
            </w:r>
            <w:r w:rsidRPr="00B7090C">
              <w:rPr>
                <w:rFonts w:ascii="Arial Narrow" w:hAnsi="Arial Narrow" w:cs="Arial"/>
                <w:color w:val="000000"/>
                <w:sz w:val="20"/>
                <w:szCs w:val="20"/>
              </w:rPr>
              <w:lastRenderedPageBreak/>
              <w:t>zakona kojim će se urediti oblast planiranja prostora i izgradnje objekata još nije zauzet konačan stav.</w:t>
            </w:r>
          </w:p>
        </w:tc>
      </w:tr>
      <w:tr w:rsidR="00B80AA5" w:rsidRPr="00B7090C" w14:paraId="23838F8D" w14:textId="77777777" w:rsidTr="00EA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3CF8AEED" w14:textId="77777777" w:rsidR="00B80AA5" w:rsidRPr="00B7090C" w:rsidRDefault="00B80AA5" w:rsidP="00FD6B98">
            <w:pPr>
              <w:spacing w:before="20" w:after="20" w:line="240" w:lineRule="auto"/>
              <w:jc w:val="right"/>
              <w:rPr>
                <w:rFonts w:ascii="Arial Narrow" w:hAnsi="Arial Narrow" w:cs="Arial"/>
                <w:color w:val="000000"/>
                <w:sz w:val="20"/>
                <w:szCs w:val="20"/>
              </w:rPr>
            </w:pPr>
            <w:r w:rsidRPr="00B7090C">
              <w:rPr>
                <w:rFonts w:ascii="Arial Narrow" w:hAnsi="Arial Narrow" w:cs="Arial"/>
                <w:color w:val="000000"/>
                <w:sz w:val="20"/>
                <w:szCs w:val="20"/>
              </w:rPr>
              <w:t>7.</w:t>
            </w:r>
          </w:p>
        </w:tc>
        <w:tc>
          <w:tcPr>
            <w:tcW w:w="2090" w:type="dxa"/>
            <w:gridSpan w:val="4"/>
            <w:tcBorders>
              <w:top w:val="single" w:sz="4" w:space="0" w:color="auto"/>
              <w:left w:val="single" w:sz="4" w:space="0" w:color="auto"/>
              <w:bottom w:val="single" w:sz="4" w:space="0" w:color="auto"/>
              <w:right w:val="single" w:sz="4" w:space="0" w:color="auto"/>
            </w:tcBorders>
            <w:shd w:val="clear" w:color="auto" w:fill="auto"/>
          </w:tcPr>
          <w:p w14:paraId="2B5B9E21"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Izrada Zakona o izmjenama i dopunama Zakona o održavanju stambenih zgrada</w:t>
            </w:r>
          </w:p>
        </w:tc>
        <w:tc>
          <w:tcPr>
            <w:tcW w:w="2453" w:type="dxa"/>
            <w:gridSpan w:val="4"/>
            <w:tcBorders>
              <w:top w:val="single" w:sz="4" w:space="0" w:color="auto"/>
              <w:left w:val="single" w:sz="4" w:space="0" w:color="auto"/>
              <w:bottom w:val="single" w:sz="4" w:space="0" w:color="auto"/>
              <w:right w:val="single" w:sz="4" w:space="0" w:color="auto"/>
            </w:tcBorders>
            <w:shd w:val="clear" w:color="auto" w:fill="auto"/>
          </w:tcPr>
          <w:p w14:paraId="74CE1E45"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Utvrđen Predlog zakona o izmjenama i dopunama Zakona o održavanju stambenih zgrada</w:t>
            </w:r>
          </w:p>
        </w:tc>
        <w:tc>
          <w:tcPr>
            <w:tcW w:w="2084" w:type="dxa"/>
            <w:gridSpan w:val="7"/>
            <w:tcBorders>
              <w:top w:val="single" w:sz="4" w:space="0" w:color="auto"/>
              <w:left w:val="single" w:sz="4" w:space="0" w:color="auto"/>
              <w:bottom w:val="single" w:sz="4" w:space="0" w:color="auto"/>
              <w:right w:val="single" w:sz="4" w:space="0" w:color="auto"/>
            </w:tcBorders>
            <w:shd w:val="clear" w:color="auto" w:fill="auto"/>
          </w:tcPr>
          <w:p w14:paraId="226C2572"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29E53AF1"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5A12EFB0"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718" w:type="dxa"/>
            <w:gridSpan w:val="4"/>
            <w:tcBorders>
              <w:top w:val="single" w:sz="4" w:space="0" w:color="auto"/>
              <w:left w:val="single" w:sz="4" w:space="0" w:color="auto"/>
              <w:bottom w:val="single" w:sz="4" w:space="0" w:color="auto"/>
              <w:right w:val="single" w:sz="4" w:space="0" w:color="auto"/>
            </w:tcBorders>
            <w:shd w:val="clear" w:color="auto" w:fill="auto"/>
          </w:tcPr>
          <w:p w14:paraId="23821F5C"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 – IV Q 2022</w:t>
            </w:r>
          </w:p>
        </w:tc>
        <w:tc>
          <w:tcPr>
            <w:tcW w:w="2010" w:type="dxa"/>
            <w:gridSpan w:val="2"/>
            <w:tcBorders>
              <w:top w:val="single" w:sz="4" w:space="0" w:color="auto"/>
              <w:left w:val="single" w:sz="4" w:space="0" w:color="auto"/>
              <w:bottom w:val="single" w:sz="4" w:space="0" w:color="auto"/>
              <w:right w:val="single" w:sz="4" w:space="0" w:color="auto"/>
            </w:tcBorders>
            <w:shd w:val="clear" w:color="auto" w:fill="auto"/>
          </w:tcPr>
          <w:p w14:paraId="51F9DFE4"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2.000 €</w:t>
            </w:r>
          </w:p>
          <w:p w14:paraId="7A0F1500"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2FA5A5C6"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Za potrebe održavanja javne rasprave</w:t>
            </w:r>
          </w:p>
          <w:p w14:paraId="00D571AE"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1776BE09"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557" w:type="dxa"/>
            <w:gridSpan w:val="7"/>
            <w:tcBorders>
              <w:top w:val="single" w:sz="4" w:space="0" w:color="auto"/>
              <w:left w:val="single" w:sz="4" w:space="0" w:color="auto"/>
              <w:bottom w:val="single" w:sz="4" w:space="0" w:color="auto"/>
              <w:right w:val="single" w:sz="4" w:space="0" w:color="auto"/>
            </w:tcBorders>
            <w:shd w:val="clear" w:color="auto" w:fill="auto"/>
          </w:tcPr>
          <w:p w14:paraId="41651DFC"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Budžet Crne Gore</w:t>
            </w:r>
          </w:p>
        </w:tc>
        <w:tc>
          <w:tcPr>
            <w:tcW w:w="2275" w:type="dxa"/>
            <w:gridSpan w:val="2"/>
            <w:tcBorders>
              <w:top w:val="single" w:sz="4" w:space="0" w:color="auto"/>
              <w:left w:val="single" w:sz="4" w:space="0" w:color="auto"/>
              <w:bottom w:val="single" w:sz="4" w:space="0" w:color="auto"/>
              <w:right w:val="single" w:sz="4" w:space="0" w:color="auto"/>
            </w:tcBorders>
            <w:shd w:val="clear" w:color="auto" w:fill="auto"/>
          </w:tcPr>
          <w:p w14:paraId="5F3C3329"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Tokom primjene Zakona o održavanju stambenih zgrada uočene su određene barijere za njegovo sprovođenje pa se iz tog razloga planira izrada izmjena i dopuna istog</w:t>
            </w:r>
          </w:p>
        </w:tc>
      </w:tr>
      <w:tr w:rsidR="00B80AA5" w:rsidRPr="00B7090C" w14:paraId="2874BD76" w14:textId="77777777" w:rsidTr="00EA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14:paraId="0926DE08" w14:textId="77777777" w:rsidR="00B80AA5" w:rsidRPr="00B7090C" w:rsidRDefault="00B80AA5" w:rsidP="00FD6B98">
            <w:pPr>
              <w:spacing w:before="20" w:after="20" w:line="240" w:lineRule="auto"/>
              <w:jc w:val="right"/>
              <w:rPr>
                <w:rFonts w:ascii="Arial Narrow" w:hAnsi="Arial Narrow" w:cs="Arial"/>
                <w:color w:val="000000"/>
                <w:sz w:val="20"/>
                <w:szCs w:val="20"/>
              </w:rPr>
            </w:pPr>
            <w:r w:rsidRPr="00B7090C">
              <w:rPr>
                <w:rFonts w:ascii="Arial Narrow" w:hAnsi="Arial Narrow" w:cs="Arial"/>
                <w:color w:val="000000"/>
                <w:sz w:val="20"/>
                <w:szCs w:val="20"/>
              </w:rPr>
              <w:t>8.</w:t>
            </w:r>
          </w:p>
        </w:tc>
        <w:tc>
          <w:tcPr>
            <w:tcW w:w="2090" w:type="dxa"/>
            <w:gridSpan w:val="4"/>
            <w:tcBorders>
              <w:top w:val="single" w:sz="4" w:space="0" w:color="auto"/>
              <w:left w:val="single" w:sz="4" w:space="0" w:color="auto"/>
              <w:bottom w:val="single" w:sz="4" w:space="0" w:color="auto"/>
              <w:right w:val="single" w:sz="4" w:space="0" w:color="auto"/>
            </w:tcBorders>
            <w:shd w:val="clear" w:color="auto" w:fill="auto"/>
          </w:tcPr>
          <w:p w14:paraId="33208929"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Izrada Zakona o legalizaciji</w:t>
            </w:r>
          </w:p>
        </w:tc>
        <w:tc>
          <w:tcPr>
            <w:tcW w:w="2453" w:type="dxa"/>
            <w:gridSpan w:val="4"/>
            <w:tcBorders>
              <w:top w:val="single" w:sz="4" w:space="0" w:color="auto"/>
              <w:left w:val="single" w:sz="4" w:space="0" w:color="auto"/>
              <w:bottom w:val="single" w:sz="4" w:space="0" w:color="auto"/>
              <w:right w:val="single" w:sz="4" w:space="0" w:color="auto"/>
            </w:tcBorders>
            <w:shd w:val="clear" w:color="auto" w:fill="auto"/>
          </w:tcPr>
          <w:p w14:paraId="023AC2D7"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Utvrđen Predlog zakona o legalizaciji</w:t>
            </w:r>
          </w:p>
        </w:tc>
        <w:tc>
          <w:tcPr>
            <w:tcW w:w="2084" w:type="dxa"/>
            <w:gridSpan w:val="7"/>
            <w:tcBorders>
              <w:top w:val="single" w:sz="4" w:space="0" w:color="auto"/>
              <w:left w:val="single" w:sz="4" w:space="0" w:color="auto"/>
              <w:bottom w:val="single" w:sz="4" w:space="0" w:color="auto"/>
              <w:right w:val="single" w:sz="4" w:space="0" w:color="auto"/>
            </w:tcBorders>
            <w:shd w:val="clear" w:color="auto" w:fill="auto"/>
          </w:tcPr>
          <w:p w14:paraId="23515686"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NI: MEPPU</w:t>
            </w:r>
          </w:p>
          <w:p w14:paraId="027110CD"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469E42D7"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NK: KEPIF</w:t>
            </w:r>
          </w:p>
        </w:tc>
        <w:tc>
          <w:tcPr>
            <w:tcW w:w="1718" w:type="dxa"/>
            <w:gridSpan w:val="4"/>
            <w:tcBorders>
              <w:top w:val="single" w:sz="4" w:space="0" w:color="auto"/>
              <w:left w:val="single" w:sz="4" w:space="0" w:color="auto"/>
              <w:bottom w:val="single" w:sz="4" w:space="0" w:color="auto"/>
              <w:right w:val="single" w:sz="4" w:space="0" w:color="auto"/>
            </w:tcBorders>
            <w:shd w:val="clear" w:color="auto" w:fill="auto"/>
          </w:tcPr>
          <w:p w14:paraId="40771F0E"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 I – IV Q 2022</w:t>
            </w:r>
          </w:p>
        </w:tc>
        <w:tc>
          <w:tcPr>
            <w:tcW w:w="2010" w:type="dxa"/>
            <w:gridSpan w:val="2"/>
            <w:tcBorders>
              <w:top w:val="single" w:sz="4" w:space="0" w:color="auto"/>
              <w:left w:val="single" w:sz="4" w:space="0" w:color="auto"/>
              <w:bottom w:val="single" w:sz="4" w:space="0" w:color="auto"/>
              <w:right w:val="single" w:sz="4" w:space="0" w:color="auto"/>
            </w:tcBorders>
            <w:shd w:val="clear" w:color="auto" w:fill="auto"/>
          </w:tcPr>
          <w:p w14:paraId="34EF2A9D"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2.000 €</w:t>
            </w:r>
          </w:p>
          <w:p w14:paraId="56428A4C"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51C06777"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Za potrebe održavanja javne rasprave</w:t>
            </w:r>
          </w:p>
          <w:p w14:paraId="5D4E229C" w14:textId="77777777" w:rsidR="00B80AA5" w:rsidRPr="00B7090C" w:rsidRDefault="00B80AA5" w:rsidP="00FD6B98">
            <w:pPr>
              <w:spacing w:before="20" w:after="20" w:line="240" w:lineRule="auto"/>
              <w:jc w:val="both"/>
              <w:rPr>
                <w:rFonts w:ascii="Arial Narrow" w:hAnsi="Arial Narrow" w:cs="Arial"/>
                <w:color w:val="000000"/>
                <w:sz w:val="20"/>
                <w:szCs w:val="20"/>
              </w:rPr>
            </w:pPr>
          </w:p>
          <w:p w14:paraId="1992A778"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Za utvrđivanje procjene uticaja propisa će biti urađena RIA</w:t>
            </w:r>
          </w:p>
        </w:tc>
        <w:tc>
          <w:tcPr>
            <w:tcW w:w="1557" w:type="dxa"/>
            <w:gridSpan w:val="7"/>
            <w:tcBorders>
              <w:top w:val="single" w:sz="4" w:space="0" w:color="auto"/>
              <w:left w:val="single" w:sz="4" w:space="0" w:color="auto"/>
              <w:bottom w:val="single" w:sz="4" w:space="0" w:color="auto"/>
              <w:right w:val="single" w:sz="4" w:space="0" w:color="auto"/>
            </w:tcBorders>
            <w:shd w:val="clear" w:color="auto" w:fill="auto"/>
          </w:tcPr>
          <w:p w14:paraId="2A2F768B"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Budžet Crne Gore</w:t>
            </w:r>
          </w:p>
        </w:tc>
        <w:tc>
          <w:tcPr>
            <w:tcW w:w="2275" w:type="dxa"/>
            <w:gridSpan w:val="2"/>
            <w:tcBorders>
              <w:top w:val="single" w:sz="4" w:space="0" w:color="auto"/>
              <w:left w:val="single" w:sz="4" w:space="0" w:color="auto"/>
              <w:bottom w:val="single" w:sz="4" w:space="0" w:color="auto"/>
              <w:right w:val="single" w:sz="4" w:space="0" w:color="auto"/>
            </w:tcBorders>
            <w:shd w:val="clear" w:color="auto" w:fill="auto"/>
          </w:tcPr>
          <w:p w14:paraId="79E38510" w14:textId="77777777" w:rsidR="00B80AA5" w:rsidRPr="00B7090C" w:rsidRDefault="00B80AA5" w:rsidP="00FD6B98">
            <w:pPr>
              <w:spacing w:before="20" w:after="20" w:line="240" w:lineRule="auto"/>
              <w:jc w:val="both"/>
              <w:rPr>
                <w:rFonts w:ascii="Arial Narrow" w:hAnsi="Arial Narrow" w:cs="Arial"/>
                <w:color w:val="000000"/>
                <w:sz w:val="20"/>
                <w:szCs w:val="20"/>
              </w:rPr>
            </w:pPr>
            <w:r w:rsidRPr="00B7090C">
              <w:rPr>
                <w:rFonts w:ascii="Arial Narrow" w:hAnsi="Arial Narrow" w:cs="Arial"/>
                <w:color w:val="000000"/>
                <w:sz w:val="20"/>
                <w:szCs w:val="20"/>
              </w:rPr>
              <w:t xml:space="preserve">Tokom primjene Zakona o planiranju prostora i izgradnje objekata uočene su određene barijere za sprovođenje poglavlja X “LEGALIZACIJA BESPRAVNIH OBJEKATA“ pa se iz tog razloga planira izrada novog zakona koji bi obuhvatio samo navedeno poglavlje i u kojem bi se omogućilo da se poboljša postupak legalizacije bespravnih  objekata </w:t>
            </w:r>
          </w:p>
        </w:tc>
      </w:tr>
    </w:tbl>
    <w:p w14:paraId="21951B14" w14:textId="77777777" w:rsidR="00B80AA5" w:rsidRPr="006778C9" w:rsidRDefault="00B80AA5" w:rsidP="00B80AA5">
      <w:pPr>
        <w:spacing w:after="0"/>
        <w:rPr>
          <w:vanish/>
        </w:rPr>
      </w:pPr>
    </w:p>
    <w:tbl>
      <w:tblPr>
        <w:tblW w:w="149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680"/>
        <w:gridCol w:w="36"/>
        <w:gridCol w:w="24"/>
        <w:gridCol w:w="2180"/>
        <w:gridCol w:w="11"/>
        <w:gridCol w:w="18"/>
        <w:gridCol w:w="2603"/>
        <w:gridCol w:w="484"/>
        <w:gridCol w:w="31"/>
        <w:gridCol w:w="62"/>
        <w:gridCol w:w="1214"/>
        <w:gridCol w:w="13"/>
        <w:gridCol w:w="149"/>
        <w:gridCol w:w="1521"/>
        <w:gridCol w:w="96"/>
        <w:gridCol w:w="21"/>
        <w:gridCol w:w="43"/>
        <w:gridCol w:w="1701"/>
        <w:gridCol w:w="185"/>
        <w:gridCol w:w="74"/>
        <w:gridCol w:w="721"/>
        <w:gridCol w:w="183"/>
        <w:gridCol w:w="474"/>
        <w:gridCol w:w="42"/>
        <w:gridCol w:w="22"/>
        <w:gridCol w:w="2268"/>
        <w:gridCol w:w="30"/>
      </w:tblGrid>
      <w:tr w:rsidR="00B80AA5" w:rsidRPr="006778C9" w14:paraId="1D14FEFA" w14:textId="77777777" w:rsidTr="00EA56E8">
        <w:trPr>
          <w:gridBefore w:val="1"/>
          <w:wBefore w:w="29" w:type="dxa"/>
          <w:trHeight w:val="479"/>
        </w:trPr>
        <w:tc>
          <w:tcPr>
            <w:tcW w:w="2920" w:type="dxa"/>
            <w:gridSpan w:val="4"/>
            <w:shd w:val="clear" w:color="auto" w:fill="D9E2F3"/>
          </w:tcPr>
          <w:p w14:paraId="703CA57B"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 xml:space="preserve">Cilj </w:t>
            </w:r>
            <w:r>
              <w:rPr>
                <w:rFonts w:ascii="Arial Narrow" w:hAnsi="Arial Narrow" w:cs="Arial"/>
                <w:b/>
                <w:sz w:val="20"/>
                <w:szCs w:val="20"/>
              </w:rPr>
              <w:t>3.</w:t>
            </w:r>
            <w:r w:rsidRPr="006778C9">
              <w:rPr>
                <w:rFonts w:ascii="Arial Narrow" w:hAnsi="Arial Narrow" w:cs="Arial"/>
                <w:b/>
                <w:sz w:val="20"/>
                <w:szCs w:val="20"/>
              </w:rPr>
              <w:t>6</w:t>
            </w:r>
            <w:r>
              <w:rPr>
                <w:rFonts w:ascii="Arial Narrow" w:hAnsi="Arial Narrow" w:cs="Arial"/>
                <w:b/>
                <w:sz w:val="20"/>
                <w:szCs w:val="20"/>
              </w:rPr>
              <w:t>.</w:t>
            </w:r>
          </w:p>
        </w:tc>
        <w:tc>
          <w:tcPr>
            <w:tcW w:w="11966" w:type="dxa"/>
            <w:gridSpan w:val="23"/>
            <w:shd w:val="clear" w:color="auto" w:fill="D9E2F3"/>
          </w:tcPr>
          <w:p w14:paraId="61A54A01" w14:textId="77777777" w:rsidR="00B80AA5" w:rsidRPr="006778C9" w:rsidRDefault="00B80AA5" w:rsidP="00FD6B98">
            <w:pPr>
              <w:spacing w:before="40" w:after="40" w:line="240" w:lineRule="auto"/>
              <w:jc w:val="both"/>
              <w:rPr>
                <w:rFonts w:ascii="Arial Narrow" w:hAnsi="Arial Narrow" w:cs="Arial"/>
                <w:b/>
                <w:iCs/>
                <w:sz w:val="20"/>
                <w:szCs w:val="20"/>
              </w:rPr>
            </w:pPr>
            <w:r w:rsidRPr="006778C9">
              <w:rPr>
                <w:rFonts w:ascii="Arial Narrow" w:hAnsi="Arial Narrow" w:cs="Arial"/>
                <w:sz w:val="20"/>
                <w:szCs w:val="20"/>
              </w:rPr>
              <w:t xml:space="preserve"> </w:t>
            </w:r>
            <w:r w:rsidRPr="006778C9">
              <w:rPr>
                <w:rFonts w:ascii="Arial Narrow" w:hAnsi="Arial Narrow" w:cs="Arial"/>
                <w:b/>
                <w:iCs/>
                <w:sz w:val="20"/>
                <w:szCs w:val="20"/>
              </w:rPr>
              <w:t>Jačanje sistema u oblasti bezbjednosti hrane, veterine i fitosanitarnoj oblasti</w:t>
            </w:r>
          </w:p>
        </w:tc>
      </w:tr>
      <w:tr w:rsidR="00B80AA5" w:rsidRPr="006778C9" w14:paraId="0ECB9ACA" w14:textId="77777777" w:rsidTr="00EA56E8">
        <w:trPr>
          <w:gridBefore w:val="1"/>
          <w:wBefore w:w="29" w:type="dxa"/>
        </w:trPr>
        <w:tc>
          <w:tcPr>
            <w:tcW w:w="2920" w:type="dxa"/>
            <w:gridSpan w:val="4"/>
            <w:shd w:val="clear" w:color="auto" w:fill="DAF2F6"/>
          </w:tcPr>
          <w:p w14:paraId="498684E7"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Indikator učinka</w:t>
            </w:r>
          </w:p>
        </w:tc>
        <w:tc>
          <w:tcPr>
            <w:tcW w:w="3209" w:type="dxa"/>
            <w:gridSpan w:val="6"/>
            <w:shd w:val="clear" w:color="auto" w:fill="DAF2F6"/>
          </w:tcPr>
          <w:p w14:paraId="48A561B7"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Polazna vrijednost – 2021.g</w:t>
            </w:r>
          </w:p>
        </w:tc>
        <w:tc>
          <w:tcPr>
            <w:tcW w:w="2993" w:type="dxa"/>
            <w:gridSpan w:val="5"/>
            <w:shd w:val="clear" w:color="auto" w:fill="DAF2F6"/>
            <w:vAlign w:val="center"/>
          </w:tcPr>
          <w:p w14:paraId="0BA2947B"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Prelazna vrijednost – 2022.g</w:t>
            </w:r>
          </w:p>
        </w:tc>
        <w:tc>
          <w:tcPr>
            <w:tcW w:w="2745" w:type="dxa"/>
            <w:gridSpan w:val="6"/>
            <w:tcBorders>
              <w:bottom w:val="single" w:sz="4" w:space="0" w:color="FFFFFF"/>
            </w:tcBorders>
            <w:shd w:val="clear" w:color="auto" w:fill="DAF2F6"/>
            <w:vAlign w:val="center"/>
          </w:tcPr>
          <w:p w14:paraId="7726F4D8"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Prelazna vrijednost – 2023.g</w:t>
            </w:r>
          </w:p>
        </w:tc>
        <w:tc>
          <w:tcPr>
            <w:tcW w:w="3019" w:type="dxa"/>
            <w:gridSpan w:val="6"/>
            <w:tcBorders>
              <w:bottom w:val="single" w:sz="4" w:space="0" w:color="FFFFFF"/>
            </w:tcBorders>
            <w:shd w:val="clear" w:color="auto" w:fill="DAF2F6"/>
            <w:vAlign w:val="center"/>
          </w:tcPr>
          <w:p w14:paraId="2C8BEB38"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Ciljna vrijednost - 2024.g</w:t>
            </w:r>
          </w:p>
        </w:tc>
      </w:tr>
      <w:tr w:rsidR="00B80AA5" w:rsidRPr="006778C9" w14:paraId="4818EEA8" w14:textId="77777777" w:rsidTr="00EA56E8">
        <w:trPr>
          <w:gridBefore w:val="1"/>
          <w:wBefore w:w="29" w:type="dxa"/>
        </w:trPr>
        <w:tc>
          <w:tcPr>
            <w:tcW w:w="2920" w:type="dxa"/>
            <w:gridSpan w:val="4"/>
            <w:shd w:val="clear" w:color="auto" w:fill="DAF2F6"/>
          </w:tcPr>
          <w:p w14:paraId="33FDE9E3" w14:textId="77777777" w:rsidR="00B80AA5" w:rsidRPr="00AE274D" w:rsidRDefault="00B80AA5" w:rsidP="00FD6B98">
            <w:pPr>
              <w:spacing w:before="40" w:after="40" w:line="240" w:lineRule="auto"/>
              <w:rPr>
                <w:rFonts w:ascii="Arial Narrow" w:hAnsi="Arial Narrow" w:cs="Arial"/>
                <w:iCs/>
                <w:sz w:val="20"/>
                <w:szCs w:val="20"/>
              </w:rPr>
            </w:pPr>
            <w:r w:rsidRPr="00AE274D">
              <w:rPr>
                <w:rFonts w:ascii="Arial Narrow" w:hAnsi="Arial Narrow" w:cs="Arial"/>
                <w:iCs/>
                <w:sz w:val="20"/>
                <w:szCs w:val="20"/>
              </w:rPr>
              <w:t>Ukupan broj inspektora za sprovođenje službenih kontrola i jačanje administrativnih kapaciteta</w:t>
            </w:r>
          </w:p>
        </w:tc>
        <w:tc>
          <w:tcPr>
            <w:tcW w:w="3209" w:type="dxa"/>
            <w:gridSpan w:val="6"/>
            <w:shd w:val="clear" w:color="auto" w:fill="DAF2F6"/>
          </w:tcPr>
          <w:p w14:paraId="2F026D47" w14:textId="77777777" w:rsidR="00B80AA5" w:rsidRPr="006778C9" w:rsidRDefault="00B80AA5" w:rsidP="00FD6B98">
            <w:pPr>
              <w:spacing w:before="40" w:after="40" w:line="240" w:lineRule="auto"/>
              <w:jc w:val="center"/>
              <w:rPr>
                <w:rFonts w:ascii="Arial Narrow" w:hAnsi="Arial Narrow" w:cs="Arial"/>
                <w:i/>
                <w:sz w:val="20"/>
                <w:szCs w:val="20"/>
              </w:rPr>
            </w:pPr>
            <w:r w:rsidRPr="006778C9">
              <w:rPr>
                <w:rFonts w:ascii="Arial Narrow" w:hAnsi="Arial Narrow" w:cs="Arial"/>
                <w:i/>
                <w:sz w:val="20"/>
                <w:szCs w:val="20"/>
              </w:rPr>
              <w:t>44</w:t>
            </w:r>
            <w:r w:rsidRPr="006778C9">
              <w:rPr>
                <w:rFonts w:ascii="Arial Narrow" w:hAnsi="Arial Narrow" w:cs="Arial"/>
                <w:i/>
                <w:sz w:val="20"/>
                <w:szCs w:val="20"/>
                <w:vertAlign w:val="superscript"/>
              </w:rPr>
              <w:footnoteReference w:id="24"/>
            </w:r>
          </w:p>
          <w:p w14:paraId="0B26FF08" w14:textId="77777777" w:rsidR="00B80AA5" w:rsidRPr="006778C9" w:rsidRDefault="00B80AA5" w:rsidP="00FD6B98">
            <w:pPr>
              <w:spacing w:before="40" w:after="40" w:line="240" w:lineRule="auto"/>
              <w:jc w:val="center"/>
              <w:rPr>
                <w:rFonts w:ascii="Arial Narrow" w:hAnsi="Arial Narrow" w:cs="Arial"/>
                <w:i/>
                <w:sz w:val="20"/>
                <w:szCs w:val="20"/>
              </w:rPr>
            </w:pPr>
          </w:p>
        </w:tc>
        <w:tc>
          <w:tcPr>
            <w:tcW w:w="2993" w:type="dxa"/>
            <w:gridSpan w:val="5"/>
            <w:shd w:val="clear" w:color="auto" w:fill="DAF2F6"/>
          </w:tcPr>
          <w:p w14:paraId="72129F42" w14:textId="77777777" w:rsidR="00B80AA5" w:rsidRPr="006778C9" w:rsidRDefault="00B80AA5" w:rsidP="00FD6B98">
            <w:pPr>
              <w:spacing w:before="40" w:after="40" w:line="240" w:lineRule="auto"/>
              <w:jc w:val="center"/>
              <w:rPr>
                <w:rFonts w:ascii="Arial Narrow" w:hAnsi="Arial Narrow" w:cs="Arial"/>
                <w:i/>
                <w:sz w:val="20"/>
                <w:szCs w:val="20"/>
              </w:rPr>
            </w:pPr>
            <w:r w:rsidRPr="006778C9">
              <w:rPr>
                <w:rFonts w:ascii="Arial Narrow" w:hAnsi="Arial Narrow" w:cs="Arial"/>
                <w:i/>
                <w:sz w:val="20"/>
                <w:szCs w:val="20"/>
              </w:rPr>
              <w:t>54</w:t>
            </w:r>
          </w:p>
          <w:p w14:paraId="4F74A082" w14:textId="77777777" w:rsidR="00B80AA5" w:rsidRPr="006778C9" w:rsidRDefault="00B80AA5" w:rsidP="00FD6B98">
            <w:pPr>
              <w:spacing w:before="40" w:after="40" w:line="240" w:lineRule="auto"/>
              <w:jc w:val="center"/>
              <w:rPr>
                <w:rFonts w:ascii="Arial Narrow" w:hAnsi="Arial Narrow" w:cs="Arial"/>
                <w:i/>
                <w:sz w:val="20"/>
                <w:szCs w:val="20"/>
              </w:rPr>
            </w:pPr>
          </w:p>
        </w:tc>
        <w:tc>
          <w:tcPr>
            <w:tcW w:w="2745" w:type="dxa"/>
            <w:gridSpan w:val="6"/>
            <w:shd w:val="clear" w:color="auto" w:fill="DAF2F6"/>
          </w:tcPr>
          <w:p w14:paraId="483E8D0B" w14:textId="77777777" w:rsidR="00B80AA5" w:rsidRPr="006778C9" w:rsidRDefault="00B80AA5" w:rsidP="00FD6B98">
            <w:pPr>
              <w:spacing w:before="40" w:after="40" w:line="240" w:lineRule="auto"/>
              <w:jc w:val="center"/>
              <w:rPr>
                <w:rFonts w:ascii="Arial Narrow" w:hAnsi="Arial Narrow" w:cs="Arial"/>
                <w:i/>
                <w:sz w:val="20"/>
                <w:szCs w:val="20"/>
              </w:rPr>
            </w:pPr>
            <w:r w:rsidRPr="006778C9">
              <w:rPr>
                <w:rFonts w:ascii="Arial Narrow" w:hAnsi="Arial Narrow" w:cs="Arial"/>
                <w:i/>
                <w:sz w:val="20"/>
                <w:szCs w:val="20"/>
              </w:rPr>
              <w:t>64</w:t>
            </w:r>
          </w:p>
          <w:p w14:paraId="22B5B577" w14:textId="77777777" w:rsidR="00B80AA5" w:rsidRPr="006778C9" w:rsidRDefault="00B80AA5" w:rsidP="00FD6B98">
            <w:pPr>
              <w:spacing w:before="40" w:after="40" w:line="240" w:lineRule="auto"/>
              <w:jc w:val="center"/>
              <w:rPr>
                <w:rFonts w:ascii="Arial Narrow" w:hAnsi="Arial Narrow" w:cs="Arial"/>
                <w:i/>
                <w:sz w:val="20"/>
                <w:szCs w:val="20"/>
              </w:rPr>
            </w:pPr>
          </w:p>
        </w:tc>
        <w:tc>
          <w:tcPr>
            <w:tcW w:w="3019" w:type="dxa"/>
            <w:gridSpan w:val="6"/>
            <w:shd w:val="clear" w:color="auto" w:fill="DAF2F6"/>
          </w:tcPr>
          <w:p w14:paraId="2FFF613C" w14:textId="77777777" w:rsidR="00B80AA5" w:rsidRPr="006778C9" w:rsidRDefault="00B80AA5" w:rsidP="00FD6B98">
            <w:pPr>
              <w:spacing w:before="40" w:after="40" w:line="240" w:lineRule="auto"/>
              <w:jc w:val="center"/>
              <w:rPr>
                <w:rFonts w:ascii="Arial Narrow" w:hAnsi="Arial Narrow" w:cs="Arial"/>
                <w:i/>
                <w:sz w:val="20"/>
                <w:szCs w:val="20"/>
              </w:rPr>
            </w:pPr>
            <w:r w:rsidRPr="006778C9">
              <w:rPr>
                <w:rFonts w:ascii="Arial Narrow" w:hAnsi="Arial Narrow" w:cs="Arial"/>
                <w:i/>
                <w:sz w:val="20"/>
                <w:szCs w:val="20"/>
              </w:rPr>
              <w:t>74</w:t>
            </w:r>
          </w:p>
          <w:p w14:paraId="73420DD1" w14:textId="77777777" w:rsidR="00B80AA5" w:rsidRPr="006778C9" w:rsidRDefault="00B80AA5" w:rsidP="00FD6B98">
            <w:pPr>
              <w:spacing w:before="40" w:after="40" w:line="240" w:lineRule="auto"/>
              <w:jc w:val="center"/>
              <w:rPr>
                <w:rFonts w:ascii="Arial Narrow" w:hAnsi="Arial Narrow" w:cs="Arial"/>
                <w:i/>
                <w:sz w:val="20"/>
                <w:szCs w:val="20"/>
              </w:rPr>
            </w:pPr>
          </w:p>
        </w:tc>
      </w:tr>
      <w:tr w:rsidR="00B80AA5" w:rsidRPr="006778C9" w14:paraId="41623D64" w14:textId="77777777" w:rsidTr="00EA56E8">
        <w:trPr>
          <w:gridBefore w:val="1"/>
          <w:wBefore w:w="29" w:type="dxa"/>
        </w:trPr>
        <w:tc>
          <w:tcPr>
            <w:tcW w:w="2920" w:type="dxa"/>
            <w:gridSpan w:val="4"/>
            <w:shd w:val="clear" w:color="auto" w:fill="DAF2F6"/>
          </w:tcPr>
          <w:p w14:paraId="7F8873E0" w14:textId="77777777" w:rsidR="00B80AA5" w:rsidRPr="00AE274D" w:rsidRDefault="00B80AA5" w:rsidP="00FD6B98">
            <w:pPr>
              <w:spacing w:before="40" w:after="40" w:line="240" w:lineRule="auto"/>
              <w:rPr>
                <w:rFonts w:ascii="Arial Narrow" w:hAnsi="Arial Narrow" w:cs="Arial"/>
                <w:iCs/>
                <w:sz w:val="20"/>
                <w:szCs w:val="20"/>
              </w:rPr>
            </w:pPr>
            <w:r w:rsidRPr="00AE274D">
              <w:rPr>
                <w:rFonts w:ascii="Arial Narrow" w:hAnsi="Arial Narrow" w:cs="Arial"/>
                <w:iCs/>
                <w:sz w:val="20"/>
                <w:szCs w:val="20"/>
              </w:rPr>
              <w:t xml:space="preserve">Broj otkrivenih neusaglašenosti sa propisanim zahtjevima za </w:t>
            </w:r>
            <w:r w:rsidRPr="00AE274D">
              <w:rPr>
                <w:rFonts w:ascii="Arial Narrow" w:hAnsi="Arial Narrow" w:cs="Arial"/>
                <w:iCs/>
                <w:sz w:val="20"/>
                <w:szCs w:val="20"/>
              </w:rPr>
              <w:lastRenderedPageBreak/>
              <w:t>bjezbjednost iz oblasti hrane, veterine fotosanitane</w:t>
            </w:r>
          </w:p>
        </w:tc>
        <w:tc>
          <w:tcPr>
            <w:tcW w:w="3209" w:type="dxa"/>
            <w:gridSpan w:val="6"/>
            <w:shd w:val="clear" w:color="auto" w:fill="DAF2F6"/>
          </w:tcPr>
          <w:p w14:paraId="30D25834" w14:textId="77777777" w:rsidR="00B80AA5" w:rsidRPr="006778C9" w:rsidRDefault="00B80AA5" w:rsidP="00FD6B98">
            <w:pPr>
              <w:spacing w:before="40" w:after="40" w:line="240" w:lineRule="auto"/>
              <w:jc w:val="center"/>
              <w:rPr>
                <w:rFonts w:ascii="Arial Narrow" w:hAnsi="Arial Narrow" w:cs="Arial"/>
                <w:i/>
                <w:sz w:val="20"/>
                <w:szCs w:val="20"/>
              </w:rPr>
            </w:pPr>
            <w:r w:rsidRPr="006778C9">
              <w:rPr>
                <w:rFonts w:ascii="Arial Narrow" w:hAnsi="Arial Narrow" w:cs="Arial"/>
                <w:i/>
                <w:sz w:val="20"/>
                <w:szCs w:val="20"/>
              </w:rPr>
              <w:lastRenderedPageBreak/>
              <w:t xml:space="preserve">2631 </w:t>
            </w:r>
            <w:r w:rsidRPr="006778C9">
              <w:rPr>
                <w:rFonts w:ascii="Arial Narrow" w:hAnsi="Arial Narrow" w:cs="Arial"/>
                <w:i/>
                <w:sz w:val="20"/>
                <w:szCs w:val="20"/>
                <w:vertAlign w:val="superscript"/>
              </w:rPr>
              <w:footnoteReference w:id="25"/>
            </w:r>
          </w:p>
          <w:p w14:paraId="108E983D" w14:textId="77777777" w:rsidR="00B80AA5" w:rsidRPr="006778C9" w:rsidRDefault="00B80AA5" w:rsidP="00FD6B98">
            <w:pPr>
              <w:spacing w:before="40" w:after="40" w:line="240" w:lineRule="auto"/>
              <w:rPr>
                <w:rFonts w:ascii="Arial Narrow" w:hAnsi="Arial Narrow" w:cs="Arial"/>
                <w:i/>
                <w:strike/>
                <w:sz w:val="20"/>
                <w:szCs w:val="20"/>
              </w:rPr>
            </w:pPr>
          </w:p>
        </w:tc>
        <w:tc>
          <w:tcPr>
            <w:tcW w:w="2993" w:type="dxa"/>
            <w:gridSpan w:val="5"/>
            <w:shd w:val="clear" w:color="auto" w:fill="DAF2F6"/>
          </w:tcPr>
          <w:p w14:paraId="49730B5D" w14:textId="77777777" w:rsidR="00B80AA5" w:rsidRPr="006778C9" w:rsidRDefault="00B80AA5" w:rsidP="00FD6B98">
            <w:pPr>
              <w:spacing w:before="40" w:after="40" w:line="240" w:lineRule="auto"/>
              <w:jc w:val="center"/>
              <w:rPr>
                <w:rFonts w:ascii="Arial Narrow" w:hAnsi="Arial Narrow" w:cs="Arial"/>
                <w:i/>
                <w:sz w:val="20"/>
                <w:szCs w:val="20"/>
              </w:rPr>
            </w:pPr>
            <w:r w:rsidRPr="006778C9">
              <w:rPr>
                <w:rFonts w:ascii="Arial Narrow" w:hAnsi="Arial Narrow" w:cs="Arial"/>
                <w:i/>
                <w:sz w:val="20"/>
                <w:szCs w:val="20"/>
              </w:rPr>
              <w:t>2920</w:t>
            </w:r>
          </w:p>
          <w:p w14:paraId="5D87D942" w14:textId="77777777" w:rsidR="00B80AA5" w:rsidRPr="006778C9" w:rsidRDefault="00B80AA5" w:rsidP="00FD6B98">
            <w:pPr>
              <w:spacing w:before="40" w:after="40" w:line="240" w:lineRule="auto"/>
              <w:jc w:val="center"/>
              <w:rPr>
                <w:rFonts w:ascii="Arial Narrow" w:hAnsi="Arial Narrow" w:cs="Arial"/>
                <w:i/>
                <w:strike/>
                <w:sz w:val="20"/>
                <w:szCs w:val="20"/>
              </w:rPr>
            </w:pPr>
          </w:p>
        </w:tc>
        <w:tc>
          <w:tcPr>
            <w:tcW w:w="2745" w:type="dxa"/>
            <w:gridSpan w:val="6"/>
            <w:shd w:val="clear" w:color="auto" w:fill="DAF2F6"/>
          </w:tcPr>
          <w:p w14:paraId="3FA69716" w14:textId="77777777" w:rsidR="00B80AA5" w:rsidRPr="006778C9" w:rsidRDefault="00B80AA5" w:rsidP="00FD6B98">
            <w:pPr>
              <w:spacing w:before="40" w:after="40" w:line="240" w:lineRule="auto"/>
              <w:jc w:val="center"/>
              <w:rPr>
                <w:rFonts w:ascii="Arial Narrow" w:hAnsi="Arial Narrow" w:cs="Arial"/>
                <w:i/>
                <w:sz w:val="20"/>
                <w:szCs w:val="20"/>
              </w:rPr>
            </w:pPr>
            <w:r w:rsidRPr="006778C9">
              <w:rPr>
                <w:rFonts w:ascii="Arial Narrow" w:hAnsi="Arial Narrow" w:cs="Arial"/>
                <w:i/>
                <w:sz w:val="20"/>
                <w:szCs w:val="20"/>
              </w:rPr>
              <w:t>3183</w:t>
            </w:r>
          </w:p>
        </w:tc>
        <w:tc>
          <w:tcPr>
            <w:tcW w:w="3019" w:type="dxa"/>
            <w:gridSpan w:val="6"/>
            <w:shd w:val="clear" w:color="auto" w:fill="DAF2F6"/>
          </w:tcPr>
          <w:p w14:paraId="74FF0639" w14:textId="77777777" w:rsidR="00B80AA5" w:rsidRPr="006778C9" w:rsidRDefault="00B80AA5" w:rsidP="00FD6B98">
            <w:pPr>
              <w:spacing w:before="40" w:after="40" w:line="240" w:lineRule="auto"/>
              <w:jc w:val="center"/>
              <w:rPr>
                <w:rFonts w:ascii="Arial Narrow" w:hAnsi="Arial Narrow" w:cs="Arial"/>
                <w:i/>
                <w:sz w:val="20"/>
                <w:szCs w:val="20"/>
              </w:rPr>
            </w:pPr>
            <w:r w:rsidRPr="006778C9">
              <w:rPr>
                <w:rFonts w:ascii="Arial Narrow" w:hAnsi="Arial Narrow" w:cs="Arial"/>
                <w:i/>
                <w:sz w:val="20"/>
                <w:szCs w:val="20"/>
              </w:rPr>
              <w:t>3446</w:t>
            </w:r>
          </w:p>
          <w:p w14:paraId="769EB3BC" w14:textId="77777777" w:rsidR="00B80AA5" w:rsidRPr="006778C9" w:rsidRDefault="00B80AA5" w:rsidP="00FD6B98">
            <w:pPr>
              <w:spacing w:before="40" w:after="40" w:line="240" w:lineRule="auto"/>
              <w:jc w:val="center"/>
              <w:rPr>
                <w:rFonts w:ascii="Arial Narrow" w:hAnsi="Arial Narrow" w:cs="Arial"/>
                <w:i/>
                <w:strike/>
                <w:sz w:val="20"/>
                <w:szCs w:val="20"/>
              </w:rPr>
            </w:pPr>
          </w:p>
        </w:tc>
      </w:tr>
      <w:tr w:rsidR="00B80AA5" w:rsidRPr="006778C9" w14:paraId="6C30E911" w14:textId="77777777" w:rsidTr="00EA56E8">
        <w:trPr>
          <w:gridBefore w:val="1"/>
          <w:wBefore w:w="29" w:type="dxa"/>
        </w:trPr>
        <w:tc>
          <w:tcPr>
            <w:tcW w:w="2920" w:type="dxa"/>
            <w:gridSpan w:val="4"/>
            <w:shd w:val="clear" w:color="auto" w:fill="DAF2F6"/>
          </w:tcPr>
          <w:p w14:paraId="70D9F62C" w14:textId="77777777" w:rsidR="00B80AA5" w:rsidRPr="00AE274D" w:rsidRDefault="00B80AA5" w:rsidP="00FD6B98">
            <w:pPr>
              <w:spacing w:before="40" w:after="40" w:line="240" w:lineRule="auto"/>
              <w:rPr>
                <w:rFonts w:ascii="Arial Narrow" w:hAnsi="Arial Narrow" w:cs="Arial"/>
                <w:iCs/>
                <w:sz w:val="20"/>
                <w:szCs w:val="20"/>
              </w:rPr>
            </w:pPr>
            <w:r w:rsidRPr="00AE274D">
              <w:rPr>
                <w:rFonts w:ascii="Arial Narrow" w:hAnsi="Arial Narrow" w:cs="Arial"/>
                <w:iCs/>
                <w:sz w:val="20"/>
                <w:szCs w:val="20"/>
              </w:rPr>
              <w:t>Visok nivo bezbjednosti hrane i zaštite zdravlja ljudi, životinja i bilja</w:t>
            </w:r>
          </w:p>
        </w:tc>
        <w:tc>
          <w:tcPr>
            <w:tcW w:w="3209" w:type="dxa"/>
            <w:gridSpan w:val="6"/>
            <w:shd w:val="clear" w:color="auto" w:fill="DAF2F6"/>
          </w:tcPr>
          <w:p w14:paraId="74C5F5CF" w14:textId="77777777" w:rsidR="00B80AA5" w:rsidRPr="006778C9" w:rsidRDefault="00B80AA5" w:rsidP="00FD6B98">
            <w:pPr>
              <w:spacing w:before="40" w:after="40" w:line="240" w:lineRule="auto"/>
              <w:jc w:val="both"/>
              <w:rPr>
                <w:rFonts w:ascii="Arial Narrow" w:hAnsi="Arial Narrow" w:cs="Arial"/>
                <w:b/>
                <w:bCs/>
                <w:i/>
                <w:sz w:val="20"/>
                <w:szCs w:val="20"/>
              </w:rPr>
            </w:pPr>
            <w:r w:rsidRPr="006778C9">
              <w:rPr>
                <w:rFonts w:ascii="Arial Narrow" w:hAnsi="Arial Narrow" w:cs="Arial"/>
                <w:b/>
                <w:bCs/>
                <w:i/>
                <w:sz w:val="20"/>
                <w:szCs w:val="20"/>
              </w:rPr>
              <w:t>- sprovedene mjere zdravstvene zaštite životinja:</w:t>
            </w:r>
          </w:p>
          <w:p w14:paraId="697401E7"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 xml:space="preserve">status zemlje slobodne od bolesti životinja: 2 bolesti </w:t>
            </w:r>
          </w:p>
          <w:p w14:paraId="2279F6ED"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status gazdinstva slobodnog od bolesti</w:t>
            </w:r>
            <w:r w:rsidRPr="006778C9">
              <w:rPr>
                <w:rFonts w:ascii="Arial Narrow" w:hAnsi="Arial Narrow" w:cs="Arial"/>
                <w:sz w:val="20"/>
                <w:szCs w:val="20"/>
              </w:rPr>
              <w:t xml:space="preserve"> </w:t>
            </w:r>
            <w:r w:rsidRPr="006778C9">
              <w:rPr>
                <w:rFonts w:ascii="Arial Narrow" w:hAnsi="Arial Narrow" w:cs="Arial"/>
                <w:i/>
                <w:sz w:val="20"/>
                <w:szCs w:val="20"/>
              </w:rPr>
              <w:t xml:space="preserve">životinja: 0 </w:t>
            </w:r>
          </w:p>
          <w:p w14:paraId="3C02AD2D" w14:textId="77777777" w:rsidR="00B80AA5" w:rsidRPr="006778C9" w:rsidRDefault="00B80AA5" w:rsidP="00FD6B98">
            <w:pPr>
              <w:spacing w:before="40" w:after="40" w:line="240" w:lineRule="auto"/>
              <w:jc w:val="both"/>
              <w:rPr>
                <w:rFonts w:ascii="Arial Narrow" w:hAnsi="Arial Narrow" w:cs="Arial"/>
                <w:b/>
                <w:bCs/>
                <w:i/>
                <w:sz w:val="20"/>
                <w:szCs w:val="20"/>
              </w:rPr>
            </w:pPr>
            <w:r w:rsidRPr="006778C9">
              <w:rPr>
                <w:rFonts w:ascii="Arial Narrow" w:hAnsi="Arial Narrow" w:cs="Arial"/>
                <w:b/>
                <w:bCs/>
                <w:i/>
                <w:sz w:val="20"/>
                <w:szCs w:val="20"/>
              </w:rPr>
              <w:t xml:space="preserve">- sprovedene mjere bezbjednosti hrane: </w:t>
            </w:r>
          </w:p>
          <w:p w14:paraId="4DBA7156"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broj otkrivenih neusaglašenosti: 743</w:t>
            </w:r>
          </w:p>
          <w:p w14:paraId="049ACFDB" w14:textId="77777777" w:rsidR="00B80AA5" w:rsidRPr="006778C9" w:rsidRDefault="00B80AA5" w:rsidP="00FD6B98">
            <w:pPr>
              <w:spacing w:before="40" w:after="40" w:line="240" w:lineRule="auto"/>
              <w:jc w:val="both"/>
              <w:rPr>
                <w:rFonts w:ascii="Arial Narrow" w:hAnsi="Arial Narrow" w:cs="Arial"/>
                <w:i/>
                <w:sz w:val="20"/>
                <w:szCs w:val="20"/>
              </w:rPr>
            </w:pPr>
            <w:r w:rsidRPr="006778C9">
              <w:rPr>
                <w:rFonts w:ascii="Arial Narrow" w:hAnsi="Arial Narrow" w:cs="Arial"/>
                <w:b/>
                <w:bCs/>
                <w:i/>
                <w:sz w:val="20"/>
                <w:szCs w:val="20"/>
              </w:rPr>
              <w:t>- sprovedene fitosanitarne mjere</w:t>
            </w:r>
            <w:r w:rsidRPr="006778C9">
              <w:rPr>
                <w:rFonts w:ascii="Arial Narrow" w:hAnsi="Arial Narrow" w:cs="Arial"/>
                <w:i/>
                <w:sz w:val="20"/>
                <w:szCs w:val="20"/>
              </w:rPr>
              <w:t>:</w:t>
            </w:r>
          </w:p>
          <w:p w14:paraId="4224AF58"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održavanje statusa zemlje slobodne od bolesti bilja: 25 štetnih organizama;</w:t>
            </w:r>
          </w:p>
          <w:p w14:paraId="146791F2"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sprovođenje Nacionalnog plana za održivu upotrebu pesticida;</w:t>
            </w:r>
          </w:p>
          <w:p w14:paraId="6456B59F"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sertifikacija sjemenskog i sadnog materijala;</w:t>
            </w:r>
          </w:p>
        </w:tc>
        <w:tc>
          <w:tcPr>
            <w:tcW w:w="2993" w:type="dxa"/>
            <w:gridSpan w:val="5"/>
            <w:shd w:val="clear" w:color="auto" w:fill="DAF2F6"/>
          </w:tcPr>
          <w:p w14:paraId="6D828441" w14:textId="77777777" w:rsidR="00B80AA5" w:rsidRPr="006778C9" w:rsidRDefault="00B80AA5" w:rsidP="00FD6B98">
            <w:pPr>
              <w:spacing w:before="40" w:after="40" w:line="240" w:lineRule="auto"/>
              <w:jc w:val="both"/>
              <w:rPr>
                <w:rFonts w:ascii="Arial Narrow" w:hAnsi="Arial Narrow" w:cs="Arial"/>
                <w:b/>
                <w:bCs/>
                <w:i/>
                <w:sz w:val="20"/>
                <w:szCs w:val="20"/>
              </w:rPr>
            </w:pPr>
            <w:r w:rsidRPr="006778C9">
              <w:rPr>
                <w:rFonts w:ascii="Arial Narrow" w:hAnsi="Arial Narrow" w:cs="Arial"/>
                <w:b/>
                <w:bCs/>
                <w:i/>
                <w:sz w:val="20"/>
                <w:szCs w:val="20"/>
              </w:rPr>
              <w:t>-</w:t>
            </w:r>
            <w:r w:rsidRPr="006778C9">
              <w:rPr>
                <w:rFonts w:ascii="Arial Narrow" w:hAnsi="Arial Narrow" w:cs="Arial"/>
                <w:b/>
                <w:bCs/>
                <w:sz w:val="20"/>
                <w:szCs w:val="20"/>
              </w:rPr>
              <w:t xml:space="preserve"> </w:t>
            </w:r>
            <w:r w:rsidRPr="006778C9">
              <w:rPr>
                <w:rFonts w:ascii="Arial Narrow" w:hAnsi="Arial Narrow" w:cs="Arial"/>
                <w:b/>
                <w:bCs/>
                <w:i/>
                <w:sz w:val="20"/>
                <w:szCs w:val="20"/>
              </w:rPr>
              <w:t>sprovedene mjere zdravstvene zaštite životinja:</w:t>
            </w:r>
          </w:p>
          <w:p w14:paraId="4318963E" w14:textId="77777777" w:rsidR="00B80AA5" w:rsidRPr="006778C9" w:rsidRDefault="00B80AA5" w:rsidP="00B80AA5">
            <w:pPr>
              <w:numPr>
                <w:ilvl w:val="0"/>
                <w:numId w:val="10"/>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 xml:space="preserve">status zemlje slobodne od bolesti životinja: 0 </w:t>
            </w:r>
          </w:p>
          <w:p w14:paraId="2148A044" w14:textId="77777777" w:rsidR="00B80AA5" w:rsidRPr="006778C9" w:rsidRDefault="00B80AA5" w:rsidP="00B80AA5">
            <w:pPr>
              <w:numPr>
                <w:ilvl w:val="0"/>
                <w:numId w:val="10"/>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status gazdinstva slobodnog od bolesti</w:t>
            </w:r>
            <w:r w:rsidRPr="006778C9">
              <w:rPr>
                <w:rFonts w:ascii="Arial Narrow" w:hAnsi="Arial Narrow" w:cs="Arial"/>
                <w:sz w:val="20"/>
                <w:szCs w:val="20"/>
              </w:rPr>
              <w:t xml:space="preserve"> </w:t>
            </w:r>
            <w:r w:rsidRPr="006778C9">
              <w:rPr>
                <w:rFonts w:ascii="Arial Narrow" w:hAnsi="Arial Narrow" w:cs="Arial"/>
                <w:i/>
                <w:sz w:val="20"/>
                <w:szCs w:val="20"/>
              </w:rPr>
              <w:t>životinja: 5147</w:t>
            </w:r>
          </w:p>
          <w:p w14:paraId="7A391F13" w14:textId="77777777" w:rsidR="00B80AA5" w:rsidRPr="006778C9" w:rsidRDefault="00B80AA5" w:rsidP="00FD6B98">
            <w:pPr>
              <w:spacing w:before="40" w:after="40" w:line="240" w:lineRule="auto"/>
              <w:jc w:val="both"/>
              <w:rPr>
                <w:rFonts w:ascii="Arial Narrow" w:hAnsi="Arial Narrow" w:cs="Arial"/>
                <w:b/>
                <w:bCs/>
                <w:i/>
                <w:sz w:val="20"/>
                <w:szCs w:val="20"/>
              </w:rPr>
            </w:pPr>
            <w:r w:rsidRPr="006778C9">
              <w:rPr>
                <w:rFonts w:ascii="Arial Narrow" w:hAnsi="Arial Narrow" w:cs="Arial"/>
                <w:b/>
                <w:bCs/>
                <w:i/>
                <w:sz w:val="20"/>
                <w:szCs w:val="20"/>
              </w:rPr>
              <w:t xml:space="preserve">- sprovedene mjere bezbjednosti hrane: </w:t>
            </w:r>
          </w:p>
          <w:p w14:paraId="7C6A1BF4"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broj otkrivenih neusaglašenosti: 817</w:t>
            </w:r>
          </w:p>
          <w:p w14:paraId="0DBF49D1" w14:textId="77777777" w:rsidR="00B80AA5" w:rsidRPr="006778C9" w:rsidRDefault="00B80AA5" w:rsidP="00FD6B98">
            <w:pPr>
              <w:spacing w:before="40" w:after="40" w:line="240" w:lineRule="auto"/>
              <w:jc w:val="both"/>
              <w:rPr>
                <w:rFonts w:ascii="Arial Narrow" w:hAnsi="Arial Narrow" w:cs="Arial"/>
                <w:b/>
                <w:bCs/>
                <w:i/>
                <w:sz w:val="20"/>
                <w:szCs w:val="20"/>
              </w:rPr>
            </w:pPr>
            <w:r w:rsidRPr="006778C9">
              <w:rPr>
                <w:rFonts w:ascii="Arial Narrow" w:hAnsi="Arial Narrow" w:cs="Arial"/>
                <w:b/>
                <w:bCs/>
                <w:i/>
                <w:sz w:val="20"/>
                <w:szCs w:val="20"/>
              </w:rPr>
              <w:t>-</w:t>
            </w:r>
            <w:r w:rsidRPr="006778C9">
              <w:rPr>
                <w:rFonts w:ascii="Arial Narrow" w:hAnsi="Arial Narrow" w:cs="Arial"/>
                <w:b/>
                <w:bCs/>
                <w:sz w:val="20"/>
                <w:szCs w:val="20"/>
              </w:rPr>
              <w:t xml:space="preserve"> </w:t>
            </w:r>
            <w:r w:rsidRPr="006778C9">
              <w:rPr>
                <w:rFonts w:ascii="Arial Narrow" w:hAnsi="Arial Narrow" w:cs="Arial"/>
                <w:b/>
                <w:bCs/>
                <w:i/>
                <w:sz w:val="20"/>
                <w:szCs w:val="20"/>
              </w:rPr>
              <w:t>sprovedene fitosanitarne mjere:</w:t>
            </w:r>
          </w:p>
          <w:p w14:paraId="7E7F993C"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održavanje statusa zemlje slobodne od bolesti bilja: 25 štetnih organizama;</w:t>
            </w:r>
          </w:p>
          <w:p w14:paraId="0026897D"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sprovođenje Nacionalnog plana za održivu upotrebu pesticida;</w:t>
            </w:r>
          </w:p>
          <w:p w14:paraId="61752918"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sertifikacija sjemenskog i sadnog materijala;</w:t>
            </w:r>
          </w:p>
          <w:p w14:paraId="66B66FC2" w14:textId="77777777" w:rsidR="00B80AA5" w:rsidRPr="006778C9" w:rsidRDefault="00B80AA5" w:rsidP="00FD6B98">
            <w:pPr>
              <w:spacing w:before="40" w:after="40" w:line="240" w:lineRule="auto"/>
              <w:jc w:val="both"/>
              <w:rPr>
                <w:rFonts w:ascii="Arial Narrow" w:hAnsi="Arial Narrow" w:cs="Arial"/>
                <w:i/>
                <w:sz w:val="20"/>
                <w:szCs w:val="20"/>
              </w:rPr>
            </w:pPr>
          </w:p>
        </w:tc>
        <w:tc>
          <w:tcPr>
            <w:tcW w:w="2745" w:type="dxa"/>
            <w:gridSpan w:val="6"/>
            <w:shd w:val="clear" w:color="auto" w:fill="DAF2F6"/>
          </w:tcPr>
          <w:p w14:paraId="7FEA5F3B" w14:textId="77777777" w:rsidR="00B80AA5" w:rsidRPr="006778C9" w:rsidRDefault="00B80AA5" w:rsidP="00FD6B98">
            <w:pPr>
              <w:spacing w:before="40" w:after="40" w:line="240" w:lineRule="auto"/>
              <w:jc w:val="both"/>
              <w:rPr>
                <w:rFonts w:ascii="Arial Narrow" w:hAnsi="Arial Narrow" w:cs="Arial"/>
                <w:i/>
                <w:sz w:val="20"/>
                <w:szCs w:val="20"/>
              </w:rPr>
            </w:pPr>
            <w:r w:rsidRPr="006778C9">
              <w:rPr>
                <w:rFonts w:ascii="Arial Narrow" w:hAnsi="Arial Narrow" w:cs="Arial"/>
                <w:i/>
                <w:sz w:val="20"/>
                <w:szCs w:val="20"/>
              </w:rPr>
              <w:t>sprovedene -mjere zdravstvene zaštite životinja:</w:t>
            </w:r>
          </w:p>
          <w:p w14:paraId="5D546101" w14:textId="77777777" w:rsidR="00B80AA5" w:rsidRPr="006778C9" w:rsidRDefault="00B80AA5" w:rsidP="00B80AA5">
            <w:pPr>
              <w:numPr>
                <w:ilvl w:val="0"/>
                <w:numId w:val="11"/>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status zemlje slobodne od bolesti životinja: 1</w:t>
            </w:r>
          </w:p>
          <w:p w14:paraId="091A45E6" w14:textId="77777777" w:rsidR="00B80AA5" w:rsidRPr="006778C9" w:rsidRDefault="00B80AA5" w:rsidP="00B80AA5">
            <w:pPr>
              <w:numPr>
                <w:ilvl w:val="0"/>
                <w:numId w:val="11"/>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status gazdinstva slobodnog od bolesti životinja: 7200</w:t>
            </w:r>
          </w:p>
          <w:p w14:paraId="4FF8368F" w14:textId="77777777" w:rsidR="00B80AA5" w:rsidRPr="006778C9" w:rsidRDefault="00B80AA5" w:rsidP="00FD6B98">
            <w:pPr>
              <w:spacing w:before="40" w:after="40" w:line="240" w:lineRule="auto"/>
              <w:jc w:val="both"/>
              <w:rPr>
                <w:rFonts w:ascii="Arial Narrow" w:hAnsi="Arial Narrow" w:cs="Arial"/>
                <w:i/>
                <w:sz w:val="20"/>
                <w:szCs w:val="20"/>
              </w:rPr>
            </w:pPr>
            <w:r w:rsidRPr="006778C9">
              <w:rPr>
                <w:rFonts w:ascii="Arial Narrow" w:hAnsi="Arial Narrow" w:cs="Arial"/>
                <w:i/>
                <w:sz w:val="20"/>
                <w:szCs w:val="20"/>
              </w:rPr>
              <w:t>-</w:t>
            </w:r>
            <w:r w:rsidRPr="006778C9">
              <w:rPr>
                <w:rFonts w:ascii="Arial Narrow" w:hAnsi="Arial Narrow" w:cs="Arial"/>
                <w:b/>
                <w:bCs/>
                <w:i/>
                <w:sz w:val="20"/>
                <w:szCs w:val="20"/>
              </w:rPr>
              <w:t>sprovedene mjere bezbjednosti hrane:</w:t>
            </w:r>
            <w:r w:rsidRPr="006778C9">
              <w:rPr>
                <w:rFonts w:ascii="Arial Narrow" w:hAnsi="Arial Narrow" w:cs="Arial"/>
                <w:i/>
                <w:sz w:val="20"/>
                <w:szCs w:val="20"/>
              </w:rPr>
              <w:t xml:space="preserve"> </w:t>
            </w:r>
          </w:p>
          <w:p w14:paraId="0051FA06"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broj otkrivenih neusaglašenosti: 891</w:t>
            </w:r>
          </w:p>
          <w:p w14:paraId="63F16523" w14:textId="77777777" w:rsidR="00B80AA5" w:rsidRPr="006778C9" w:rsidRDefault="00B80AA5" w:rsidP="00FD6B98">
            <w:pPr>
              <w:spacing w:before="40" w:after="40" w:line="240" w:lineRule="auto"/>
              <w:jc w:val="both"/>
              <w:rPr>
                <w:rFonts w:ascii="Arial Narrow" w:hAnsi="Arial Narrow" w:cs="Arial"/>
                <w:b/>
                <w:bCs/>
                <w:i/>
                <w:sz w:val="20"/>
                <w:szCs w:val="20"/>
              </w:rPr>
            </w:pPr>
            <w:r w:rsidRPr="006778C9">
              <w:rPr>
                <w:rFonts w:ascii="Arial Narrow" w:hAnsi="Arial Narrow" w:cs="Arial"/>
                <w:b/>
                <w:bCs/>
                <w:i/>
                <w:sz w:val="20"/>
                <w:szCs w:val="20"/>
              </w:rPr>
              <w:t>-sprovedene fitosanitarne mjere:</w:t>
            </w:r>
          </w:p>
          <w:p w14:paraId="3EC1C8F5" w14:textId="77777777" w:rsidR="00B80AA5" w:rsidRPr="006778C9" w:rsidRDefault="00B80AA5" w:rsidP="00FD6B98">
            <w:pPr>
              <w:spacing w:before="40" w:after="40" w:line="240" w:lineRule="auto"/>
              <w:jc w:val="both"/>
              <w:rPr>
                <w:rFonts w:ascii="Arial Narrow" w:hAnsi="Arial Narrow" w:cs="Arial"/>
                <w:i/>
                <w:sz w:val="20"/>
                <w:szCs w:val="20"/>
              </w:rPr>
            </w:pPr>
            <w:r w:rsidRPr="006778C9">
              <w:rPr>
                <w:rFonts w:ascii="Arial Narrow" w:hAnsi="Arial Narrow" w:cs="Arial"/>
                <w:i/>
                <w:sz w:val="20"/>
                <w:szCs w:val="20"/>
              </w:rPr>
              <w:t>održavanje statusa zemlje slobodne od bolesti bilja: 25 štetnih organizama;</w:t>
            </w:r>
          </w:p>
          <w:p w14:paraId="2B472DAE"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sprovođenje Nacionalnog plana za održivu upotrebu pesticida;</w:t>
            </w:r>
          </w:p>
          <w:p w14:paraId="64B03B69"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sertifikacija sjemenskog i sadnog materijala;</w:t>
            </w:r>
          </w:p>
        </w:tc>
        <w:tc>
          <w:tcPr>
            <w:tcW w:w="3019" w:type="dxa"/>
            <w:gridSpan w:val="6"/>
            <w:shd w:val="clear" w:color="auto" w:fill="DAF2F6"/>
          </w:tcPr>
          <w:p w14:paraId="57E404C2" w14:textId="77777777" w:rsidR="00B80AA5" w:rsidRPr="006778C9" w:rsidRDefault="00B80AA5" w:rsidP="00FD6B98">
            <w:pPr>
              <w:spacing w:before="40" w:after="40" w:line="240" w:lineRule="auto"/>
              <w:jc w:val="both"/>
              <w:rPr>
                <w:rFonts w:ascii="Arial Narrow" w:hAnsi="Arial Narrow" w:cs="Arial"/>
                <w:i/>
                <w:sz w:val="20"/>
                <w:szCs w:val="20"/>
              </w:rPr>
            </w:pPr>
            <w:r w:rsidRPr="006778C9">
              <w:rPr>
                <w:rFonts w:ascii="Arial Narrow" w:hAnsi="Arial Narrow" w:cs="Arial"/>
                <w:i/>
                <w:sz w:val="20"/>
                <w:szCs w:val="20"/>
              </w:rPr>
              <w:t>-sprovedene mjere zdravstvene zaštite životinja:</w:t>
            </w:r>
          </w:p>
          <w:p w14:paraId="6197699B" w14:textId="77777777" w:rsidR="00B80AA5" w:rsidRPr="006778C9" w:rsidRDefault="00B80AA5" w:rsidP="00B80AA5">
            <w:pPr>
              <w:numPr>
                <w:ilvl w:val="0"/>
                <w:numId w:val="12"/>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status zemlje slobodne od bolesti životinja: 1</w:t>
            </w:r>
          </w:p>
          <w:p w14:paraId="08BB4511" w14:textId="77777777" w:rsidR="00B80AA5" w:rsidRPr="006778C9" w:rsidRDefault="00B80AA5" w:rsidP="00B80AA5">
            <w:pPr>
              <w:numPr>
                <w:ilvl w:val="0"/>
                <w:numId w:val="12"/>
              </w:numPr>
              <w:spacing w:before="40" w:after="40" w:line="240" w:lineRule="auto"/>
              <w:contextualSpacing/>
              <w:jc w:val="both"/>
              <w:rPr>
                <w:rFonts w:ascii="Arial Narrow" w:hAnsi="Arial Narrow" w:cs="Arial"/>
                <w:sz w:val="20"/>
                <w:szCs w:val="20"/>
              </w:rPr>
            </w:pPr>
            <w:r w:rsidRPr="006778C9">
              <w:rPr>
                <w:rFonts w:ascii="Arial Narrow" w:hAnsi="Arial Narrow" w:cs="Arial"/>
                <w:i/>
                <w:sz w:val="20"/>
                <w:szCs w:val="20"/>
              </w:rPr>
              <w:t>status gazdinstva slobodnog od bolesti životinja: 13000</w:t>
            </w:r>
          </w:p>
          <w:p w14:paraId="135543EB" w14:textId="77777777" w:rsidR="00B80AA5" w:rsidRPr="006778C9" w:rsidRDefault="00B80AA5" w:rsidP="00FD6B98">
            <w:pPr>
              <w:spacing w:before="40" w:after="40" w:line="240" w:lineRule="auto"/>
              <w:jc w:val="both"/>
              <w:rPr>
                <w:rFonts w:ascii="Arial Narrow" w:hAnsi="Arial Narrow" w:cs="Arial"/>
                <w:i/>
                <w:sz w:val="20"/>
                <w:szCs w:val="20"/>
              </w:rPr>
            </w:pPr>
            <w:r w:rsidRPr="006778C9">
              <w:rPr>
                <w:rFonts w:ascii="Arial Narrow" w:hAnsi="Arial Narrow" w:cs="Arial"/>
                <w:i/>
                <w:sz w:val="20"/>
                <w:szCs w:val="20"/>
              </w:rPr>
              <w:t xml:space="preserve">- </w:t>
            </w:r>
            <w:r w:rsidRPr="006778C9">
              <w:rPr>
                <w:rFonts w:ascii="Arial Narrow" w:hAnsi="Arial Narrow" w:cs="Arial"/>
                <w:b/>
                <w:bCs/>
                <w:i/>
                <w:sz w:val="20"/>
                <w:szCs w:val="20"/>
              </w:rPr>
              <w:t xml:space="preserve">sprovedene mjere bezbjednosti hrane: </w:t>
            </w:r>
          </w:p>
          <w:p w14:paraId="491B3E53"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broj otkrivenih neusaglašenosti: 965</w:t>
            </w:r>
          </w:p>
          <w:p w14:paraId="3532D995" w14:textId="77777777" w:rsidR="00B80AA5" w:rsidRPr="006778C9" w:rsidRDefault="00B80AA5" w:rsidP="00FD6B98">
            <w:pPr>
              <w:spacing w:before="40" w:after="40" w:line="240" w:lineRule="auto"/>
              <w:jc w:val="both"/>
              <w:rPr>
                <w:rFonts w:ascii="Arial Narrow" w:hAnsi="Arial Narrow" w:cs="Arial"/>
                <w:b/>
                <w:bCs/>
                <w:i/>
                <w:sz w:val="20"/>
                <w:szCs w:val="20"/>
              </w:rPr>
            </w:pPr>
            <w:r w:rsidRPr="006778C9">
              <w:rPr>
                <w:rFonts w:ascii="Arial Narrow" w:hAnsi="Arial Narrow" w:cs="Arial"/>
                <w:b/>
                <w:bCs/>
                <w:i/>
                <w:sz w:val="20"/>
                <w:szCs w:val="20"/>
              </w:rPr>
              <w:t>-sprovedene fitosanitarne mjere:</w:t>
            </w:r>
          </w:p>
          <w:p w14:paraId="7AD20463"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 xml:space="preserve">održavanje statusa zemlje slobodne od bolesti bilja: 25 štetnih organizama </w:t>
            </w:r>
          </w:p>
          <w:p w14:paraId="65FF534E"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sprovođenje Nacionalnog plana za održivu upotrebu pesticida;</w:t>
            </w:r>
          </w:p>
          <w:p w14:paraId="0F2BD598" w14:textId="77777777" w:rsidR="00B80AA5" w:rsidRPr="006778C9" w:rsidRDefault="00B80AA5" w:rsidP="00B80AA5">
            <w:pPr>
              <w:numPr>
                <w:ilvl w:val="0"/>
                <w:numId w:val="9"/>
              </w:numPr>
              <w:spacing w:before="40" w:after="40" w:line="240" w:lineRule="auto"/>
              <w:contextualSpacing/>
              <w:jc w:val="both"/>
              <w:rPr>
                <w:rFonts w:ascii="Arial Narrow" w:hAnsi="Arial Narrow" w:cs="Arial"/>
                <w:i/>
                <w:sz w:val="20"/>
                <w:szCs w:val="20"/>
              </w:rPr>
            </w:pPr>
            <w:r w:rsidRPr="006778C9">
              <w:rPr>
                <w:rFonts w:ascii="Arial Narrow" w:hAnsi="Arial Narrow" w:cs="Arial"/>
                <w:i/>
                <w:sz w:val="20"/>
                <w:szCs w:val="20"/>
              </w:rPr>
              <w:t>sertifikacija sjemenskog i sadnog materijala;</w:t>
            </w:r>
          </w:p>
          <w:p w14:paraId="1FADDE2B" w14:textId="77777777" w:rsidR="00B80AA5" w:rsidRPr="006778C9" w:rsidRDefault="00B80AA5" w:rsidP="00FD6B98">
            <w:pPr>
              <w:spacing w:before="40" w:after="40" w:line="240" w:lineRule="auto"/>
              <w:jc w:val="both"/>
              <w:rPr>
                <w:rFonts w:ascii="Arial Narrow" w:hAnsi="Arial Narrow" w:cs="Arial"/>
                <w:i/>
                <w:sz w:val="20"/>
                <w:szCs w:val="20"/>
              </w:rPr>
            </w:pPr>
          </w:p>
        </w:tc>
      </w:tr>
      <w:tr w:rsidR="00B80AA5" w:rsidRPr="006778C9" w14:paraId="4E192696" w14:textId="77777777" w:rsidTr="00EA56E8">
        <w:trPr>
          <w:gridBefore w:val="1"/>
          <w:wBefore w:w="29" w:type="dxa"/>
        </w:trPr>
        <w:tc>
          <w:tcPr>
            <w:tcW w:w="2920" w:type="dxa"/>
            <w:gridSpan w:val="4"/>
            <w:shd w:val="clear" w:color="auto" w:fill="DAF2F6"/>
          </w:tcPr>
          <w:p w14:paraId="2B6A1C06" w14:textId="77777777" w:rsidR="00B80AA5" w:rsidRPr="00AE274D" w:rsidRDefault="00B80AA5" w:rsidP="00FD6B98">
            <w:pPr>
              <w:spacing w:before="40" w:after="40" w:line="240" w:lineRule="auto"/>
              <w:rPr>
                <w:rFonts w:ascii="Arial Narrow" w:hAnsi="Arial Narrow" w:cs="Arial"/>
                <w:iCs/>
                <w:sz w:val="20"/>
                <w:szCs w:val="20"/>
              </w:rPr>
            </w:pPr>
            <w:r w:rsidRPr="00AE274D">
              <w:rPr>
                <w:rFonts w:ascii="Arial Narrow" w:hAnsi="Arial Narrow" w:cs="Arial"/>
                <w:iCs/>
                <w:sz w:val="20"/>
                <w:szCs w:val="20"/>
              </w:rPr>
              <w:t>Granična inspekcijska mjesta za graničnu veterinarsku i fitosanitarnu kontrolu koja ispunjavaju EU standarde, ukupno</w:t>
            </w:r>
          </w:p>
        </w:tc>
        <w:tc>
          <w:tcPr>
            <w:tcW w:w="3209" w:type="dxa"/>
            <w:gridSpan w:val="6"/>
            <w:shd w:val="clear" w:color="auto" w:fill="DAF2F6"/>
          </w:tcPr>
          <w:p w14:paraId="20C1ECEC" w14:textId="77777777" w:rsidR="00B80AA5" w:rsidRPr="006778C9" w:rsidRDefault="00B80AA5" w:rsidP="00FD6B98">
            <w:pPr>
              <w:spacing w:before="40" w:after="40" w:line="240" w:lineRule="auto"/>
              <w:jc w:val="center"/>
              <w:rPr>
                <w:rFonts w:ascii="Arial Narrow" w:hAnsi="Arial Narrow" w:cs="Arial"/>
                <w:i/>
                <w:sz w:val="20"/>
                <w:szCs w:val="20"/>
              </w:rPr>
            </w:pPr>
            <w:r w:rsidRPr="006778C9">
              <w:rPr>
                <w:rFonts w:ascii="Arial Narrow" w:hAnsi="Arial Narrow" w:cs="Arial"/>
                <w:i/>
                <w:sz w:val="20"/>
                <w:szCs w:val="20"/>
              </w:rPr>
              <w:t>1 (2021 Luka Bar)</w:t>
            </w:r>
          </w:p>
        </w:tc>
        <w:tc>
          <w:tcPr>
            <w:tcW w:w="2993" w:type="dxa"/>
            <w:gridSpan w:val="5"/>
            <w:shd w:val="clear" w:color="auto" w:fill="DAF2F6"/>
          </w:tcPr>
          <w:p w14:paraId="4AAACBF0" w14:textId="77777777" w:rsidR="00B80AA5" w:rsidRPr="006778C9" w:rsidRDefault="00B80AA5" w:rsidP="00FD6B98">
            <w:pPr>
              <w:spacing w:before="40" w:after="40" w:line="240" w:lineRule="auto"/>
              <w:jc w:val="center"/>
              <w:rPr>
                <w:rFonts w:ascii="Arial Narrow" w:hAnsi="Arial Narrow" w:cs="Arial"/>
                <w:sz w:val="20"/>
                <w:szCs w:val="20"/>
              </w:rPr>
            </w:pPr>
            <w:r w:rsidRPr="006778C9">
              <w:rPr>
                <w:rFonts w:ascii="Arial Narrow" w:hAnsi="Arial Narrow" w:cs="Arial"/>
                <w:sz w:val="20"/>
                <w:szCs w:val="20"/>
              </w:rPr>
              <w:t>1</w:t>
            </w:r>
          </w:p>
          <w:p w14:paraId="155E847E" w14:textId="77777777" w:rsidR="00B80AA5" w:rsidRPr="006778C9" w:rsidRDefault="00B80AA5" w:rsidP="00FD6B98">
            <w:pPr>
              <w:spacing w:before="40" w:after="40" w:line="240" w:lineRule="auto"/>
              <w:jc w:val="center"/>
              <w:rPr>
                <w:rFonts w:ascii="Arial Narrow" w:hAnsi="Arial Narrow" w:cs="Arial"/>
                <w:sz w:val="20"/>
                <w:szCs w:val="20"/>
              </w:rPr>
            </w:pPr>
          </w:p>
        </w:tc>
        <w:tc>
          <w:tcPr>
            <w:tcW w:w="2745" w:type="dxa"/>
            <w:gridSpan w:val="6"/>
            <w:shd w:val="clear" w:color="auto" w:fill="DAF2F6"/>
          </w:tcPr>
          <w:p w14:paraId="660D8221" w14:textId="77777777" w:rsidR="00B80AA5" w:rsidRPr="006778C9" w:rsidRDefault="00B80AA5" w:rsidP="00FD6B98">
            <w:pPr>
              <w:spacing w:before="40" w:after="40" w:line="240" w:lineRule="auto"/>
              <w:jc w:val="center"/>
              <w:rPr>
                <w:rFonts w:ascii="Arial Narrow" w:hAnsi="Arial Narrow" w:cs="Arial"/>
                <w:sz w:val="20"/>
                <w:szCs w:val="20"/>
              </w:rPr>
            </w:pPr>
            <w:r w:rsidRPr="006778C9">
              <w:rPr>
                <w:rFonts w:ascii="Arial Narrow" w:hAnsi="Arial Narrow" w:cs="Arial"/>
                <w:sz w:val="20"/>
                <w:szCs w:val="20"/>
              </w:rPr>
              <w:t>1</w:t>
            </w:r>
          </w:p>
          <w:p w14:paraId="2F461A36" w14:textId="77777777" w:rsidR="00B80AA5" w:rsidRPr="006778C9" w:rsidRDefault="00B80AA5" w:rsidP="00FD6B98">
            <w:pPr>
              <w:spacing w:before="40" w:after="40" w:line="240" w:lineRule="auto"/>
              <w:jc w:val="center"/>
              <w:rPr>
                <w:rFonts w:ascii="Arial Narrow" w:hAnsi="Arial Narrow" w:cs="Arial"/>
                <w:sz w:val="20"/>
                <w:szCs w:val="20"/>
              </w:rPr>
            </w:pPr>
          </w:p>
        </w:tc>
        <w:tc>
          <w:tcPr>
            <w:tcW w:w="3019" w:type="dxa"/>
            <w:gridSpan w:val="6"/>
            <w:shd w:val="clear" w:color="auto" w:fill="DAF2F6"/>
          </w:tcPr>
          <w:p w14:paraId="2F684483" w14:textId="77777777" w:rsidR="00B80AA5" w:rsidRPr="006778C9" w:rsidRDefault="00B80AA5" w:rsidP="00FD6B98">
            <w:pPr>
              <w:spacing w:before="40" w:after="40" w:line="240" w:lineRule="auto"/>
              <w:jc w:val="center"/>
              <w:rPr>
                <w:rFonts w:ascii="Arial Narrow" w:hAnsi="Arial Narrow" w:cs="Arial"/>
                <w:sz w:val="20"/>
                <w:szCs w:val="20"/>
              </w:rPr>
            </w:pPr>
            <w:r w:rsidRPr="006778C9">
              <w:rPr>
                <w:rFonts w:ascii="Arial Narrow" w:hAnsi="Arial Narrow" w:cs="Arial"/>
                <w:sz w:val="20"/>
                <w:szCs w:val="20"/>
              </w:rPr>
              <w:t>4 (Božaj, Aerodrom Podgorica i Kula)</w:t>
            </w:r>
          </w:p>
        </w:tc>
      </w:tr>
      <w:tr w:rsidR="00B80AA5" w:rsidRPr="006778C9" w14:paraId="2FF44BB2" w14:textId="77777777" w:rsidTr="00EA56E8">
        <w:trPr>
          <w:gridBefore w:val="1"/>
          <w:wBefore w:w="29" w:type="dxa"/>
        </w:trPr>
        <w:tc>
          <w:tcPr>
            <w:tcW w:w="2920" w:type="dxa"/>
            <w:gridSpan w:val="4"/>
            <w:shd w:val="clear" w:color="auto" w:fill="DAF2F6"/>
          </w:tcPr>
          <w:p w14:paraId="35EA2FE5" w14:textId="77777777" w:rsidR="00B80AA5" w:rsidRPr="00AE274D" w:rsidRDefault="00B80AA5" w:rsidP="00FD6B98">
            <w:pPr>
              <w:spacing w:before="40" w:after="40" w:line="240" w:lineRule="auto"/>
              <w:rPr>
                <w:rFonts w:ascii="Arial Narrow" w:hAnsi="Arial Narrow" w:cs="Arial"/>
                <w:iCs/>
                <w:sz w:val="20"/>
                <w:szCs w:val="20"/>
              </w:rPr>
            </w:pPr>
            <w:r w:rsidRPr="00AE274D">
              <w:rPr>
                <w:rFonts w:ascii="Arial Narrow" w:hAnsi="Arial Narrow" w:cs="Arial"/>
                <w:iCs/>
                <w:sz w:val="20"/>
                <w:szCs w:val="20"/>
              </w:rPr>
              <w:t>Integrisani informacioni sistem u oblasti bezbjednosti hrane, veterine i fitosanitarnoj oblasti  u cilju pravilnog sprovođenja službenih kontrola</w:t>
            </w:r>
          </w:p>
        </w:tc>
        <w:tc>
          <w:tcPr>
            <w:tcW w:w="3209" w:type="dxa"/>
            <w:gridSpan w:val="6"/>
            <w:shd w:val="clear" w:color="auto" w:fill="DAF2F6"/>
          </w:tcPr>
          <w:p w14:paraId="743C3124" w14:textId="77777777" w:rsidR="00B80AA5" w:rsidRPr="006778C9" w:rsidRDefault="00B80AA5" w:rsidP="00FD6B98">
            <w:pPr>
              <w:spacing w:before="40" w:after="40" w:line="240" w:lineRule="auto"/>
              <w:jc w:val="center"/>
              <w:rPr>
                <w:rFonts w:ascii="Arial Narrow" w:hAnsi="Arial Narrow" w:cs="Arial"/>
                <w:i/>
                <w:sz w:val="20"/>
                <w:szCs w:val="20"/>
              </w:rPr>
            </w:pPr>
            <w:r w:rsidRPr="006778C9">
              <w:rPr>
                <w:rFonts w:ascii="Arial Narrow" w:hAnsi="Arial Narrow" w:cs="Arial"/>
                <w:i/>
                <w:sz w:val="20"/>
                <w:szCs w:val="20"/>
              </w:rPr>
              <w:t>0</w:t>
            </w:r>
          </w:p>
        </w:tc>
        <w:tc>
          <w:tcPr>
            <w:tcW w:w="2993" w:type="dxa"/>
            <w:gridSpan w:val="5"/>
            <w:shd w:val="clear" w:color="auto" w:fill="DAF2F6"/>
          </w:tcPr>
          <w:p w14:paraId="443620D2" w14:textId="77777777" w:rsidR="00B80AA5" w:rsidRPr="006778C9" w:rsidRDefault="00B80AA5" w:rsidP="00FD6B98">
            <w:pPr>
              <w:spacing w:before="40" w:after="40" w:line="240" w:lineRule="auto"/>
              <w:jc w:val="center"/>
              <w:rPr>
                <w:rFonts w:ascii="Arial Narrow" w:hAnsi="Arial Narrow" w:cs="Arial"/>
                <w:sz w:val="20"/>
                <w:szCs w:val="20"/>
              </w:rPr>
            </w:pPr>
            <w:r w:rsidRPr="006778C9">
              <w:rPr>
                <w:rFonts w:ascii="Arial Narrow" w:hAnsi="Arial Narrow" w:cs="Arial"/>
                <w:sz w:val="20"/>
                <w:szCs w:val="20"/>
              </w:rPr>
              <w:t>0</w:t>
            </w:r>
          </w:p>
        </w:tc>
        <w:tc>
          <w:tcPr>
            <w:tcW w:w="2745" w:type="dxa"/>
            <w:gridSpan w:val="6"/>
            <w:shd w:val="clear" w:color="auto" w:fill="DAF2F6"/>
          </w:tcPr>
          <w:p w14:paraId="6B96041C" w14:textId="77777777" w:rsidR="00B80AA5" w:rsidRPr="006778C9" w:rsidRDefault="00B80AA5" w:rsidP="00FD6B98">
            <w:pPr>
              <w:spacing w:before="40" w:after="40" w:line="240" w:lineRule="auto"/>
              <w:jc w:val="center"/>
              <w:rPr>
                <w:rFonts w:ascii="Arial Narrow" w:hAnsi="Arial Narrow" w:cs="Arial"/>
                <w:sz w:val="20"/>
                <w:szCs w:val="20"/>
              </w:rPr>
            </w:pPr>
            <w:r w:rsidRPr="006778C9">
              <w:rPr>
                <w:rFonts w:ascii="Arial Narrow" w:hAnsi="Arial Narrow" w:cs="Arial"/>
                <w:sz w:val="20"/>
                <w:szCs w:val="20"/>
              </w:rPr>
              <w:t>1</w:t>
            </w:r>
          </w:p>
        </w:tc>
        <w:tc>
          <w:tcPr>
            <w:tcW w:w="3019" w:type="dxa"/>
            <w:gridSpan w:val="6"/>
            <w:shd w:val="clear" w:color="auto" w:fill="DAF2F6"/>
          </w:tcPr>
          <w:p w14:paraId="75288E9E" w14:textId="77777777" w:rsidR="00B80AA5" w:rsidRPr="006778C9" w:rsidRDefault="00B80AA5" w:rsidP="00FD6B98">
            <w:pPr>
              <w:spacing w:before="40" w:after="40" w:line="240" w:lineRule="auto"/>
              <w:jc w:val="center"/>
              <w:rPr>
                <w:rFonts w:ascii="Arial Narrow" w:hAnsi="Arial Narrow" w:cs="Arial"/>
                <w:sz w:val="20"/>
                <w:szCs w:val="20"/>
              </w:rPr>
            </w:pPr>
            <w:r w:rsidRPr="006778C9">
              <w:rPr>
                <w:rFonts w:ascii="Arial Narrow" w:hAnsi="Arial Narrow" w:cs="Arial"/>
                <w:sz w:val="20"/>
                <w:szCs w:val="20"/>
              </w:rPr>
              <w:t>2</w:t>
            </w:r>
          </w:p>
        </w:tc>
      </w:tr>
      <w:tr w:rsidR="00B80AA5" w:rsidRPr="006778C9" w14:paraId="5DC415DF" w14:textId="77777777" w:rsidTr="00EA56E8">
        <w:trPr>
          <w:gridBefore w:val="1"/>
          <w:wBefore w:w="29" w:type="dxa"/>
        </w:trPr>
        <w:tc>
          <w:tcPr>
            <w:tcW w:w="2920" w:type="dxa"/>
            <w:gridSpan w:val="4"/>
            <w:shd w:val="clear" w:color="auto" w:fill="DAF2F6"/>
          </w:tcPr>
          <w:p w14:paraId="4A08AEB9" w14:textId="77777777" w:rsidR="00B80AA5" w:rsidRPr="00AE274D" w:rsidRDefault="00B80AA5" w:rsidP="00FD6B98">
            <w:pPr>
              <w:spacing w:before="40" w:after="40" w:line="240" w:lineRule="auto"/>
              <w:rPr>
                <w:rFonts w:ascii="Arial Narrow" w:hAnsi="Arial Narrow" w:cs="Arial"/>
                <w:iCs/>
                <w:sz w:val="20"/>
                <w:szCs w:val="20"/>
              </w:rPr>
            </w:pPr>
            <w:r w:rsidRPr="00AE274D">
              <w:rPr>
                <w:rFonts w:ascii="Arial Narrow" w:hAnsi="Arial Narrow" w:cs="Arial"/>
                <w:iCs/>
                <w:sz w:val="20"/>
                <w:szCs w:val="20"/>
              </w:rPr>
              <w:t>Referentne laboratorije za laboratorijska ispitivanja u skladu sa EU zahtjevima</w:t>
            </w:r>
          </w:p>
        </w:tc>
        <w:tc>
          <w:tcPr>
            <w:tcW w:w="3209" w:type="dxa"/>
            <w:gridSpan w:val="6"/>
            <w:shd w:val="clear" w:color="auto" w:fill="DAF2F6"/>
          </w:tcPr>
          <w:p w14:paraId="4A23DEDA" w14:textId="77777777" w:rsidR="00B80AA5" w:rsidRPr="006778C9" w:rsidRDefault="00B80AA5" w:rsidP="00FD6B98">
            <w:pPr>
              <w:spacing w:before="40" w:after="40" w:line="240" w:lineRule="auto"/>
              <w:jc w:val="center"/>
              <w:rPr>
                <w:rFonts w:ascii="Arial Narrow" w:hAnsi="Arial Narrow" w:cs="Arial"/>
                <w:i/>
                <w:sz w:val="20"/>
                <w:szCs w:val="20"/>
              </w:rPr>
            </w:pPr>
            <w:r w:rsidRPr="006778C9">
              <w:rPr>
                <w:rFonts w:ascii="Arial Narrow" w:hAnsi="Arial Narrow" w:cs="Arial"/>
                <w:i/>
                <w:sz w:val="20"/>
                <w:szCs w:val="20"/>
              </w:rPr>
              <w:t>0</w:t>
            </w:r>
          </w:p>
        </w:tc>
        <w:tc>
          <w:tcPr>
            <w:tcW w:w="2993" w:type="dxa"/>
            <w:gridSpan w:val="5"/>
            <w:shd w:val="clear" w:color="auto" w:fill="DAF2F6"/>
          </w:tcPr>
          <w:p w14:paraId="5D291D65" w14:textId="77777777" w:rsidR="00B80AA5" w:rsidRPr="006778C9" w:rsidRDefault="00B80AA5" w:rsidP="00FD6B98">
            <w:pPr>
              <w:spacing w:before="40" w:after="40" w:line="240" w:lineRule="auto"/>
              <w:jc w:val="center"/>
              <w:rPr>
                <w:rFonts w:ascii="Arial Narrow" w:hAnsi="Arial Narrow" w:cs="Arial"/>
                <w:sz w:val="20"/>
                <w:szCs w:val="20"/>
              </w:rPr>
            </w:pPr>
            <w:r w:rsidRPr="006778C9">
              <w:rPr>
                <w:rFonts w:ascii="Arial Narrow" w:hAnsi="Arial Narrow" w:cs="Arial"/>
                <w:sz w:val="20"/>
                <w:szCs w:val="20"/>
              </w:rPr>
              <w:t>0</w:t>
            </w:r>
          </w:p>
        </w:tc>
        <w:tc>
          <w:tcPr>
            <w:tcW w:w="2745" w:type="dxa"/>
            <w:gridSpan w:val="6"/>
            <w:shd w:val="clear" w:color="auto" w:fill="DAF2F6"/>
          </w:tcPr>
          <w:p w14:paraId="0D59A17B" w14:textId="77777777" w:rsidR="00B80AA5" w:rsidRPr="006778C9" w:rsidRDefault="00B80AA5" w:rsidP="00FD6B98">
            <w:pPr>
              <w:spacing w:before="40" w:after="40" w:line="240" w:lineRule="auto"/>
              <w:jc w:val="center"/>
              <w:rPr>
                <w:rFonts w:ascii="Arial Narrow" w:hAnsi="Arial Narrow" w:cs="Arial"/>
                <w:sz w:val="20"/>
                <w:szCs w:val="20"/>
              </w:rPr>
            </w:pPr>
            <w:r w:rsidRPr="006778C9">
              <w:rPr>
                <w:rFonts w:ascii="Arial Narrow" w:hAnsi="Arial Narrow" w:cs="Arial"/>
                <w:sz w:val="20"/>
                <w:szCs w:val="20"/>
              </w:rPr>
              <w:t>0</w:t>
            </w:r>
          </w:p>
        </w:tc>
        <w:tc>
          <w:tcPr>
            <w:tcW w:w="3019" w:type="dxa"/>
            <w:gridSpan w:val="6"/>
            <w:shd w:val="clear" w:color="auto" w:fill="DAF2F6"/>
          </w:tcPr>
          <w:p w14:paraId="4294B3D7" w14:textId="77777777" w:rsidR="00B80AA5" w:rsidRPr="006778C9" w:rsidRDefault="00B80AA5" w:rsidP="00FD6B98">
            <w:pPr>
              <w:spacing w:before="40" w:after="40" w:line="240" w:lineRule="auto"/>
              <w:jc w:val="center"/>
              <w:rPr>
                <w:rFonts w:ascii="Arial Narrow" w:hAnsi="Arial Narrow" w:cs="Arial"/>
                <w:sz w:val="20"/>
                <w:szCs w:val="20"/>
              </w:rPr>
            </w:pPr>
            <w:r w:rsidRPr="006778C9">
              <w:rPr>
                <w:rFonts w:ascii="Arial Narrow" w:hAnsi="Arial Narrow" w:cs="Arial"/>
                <w:sz w:val="20"/>
                <w:szCs w:val="20"/>
              </w:rPr>
              <w:t>5</w:t>
            </w:r>
          </w:p>
        </w:tc>
      </w:tr>
      <w:tr w:rsidR="00B80AA5" w:rsidRPr="006778C9" w14:paraId="51607359" w14:textId="77777777" w:rsidTr="00EA56E8">
        <w:trPr>
          <w:gridBefore w:val="1"/>
          <w:wBefore w:w="29" w:type="dxa"/>
        </w:trPr>
        <w:tc>
          <w:tcPr>
            <w:tcW w:w="2920" w:type="dxa"/>
            <w:gridSpan w:val="4"/>
            <w:shd w:val="clear" w:color="auto" w:fill="FFF2CC"/>
            <w:vAlign w:val="center"/>
          </w:tcPr>
          <w:p w14:paraId="4687F2E3"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Aktivnosti</w:t>
            </w:r>
          </w:p>
        </w:tc>
        <w:tc>
          <w:tcPr>
            <w:tcW w:w="2632" w:type="dxa"/>
            <w:gridSpan w:val="3"/>
            <w:shd w:val="clear" w:color="auto" w:fill="FFF2CC"/>
            <w:vAlign w:val="center"/>
          </w:tcPr>
          <w:p w14:paraId="687DD75D"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Indikator rezultata</w:t>
            </w:r>
          </w:p>
        </w:tc>
        <w:tc>
          <w:tcPr>
            <w:tcW w:w="1804" w:type="dxa"/>
            <w:gridSpan w:val="5"/>
            <w:shd w:val="clear" w:color="auto" w:fill="FFF2CC"/>
            <w:vAlign w:val="center"/>
          </w:tcPr>
          <w:p w14:paraId="3EBBF004"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Nadležne institucije i nadležna komisija</w:t>
            </w:r>
          </w:p>
        </w:tc>
        <w:tc>
          <w:tcPr>
            <w:tcW w:w="1670" w:type="dxa"/>
            <w:gridSpan w:val="2"/>
            <w:shd w:val="clear" w:color="auto" w:fill="FFF2CC"/>
            <w:vAlign w:val="center"/>
          </w:tcPr>
          <w:p w14:paraId="4AF38C24"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Planirani početak i završetak aktivnosti</w:t>
            </w:r>
          </w:p>
        </w:tc>
        <w:tc>
          <w:tcPr>
            <w:tcW w:w="2046" w:type="dxa"/>
            <w:gridSpan w:val="5"/>
            <w:shd w:val="clear" w:color="auto" w:fill="FFF2CC"/>
            <w:vAlign w:val="center"/>
          </w:tcPr>
          <w:p w14:paraId="7C540DE0"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Sredstva za realizaciju  i informacija o izradi RIA</w:t>
            </w:r>
          </w:p>
        </w:tc>
        <w:tc>
          <w:tcPr>
            <w:tcW w:w="1452" w:type="dxa"/>
            <w:gridSpan w:val="4"/>
            <w:shd w:val="clear" w:color="auto" w:fill="FFF2CC"/>
            <w:vAlign w:val="center"/>
          </w:tcPr>
          <w:p w14:paraId="3FA5518C"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 xml:space="preserve"> Izvor finansiranja</w:t>
            </w:r>
          </w:p>
        </w:tc>
        <w:tc>
          <w:tcPr>
            <w:tcW w:w="2362" w:type="dxa"/>
            <w:gridSpan w:val="4"/>
            <w:shd w:val="clear" w:color="auto" w:fill="FFF2CC"/>
            <w:vAlign w:val="center"/>
          </w:tcPr>
          <w:p w14:paraId="44363569" w14:textId="77777777" w:rsidR="00B80AA5" w:rsidRPr="006778C9" w:rsidRDefault="00B80AA5" w:rsidP="00FD6B98">
            <w:pPr>
              <w:spacing w:before="20" w:after="20" w:line="240" w:lineRule="auto"/>
              <w:jc w:val="center"/>
              <w:rPr>
                <w:rFonts w:ascii="Arial Narrow" w:hAnsi="Arial Narrow" w:cs="Arial"/>
                <w:b/>
                <w:sz w:val="20"/>
                <w:szCs w:val="20"/>
              </w:rPr>
            </w:pPr>
          </w:p>
          <w:p w14:paraId="6EABD6E8"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Obrazloženje</w:t>
            </w:r>
          </w:p>
        </w:tc>
      </w:tr>
      <w:tr w:rsidR="00B80AA5" w:rsidRPr="006778C9" w14:paraId="69AF1338" w14:textId="77777777" w:rsidTr="00EA56E8">
        <w:trPr>
          <w:gridBefore w:val="1"/>
          <w:wBefore w:w="29" w:type="dxa"/>
        </w:trPr>
        <w:tc>
          <w:tcPr>
            <w:tcW w:w="716" w:type="dxa"/>
            <w:gridSpan w:val="2"/>
            <w:shd w:val="clear" w:color="auto" w:fill="auto"/>
          </w:tcPr>
          <w:p w14:paraId="7C35FAEA" w14:textId="77777777" w:rsidR="00B80AA5" w:rsidRPr="006778C9" w:rsidRDefault="00B80AA5" w:rsidP="00FD6B98">
            <w:pPr>
              <w:spacing w:before="20" w:after="20" w:line="240" w:lineRule="auto"/>
              <w:jc w:val="right"/>
              <w:rPr>
                <w:rFonts w:ascii="Arial Narrow" w:hAnsi="Arial Narrow" w:cs="Arial"/>
                <w:bCs/>
                <w:iCs/>
                <w:sz w:val="20"/>
                <w:szCs w:val="20"/>
              </w:rPr>
            </w:pPr>
            <w:r w:rsidRPr="006778C9">
              <w:rPr>
                <w:rFonts w:ascii="Arial Narrow" w:hAnsi="Arial Narrow" w:cs="Arial"/>
                <w:bCs/>
                <w:iCs/>
                <w:sz w:val="20"/>
                <w:szCs w:val="20"/>
              </w:rPr>
              <w:lastRenderedPageBreak/>
              <w:t>1.</w:t>
            </w:r>
          </w:p>
        </w:tc>
        <w:tc>
          <w:tcPr>
            <w:tcW w:w="2204" w:type="dxa"/>
            <w:gridSpan w:val="2"/>
            <w:shd w:val="clear" w:color="auto" w:fill="auto"/>
          </w:tcPr>
          <w:p w14:paraId="3DE7DE31"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 xml:space="preserve">Informaciju o procjeni potrebnog broja zaposlenih za sprovođenje službenih kontrola po područjima nadzora u Upravi za bezbjednost hrane, veterinu i fitosanitarne poslove u odnosu na postojeći broj administrativnog osoblja i inspektora sa predlogom za rješavanje pristupa dovoljnom broju zaposlenih koje posjeduje odgovarajuće kvalifikacije i iskustvo kroz Plan zapošljavanja </w:t>
            </w:r>
          </w:p>
        </w:tc>
        <w:tc>
          <w:tcPr>
            <w:tcW w:w="2632" w:type="dxa"/>
            <w:gridSpan w:val="3"/>
            <w:shd w:val="clear" w:color="auto" w:fill="auto"/>
          </w:tcPr>
          <w:p w14:paraId="0343C8F5"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 xml:space="preserve">Usvojena informacija </w:t>
            </w:r>
          </w:p>
        </w:tc>
        <w:tc>
          <w:tcPr>
            <w:tcW w:w="1804" w:type="dxa"/>
            <w:gridSpan w:val="5"/>
            <w:shd w:val="clear" w:color="auto" w:fill="auto"/>
          </w:tcPr>
          <w:p w14:paraId="5A811999"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NI: MPŠV, UBHVFP</w:t>
            </w:r>
          </w:p>
          <w:p w14:paraId="25BFDE13"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NK: KEPIF</w:t>
            </w:r>
          </w:p>
          <w:p w14:paraId="4CB74110" w14:textId="77777777" w:rsidR="00B80AA5" w:rsidRPr="006778C9" w:rsidRDefault="00B80AA5" w:rsidP="00FD6B98">
            <w:pPr>
              <w:spacing w:before="20" w:after="20" w:line="240" w:lineRule="auto"/>
              <w:rPr>
                <w:rFonts w:ascii="Arial Narrow" w:hAnsi="Arial Narrow" w:cs="Arial"/>
                <w:bCs/>
                <w:sz w:val="20"/>
                <w:szCs w:val="20"/>
              </w:rPr>
            </w:pPr>
          </w:p>
        </w:tc>
        <w:tc>
          <w:tcPr>
            <w:tcW w:w="1670" w:type="dxa"/>
            <w:gridSpan w:val="2"/>
            <w:shd w:val="clear" w:color="auto" w:fill="auto"/>
          </w:tcPr>
          <w:p w14:paraId="2D47EB90" w14:textId="77777777" w:rsidR="00B80AA5" w:rsidRPr="006778C9" w:rsidRDefault="00B80AA5" w:rsidP="00FD6B98">
            <w:pPr>
              <w:spacing w:before="20" w:after="20" w:line="240" w:lineRule="auto"/>
              <w:jc w:val="center"/>
              <w:rPr>
                <w:rFonts w:ascii="Arial Narrow" w:hAnsi="Arial Narrow" w:cs="Arial"/>
                <w:bCs/>
                <w:sz w:val="20"/>
                <w:szCs w:val="20"/>
              </w:rPr>
            </w:pPr>
            <w:r w:rsidRPr="006778C9">
              <w:rPr>
                <w:rFonts w:ascii="Arial Narrow" w:hAnsi="Arial Narrow" w:cs="Arial"/>
                <w:bCs/>
                <w:sz w:val="20"/>
                <w:szCs w:val="20"/>
              </w:rPr>
              <w:t>IV Q 2022.</w:t>
            </w:r>
          </w:p>
          <w:p w14:paraId="3B24CA9B" w14:textId="77777777" w:rsidR="00B80AA5" w:rsidRPr="006778C9" w:rsidRDefault="00B80AA5" w:rsidP="00FD6B98">
            <w:pPr>
              <w:spacing w:before="20" w:after="20" w:line="240" w:lineRule="auto"/>
              <w:rPr>
                <w:rFonts w:ascii="Arial Narrow" w:hAnsi="Arial Narrow" w:cs="Arial"/>
                <w:bCs/>
                <w:sz w:val="20"/>
                <w:szCs w:val="20"/>
              </w:rPr>
            </w:pPr>
          </w:p>
        </w:tc>
        <w:tc>
          <w:tcPr>
            <w:tcW w:w="2046" w:type="dxa"/>
            <w:gridSpan w:val="5"/>
            <w:shd w:val="clear" w:color="auto" w:fill="auto"/>
          </w:tcPr>
          <w:p w14:paraId="0D7D673E" w14:textId="77777777" w:rsidR="00B80AA5" w:rsidRPr="006778C9" w:rsidRDefault="00B80AA5" w:rsidP="00FD6B98">
            <w:pPr>
              <w:spacing w:before="20" w:after="20" w:line="240" w:lineRule="auto"/>
              <w:rPr>
                <w:rFonts w:ascii="Arial Narrow" w:hAnsi="Arial Narrow" w:cs="Arial"/>
                <w:bCs/>
                <w:sz w:val="20"/>
                <w:szCs w:val="20"/>
              </w:rPr>
            </w:pPr>
          </w:p>
        </w:tc>
        <w:tc>
          <w:tcPr>
            <w:tcW w:w="1452" w:type="dxa"/>
            <w:gridSpan w:val="4"/>
            <w:shd w:val="clear" w:color="auto" w:fill="auto"/>
          </w:tcPr>
          <w:p w14:paraId="1EEE5B37"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Budžet</w:t>
            </w:r>
          </w:p>
          <w:p w14:paraId="392E0E78" w14:textId="77777777" w:rsidR="00B80AA5" w:rsidRPr="006778C9" w:rsidRDefault="00B80AA5" w:rsidP="00FD6B98">
            <w:pPr>
              <w:spacing w:before="20" w:after="20" w:line="240" w:lineRule="auto"/>
              <w:rPr>
                <w:rFonts w:ascii="Arial Narrow" w:hAnsi="Arial Narrow" w:cs="Arial"/>
                <w:bCs/>
                <w:sz w:val="20"/>
                <w:szCs w:val="20"/>
              </w:rPr>
            </w:pPr>
          </w:p>
        </w:tc>
        <w:tc>
          <w:tcPr>
            <w:tcW w:w="2362" w:type="dxa"/>
            <w:gridSpan w:val="4"/>
            <w:shd w:val="clear" w:color="auto" w:fill="auto"/>
          </w:tcPr>
          <w:p w14:paraId="36EDE1FE" w14:textId="77777777" w:rsidR="00B80AA5" w:rsidRPr="006778C9" w:rsidRDefault="00B80AA5" w:rsidP="00FD6B9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 xml:space="preserve">U cilju stvaranja uslova za ispunjavanje II </w:t>
            </w:r>
            <w:r w:rsidRPr="006778C9">
              <w:rPr>
                <w:rFonts w:ascii="Arial Narrow" w:hAnsi="Arial Narrow" w:cs="Arial"/>
                <w:bCs/>
                <w:sz w:val="20"/>
                <w:szCs w:val="20"/>
                <w:vertAlign w:val="superscript"/>
              </w:rPr>
              <w:footnoteReference w:id="26"/>
            </w:r>
            <w:r w:rsidRPr="006778C9">
              <w:rPr>
                <w:rFonts w:ascii="Arial Narrow" w:hAnsi="Arial Narrow" w:cs="Arial"/>
                <w:bCs/>
                <w:sz w:val="20"/>
                <w:szCs w:val="20"/>
              </w:rPr>
              <w:t>i III</w:t>
            </w:r>
            <w:r w:rsidRPr="006778C9">
              <w:rPr>
                <w:rFonts w:ascii="Arial Narrow" w:hAnsi="Arial Narrow" w:cs="Arial"/>
                <w:bCs/>
                <w:sz w:val="20"/>
                <w:szCs w:val="20"/>
                <w:vertAlign w:val="superscript"/>
              </w:rPr>
              <w:footnoteReference w:id="27"/>
            </w:r>
            <w:r w:rsidRPr="006778C9">
              <w:rPr>
                <w:rFonts w:ascii="Arial Narrow" w:hAnsi="Arial Narrow" w:cs="Arial"/>
                <w:bCs/>
                <w:sz w:val="20"/>
                <w:szCs w:val="20"/>
                <w:vertAlign w:val="superscript"/>
              </w:rPr>
              <w:t xml:space="preserve"> </w:t>
            </w:r>
            <w:r w:rsidRPr="006778C9">
              <w:rPr>
                <w:rFonts w:ascii="Arial Narrow" w:hAnsi="Arial Narrow" w:cs="Arial"/>
                <w:bCs/>
                <w:sz w:val="20"/>
                <w:szCs w:val="20"/>
              </w:rPr>
              <w:t>završnog mjerila za pregovaračko Poglavlje 12 Bezbjednost hrane, veterina, fitosanitarni nadzor čije je ispunjavanje  vrlo kompleksno, jer je potrebno da Crna Gora izda garancije kojima potvrđuje da je uspostavljen sistem kompatibilan EU sistemu službenih kontrola, uključujući i finansiranje službenih kontrola, što uključuje i garancije o uspostavljenim i razvijenim odgovarajućim administrativnim i infrastrukturnim kapacitetima.</w:t>
            </w:r>
          </w:p>
          <w:p w14:paraId="5F03A34A"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 xml:space="preserve">Evropska komisija je do sada kroz godišnje izvještaje o napretku kao i kroz druga dokumenta naglašavala nedostatak zaposlenih u sve tri oblasti i potrebu obezbijeđivanja dovoljnog broja zaposlenih na svim nivoima, a posebno u dijelu službenih kontrola. </w:t>
            </w:r>
          </w:p>
          <w:p w14:paraId="299C3BCE"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Planom zapošljavanja definisaće se broj, dinamika zapošljavanja i potrebna finansijska sredstva.</w:t>
            </w:r>
          </w:p>
        </w:tc>
      </w:tr>
      <w:tr w:rsidR="00B80AA5" w:rsidRPr="006778C9" w14:paraId="09471F57" w14:textId="77777777" w:rsidTr="00EA56E8">
        <w:trPr>
          <w:gridBefore w:val="1"/>
          <w:wBefore w:w="29" w:type="dxa"/>
        </w:trPr>
        <w:tc>
          <w:tcPr>
            <w:tcW w:w="716" w:type="dxa"/>
            <w:gridSpan w:val="2"/>
            <w:shd w:val="clear" w:color="auto" w:fill="auto"/>
          </w:tcPr>
          <w:p w14:paraId="7C812CD2" w14:textId="77777777" w:rsidR="00B80AA5" w:rsidRPr="006778C9" w:rsidRDefault="00B80AA5" w:rsidP="00FD6B98">
            <w:pPr>
              <w:spacing w:before="20" w:after="20" w:line="240" w:lineRule="auto"/>
              <w:jc w:val="right"/>
              <w:rPr>
                <w:rFonts w:ascii="Arial Narrow" w:hAnsi="Arial Narrow" w:cs="Arial"/>
                <w:bCs/>
                <w:iCs/>
                <w:sz w:val="20"/>
                <w:szCs w:val="20"/>
              </w:rPr>
            </w:pPr>
            <w:r w:rsidRPr="006778C9">
              <w:rPr>
                <w:rFonts w:ascii="Arial Narrow" w:hAnsi="Arial Narrow" w:cs="Arial"/>
                <w:bCs/>
                <w:iCs/>
                <w:sz w:val="20"/>
                <w:szCs w:val="20"/>
              </w:rPr>
              <w:lastRenderedPageBreak/>
              <w:t>2.</w:t>
            </w:r>
          </w:p>
        </w:tc>
        <w:tc>
          <w:tcPr>
            <w:tcW w:w="2204" w:type="dxa"/>
            <w:gridSpan w:val="2"/>
            <w:shd w:val="clear" w:color="auto" w:fill="auto"/>
          </w:tcPr>
          <w:p w14:paraId="02A1808F"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Izrada Petog Izvještaja o realizaciji inoviranog</w:t>
            </w:r>
          </w:p>
          <w:p w14:paraId="08CDA2A1"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 xml:space="preserve">Nacionalnog programa za unaprjeđenje </w:t>
            </w:r>
          </w:p>
          <w:p w14:paraId="53E4A234"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 xml:space="preserve">objekata za proizvode </w:t>
            </w:r>
          </w:p>
          <w:p w14:paraId="052F79B4"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životinjskog</w:t>
            </w:r>
          </w:p>
          <w:p w14:paraId="095CAA43"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porijekla i objekata za nus proizvode životinjskog</w:t>
            </w:r>
          </w:p>
          <w:p w14:paraId="42FC84D6"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porijekla</w:t>
            </w:r>
          </w:p>
        </w:tc>
        <w:tc>
          <w:tcPr>
            <w:tcW w:w="2632" w:type="dxa"/>
            <w:gridSpan w:val="3"/>
            <w:shd w:val="clear" w:color="auto" w:fill="auto"/>
          </w:tcPr>
          <w:p w14:paraId="6C80DDEE"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Usvojen peti izvještaj o realizaciji inoviranog</w:t>
            </w:r>
          </w:p>
          <w:p w14:paraId="26CEEBA6"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 xml:space="preserve">Nacionalnog programa za unaprjeđenje </w:t>
            </w:r>
          </w:p>
          <w:p w14:paraId="6B330044"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 xml:space="preserve">objekata za proizvode </w:t>
            </w:r>
          </w:p>
          <w:p w14:paraId="1E9E1D0D"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životinjskog</w:t>
            </w:r>
          </w:p>
          <w:p w14:paraId="32CD4860"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porijekla i objekata za nus proizvode životinjskog</w:t>
            </w:r>
          </w:p>
          <w:p w14:paraId="085E5DC0"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porijekla</w:t>
            </w:r>
          </w:p>
        </w:tc>
        <w:tc>
          <w:tcPr>
            <w:tcW w:w="1804" w:type="dxa"/>
            <w:gridSpan w:val="5"/>
            <w:shd w:val="clear" w:color="auto" w:fill="auto"/>
          </w:tcPr>
          <w:p w14:paraId="273F3E2E"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NI: MPŠV, UBHVFP</w:t>
            </w:r>
          </w:p>
          <w:p w14:paraId="404143BA" w14:textId="77777777" w:rsidR="00B80AA5" w:rsidRPr="006778C9" w:rsidRDefault="00B80AA5" w:rsidP="00FD6B98">
            <w:pPr>
              <w:spacing w:before="20" w:after="20" w:line="240" w:lineRule="auto"/>
              <w:rPr>
                <w:rFonts w:ascii="Arial Narrow" w:hAnsi="Arial Narrow" w:cs="Arial"/>
                <w:bCs/>
                <w:sz w:val="20"/>
                <w:szCs w:val="20"/>
              </w:rPr>
            </w:pPr>
          </w:p>
          <w:p w14:paraId="22D00852"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NK: KEPIF</w:t>
            </w:r>
          </w:p>
        </w:tc>
        <w:tc>
          <w:tcPr>
            <w:tcW w:w="1670" w:type="dxa"/>
            <w:gridSpan w:val="2"/>
            <w:shd w:val="clear" w:color="auto" w:fill="auto"/>
          </w:tcPr>
          <w:p w14:paraId="21DBEBC9"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IV Q 2022.</w:t>
            </w:r>
          </w:p>
          <w:p w14:paraId="0CF14821" w14:textId="77777777" w:rsidR="00B80AA5" w:rsidRPr="006778C9" w:rsidRDefault="00B80AA5" w:rsidP="00FD6B98">
            <w:pPr>
              <w:spacing w:before="20" w:after="20" w:line="240" w:lineRule="auto"/>
              <w:rPr>
                <w:rFonts w:ascii="Arial Narrow" w:hAnsi="Arial Narrow" w:cs="Arial"/>
                <w:bCs/>
                <w:sz w:val="20"/>
                <w:szCs w:val="20"/>
              </w:rPr>
            </w:pPr>
          </w:p>
        </w:tc>
        <w:tc>
          <w:tcPr>
            <w:tcW w:w="2046" w:type="dxa"/>
            <w:gridSpan w:val="5"/>
            <w:shd w:val="clear" w:color="auto" w:fill="auto"/>
          </w:tcPr>
          <w:p w14:paraId="1F68BFC1" w14:textId="77777777" w:rsidR="00B80AA5" w:rsidRPr="006778C9" w:rsidRDefault="00B80AA5" w:rsidP="00FD6B98">
            <w:pPr>
              <w:spacing w:before="20" w:after="20" w:line="240" w:lineRule="auto"/>
              <w:rPr>
                <w:rFonts w:ascii="Arial Narrow" w:hAnsi="Arial Narrow" w:cs="Arial"/>
                <w:bCs/>
                <w:sz w:val="20"/>
                <w:szCs w:val="20"/>
              </w:rPr>
            </w:pPr>
          </w:p>
        </w:tc>
        <w:tc>
          <w:tcPr>
            <w:tcW w:w="1452" w:type="dxa"/>
            <w:gridSpan w:val="4"/>
            <w:shd w:val="clear" w:color="auto" w:fill="auto"/>
          </w:tcPr>
          <w:p w14:paraId="10911792"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Budžet</w:t>
            </w:r>
          </w:p>
          <w:p w14:paraId="29420851" w14:textId="77777777" w:rsidR="00B80AA5" w:rsidRPr="006778C9" w:rsidRDefault="00B80AA5" w:rsidP="00FD6B98">
            <w:pPr>
              <w:spacing w:before="20" w:after="20" w:line="240" w:lineRule="auto"/>
              <w:rPr>
                <w:rFonts w:ascii="Arial Narrow" w:hAnsi="Arial Narrow" w:cs="Arial"/>
                <w:bCs/>
                <w:sz w:val="20"/>
                <w:szCs w:val="20"/>
              </w:rPr>
            </w:pPr>
          </w:p>
        </w:tc>
        <w:tc>
          <w:tcPr>
            <w:tcW w:w="2362" w:type="dxa"/>
            <w:gridSpan w:val="4"/>
            <w:shd w:val="clear" w:color="auto" w:fill="auto"/>
          </w:tcPr>
          <w:p w14:paraId="6545E1D1" w14:textId="77777777" w:rsidR="00B80AA5" w:rsidRPr="006778C9" w:rsidRDefault="00B80AA5" w:rsidP="00FD6B9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GodišnjIizvještaj o realizaciji aktivnosti subjekata u poslovanju hranom u skladu sa Nacionalnim programom sadrži realizaciju aktivnosti subjekata u poslovanju hranom na osnovu pojedinačnih planova unaprijeđenja i iskazuje broj objekata potpuno usaglašenih sa EU standardima u izvještajnom periodu. U skladu sa utvrđenom obavezom, Uprava za bezbjednost hrane,</w:t>
            </w:r>
          </w:p>
          <w:p w14:paraId="44F4F953" w14:textId="77777777" w:rsidR="00B80AA5" w:rsidRPr="006778C9" w:rsidRDefault="00B80AA5" w:rsidP="00FD6B9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veterinu i fitosanitarne poslove jednom godišnje izvještava i</w:t>
            </w:r>
          </w:p>
          <w:p w14:paraId="050DBC4C" w14:textId="77777777" w:rsidR="00B80AA5" w:rsidRPr="006778C9" w:rsidRDefault="00B80AA5" w:rsidP="00FD6B9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Evropsku komisiju o realizaciji Nacionalnog programa za unaprjeđenje</w:t>
            </w:r>
          </w:p>
          <w:p w14:paraId="7AFD6C99" w14:textId="77777777" w:rsidR="00B80AA5" w:rsidRPr="006778C9" w:rsidRDefault="00B80AA5" w:rsidP="00FD6B9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objekata za proizvode životinjskog porijekla i objekata za nusproizvode</w:t>
            </w:r>
          </w:p>
          <w:p w14:paraId="673C243D" w14:textId="77777777" w:rsidR="00B80AA5" w:rsidRPr="006778C9" w:rsidRDefault="00B80AA5" w:rsidP="00FD6B9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životinjskog porijekla.</w:t>
            </w:r>
          </w:p>
        </w:tc>
      </w:tr>
      <w:tr w:rsidR="00B80AA5" w:rsidRPr="006778C9" w14:paraId="59AE47F7" w14:textId="77777777" w:rsidTr="00EA56E8">
        <w:trPr>
          <w:gridBefore w:val="1"/>
          <w:wBefore w:w="29" w:type="dxa"/>
        </w:trPr>
        <w:tc>
          <w:tcPr>
            <w:tcW w:w="716" w:type="dxa"/>
            <w:gridSpan w:val="2"/>
            <w:shd w:val="clear" w:color="auto" w:fill="auto"/>
          </w:tcPr>
          <w:p w14:paraId="088A04A8" w14:textId="77777777" w:rsidR="00B80AA5" w:rsidRPr="006778C9" w:rsidRDefault="00B80AA5" w:rsidP="00FD6B98">
            <w:pPr>
              <w:spacing w:before="20" w:after="20" w:line="240" w:lineRule="auto"/>
              <w:jc w:val="right"/>
              <w:rPr>
                <w:rFonts w:ascii="Arial Narrow" w:hAnsi="Arial Narrow" w:cs="Arial"/>
                <w:bCs/>
                <w:iCs/>
                <w:sz w:val="20"/>
                <w:szCs w:val="20"/>
              </w:rPr>
            </w:pPr>
            <w:r w:rsidRPr="006778C9">
              <w:rPr>
                <w:rFonts w:ascii="Arial Narrow" w:hAnsi="Arial Narrow" w:cs="Arial"/>
                <w:bCs/>
                <w:iCs/>
                <w:sz w:val="20"/>
                <w:szCs w:val="20"/>
              </w:rPr>
              <w:t>3.</w:t>
            </w:r>
          </w:p>
        </w:tc>
        <w:tc>
          <w:tcPr>
            <w:tcW w:w="2204" w:type="dxa"/>
            <w:gridSpan w:val="2"/>
            <w:shd w:val="clear" w:color="auto" w:fill="auto"/>
          </w:tcPr>
          <w:p w14:paraId="31E14F6A"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Godišnji izvještaj o realizaciji Plana upravljanja nusproizvodima životinjskog porijekla koji nijesu namijenjeni ishrani ljudi sa akcionim planom za period novembar 2021-novembar 2022.</w:t>
            </w:r>
          </w:p>
        </w:tc>
        <w:tc>
          <w:tcPr>
            <w:tcW w:w="2632" w:type="dxa"/>
            <w:gridSpan w:val="3"/>
            <w:shd w:val="clear" w:color="auto" w:fill="auto"/>
          </w:tcPr>
          <w:p w14:paraId="2BB059B2"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 xml:space="preserve">Usvojen Izvještaj o realizaciji </w:t>
            </w:r>
          </w:p>
          <w:p w14:paraId="276DC062"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Plana upravljanja nusproizvodima životinjskog porijekla koji nijesu namijenjeni ishrani ljudi sa akcionim planom</w:t>
            </w:r>
          </w:p>
        </w:tc>
        <w:tc>
          <w:tcPr>
            <w:tcW w:w="1804" w:type="dxa"/>
            <w:gridSpan w:val="5"/>
            <w:shd w:val="clear" w:color="auto" w:fill="auto"/>
          </w:tcPr>
          <w:p w14:paraId="387A245A"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NI: MPŠV, UBHVFP</w:t>
            </w:r>
          </w:p>
          <w:p w14:paraId="40D165BD" w14:textId="77777777" w:rsidR="00B80AA5" w:rsidRPr="006778C9" w:rsidRDefault="00B80AA5" w:rsidP="00591FB8">
            <w:pPr>
              <w:spacing w:before="20" w:after="20" w:line="240" w:lineRule="auto"/>
              <w:jc w:val="both"/>
              <w:rPr>
                <w:rFonts w:ascii="Arial Narrow" w:hAnsi="Arial Narrow" w:cs="Arial"/>
                <w:bCs/>
                <w:sz w:val="20"/>
                <w:szCs w:val="20"/>
              </w:rPr>
            </w:pPr>
          </w:p>
          <w:p w14:paraId="3C38E3B8"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NK: KEPIF</w:t>
            </w:r>
          </w:p>
        </w:tc>
        <w:tc>
          <w:tcPr>
            <w:tcW w:w="1670" w:type="dxa"/>
            <w:gridSpan w:val="2"/>
            <w:shd w:val="clear" w:color="auto" w:fill="auto"/>
          </w:tcPr>
          <w:p w14:paraId="6D84DE6F"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IV Q 2022.</w:t>
            </w:r>
          </w:p>
          <w:p w14:paraId="1D564B4D" w14:textId="77777777" w:rsidR="00B80AA5" w:rsidRPr="006778C9" w:rsidRDefault="00B80AA5" w:rsidP="00591FB8">
            <w:pPr>
              <w:spacing w:before="20" w:after="20" w:line="240" w:lineRule="auto"/>
              <w:jc w:val="both"/>
              <w:rPr>
                <w:rFonts w:ascii="Arial Narrow" w:hAnsi="Arial Narrow" w:cs="Arial"/>
                <w:bCs/>
                <w:sz w:val="20"/>
                <w:szCs w:val="20"/>
              </w:rPr>
            </w:pPr>
          </w:p>
        </w:tc>
        <w:tc>
          <w:tcPr>
            <w:tcW w:w="2046" w:type="dxa"/>
            <w:gridSpan w:val="5"/>
            <w:shd w:val="clear" w:color="auto" w:fill="auto"/>
          </w:tcPr>
          <w:p w14:paraId="12938FEF" w14:textId="77777777" w:rsidR="00B80AA5" w:rsidRPr="006778C9" w:rsidRDefault="00B80AA5" w:rsidP="00591FB8">
            <w:pPr>
              <w:spacing w:before="20" w:after="20" w:line="240" w:lineRule="auto"/>
              <w:jc w:val="both"/>
              <w:rPr>
                <w:rFonts w:ascii="Arial Narrow" w:hAnsi="Arial Narrow" w:cs="Arial"/>
                <w:bCs/>
                <w:sz w:val="20"/>
                <w:szCs w:val="20"/>
              </w:rPr>
            </w:pPr>
          </w:p>
        </w:tc>
        <w:tc>
          <w:tcPr>
            <w:tcW w:w="1452" w:type="dxa"/>
            <w:gridSpan w:val="4"/>
            <w:shd w:val="clear" w:color="auto" w:fill="auto"/>
          </w:tcPr>
          <w:p w14:paraId="420577D3"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Budžet</w:t>
            </w:r>
          </w:p>
          <w:p w14:paraId="66D2B5BD" w14:textId="77777777" w:rsidR="00B80AA5" w:rsidRPr="006778C9" w:rsidRDefault="00B80AA5" w:rsidP="00591FB8">
            <w:pPr>
              <w:spacing w:before="20" w:after="20" w:line="240" w:lineRule="auto"/>
              <w:jc w:val="both"/>
              <w:rPr>
                <w:rFonts w:ascii="Arial Narrow" w:hAnsi="Arial Narrow" w:cs="Arial"/>
                <w:bCs/>
                <w:sz w:val="20"/>
                <w:szCs w:val="20"/>
              </w:rPr>
            </w:pPr>
          </w:p>
        </w:tc>
        <w:tc>
          <w:tcPr>
            <w:tcW w:w="2362" w:type="dxa"/>
            <w:gridSpan w:val="4"/>
            <w:shd w:val="clear" w:color="auto" w:fill="auto"/>
          </w:tcPr>
          <w:p w14:paraId="3C92F691"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Godišnji izvještaj o realizaciji aktivnosti u skladu sa Plana upravljanja nusproizvodima životinjskog porijekla koji nijesu namijenjeni ishrani ljudi sa akcionim planom sadrži realizaciju aktivnosti u izvještajnom periodu. U skladu sa utvrđenom</w:t>
            </w:r>
          </w:p>
          <w:p w14:paraId="6D09E985"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obavezom, Uprava za bezbjednost hrane, veterinu i fitosanitarne</w:t>
            </w:r>
          </w:p>
          <w:p w14:paraId="30509325"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lastRenderedPageBreak/>
              <w:t>poslove jednom godišnje izvještava i Evropsku komisiju i Svjetsku</w:t>
            </w:r>
          </w:p>
          <w:p w14:paraId="1E29C7CA"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banku o realizaciji ovog programa. Realizacija ovog programa je jedan</w:t>
            </w:r>
          </w:p>
          <w:p w14:paraId="43E23F96"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od preduslova za zatvaranje PP 12.</w:t>
            </w:r>
          </w:p>
        </w:tc>
      </w:tr>
      <w:tr w:rsidR="00B80AA5" w:rsidRPr="006778C9" w14:paraId="78CF5B0D" w14:textId="77777777" w:rsidTr="00EA56E8">
        <w:trPr>
          <w:gridBefore w:val="1"/>
          <w:wBefore w:w="29" w:type="dxa"/>
        </w:trPr>
        <w:tc>
          <w:tcPr>
            <w:tcW w:w="716" w:type="dxa"/>
            <w:gridSpan w:val="2"/>
            <w:shd w:val="clear" w:color="auto" w:fill="auto"/>
          </w:tcPr>
          <w:p w14:paraId="0E0BACD8" w14:textId="77777777" w:rsidR="00B80AA5" w:rsidRPr="006778C9" w:rsidRDefault="00B80AA5" w:rsidP="00FD6B98">
            <w:pPr>
              <w:spacing w:before="20" w:after="20" w:line="240" w:lineRule="auto"/>
              <w:jc w:val="right"/>
              <w:rPr>
                <w:rFonts w:ascii="Arial Narrow" w:hAnsi="Arial Narrow" w:cs="Arial"/>
                <w:bCs/>
                <w:iCs/>
                <w:sz w:val="20"/>
                <w:szCs w:val="20"/>
              </w:rPr>
            </w:pPr>
            <w:r w:rsidRPr="006778C9">
              <w:rPr>
                <w:rFonts w:ascii="Arial Narrow" w:hAnsi="Arial Narrow" w:cs="Arial"/>
                <w:bCs/>
                <w:iCs/>
                <w:sz w:val="20"/>
                <w:szCs w:val="20"/>
              </w:rPr>
              <w:t>4.</w:t>
            </w:r>
          </w:p>
        </w:tc>
        <w:tc>
          <w:tcPr>
            <w:tcW w:w="2204" w:type="dxa"/>
            <w:gridSpan w:val="2"/>
            <w:shd w:val="clear" w:color="auto" w:fill="auto"/>
          </w:tcPr>
          <w:p w14:paraId="70F29356"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Četvrti izvještaj o realizaciji Nacionalnog programa za unaprjeđenje kvaliteta sirovog mlijeka sa planom za postupanje sa neusaglašenim sirovim mlijekom (za 2021)</w:t>
            </w:r>
          </w:p>
        </w:tc>
        <w:tc>
          <w:tcPr>
            <w:tcW w:w="2632" w:type="dxa"/>
            <w:gridSpan w:val="3"/>
            <w:shd w:val="clear" w:color="auto" w:fill="auto"/>
          </w:tcPr>
          <w:p w14:paraId="250B4547"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 xml:space="preserve">Usvojen Izvještaj o realizaciji </w:t>
            </w:r>
          </w:p>
          <w:p w14:paraId="3C6D7229"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Nacionalnog programa za unaprjeđenje kvaliteta sirovog mlijeka sa planom za postupanje sa neusaglašenim sirovim mlijekom</w:t>
            </w:r>
          </w:p>
        </w:tc>
        <w:tc>
          <w:tcPr>
            <w:tcW w:w="1804" w:type="dxa"/>
            <w:gridSpan w:val="5"/>
            <w:shd w:val="clear" w:color="auto" w:fill="auto"/>
          </w:tcPr>
          <w:p w14:paraId="4DC15FAB"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NI: MPŠV, UBHVFP</w:t>
            </w:r>
          </w:p>
          <w:p w14:paraId="0E7FF59F" w14:textId="77777777" w:rsidR="00B80AA5" w:rsidRPr="006778C9" w:rsidRDefault="00B80AA5" w:rsidP="00FD6B98">
            <w:pPr>
              <w:spacing w:before="20" w:after="20" w:line="240" w:lineRule="auto"/>
              <w:rPr>
                <w:rFonts w:ascii="Arial Narrow" w:hAnsi="Arial Narrow" w:cs="Arial"/>
                <w:bCs/>
                <w:sz w:val="20"/>
                <w:szCs w:val="20"/>
              </w:rPr>
            </w:pPr>
          </w:p>
          <w:p w14:paraId="5DFE87B6"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NK: KEPIF</w:t>
            </w:r>
          </w:p>
        </w:tc>
        <w:tc>
          <w:tcPr>
            <w:tcW w:w="1670" w:type="dxa"/>
            <w:gridSpan w:val="2"/>
            <w:shd w:val="clear" w:color="auto" w:fill="auto"/>
          </w:tcPr>
          <w:p w14:paraId="08A93EBE"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IV Q 2022.</w:t>
            </w:r>
          </w:p>
          <w:p w14:paraId="5FD8A888" w14:textId="77777777" w:rsidR="00B80AA5" w:rsidRPr="006778C9" w:rsidRDefault="00B80AA5" w:rsidP="00FD6B98">
            <w:pPr>
              <w:spacing w:before="20" w:after="20" w:line="240" w:lineRule="auto"/>
              <w:rPr>
                <w:rFonts w:ascii="Arial Narrow" w:hAnsi="Arial Narrow" w:cs="Arial"/>
                <w:bCs/>
                <w:sz w:val="20"/>
                <w:szCs w:val="20"/>
              </w:rPr>
            </w:pPr>
          </w:p>
        </w:tc>
        <w:tc>
          <w:tcPr>
            <w:tcW w:w="2046" w:type="dxa"/>
            <w:gridSpan w:val="5"/>
            <w:shd w:val="clear" w:color="auto" w:fill="auto"/>
          </w:tcPr>
          <w:p w14:paraId="15C65B60" w14:textId="77777777" w:rsidR="00B80AA5" w:rsidRPr="006778C9" w:rsidRDefault="00B80AA5" w:rsidP="00FD6B98">
            <w:pPr>
              <w:spacing w:before="20" w:after="20" w:line="240" w:lineRule="auto"/>
              <w:rPr>
                <w:rFonts w:ascii="Arial Narrow" w:hAnsi="Arial Narrow" w:cs="Arial"/>
                <w:bCs/>
                <w:sz w:val="20"/>
                <w:szCs w:val="20"/>
              </w:rPr>
            </w:pPr>
          </w:p>
        </w:tc>
        <w:tc>
          <w:tcPr>
            <w:tcW w:w="1452" w:type="dxa"/>
            <w:gridSpan w:val="4"/>
            <w:shd w:val="clear" w:color="auto" w:fill="auto"/>
          </w:tcPr>
          <w:p w14:paraId="75AC2FEA"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Budžet</w:t>
            </w:r>
          </w:p>
          <w:p w14:paraId="69B70D21" w14:textId="77777777" w:rsidR="00B80AA5" w:rsidRPr="006778C9" w:rsidRDefault="00B80AA5" w:rsidP="00FD6B98">
            <w:pPr>
              <w:spacing w:before="20" w:after="20" w:line="240" w:lineRule="auto"/>
              <w:rPr>
                <w:rFonts w:ascii="Arial Narrow" w:hAnsi="Arial Narrow" w:cs="Arial"/>
                <w:bCs/>
                <w:sz w:val="20"/>
                <w:szCs w:val="20"/>
              </w:rPr>
            </w:pPr>
          </w:p>
        </w:tc>
        <w:tc>
          <w:tcPr>
            <w:tcW w:w="2362" w:type="dxa"/>
            <w:gridSpan w:val="4"/>
            <w:shd w:val="clear" w:color="auto" w:fill="auto"/>
          </w:tcPr>
          <w:p w14:paraId="2E7FA533" w14:textId="77777777" w:rsidR="00B80AA5" w:rsidRPr="006778C9" w:rsidRDefault="00B80AA5" w:rsidP="00FD6B9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Godišnji izvještaj o realizaciji aktivnosti u skladu sa Nacionalnog programa za unaprjeđenje kvaliteta sirovog mlijeka sa planom za postupanje sa neusaglašenim sirovim mlijekom sadrži realizaciju aktivnosti u izvještajnom periodu. U skladu sa utvrđenom</w:t>
            </w:r>
          </w:p>
          <w:p w14:paraId="71F152D1" w14:textId="77777777" w:rsidR="00B80AA5" w:rsidRPr="006778C9" w:rsidRDefault="00B80AA5" w:rsidP="00FD6B9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obavezom, Uprava za bezbjednost hrane, veterinu i fitosanitarne</w:t>
            </w:r>
          </w:p>
          <w:p w14:paraId="52030C18" w14:textId="77777777" w:rsidR="00B80AA5" w:rsidRPr="006778C9" w:rsidRDefault="00B80AA5" w:rsidP="00FD6B9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poslove jednom godišnje izvještava i Evropsku komisiju o realizaciji ovog programa. Realizacija ovog programa je jedan</w:t>
            </w:r>
          </w:p>
          <w:p w14:paraId="59F3CB69" w14:textId="77777777" w:rsidR="00B80AA5" w:rsidRPr="006778C9" w:rsidRDefault="00B80AA5" w:rsidP="00FD6B9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od preduslova za zatvaranje PP 12 (mjerilo 1).</w:t>
            </w:r>
          </w:p>
        </w:tc>
      </w:tr>
      <w:tr w:rsidR="00B80AA5" w:rsidRPr="006778C9" w14:paraId="2C82A7AC" w14:textId="77777777" w:rsidTr="00EA56E8">
        <w:trPr>
          <w:gridBefore w:val="1"/>
          <w:wBefore w:w="29" w:type="dxa"/>
        </w:trPr>
        <w:tc>
          <w:tcPr>
            <w:tcW w:w="716" w:type="dxa"/>
            <w:gridSpan w:val="2"/>
            <w:shd w:val="clear" w:color="auto" w:fill="auto"/>
          </w:tcPr>
          <w:p w14:paraId="45E4EEBE" w14:textId="77777777" w:rsidR="00B80AA5" w:rsidRPr="006778C9" w:rsidRDefault="00B80AA5" w:rsidP="00FD6B98">
            <w:pPr>
              <w:spacing w:before="20" w:after="20" w:line="240" w:lineRule="auto"/>
              <w:jc w:val="right"/>
              <w:rPr>
                <w:rFonts w:ascii="Arial Narrow" w:hAnsi="Arial Narrow" w:cs="Arial"/>
                <w:bCs/>
                <w:iCs/>
                <w:sz w:val="20"/>
                <w:szCs w:val="20"/>
              </w:rPr>
            </w:pPr>
            <w:r w:rsidRPr="006778C9">
              <w:rPr>
                <w:rFonts w:ascii="Arial Narrow" w:hAnsi="Arial Narrow" w:cs="Arial"/>
                <w:bCs/>
                <w:iCs/>
                <w:sz w:val="20"/>
                <w:szCs w:val="20"/>
              </w:rPr>
              <w:t>5.</w:t>
            </w:r>
          </w:p>
        </w:tc>
        <w:tc>
          <w:tcPr>
            <w:tcW w:w="2204" w:type="dxa"/>
            <w:gridSpan w:val="2"/>
            <w:shd w:val="clear" w:color="auto" w:fill="auto"/>
          </w:tcPr>
          <w:p w14:paraId="7AA7D3F3"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Izvještaj o realizaciji Programa za kontrolu populacije pasa u Crnoj Gori</w:t>
            </w:r>
          </w:p>
        </w:tc>
        <w:tc>
          <w:tcPr>
            <w:tcW w:w="2632" w:type="dxa"/>
            <w:gridSpan w:val="3"/>
            <w:shd w:val="clear" w:color="auto" w:fill="auto"/>
          </w:tcPr>
          <w:p w14:paraId="137B04D2"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 xml:space="preserve">Usvojen Izvještaj o realizaciji </w:t>
            </w:r>
          </w:p>
          <w:p w14:paraId="7174A35C"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Programa za kontrolu populacije pasa u Crnoj Gori</w:t>
            </w:r>
          </w:p>
        </w:tc>
        <w:tc>
          <w:tcPr>
            <w:tcW w:w="1804" w:type="dxa"/>
            <w:gridSpan w:val="5"/>
            <w:shd w:val="clear" w:color="auto" w:fill="auto"/>
          </w:tcPr>
          <w:p w14:paraId="22ABEDAB"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NI: MPŠV, UBHVFP</w:t>
            </w:r>
          </w:p>
          <w:p w14:paraId="38C98CAB" w14:textId="77777777" w:rsidR="00B80AA5" w:rsidRPr="006778C9" w:rsidRDefault="00B80AA5" w:rsidP="00FD6B98">
            <w:pPr>
              <w:spacing w:before="20" w:after="20" w:line="240" w:lineRule="auto"/>
              <w:rPr>
                <w:rFonts w:ascii="Arial Narrow" w:hAnsi="Arial Narrow" w:cs="Arial"/>
                <w:bCs/>
                <w:sz w:val="20"/>
                <w:szCs w:val="20"/>
              </w:rPr>
            </w:pPr>
          </w:p>
          <w:p w14:paraId="272643E7"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NK: KEPIF</w:t>
            </w:r>
          </w:p>
        </w:tc>
        <w:tc>
          <w:tcPr>
            <w:tcW w:w="1670" w:type="dxa"/>
            <w:gridSpan w:val="2"/>
            <w:shd w:val="clear" w:color="auto" w:fill="auto"/>
          </w:tcPr>
          <w:p w14:paraId="0207CF36"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II Q 2022.</w:t>
            </w:r>
          </w:p>
          <w:p w14:paraId="00A4F960" w14:textId="77777777" w:rsidR="00B80AA5" w:rsidRPr="006778C9" w:rsidRDefault="00B80AA5" w:rsidP="00FD6B98">
            <w:pPr>
              <w:spacing w:before="20" w:after="20" w:line="240" w:lineRule="auto"/>
              <w:rPr>
                <w:rFonts w:ascii="Arial Narrow" w:hAnsi="Arial Narrow" w:cs="Arial"/>
                <w:bCs/>
                <w:sz w:val="20"/>
                <w:szCs w:val="20"/>
              </w:rPr>
            </w:pPr>
          </w:p>
        </w:tc>
        <w:tc>
          <w:tcPr>
            <w:tcW w:w="2046" w:type="dxa"/>
            <w:gridSpan w:val="5"/>
            <w:shd w:val="clear" w:color="auto" w:fill="auto"/>
          </w:tcPr>
          <w:p w14:paraId="53FF988A" w14:textId="77777777" w:rsidR="00B80AA5" w:rsidRPr="006778C9" w:rsidRDefault="00B80AA5" w:rsidP="00FD6B98">
            <w:pPr>
              <w:spacing w:before="20" w:after="20" w:line="240" w:lineRule="auto"/>
              <w:rPr>
                <w:rFonts w:ascii="Arial Narrow" w:hAnsi="Arial Narrow" w:cs="Arial"/>
                <w:bCs/>
                <w:sz w:val="20"/>
                <w:szCs w:val="20"/>
              </w:rPr>
            </w:pPr>
          </w:p>
        </w:tc>
        <w:tc>
          <w:tcPr>
            <w:tcW w:w="1452" w:type="dxa"/>
            <w:gridSpan w:val="4"/>
            <w:shd w:val="clear" w:color="auto" w:fill="auto"/>
          </w:tcPr>
          <w:p w14:paraId="0F8BCD9B" w14:textId="77777777" w:rsidR="00B80AA5" w:rsidRPr="006778C9" w:rsidRDefault="00B80AA5" w:rsidP="00FD6B98">
            <w:pPr>
              <w:spacing w:before="20" w:after="20" w:line="240" w:lineRule="auto"/>
              <w:rPr>
                <w:rFonts w:ascii="Arial Narrow" w:hAnsi="Arial Narrow" w:cs="Arial"/>
                <w:bCs/>
                <w:sz w:val="20"/>
                <w:szCs w:val="20"/>
              </w:rPr>
            </w:pPr>
            <w:r w:rsidRPr="006778C9">
              <w:rPr>
                <w:rFonts w:ascii="Arial Narrow" w:hAnsi="Arial Narrow" w:cs="Arial"/>
                <w:bCs/>
                <w:sz w:val="20"/>
                <w:szCs w:val="20"/>
              </w:rPr>
              <w:t xml:space="preserve">Finansijska sredstava za određene aktivnosti definisane planom </w:t>
            </w:r>
            <w:r w:rsidRPr="006778C9">
              <w:rPr>
                <w:rFonts w:ascii="Arial Narrow" w:hAnsi="Arial Narrow" w:cs="Arial"/>
                <w:bCs/>
                <w:sz w:val="20"/>
                <w:szCs w:val="20"/>
              </w:rPr>
              <w:lastRenderedPageBreak/>
              <w:t>obezbijeđuju se iz više izvora.</w:t>
            </w:r>
            <w:r w:rsidRPr="006778C9">
              <w:rPr>
                <w:rFonts w:ascii="Arial Narrow" w:hAnsi="Arial Narrow" w:cs="Arial"/>
                <w:bCs/>
                <w:sz w:val="20"/>
                <w:szCs w:val="20"/>
                <w:vertAlign w:val="superscript"/>
              </w:rPr>
              <w:footnoteReference w:id="28"/>
            </w:r>
          </w:p>
        </w:tc>
        <w:tc>
          <w:tcPr>
            <w:tcW w:w="2362" w:type="dxa"/>
            <w:gridSpan w:val="4"/>
            <w:shd w:val="clear" w:color="auto" w:fill="auto"/>
          </w:tcPr>
          <w:p w14:paraId="015B7420" w14:textId="77777777" w:rsidR="00B80AA5" w:rsidRPr="006778C9" w:rsidRDefault="00B80AA5" w:rsidP="00FD6B9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lastRenderedPageBreak/>
              <w:t xml:space="preserve">Godišnji izvještaj o realizaciji aktivnosti u skladu sa Programa za kontrolu populacije pasa u Crnoj Gori sadrži realizaciju aktivnosti u izvještajnom periodu. </w:t>
            </w:r>
          </w:p>
        </w:tc>
      </w:tr>
      <w:tr w:rsidR="00B80AA5" w:rsidRPr="006778C9" w14:paraId="70455023" w14:textId="77777777" w:rsidTr="00EA56E8">
        <w:trPr>
          <w:gridBefore w:val="1"/>
          <w:wBefore w:w="29" w:type="dxa"/>
        </w:trPr>
        <w:tc>
          <w:tcPr>
            <w:tcW w:w="716" w:type="dxa"/>
            <w:gridSpan w:val="2"/>
            <w:shd w:val="clear" w:color="auto" w:fill="auto"/>
          </w:tcPr>
          <w:p w14:paraId="2B67463B" w14:textId="77777777" w:rsidR="00B80AA5" w:rsidRPr="006778C9" w:rsidRDefault="00B80AA5" w:rsidP="00FD6B98">
            <w:pPr>
              <w:spacing w:before="20" w:after="20" w:line="240" w:lineRule="auto"/>
              <w:jc w:val="right"/>
              <w:rPr>
                <w:rFonts w:ascii="Arial Narrow" w:hAnsi="Arial Narrow" w:cs="Arial"/>
                <w:bCs/>
                <w:iCs/>
                <w:sz w:val="20"/>
                <w:szCs w:val="20"/>
              </w:rPr>
            </w:pPr>
            <w:r w:rsidRPr="006778C9">
              <w:rPr>
                <w:rFonts w:ascii="Arial Narrow" w:hAnsi="Arial Narrow" w:cs="Arial"/>
                <w:bCs/>
                <w:iCs/>
                <w:sz w:val="20"/>
                <w:szCs w:val="20"/>
              </w:rPr>
              <w:t>6.</w:t>
            </w:r>
          </w:p>
        </w:tc>
        <w:tc>
          <w:tcPr>
            <w:tcW w:w="2204" w:type="dxa"/>
            <w:gridSpan w:val="2"/>
            <w:shd w:val="clear" w:color="auto" w:fill="auto"/>
          </w:tcPr>
          <w:p w14:paraId="33FE151F"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Inovirana strategija Crne Gore za transpoziciju i implementaciju pravne tekovine Evropske unije za poglavlje 12 - Bezbjednost hrane, veterinarska i fitosanitarna politika s Predlogom opšteg akcionog plana</w:t>
            </w:r>
          </w:p>
        </w:tc>
        <w:tc>
          <w:tcPr>
            <w:tcW w:w="2632" w:type="dxa"/>
            <w:gridSpan w:val="3"/>
            <w:shd w:val="clear" w:color="auto" w:fill="auto"/>
          </w:tcPr>
          <w:p w14:paraId="357D13A0"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Usvojena  Inovirana strategija Crne Gore za transpoziciju i implementaciju pravne tekovine Evropske unije za poglavlje 12 - Bezbjednost hrane, veterinarska i fitosanitarna politika s Predlogom opšteg akcionog plana</w:t>
            </w:r>
          </w:p>
        </w:tc>
        <w:tc>
          <w:tcPr>
            <w:tcW w:w="1804" w:type="dxa"/>
            <w:gridSpan w:val="5"/>
            <w:shd w:val="clear" w:color="auto" w:fill="auto"/>
          </w:tcPr>
          <w:p w14:paraId="1A66BCA7"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NI: MPŠV, UBHVFP</w:t>
            </w:r>
          </w:p>
          <w:p w14:paraId="72601474" w14:textId="77777777" w:rsidR="00B80AA5" w:rsidRPr="006778C9" w:rsidRDefault="00B80AA5" w:rsidP="00591FB8">
            <w:pPr>
              <w:spacing w:before="20" w:after="20" w:line="240" w:lineRule="auto"/>
              <w:jc w:val="both"/>
              <w:rPr>
                <w:rFonts w:ascii="Arial Narrow" w:hAnsi="Arial Narrow" w:cs="Arial"/>
                <w:bCs/>
                <w:sz w:val="20"/>
                <w:szCs w:val="20"/>
              </w:rPr>
            </w:pPr>
          </w:p>
          <w:p w14:paraId="6AFD9269"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NK: KEPIF</w:t>
            </w:r>
          </w:p>
        </w:tc>
        <w:tc>
          <w:tcPr>
            <w:tcW w:w="1670" w:type="dxa"/>
            <w:gridSpan w:val="2"/>
            <w:shd w:val="clear" w:color="auto" w:fill="auto"/>
          </w:tcPr>
          <w:p w14:paraId="1CE6B21E"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IV Q 2022.</w:t>
            </w:r>
          </w:p>
        </w:tc>
        <w:tc>
          <w:tcPr>
            <w:tcW w:w="2046" w:type="dxa"/>
            <w:gridSpan w:val="5"/>
            <w:shd w:val="clear" w:color="auto" w:fill="auto"/>
          </w:tcPr>
          <w:p w14:paraId="594BF8FF" w14:textId="77777777" w:rsidR="00B80AA5" w:rsidRPr="006778C9" w:rsidRDefault="00B80AA5" w:rsidP="00591FB8">
            <w:pPr>
              <w:spacing w:before="20" w:after="20" w:line="240" w:lineRule="auto"/>
              <w:jc w:val="both"/>
              <w:rPr>
                <w:rFonts w:ascii="Arial Narrow" w:hAnsi="Arial Narrow" w:cs="Arial"/>
                <w:bCs/>
                <w:sz w:val="20"/>
                <w:szCs w:val="20"/>
              </w:rPr>
            </w:pPr>
          </w:p>
        </w:tc>
        <w:tc>
          <w:tcPr>
            <w:tcW w:w="1452" w:type="dxa"/>
            <w:gridSpan w:val="4"/>
            <w:shd w:val="clear" w:color="auto" w:fill="auto"/>
          </w:tcPr>
          <w:p w14:paraId="529C2F25"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Budžet</w:t>
            </w:r>
          </w:p>
          <w:p w14:paraId="4CC9767B" w14:textId="77777777" w:rsidR="00B80AA5" w:rsidRPr="006778C9" w:rsidRDefault="00B80AA5" w:rsidP="00591FB8">
            <w:pPr>
              <w:spacing w:before="20" w:after="20" w:line="240" w:lineRule="auto"/>
              <w:jc w:val="both"/>
              <w:rPr>
                <w:rFonts w:ascii="Arial Narrow" w:hAnsi="Arial Narrow" w:cs="Arial"/>
                <w:bCs/>
                <w:sz w:val="20"/>
                <w:szCs w:val="20"/>
              </w:rPr>
            </w:pPr>
          </w:p>
        </w:tc>
        <w:tc>
          <w:tcPr>
            <w:tcW w:w="2362" w:type="dxa"/>
            <w:gridSpan w:val="4"/>
            <w:shd w:val="clear" w:color="auto" w:fill="auto"/>
          </w:tcPr>
          <w:p w14:paraId="67D336EE"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 xml:space="preserve">Zbog potrebe daljeg usaglašavanja sa EU propisima, posebno imajući u vidu novi pristup EU u oblasti zdravlja životinja i službenih kontrola u oblasti bezbjednosti hrane, zdravlja životinja i zdravlja bilja neophodno je izvršiti ažuriranje postojeće Strategije. Strategije je jedno </w:t>
            </w:r>
          </w:p>
          <w:p w14:paraId="2CEF3808"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od mjerila za PP 12. EK prati realizaciju Strategije (transpoziciju i implementaciju).</w:t>
            </w:r>
          </w:p>
        </w:tc>
      </w:tr>
      <w:tr w:rsidR="00B80AA5" w:rsidRPr="006778C9" w14:paraId="6363770C" w14:textId="77777777" w:rsidTr="00EA56E8">
        <w:trPr>
          <w:gridBefore w:val="1"/>
          <w:wBefore w:w="29" w:type="dxa"/>
        </w:trPr>
        <w:tc>
          <w:tcPr>
            <w:tcW w:w="2931" w:type="dxa"/>
            <w:gridSpan w:val="5"/>
            <w:shd w:val="clear" w:color="auto" w:fill="D9E2F3"/>
          </w:tcPr>
          <w:p w14:paraId="2E2048A0"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 xml:space="preserve">Cilj </w:t>
            </w:r>
            <w:r>
              <w:rPr>
                <w:rFonts w:ascii="Arial Narrow" w:hAnsi="Arial Narrow" w:cs="Arial"/>
                <w:b/>
                <w:sz w:val="20"/>
                <w:szCs w:val="20"/>
              </w:rPr>
              <w:t>3.</w:t>
            </w:r>
            <w:r w:rsidRPr="006778C9">
              <w:rPr>
                <w:rFonts w:ascii="Arial Narrow" w:hAnsi="Arial Narrow" w:cs="Arial"/>
                <w:b/>
                <w:sz w:val="20"/>
                <w:szCs w:val="20"/>
              </w:rPr>
              <w:t>7</w:t>
            </w:r>
            <w:r>
              <w:rPr>
                <w:rFonts w:ascii="Arial Narrow" w:hAnsi="Arial Narrow" w:cs="Arial"/>
                <w:b/>
                <w:sz w:val="20"/>
                <w:szCs w:val="20"/>
              </w:rPr>
              <w:t>.</w:t>
            </w:r>
          </w:p>
          <w:p w14:paraId="278EE9FC" w14:textId="77777777" w:rsidR="00B80AA5" w:rsidRPr="006778C9" w:rsidRDefault="00B80AA5" w:rsidP="00FD6B98">
            <w:pPr>
              <w:spacing w:before="40" w:after="40" w:line="240" w:lineRule="auto"/>
              <w:jc w:val="center"/>
              <w:rPr>
                <w:rFonts w:ascii="Arial Narrow" w:hAnsi="Arial Narrow" w:cs="Arial"/>
                <w:b/>
                <w:sz w:val="20"/>
                <w:szCs w:val="20"/>
              </w:rPr>
            </w:pPr>
          </w:p>
        </w:tc>
        <w:tc>
          <w:tcPr>
            <w:tcW w:w="11955" w:type="dxa"/>
            <w:gridSpan w:val="22"/>
            <w:shd w:val="clear" w:color="auto" w:fill="D9E2F3"/>
          </w:tcPr>
          <w:p w14:paraId="30B32371" w14:textId="77777777" w:rsidR="00B80AA5" w:rsidRPr="006778C9" w:rsidRDefault="00B80AA5" w:rsidP="00FD6B98">
            <w:pPr>
              <w:spacing w:before="40" w:after="40" w:line="240" w:lineRule="auto"/>
              <w:jc w:val="both"/>
              <w:rPr>
                <w:rFonts w:ascii="Arial Narrow" w:hAnsi="Arial Narrow" w:cs="Arial"/>
                <w:b/>
                <w:i/>
                <w:sz w:val="20"/>
                <w:szCs w:val="20"/>
              </w:rPr>
            </w:pPr>
            <w:r w:rsidRPr="006778C9">
              <w:rPr>
                <w:rFonts w:ascii="Arial Narrow" w:eastAsia="Cambria" w:hAnsi="Arial Narrow" w:cs="Arial"/>
                <w:b/>
                <w:color w:val="000000"/>
                <w:sz w:val="20"/>
                <w:szCs w:val="20"/>
              </w:rPr>
              <w:t xml:space="preserve">Obezbjeđenje integralnog  upravljanja vodama </w:t>
            </w:r>
          </w:p>
        </w:tc>
      </w:tr>
      <w:tr w:rsidR="00B80AA5" w:rsidRPr="006778C9" w14:paraId="21A3837D" w14:textId="77777777" w:rsidTr="00EA56E8">
        <w:trPr>
          <w:gridBefore w:val="1"/>
          <w:wBefore w:w="29" w:type="dxa"/>
        </w:trPr>
        <w:tc>
          <w:tcPr>
            <w:tcW w:w="2931" w:type="dxa"/>
            <w:gridSpan w:val="5"/>
            <w:shd w:val="clear" w:color="auto" w:fill="DAF2F6"/>
          </w:tcPr>
          <w:p w14:paraId="79DAEEC2"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Indikator učinka</w:t>
            </w:r>
          </w:p>
        </w:tc>
        <w:tc>
          <w:tcPr>
            <w:tcW w:w="3105" w:type="dxa"/>
            <w:gridSpan w:val="3"/>
            <w:shd w:val="clear" w:color="auto" w:fill="DAF2F6"/>
          </w:tcPr>
          <w:p w14:paraId="5F067BCA"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Polazna vrijednost – 2021.g</w:t>
            </w:r>
          </w:p>
        </w:tc>
        <w:tc>
          <w:tcPr>
            <w:tcW w:w="3107" w:type="dxa"/>
            <w:gridSpan w:val="8"/>
            <w:shd w:val="clear" w:color="auto" w:fill="DAF2F6"/>
            <w:vAlign w:val="center"/>
          </w:tcPr>
          <w:p w14:paraId="16C7E334"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Prelazna vrijednost – 2022.g</w:t>
            </w:r>
          </w:p>
        </w:tc>
        <w:tc>
          <w:tcPr>
            <w:tcW w:w="2907" w:type="dxa"/>
            <w:gridSpan w:val="6"/>
            <w:tcBorders>
              <w:bottom w:val="single" w:sz="4" w:space="0" w:color="FFFFFF"/>
            </w:tcBorders>
            <w:shd w:val="clear" w:color="auto" w:fill="DAF2F6"/>
            <w:vAlign w:val="center"/>
          </w:tcPr>
          <w:p w14:paraId="0D640E2C"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Prelazna vrijednost – 2023.g</w:t>
            </w:r>
          </w:p>
        </w:tc>
        <w:tc>
          <w:tcPr>
            <w:tcW w:w="2836" w:type="dxa"/>
            <w:gridSpan w:val="5"/>
            <w:tcBorders>
              <w:bottom w:val="single" w:sz="4" w:space="0" w:color="FFFFFF"/>
            </w:tcBorders>
            <w:shd w:val="clear" w:color="auto" w:fill="DAF2F6"/>
            <w:vAlign w:val="center"/>
          </w:tcPr>
          <w:p w14:paraId="52805E03" w14:textId="77777777" w:rsidR="00B80AA5" w:rsidRPr="006778C9" w:rsidRDefault="00B80AA5" w:rsidP="00FD6B98">
            <w:pPr>
              <w:spacing w:before="40" w:after="40" w:line="240" w:lineRule="auto"/>
              <w:jc w:val="center"/>
              <w:rPr>
                <w:rFonts w:ascii="Arial Narrow" w:hAnsi="Arial Narrow" w:cs="Arial"/>
                <w:b/>
                <w:sz w:val="20"/>
                <w:szCs w:val="20"/>
              </w:rPr>
            </w:pPr>
            <w:r w:rsidRPr="006778C9">
              <w:rPr>
                <w:rFonts w:ascii="Arial Narrow" w:hAnsi="Arial Narrow" w:cs="Arial"/>
                <w:b/>
                <w:sz w:val="20"/>
                <w:szCs w:val="20"/>
              </w:rPr>
              <w:t>Ciljna vrijednost - 2024.g</w:t>
            </w:r>
          </w:p>
        </w:tc>
      </w:tr>
      <w:tr w:rsidR="00B80AA5" w:rsidRPr="006778C9" w14:paraId="3CA447F4" w14:textId="77777777" w:rsidTr="00EA56E8">
        <w:trPr>
          <w:gridBefore w:val="1"/>
          <w:wBefore w:w="29" w:type="dxa"/>
        </w:trPr>
        <w:tc>
          <w:tcPr>
            <w:tcW w:w="2931" w:type="dxa"/>
            <w:gridSpan w:val="5"/>
            <w:shd w:val="clear" w:color="auto" w:fill="DAF2F6"/>
          </w:tcPr>
          <w:p w14:paraId="18F8298E" w14:textId="77777777" w:rsidR="00B80AA5" w:rsidRPr="006778C9" w:rsidRDefault="00B80AA5" w:rsidP="00FD6B98">
            <w:pPr>
              <w:spacing w:before="40" w:after="40" w:line="240" w:lineRule="auto"/>
              <w:rPr>
                <w:rFonts w:ascii="Arial Narrow" w:hAnsi="Arial Narrow" w:cs="Arial"/>
                <w:i/>
                <w:sz w:val="20"/>
                <w:szCs w:val="20"/>
              </w:rPr>
            </w:pPr>
            <w:r w:rsidRPr="006778C9">
              <w:rPr>
                <w:rFonts w:ascii="Arial Narrow" w:eastAsia="Cambria" w:hAnsi="Arial Narrow" w:cs="Arial"/>
                <w:color w:val="000000"/>
                <w:sz w:val="20"/>
                <w:szCs w:val="20"/>
              </w:rPr>
              <w:t>Broj projekata podržanih kroz Program podsticanja projekata u vodoprivredi</w:t>
            </w:r>
          </w:p>
        </w:tc>
        <w:tc>
          <w:tcPr>
            <w:tcW w:w="3105" w:type="dxa"/>
            <w:gridSpan w:val="3"/>
            <w:shd w:val="clear" w:color="auto" w:fill="DAF2F6"/>
          </w:tcPr>
          <w:p w14:paraId="035EE995"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44</w:t>
            </w:r>
          </w:p>
          <w:p w14:paraId="6B33A70F" w14:textId="77777777" w:rsidR="00B80AA5" w:rsidRPr="006778C9" w:rsidRDefault="00B80AA5" w:rsidP="00FD6B98">
            <w:pPr>
              <w:spacing w:after="0" w:line="240" w:lineRule="auto"/>
              <w:rPr>
                <w:rFonts w:ascii="Arial Narrow" w:eastAsia="Cambria" w:hAnsi="Arial Narrow" w:cs="Arial"/>
                <w:color w:val="000000"/>
                <w:sz w:val="20"/>
                <w:szCs w:val="20"/>
              </w:rPr>
            </w:pPr>
            <w:r w:rsidRPr="006778C9">
              <w:rPr>
                <w:rFonts w:ascii="Arial Narrow" w:eastAsia="Cambria" w:hAnsi="Arial Narrow" w:cs="Arial"/>
                <w:color w:val="000000"/>
                <w:sz w:val="20"/>
                <w:szCs w:val="20"/>
              </w:rPr>
              <w:t>(Izvor: Program podsticanja projekata u vodoprivredi, a koji je usvojen na Vladi („Sl.list CG“, br. 93/21).</w:t>
            </w:r>
          </w:p>
        </w:tc>
        <w:tc>
          <w:tcPr>
            <w:tcW w:w="3107" w:type="dxa"/>
            <w:gridSpan w:val="8"/>
            <w:shd w:val="clear" w:color="auto" w:fill="DAF2F6"/>
          </w:tcPr>
          <w:p w14:paraId="379CD18D"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 xml:space="preserve">45 </w:t>
            </w:r>
          </w:p>
          <w:p w14:paraId="161FE5AB"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(odnosno +1 u odnosu na 2021.)</w:t>
            </w:r>
          </w:p>
        </w:tc>
        <w:tc>
          <w:tcPr>
            <w:tcW w:w="2907" w:type="dxa"/>
            <w:gridSpan w:val="6"/>
            <w:shd w:val="clear" w:color="auto" w:fill="DAF2F6"/>
          </w:tcPr>
          <w:p w14:paraId="60BA839F"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 xml:space="preserve">46 </w:t>
            </w:r>
          </w:p>
          <w:p w14:paraId="6E5854EF"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(odnosno +1 u odnosu na 2022.)</w:t>
            </w:r>
          </w:p>
        </w:tc>
        <w:tc>
          <w:tcPr>
            <w:tcW w:w="2836" w:type="dxa"/>
            <w:gridSpan w:val="5"/>
            <w:shd w:val="clear" w:color="auto" w:fill="DAF2F6"/>
          </w:tcPr>
          <w:p w14:paraId="4DBF3D6C"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46</w:t>
            </w:r>
          </w:p>
        </w:tc>
      </w:tr>
      <w:tr w:rsidR="00B80AA5" w:rsidRPr="006778C9" w14:paraId="1E5D636D" w14:textId="77777777" w:rsidTr="00EA56E8">
        <w:trPr>
          <w:gridBefore w:val="1"/>
          <w:wBefore w:w="29" w:type="dxa"/>
        </w:trPr>
        <w:tc>
          <w:tcPr>
            <w:tcW w:w="2931" w:type="dxa"/>
            <w:gridSpan w:val="5"/>
            <w:shd w:val="clear" w:color="auto" w:fill="DAF2F6"/>
          </w:tcPr>
          <w:p w14:paraId="05692ED1" w14:textId="77777777" w:rsidR="00B80AA5" w:rsidRPr="006778C9" w:rsidRDefault="00B80AA5" w:rsidP="00FD6B98">
            <w:pPr>
              <w:spacing w:before="40" w:after="40" w:line="240" w:lineRule="auto"/>
              <w:rPr>
                <w:rFonts w:ascii="Arial Narrow" w:eastAsia="Cambria" w:hAnsi="Arial Narrow" w:cs="Arial"/>
                <w:color w:val="000000"/>
                <w:sz w:val="20"/>
                <w:szCs w:val="20"/>
              </w:rPr>
            </w:pPr>
            <w:r w:rsidRPr="006778C9">
              <w:rPr>
                <w:rFonts w:ascii="Arial Narrow" w:eastAsia="Cambria" w:hAnsi="Arial Narrow" w:cs="Arial"/>
                <w:color w:val="000000"/>
                <w:sz w:val="20"/>
                <w:szCs w:val="20"/>
              </w:rPr>
              <w:t>Broj realizovanih projekata kroz Program korišćenja sredstava za upravljanje vodama</w:t>
            </w:r>
          </w:p>
        </w:tc>
        <w:tc>
          <w:tcPr>
            <w:tcW w:w="3105" w:type="dxa"/>
            <w:gridSpan w:val="3"/>
            <w:shd w:val="clear" w:color="auto" w:fill="DAF2F6"/>
          </w:tcPr>
          <w:p w14:paraId="2F35ACDE"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7</w:t>
            </w:r>
          </w:p>
          <w:p w14:paraId="3935892E" w14:textId="77777777" w:rsidR="00B80AA5" w:rsidRPr="006778C9" w:rsidRDefault="00B80AA5" w:rsidP="00FD6B98">
            <w:pPr>
              <w:spacing w:after="0" w:line="240" w:lineRule="auto"/>
              <w:rPr>
                <w:rFonts w:ascii="Arial Narrow" w:eastAsia="Cambria" w:hAnsi="Arial Narrow" w:cs="Arial"/>
                <w:color w:val="000000"/>
                <w:sz w:val="20"/>
                <w:szCs w:val="20"/>
              </w:rPr>
            </w:pPr>
            <w:r w:rsidRPr="006778C9">
              <w:rPr>
                <w:rFonts w:ascii="Arial Narrow" w:eastAsia="Cambria" w:hAnsi="Arial Narrow" w:cs="Arial"/>
                <w:color w:val="000000"/>
                <w:sz w:val="20"/>
                <w:szCs w:val="20"/>
              </w:rPr>
              <w:t>(izvor: Program korišćenja sredstava za upravljanje vodama koji priprema Uprava za vode i nadležna je za njegovu realizaciju („Sl.list CG“, br. 103/21)</w:t>
            </w:r>
          </w:p>
        </w:tc>
        <w:tc>
          <w:tcPr>
            <w:tcW w:w="3107" w:type="dxa"/>
            <w:gridSpan w:val="8"/>
            <w:shd w:val="clear" w:color="auto" w:fill="DAF2F6"/>
          </w:tcPr>
          <w:p w14:paraId="55DC7CF5"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8</w:t>
            </w:r>
          </w:p>
          <w:p w14:paraId="06B29547"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(odnosno +1 u odnosu na 2021.)</w:t>
            </w:r>
          </w:p>
        </w:tc>
        <w:tc>
          <w:tcPr>
            <w:tcW w:w="2907" w:type="dxa"/>
            <w:gridSpan w:val="6"/>
            <w:shd w:val="clear" w:color="auto" w:fill="DAF2F6"/>
          </w:tcPr>
          <w:p w14:paraId="0C158935"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9</w:t>
            </w:r>
          </w:p>
          <w:p w14:paraId="313D6383"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(odnosno +1 u odnosu na 2022.)</w:t>
            </w:r>
          </w:p>
        </w:tc>
        <w:tc>
          <w:tcPr>
            <w:tcW w:w="2836" w:type="dxa"/>
            <w:gridSpan w:val="5"/>
            <w:shd w:val="clear" w:color="auto" w:fill="DAF2F6"/>
          </w:tcPr>
          <w:p w14:paraId="1B1F6758"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10</w:t>
            </w:r>
          </w:p>
          <w:p w14:paraId="1ECC4AC6"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(odnosno +1 u odnosu na 2023.)</w:t>
            </w:r>
          </w:p>
        </w:tc>
      </w:tr>
      <w:tr w:rsidR="00B80AA5" w:rsidRPr="006778C9" w14:paraId="77C6D87F" w14:textId="77777777" w:rsidTr="00EA56E8">
        <w:trPr>
          <w:gridBefore w:val="1"/>
          <w:wBefore w:w="29" w:type="dxa"/>
        </w:trPr>
        <w:tc>
          <w:tcPr>
            <w:tcW w:w="2931" w:type="dxa"/>
            <w:gridSpan w:val="5"/>
            <w:shd w:val="clear" w:color="auto" w:fill="DAF2F6"/>
          </w:tcPr>
          <w:p w14:paraId="7FBC09BC" w14:textId="77777777" w:rsidR="00B80AA5" w:rsidRPr="006778C9" w:rsidRDefault="00B80AA5" w:rsidP="00FD6B98">
            <w:pPr>
              <w:spacing w:before="40" w:after="40" w:line="240" w:lineRule="auto"/>
              <w:rPr>
                <w:rFonts w:ascii="Arial Narrow" w:eastAsia="Cambria" w:hAnsi="Arial Narrow" w:cs="Arial"/>
                <w:color w:val="000000"/>
                <w:sz w:val="20"/>
                <w:szCs w:val="20"/>
              </w:rPr>
            </w:pPr>
            <w:r w:rsidRPr="006778C9">
              <w:rPr>
                <w:rFonts w:ascii="Arial Narrow" w:eastAsia="Cambria" w:hAnsi="Arial Narrow" w:cs="Arial"/>
                <w:color w:val="000000"/>
                <w:sz w:val="20"/>
                <w:szCs w:val="20"/>
              </w:rPr>
              <w:t>Broj  izdatih koncesija</w:t>
            </w:r>
          </w:p>
        </w:tc>
        <w:tc>
          <w:tcPr>
            <w:tcW w:w="3105" w:type="dxa"/>
            <w:gridSpan w:val="3"/>
            <w:shd w:val="clear" w:color="auto" w:fill="DAF2F6"/>
          </w:tcPr>
          <w:p w14:paraId="6BCE79E4" w14:textId="77777777" w:rsidR="00B80AA5" w:rsidRPr="006778C9" w:rsidRDefault="00B80AA5" w:rsidP="00FD6B98">
            <w:pPr>
              <w:spacing w:after="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t>1</w:t>
            </w:r>
          </w:p>
          <w:p w14:paraId="6B26FEC3" w14:textId="77777777" w:rsidR="00B80AA5" w:rsidRPr="006778C9" w:rsidRDefault="00B80AA5" w:rsidP="00FD6B98">
            <w:pPr>
              <w:spacing w:after="0" w:line="240" w:lineRule="auto"/>
              <w:rPr>
                <w:rFonts w:ascii="Arial Narrow" w:eastAsia="Cambria" w:hAnsi="Arial Narrow" w:cs="Arial"/>
                <w:color w:val="000000"/>
                <w:sz w:val="20"/>
                <w:szCs w:val="20"/>
              </w:rPr>
            </w:pPr>
            <w:r w:rsidRPr="006778C9">
              <w:rPr>
                <w:rFonts w:ascii="Arial Narrow" w:eastAsia="Cambria" w:hAnsi="Arial Narrow" w:cs="Arial"/>
                <w:color w:val="000000"/>
                <w:sz w:val="20"/>
                <w:szCs w:val="20"/>
              </w:rPr>
              <w:lastRenderedPageBreak/>
              <w:t>(izvor: Predlog plana davanja koncesija u oblasti voda za 2021. godinu, Zaključak broj: 04-349/2 od 9. septembra 2021. godine)</w:t>
            </w:r>
          </w:p>
          <w:p w14:paraId="52085E13" w14:textId="77777777" w:rsidR="00B80AA5" w:rsidRPr="006778C9" w:rsidRDefault="00B80AA5" w:rsidP="00FD6B98">
            <w:pPr>
              <w:spacing w:before="40" w:after="40" w:line="240" w:lineRule="auto"/>
              <w:rPr>
                <w:rFonts w:ascii="Arial Narrow" w:eastAsia="Cambria" w:hAnsi="Arial Narrow" w:cs="Arial"/>
                <w:color w:val="000000"/>
                <w:sz w:val="20"/>
                <w:szCs w:val="20"/>
              </w:rPr>
            </w:pPr>
          </w:p>
        </w:tc>
        <w:tc>
          <w:tcPr>
            <w:tcW w:w="3107" w:type="dxa"/>
            <w:gridSpan w:val="8"/>
            <w:shd w:val="clear" w:color="auto" w:fill="DAF2F6"/>
          </w:tcPr>
          <w:p w14:paraId="260DD3A6"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lastRenderedPageBreak/>
              <w:t>2</w:t>
            </w:r>
          </w:p>
          <w:p w14:paraId="7B7D4B7C"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lastRenderedPageBreak/>
              <w:t>(odnosno +1 u odnosu na 2021.)</w:t>
            </w:r>
          </w:p>
        </w:tc>
        <w:tc>
          <w:tcPr>
            <w:tcW w:w="2907" w:type="dxa"/>
            <w:gridSpan w:val="6"/>
            <w:shd w:val="clear" w:color="auto" w:fill="DAF2F6"/>
          </w:tcPr>
          <w:p w14:paraId="10C5DF7E"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lastRenderedPageBreak/>
              <w:t>3</w:t>
            </w:r>
          </w:p>
          <w:p w14:paraId="121B999A"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lastRenderedPageBreak/>
              <w:t>(odnosno +1 u odnosu na 2022.)</w:t>
            </w:r>
          </w:p>
        </w:tc>
        <w:tc>
          <w:tcPr>
            <w:tcW w:w="2836" w:type="dxa"/>
            <w:gridSpan w:val="5"/>
            <w:shd w:val="clear" w:color="auto" w:fill="DAF2F6"/>
          </w:tcPr>
          <w:p w14:paraId="47E05E98"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lastRenderedPageBreak/>
              <w:t>4</w:t>
            </w:r>
          </w:p>
          <w:p w14:paraId="0599C929" w14:textId="77777777" w:rsidR="00B80AA5" w:rsidRPr="006778C9" w:rsidRDefault="00B80AA5" w:rsidP="00FD6B98">
            <w:pPr>
              <w:spacing w:before="40" w:after="40" w:line="240" w:lineRule="auto"/>
              <w:jc w:val="center"/>
              <w:rPr>
                <w:rFonts w:ascii="Arial Narrow" w:eastAsia="Cambria" w:hAnsi="Arial Narrow" w:cs="Arial"/>
                <w:color w:val="000000"/>
                <w:sz w:val="20"/>
                <w:szCs w:val="20"/>
              </w:rPr>
            </w:pPr>
            <w:r w:rsidRPr="006778C9">
              <w:rPr>
                <w:rFonts w:ascii="Arial Narrow" w:eastAsia="Cambria" w:hAnsi="Arial Narrow" w:cs="Arial"/>
                <w:color w:val="000000"/>
                <w:sz w:val="20"/>
                <w:szCs w:val="20"/>
              </w:rPr>
              <w:lastRenderedPageBreak/>
              <w:t>(odnosno +1 u odnosu na 2023.)</w:t>
            </w:r>
          </w:p>
        </w:tc>
      </w:tr>
      <w:tr w:rsidR="00B80AA5" w:rsidRPr="006778C9" w14:paraId="294C8EA9" w14:textId="77777777" w:rsidTr="00EA56E8">
        <w:trPr>
          <w:gridBefore w:val="1"/>
          <w:wBefore w:w="29" w:type="dxa"/>
        </w:trPr>
        <w:tc>
          <w:tcPr>
            <w:tcW w:w="2931" w:type="dxa"/>
            <w:gridSpan w:val="5"/>
            <w:shd w:val="clear" w:color="auto" w:fill="FFF2CC"/>
            <w:vAlign w:val="center"/>
          </w:tcPr>
          <w:p w14:paraId="226C7F98"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Aktivnosti</w:t>
            </w:r>
          </w:p>
        </w:tc>
        <w:tc>
          <w:tcPr>
            <w:tcW w:w="3105" w:type="dxa"/>
            <w:gridSpan w:val="3"/>
            <w:shd w:val="clear" w:color="auto" w:fill="FFF2CC"/>
            <w:vAlign w:val="center"/>
          </w:tcPr>
          <w:p w14:paraId="37679CA5"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Indikator rezultata</w:t>
            </w:r>
          </w:p>
        </w:tc>
        <w:tc>
          <w:tcPr>
            <w:tcW w:w="1469" w:type="dxa"/>
            <w:gridSpan w:val="5"/>
            <w:shd w:val="clear" w:color="auto" w:fill="FFF2CC"/>
            <w:vAlign w:val="center"/>
          </w:tcPr>
          <w:p w14:paraId="1CF14926"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Nadležne institucije i nadležna komisija</w:t>
            </w:r>
          </w:p>
        </w:tc>
        <w:tc>
          <w:tcPr>
            <w:tcW w:w="1638" w:type="dxa"/>
            <w:gridSpan w:val="3"/>
            <w:shd w:val="clear" w:color="auto" w:fill="FFF2CC"/>
            <w:vAlign w:val="center"/>
          </w:tcPr>
          <w:p w14:paraId="6F8FFD29"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Planirani početak i završetak aktivnosti</w:t>
            </w:r>
          </w:p>
        </w:tc>
        <w:tc>
          <w:tcPr>
            <w:tcW w:w="2003" w:type="dxa"/>
            <w:gridSpan w:val="4"/>
            <w:shd w:val="clear" w:color="auto" w:fill="FFF2CC"/>
            <w:vAlign w:val="center"/>
          </w:tcPr>
          <w:p w14:paraId="01EFFD3E"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Sredstva za realizaciju  i informacija o izradi RIA</w:t>
            </w:r>
          </w:p>
        </w:tc>
        <w:tc>
          <w:tcPr>
            <w:tcW w:w="1420" w:type="dxa"/>
            <w:gridSpan w:val="4"/>
            <w:shd w:val="clear" w:color="auto" w:fill="FFF2CC"/>
            <w:vAlign w:val="center"/>
          </w:tcPr>
          <w:p w14:paraId="6ED2E400"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 xml:space="preserve"> Izvor finansiranja</w:t>
            </w:r>
          </w:p>
        </w:tc>
        <w:tc>
          <w:tcPr>
            <w:tcW w:w="2320" w:type="dxa"/>
            <w:gridSpan w:val="3"/>
            <w:shd w:val="clear" w:color="auto" w:fill="FFF2CC"/>
            <w:vAlign w:val="center"/>
          </w:tcPr>
          <w:p w14:paraId="2B81C1D9" w14:textId="77777777" w:rsidR="00B80AA5" w:rsidRPr="006778C9" w:rsidRDefault="00B80AA5" w:rsidP="00FD6B98">
            <w:pPr>
              <w:spacing w:before="20" w:after="20" w:line="240" w:lineRule="auto"/>
              <w:jc w:val="center"/>
              <w:rPr>
                <w:rFonts w:ascii="Arial Narrow" w:hAnsi="Arial Narrow" w:cs="Arial"/>
                <w:b/>
                <w:sz w:val="20"/>
                <w:szCs w:val="20"/>
              </w:rPr>
            </w:pPr>
          </w:p>
          <w:p w14:paraId="2BF67754" w14:textId="77777777" w:rsidR="00B80AA5" w:rsidRPr="006778C9" w:rsidRDefault="00B80AA5" w:rsidP="00FD6B98">
            <w:pPr>
              <w:spacing w:before="20" w:after="20" w:line="240" w:lineRule="auto"/>
              <w:jc w:val="center"/>
              <w:rPr>
                <w:rFonts w:ascii="Arial Narrow" w:hAnsi="Arial Narrow" w:cs="Arial"/>
                <w:b/>
                <w:sz w:val="20"/>
                <w:szCs w:val="20"/>
              </w:rPr>
            </w:pPr>
            <w:r w:rsidRPr="006778C9">
              <w:rPr>
                <w:rFonts w:ascii="Arial Narrow" w:hAnsi="Arial Narrow" w:cs="Arial"/>
                <w:b/>
                <w:sz w:val="20"/>
                <w:szCs w:val="20"/>
              </w:rPr>
              <w:t>Obrazloženje</w:t>
            </w:r>
          </w:p>
        </w:tc>
      </w:tr>
      <w:tr w:rsidR="00B80AA5" w:rsidRPr="006778C9" w14:paraId="2597D813" w14:textId="77777777" w:rsidTr="00EA56E8">
        <w:trPr>
          <w:gridBefore w:val="1"/>
          <w:wBefore w:w="29" w:type="dxa"/>
        </w:trPr>
        <w:tc>
          <w:tcPr>
            <w:tcW w:w="740" w:type="dxa"/>
            <w:gridSpan w:val="3"/>
            <w:shd w:val="clear" w:color="auto" w:fill="auto"/>
          </w:tcPr>
          <w:p w14:paraId="7909A542" w14:textId="77777777" w:rsidR="00B80AA5" w:rsidRPr="006778C9" w:rsidRDefault="00B80AA5" w:rsidP="00FD6B98">
            <w:pPr>
              <w:spacing w:before="20" w:after="20" w:line="240" w:lineRule="auto"/>
              <w:jc w:val="right"/>
              <w:rPr>
                <w:rFonts w:ascii="Arial Narrow" w:hAnsi="Arial Narrow" w:cs="Arial"/>
                <w:sz w:val="20"/>
                <w:szCs w:val="20"/>
              </w:rPr>
            </w:pPr>
            <w:r w:rsidRPr="006778C9">
              <w:rPr>
                <w:rFonts w:ascii="Arial Narrow" w:hAnsi="Arial Narrow" w:cs="Arial"/>
                <w:sz w:val="20"/>
                <w:szCs w:val="20"/>
              </w:rPr>
              <w:t>1.</w:t>
            </w:r>
          </w:p>
        </w:tc>
        <w:tc>
          <w:tcPr>
            <w:tcW w:w="2191" w:type="dxa"/>
            <w:gridSpan w:val="2"/>
            <w:shd w:val="clear" w:color="auto" w:fill="auto"/>
          </w:tcPr>
          <w:p w14:paraId="0215DA34" w14:textId="77777777" w:rsidR="00B80AA5" w:rsidRPr="006778C9" w:rsidRDefault="00B80AA5" w:rsidP="00591FB8">
            <w:pPr>
              <w:spacing w:before="20" w:after="20" w:line="240" w:lineRule="auto"/>
              <w:jc w:val="both"/>
              <w:rPr>
                <w:rFonts w:ascii="Arial Narrow" w:hAnsi="Arial Narrow" w:cs="Arial"/>
                <w:i/>
                <w:color w:val="FF0000"/>
                <w:sz w:val="20"/>
                <w:szCs w:val="20"/>
              </w:rPr>
            </w:pPr>
            <w:r w:rsidRPr="006778C9">
              <w:rPr>
                <w:rFonts w:ascii="Arial Narrow" w:hAnsi="Arial Narrow" w:cs="Arial"/>
                <w:bCs/>
                <w:sz w:val="20"/>
                <w:szCs w:val="20"/>
              </w:rPr>
              <w:t>Izrada programa podsticanja projekata u vodoprivredi</w:t>
            </w:r>
          </w:p>
        </w:tc>
        <w:tc>
          <w:tcPr>
            <w:tcW w:w="3105" w:type="dxa"/>
            <w:gridSpan w:val="3"/>
            <w:shd w:val="clear" w:color="auto" w:fill="auto"/>
          </w:tcPr>
          <w:p w14:paraId="1B60AEDF" w14:textId="77777777" w:rsidR="00B80AA5" w:rsidRPr="006778C9" w:rsidRDefault="00B80AA5" w:rsidP="00591FB8">
            <w:pPr>
              <w:spacing w:before="20" w:after="20" w:line="240" w:lineRule="auto"/>
              <w:jc w:val="both"/>
              <w:rPr>
                <w:rFonts w:ascii="Arial Narrow" w:hAnsi="Arial Narrow" w:cs="Arial"/>
                <w:color w:val="FF0000"/>
                <w:sz w:val="20"/>
                <w:szCs w:val="20"/>
              </w:rPr>
            </w:pPr>
            <w:r w:rsidRPr="006778C9">
              <w:rPr>
                <w:rFonts w:ascii="Arial Narrow" w:eastAsia="Cambria" w:hAnsi="Arial Narrow" w:cs="Arial"/>
                <w:color w:val="000000"/>
                <w:sz w:val="20"/>
                <w:szCs w:val="20"/>
              </w:rPr>
              <w:t>Broj podržanih projekata</w:t>
            </w:r>
          </w:p>
        </w:tc>
        <w:tc>
          <w:tcPr>
            <w:tcW w:w="1469" w:type="dxa"/>
            <w:gridSpan w:val="5"/>
            <w:shd w:val="clear" w:color="auto" w:fill="auto"/>
          </w:tcPr>
          <w:p w14:paraId="67215A68"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NI: Ministarstvo poljoprivrede, šumarstva i vodoprivrede</w:t>
            </w:r>
          </w:p>
          <w:p w14:paraId="05963DDF" w14:textId="77777777" w:rsidR="00B80AA5" w:rsidRPr="006778C9" w:rsidRDefault="00B80AA5" w:rsidP="00591FB8">
            <w:pPr>
              <w:spacing w:before="20" w:after="20" w:line="240" w:lineRule="auto"/>
              <w:jc w:val="both"/>
              <w:rPr>
                <w:rFonts w:ascii="Arial Narrow" w:hAnsi="Arial Narrow" w:cs="Arial"/>
                <w:color w:val="FF0000"/>
                <w:sz w:val="20"/>
                <w:szCs w:val="20"/>
              </w:rPr>
            </w:pPr>
            <w:r w:rsidRPr="006778C9">
              <w:rPr>
                <w:rFonts w:ascii="Arial Narrow" w:hAnsi="Arial Narrow" w:cs="Arial"/>
                <w:sz w:val="20"/>
                <w:szCs w:val="20"/>
              </w:rPr>
              <w:t>NK: KEPIF</w:t>
            </w:r>
          </w:p>
        </w:tc>
        <w:tc>
          <w:tcPr>
            <w:tcW w:w="1638" w:type="dxa"/>
            <w:gridSpan w:val="3"/>
            <w:shd w:val="clear" w:color="auto" w:fill="auto"/>
          </w:tcPr>
          <w:p w14:paraId="6FD051AD"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I-IV Q 2022.</w:t>
            </w:r>
          </w:p>
          <w:p w14:paraId="25DA467F" w14:textId="77777777" w:rsidR="00B80AA5" w:rsidRPr="006778C9" w:rsidRDefault="00B80AA5" w:rsidP="00591FB8">
            <w:pPr>
              <w:spacing w:before="20" w:after="20" w:line="240" w:lineRule="auto"/>
              <w:jc w:val="both"/>
              <w:rPr>
                <w:rFonts w:ascii="Arial Narrow" w:hAnsi="Arial Narrow" w:cs="Arial"/>
                <w:color w:val="FF0000"/>
                <w:sz w:val="20"/>
                <w:szCs w:val="20"/>
              </w:rPr>
            </w:pPr>
          </w:p>
        </w:tc>
        <w:tc>
          <w:tcPr>
            <w:tcW w:w="2003" w:type="dxa"/>
            <w:gridSpan w:val="4"/>
            <w:shd w:val="clear" w:color="auto" w:fill="auto"/>
          </w:tcPr>
          <w:p w14:paraId="41CF384C"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Za 2022. planirana sredstva od 1 200 000,00 €</w:t>
            </w:r>
          </w:p>
          <w:p w14:paraId="45AFA45C" w14:textId="77777777" w:rsidR="00B80AA5" w:rsidRPr="006778C9" w:rsidRDefault="00B80AA5" w:rsidP="00591FB8">
            <w:pPr>
              <w:spacing w:before="20" w:after="20" w:line="240" w:lineRule="auto"/>
              <w:jc w:val="both"/>
              <w:rPr>
                <w:rFonts w:ascii="Arial Narrow" w:hAnsi="Arial Narrow" w:cs="Arial"/>
                <w:sz w:val="20"/>
                <w:szCs w:val="20"/>
              </w:rPr>
            </w:pPr>
          </w:p>
          <w:p w14:paraId="7E4134B6" w14:textId="77777777" w:rsidR="00B80AA5" w:rsidRPr="006778C9" w:rsidRDefault="00B80AA5" w:rsidP="00591FB8">
            <w:pPr>
              <w:spacing w:before="20" w:after="20" w:line="240" w:lineRule="auto"/>
              <w:jc w:val="both"/>
              <w:rPr>
                <w:rFonts w:ascii="Arial Narrow" w:hAnsi="Arial Narrow" w:cs="Arial"/>
                <w:color w:val="FF0000"/>
                <w:sz w:val="20"/>
                <w:szCs w:val="20"/>
              </w:rPr>
            </w:pPr>
            <w:r w:rsidRPr="006778C9">
              <w:rPr>
                <w:rFonts w:ascii="Arial Narrow" w:hAnsi="Arial Narrow" w:cs="Arial"/>
                <w:sz w:val="20"/>
                <w:szCs w:val="20"/>
              </w:rPr>
              <w:t>Za utvrđivanje procjene uticaja propisa će biti urađena RIA.</w:t>
            </w:r>
          </w:p>
        </w:tc>
        <w:tc>
          <w:tcPr>
            <w:tcW w:w="1420" w:type="dxa"/>
            <w:gridSpan w:val="4"/>
            <w:shd w:val="clear" w:color="auto" w:fill="auto"/>
          </w:tcPr>
          <w:p w14:paraId="26901B69" w14:textId="77777777" w:rsidR="00B80AA5" w:rsidRPr="006778C9" w:rsidRDefault="00B80AA5" w:rsidP="00591FB8">
            <w:pPr>
              <w:spacing w:before="20" w:after="20" w:line="240" w:lineRule="auto"/>
              <w:jc w:val="both"/>
              <w:rPr>
                <w:rFonts w:ascii="Arial Narrow" w:hAnsi="Arial Narrow" w:cs="Arial"/>
                <w:color w:val="FF0000"/>
                <w:sz w:val="20"/>
                <w:szCs w:val="20"/>
              </w:rPr>
            </w:pPr>
            <w:r w:rsidRPr="006778C9">
              <w:rPr>
                <w:rFonts w:ascii="Arial Narrow" w:hAnsi="Arial Narrow" w:cs="Arial"/>
                <w:sz w:val="20"/>
                <w:szCs w:val="20"/>
              </w:rPr>
              <w:t>Budžet</w:t>
            </w:r>
            <w:r w:rsidRPr="006778C9">
              <w:rPr>
                <w:rFonts w:ascii="Arial Narrow" w:hAnsi="Arial Narrow" w:cs="Arial"/>
                <w:color w:val="FF0000"/>
                <w:sz w:val="20"/>
                <w:szCs w:val="20"/>
              </w:rPr>
              <w:t xml:space="preserve"> </w:t>
            </w:r>
            <w:r w:rsidRPr="006778C9">
              <w:rPr>
                <w:rFonts w:ascii="Arial Narrow" w:hAnsi="Arial Narrow" w:cs="Arial"/>
                <w:sz w:val="20"/>
                <w:szCs w:val="20"/>
              </w:rPr>
              <w:t>CG</w:t>
            </w:r>
          </w:p>
        </w:tc>
        <w:tc>
          <w:tcPr>
            <w:tcW w:w="2320" w:type="dxa"/>
            <w:gridSpan w:val="3"/>
            <w:shd w:val="clear" w:color="auto" w:fill="auto"/>
          </w:tcPr>
          <w:p w14:paraId="01785733" w14:textId="77777777" w:rsidR="00B80AA5" w:rsidRPr="006778C9" w:rsidRDefault="00B80AA5" w:rsidP="00591FB8">
            <w:pPr>
              <w:spacing w:after="0" w:line="240" w:lineRule="auto"/>
              <w:jc w:val="both"/>
              <w:rPr>
                <w:rFonts w:ascii="Arial Narrow" w:hAnsi="Arial Narrow" w:cs="Arial"/>
                <w:sz w:val="20"/>
                <w:szCs w:val="20"/>
              </w:rPr>
            </w:pPr>
            <w:r w:rsidRPr="006778C9">
              <w:rPr>
                <w:rFonts w:ascii="Arial Narrow" w:hAnsi="Arial Narrow" w:cs="Arial"/>
                <w:sz w:val="20"/>
                <w:szCs w:val="20"/>
              </w:rPr>
              <w:t xml:space="preserve"> Vlada Crne Gore učestvuje u finansiranju radova na objektima vodosnabdijevanja na seoskom području kroz godišnje Programe podsticanja projekata u vodoprivredi, u skladu sa Zakonom o finansiranju upravljanja vodama („Službeni list CG“, br. 65/08), i njima je predviđena samo </w:t>
            </w:r>
            <w:r w:rsidRPr="006778C9">
              <w:rPr>
                <w:rFonts w:ascii="Arial Narrow" w:hAnsi="Arial Narrow" w:cs="Arial"/>
                <w:b/>
                <w:sz w:val="20"/>
                <w:szCs w:val="20"/>
              </w:rPr>
              <w:t>mogućnost finansijske podrške u izgradnji seoskih vodovoda</w:t>
            </w:r>
            <w:r w:rsidRPr="006778C9">
              <w:rPr>
                <w:rFonts w:ascii="Arial Narrow" w:hAnsi="Arial Narrow" w:cs="Arial"/>
                <w:sz w:val="20"/>
                <w:szCs w:val="20"/>
              </w:rPr>
              <w:t>, čiji je investitor lokalna samouprava ili mjesna zajednica, a u cilju stvaranja boljih uslova za život i rad na selu.</w:t>
            </w:r>
          </w:p>
          <w:p w14:paraId="00B60105" w14:textId="77777777" w:rsidR="00B80AA5" w:rsidRPr="006778C9" w:rsidRDefault="00B80AA5" w:rsidP="00591FB8">
            <w:pPr>
              <w:spacing w:after="0" w:line="240" w:lineRule="auto"/>
              <w:jc w:val="both"/>
              <w:rPr>
                <w:rFonts w:ascii="Arial Narrow" w:hAnsi="Arial Narrow" w:cs="Arial"/>
                <w:sz w:val="20"/>
                <w:szCs w:val="20"/>
              </w:rPr>
            </w:pPr>
          </w:p>
          <w:p w14:paraId="6151C6DA" w14:textId="77777777" w:rsidR="00B80AA5" w:rsidRPr="006778C9" w:rsidRDefault="00B80AA5" w:rsidP="00591FB8">
            <w:pPr>
              <w:spacing w:after="0" w:line="240" w:lineRule="auto"/>
              <w:jc w:val="both"/>
              <w:rPr>
                <w:rFonts w:ascii="Arial Narrow" w:hAnsi="Arial Narrow" w:cs="Arial"/>
                <w:sz w:val="20"/>
                <w:szCs w:val="20"/>
              </w:rPr>
            </w:pPr>
            <w:r w:rsidRPr="006778C9">
              <w:rPr>
                <w:rFonts w:ascii="Arial Narrow" w:hAnsi="Arial Narrow" w:cs="Arial"/>
                <w:sz w:val="20"/>
                <w:szCs w:val="20"/>
              </w:rPr>
              <w:t xml:space="preserve">Programi se pripremaju na osnovu zahtjeva sa predlogom prioriteta i potrebnom dokumentacijom za svaki od objekata predloženih za finansiranje, koje lokalne samouprave dostavljaju ovom ministarstvu, a koje razmatra sve zahtijeve i daje Vladi </w:t>
            </w:r>
            <w:r w:rsidRPr="006778C9">
              <w:rPr>
                <w:rFonts w:ascii="Arial Narrow" w:hAnsi="Arial Narrow" w:cs="Arial"/>
                <w:sz w:val="20"/>
                <w:szCs w:val="20"/>
              </w:rPr>
              <w:lastRenderedPageBreak/>
              <w:t xml:space="preserve">predloge za učešće u finasiranju. </w:t>
            </w:r>
          </w:p>
          <w:p w14:paraId="19467AB7" w14:textId="77777777" w:rsidR="00B80AA5" w:rsidRPr="006778C9" w:rsidRDefault="00B80AA5" w:rsidP="00591FB8">
            <w:pPr>
              <w:spacing w:after="0" w:line="240" w:lineRule="auto"/>
              <w:jc w:val="both"/>
              <w:rPr>
                <w:rFonts w:ascii="Arial Narrow" w:hAnsi="Arial Narrow" w:cs="Arial"/>
                <w:sz w:val="20"/>
                <w:szCs w:val="20"/>
              </w:rPr>
            </w:pPr>
          </w:p>
          <w:p w14:paraId="3FDE7DB8" w14:textId="77777777" w:rsidR="00B80AA5" w:rsidRPr="006778C9" w:rsidRDefault="00B80AA5" w:rsidP="00591FB8">
            <w:pPr>
              <w:spacing w:after="0" w:line="240" w:lineRule="auto"/>
              <w:jc w:val="both"/>
              <w:rPr>
                <w:rFonts w:ascii="Arial Narrow" w:hAnsi="Arial Narrow" w:cs="Arial"/>
                <w:sz w:val="20"/>
                <w:szCs w:val="20"/>
              </w:rPr>
            </w:pPr>
            <w:r w:rsidRPr="006778C9">
              <w:rPr>
                <w:rFonts w:ascii="Arial Narrow" w:hAnsi="Arial Narrow" w:cs="Arial"/>
                <w:sz w:val="20"/>
                <w:szCs w:val="20"/>
              </w:rPr>
              <w:t>Za korišćenje sredstava po Programu potrebno je uz zahtijev dostaviti neophodnu dokumentaciju, kao dokaz da su završeni svi koraci koji prethode otpočinjanju radova na izgradnji objekta za vodosnabdijevanje.</w:t>
            </w:r>
          </w:p>
          <w:p w14:paraId="5589E15F" w14:textId="77777777" w:rsidR="00B80AA5" w:rsidRPr="006778C9" w:rsidRDefault="00B80AA5" w:rsidP="00591FB8">
            <w:pPr>
              <w:spacing w:after="0" w:line="240" w:lineRule="auto"/>
              <w:ind w:left="720"/>
              <w:jc w:val="both"/>
              <w:rPr>
                <w:rFonts w:ascii="Arial Narrow" w:hAnsi="Arial Narrow" w:cs="Arial"/>
                <w:sz w:val="20"/>
                <w:szCs w:val="20"/>
              </w:rPr>
            </w:pPr>
          </w:p>
        </w:tc>
      </w:tr>
      <w:tr w:rsidR="00B80AA5" w:rsidRPr="006778C9" w14:paraId="221D8547" w14:textId="77777777" w:rsidTr="00EA56E8">
        <w:trPr>
          <w:gridBefore w:val="1"/>
          <w:wBefore w:w="29" w:type="dxa"/>
        </w:trPr>
        <w:tc>
          <w:tcPr>
            <w:tcW w:w="740" w:type="dxa"/>
            <w:gridSpan w:val="3"/>
            <w:shd w:val="clear" w:color="auto" w:fill="auto"/>
          </w:tcPr>
          <w:p w14:paraId="4D490D38" w14:textId="77777777" w:rsidR="00B80AA5" w:rsidRPr="006778C9" w:rsidRDefault="00B80AA5" w:rsidP="00FD6B98">
            <w:pPr>
              <w:spacing w:before="20" w:after="20" w:line="240" w:lineRule="auto"/>
              <w:jc w:val="right"/>
              <w:rPr>
                <w:rFonts w:ascii="Arial Narrow" w:hAnsi="Arial Narrow" w:cs="Arial"/>
                <w:sz w:val="20"/>
                <w:szCs w:val="20"/>
              </w:rPr>
            </w:pPr>
            <w:r w:rsidRPr="006778C9">
              <w:rPr>
                <w:rFonts w:ascii="Arial Narrow" w:hAnsi="Arial Narrow" w:cs="Arial"/>
                <w:sz w:val="20"/>
                <w:szCs w:val="20"/>
              </w:rPr>
              <w:t>2.</w:t>
            </w:r>
          </w:p>
        </w:tc>
        <w:tc>
          <w:tcPr>
            <w:tcW w:w="2191" w:type="dxa"/>
            <w:gridSpan w:val="2"/>
            <w:shd w:val="clear" w:color="auto" w:fill="auto"/>
          </w:tcPr>
          <w:p w14:paraId="068CFFA7"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 xml:space="preserve">Izrada programa korišćenja sredstava za poslove upravljanja vodama </w:t>
            </w:r>
          </w:p>
        </w:tc>
        <w:tc>
          <w:tcPr>
            <w:tcW w:w="3105" w:type="dxa"/>
            <w:gridSpan w:val="3"/>
            <w:shd w:val="clear" w:color="auto" w:fill="auto"/>
          </w:tcPr>
          <w:p w14:paraId="6A386921" w14:textId="77777777" w:rsidR="00B80AA5" w:rsidRPr="006778C9" w:rsidRDefault="00B80AA5" w:rsidP="00591FB8">
            <w:pPr>
              <w:spacing w:before="20" w:after="20" w:line="240" w:lineRule="auto"/>
              <w:jc w:val="both"/>
              <w:rPr>
                <w:rFonts w:ascii="Arial Narrow" w:eastAsia="Cambria" w:hAnsi="Arial Narrow" w:cs="Arial"/>
                <w:color w:val="000000"/>
                <w:sz w:val="20"/>
                <w:szCs w:val="20"/>
              </w:rPr>
            </w:pPr>
            <w:r w:rsidRPr="006778C9">
              <w:rPr>
                <w:rFonts w:ascii="Arial Narrow" w:eastAsia="Cambria" w:hAnsi="Arial Narrow" w:cs="Arial"/>
                <w:sz w:val="20"/>
                <w:szCs w:val="20"/>
              </w:rPr>
              <w:t>Izrada i revizija planske i projektne dokumentacije, održavanje vodotoka i izrada vodnih katastara/Broj realizovanih projekata</w:t>
            </w:r>
          </w:p>
        </w:tc>
        <w:tc>
          <w:tcPr>
            <w:tcW w:w="1469" w:type="dxa"/>
            <w:gridSpan w:val="5"/>
            <w:shd w:val="clear" w:color="auto" w:fill="auto"/>
          </w:tcPr>
          <w:p w14:paraId="1126116D"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NI: Uprava za vode</w:t>
            </w:r>
          </w:p>
          <w:p w14:paraId="7C772E6D"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NK: KEPIF</w:t>
            </w:r>
          </w:p>
        </w:tc>
        <w:tc>
          <w:tcPr>
            <w:tcW w:w="1638" w:type="dxa"/>
            <w:gridSpan w:val="3"/>
            <w:shd w:val="clear" w:color="auto" w:fill="auto"/>
          </w:tcPr>
          <w:p w14:paraId="033D15C5"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I-IV Q 2022.</w:t>
            </w:r>
          </w:p>
          <w:p w14:paraId="5978D7F1" w14:textId="77777777" w:rsidR="00B80AA5" w:rsidRPr="006778C9" w:rsidRDefault="00B80AA5" w:rsidP="00591FB8">
            <w:pPr>
              <w:spacing w:before="20" w:after="20" w:line="240" w:lineRule="auto"/>
              <w:jc w:val="both"/>
              <w:rPr>
                <w:rFonts w:ascii="Arial Narrow" w:hAnsi="Arial Narrow" w:cs="Arial"/>
                <w:sz w:val="20"/>
                <w:szCs w:val="20"/>
              </w:rPr>
            </w:pPr>
          </w:p>
        </w:tc>
        <w:tc>
          <w:tcPr>
            <w:tcW w:w="2003" w:type="dxa"/>
            <w:gridSpan w:val="4"/>
            <w:shd w:val="clear" w:color="auto" w:fill="auto"/>
          </w:tcPr>
          <w:p w14:paraId="0C012D4B"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Za 2022. planirana sredstva od 300. 000,00 €</w:t>
            </w:r>
          </w:p>
          <w:p w14:paraId="24336094" w14:textId="77777777" w:rsidR="00B80AA5" w:rsidRPr="006778C9" w:rsidRDefault="00B80AA5" w:rsidP="00591FB8">
            <w:pPr>
              <w:spacing w:before="20" w:after="20" w:line="240" w:lineRule="auto"/>
              <w:jc w:val="both"/>
              <w:rPr>
                <w:rFonts w:ascii="Arial Narrow" w:hAnsi="Arial Narrow" w:cs="Arial"/>
                <w:sz w:val="20"/>
                <w:szCs w:val="20"/>
              </w:rPr>
            </w:pPr>
          </w:p>
          <w:p w14:paraId="620CC86F"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Za utvrđivanje procjene uticaja propisa će biti urađena RIA.</w:t>
            </w:r>
          </w:p>
        </w:tc>
        <w:tc>
          <w:tcPr>
            <w:tcW w:w="1420" w:type="dxa"/>
            <w:gridSpan w:val="4"/>
            <w:shd w:val="clear" w:color="auto" w:fill="auto"/>
          </w:tcPr>
          <w:p w14:paraId="1F722CC8"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Budžet CG</w:t>
            </w:r>
          </w:p>
        </w:tc>
        <w:tc>
          <w:tcPr>
            <w:tcW w:w="2320" w:type="dxa"/>
            <w:gridSpan w:val="3"/>
            <w:shd w:val="clear" w:color="auto" w:fill="auto"/>
          </w:tcPr>
          <w:p w14:paraId="7A2CC20E" w14:textId="77777777" w:rsidR="00B80AA5" w:rsidRPr="006778C9" w:rsidRDefault="00B80AA5" w:rsidP="00591FB8">
            <w:pPr>
              <w:tabs>
                <w:tab w:val="left" w:pos="8730"/>
              </w:tabs>
              <w:spacing w:after="0" w:line="240" w:lineRule="auto"/>
              <w:jc w:val="both"/>
              <w:rPr>
                <w:rFonts w:ascii="Arial Narrow" w:hAnsi="Arial Narrow" w:cs="Arial"/>
                <w:sz w:val="20"/>
                <w:szCs w:val="20"/>
              </w:rPr>
            </w:pPr>
            <w:r w:rsidRPr="006778C9">
              <w:rPr>
                <w:rFonts w:ascii="Arial Narrow" w:hAnsi="Arial Narrow" w:cs="Arial"/>
                <w:sz w:val="20"/>
                <w:szCs w:val="20"/>
              </w:rPr>
              <w:t xml:space="preserve">Zakonom o finansiranju upravljanje vodama utvrđeni su izvori sredstava za finansiranje upravljanje vodama, način obračunavanja i plaćanja naknada za zastitu i korišćenje voda i vodnog dobra. Programom su u okviru sredstava obuhvaćene osnovne aktivnosti u oblasti upravljanje vodama, zaštita voda, zastitu od voda i efikasnije korišćenje voda. </w:t>
            </w:r>
          </w:p>
        </w:tc>
      </w:tr>
      <w:tr w:rsidR="00B80AA5" w:rsidRPr="006778C9" w14:paraId="5615D4DE" w14:textId="77777777" w:rsidTr="00EA56E8">
        <w:trPr>
          <w:gridBefore w:val="1"/>
          <w:wBefore w:w="29" w:type="dxa"/>
        </w:trPr>
        <w:tc>
          <w:tcPr>
            <w:tcW w:w="740" w:type="dxa"/>
            <w:gridSpan w:val="3"/>
            <w:shd w:val="clear" w:color="auto" w:fill="auto"/>
          </w:tcPr>
          <w:p w14:paraId="618EC7BD" w14:textId="77777777" w:rsidR="00B80AA5" w:rsidRPr="006778C9" w:rsidRDefault="00B80AA5" w:rsidP="00FD6B98">
            <w:pPr>
              <w:spacing w:before="20" w:after="20" w:line="240" w:lineRule="auto"/>
              <w:jc w:val="right"/>
              <w:rPr>
                <w:rFonts w:ascii="Arial Narrow" w:hAnsi="Arial Narrow" w:cs="Arial"/>
                <w:sz w:val="20"/>
                <w:szCs w:val="20"/>
              </w:rPr>
            </w:pPr>
            <w:r w:rsidRPr="006778C9">
              <w:rPr>
                <w:rFonts w:ascii="Arial Narrow" w:hAnsi="Arial Narrow" w:cs="Arial"/>
                <w:sz w:val="20"/>
                <w:szCs w:val="20"/>
              </w:rPr>
              <w:t>3.</w:t>
            </w:r>
          </w:p>
        </w:tc>
        <w:tc>
          <w:tcPr>
            <w:tcW w:w="2191" w:type="dxa"/>
            <w:gridSpan w:val="2"/>
            <w:shd w:val="clear" w:color="auto" w:fill="auto"/>
          </w:tcPr>
          <w:p w14:paraId="3D917A6C"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sz w:val="20"/>
                <w:szCs w:val="20"/>
              </w:rPr>
              <w:t>Plan davanja koncecija - Analiza i ocjena postojećeg stanja, lokacije na kojima se može vršiti koncesiona djelatnost</w:t>
            </w:r>
          </w:p>
        </w:tc>
        <w:tc>
          <w:tcPr>
            <w:tcW w:w="3105" w:type="dxa"/>
            <w:gridSpan w:val="3"/>
            <w:shd w:val="clear" w:color="auto" w:fill="auto"/>
          </w:tcPr>
          <w:p w14:paraId="11125622" w14:textId="77777777" w:rsidR="00B80AA5" w:rsidRPr="006778C9" w:rsidRDefault="00B80AA5" w:rsidP="00591FB8">
            <w:pPr>
              <w:spacing w:before="20" w:after="20" w:line="240" w:lineRule="auto"/>
              <w:jc w:val="both"/>
              <w:rPr>
                <w:rFonts w:ascii="Arial Narrow" w:eastAsia="Cambria" w:hAnsi="Arial Narrow" w:cs="Arial"/>
                <w:sz w:val="20"/>
                <w:szCs w:val="20"/>
              </w:rPr>
            </w:pPr>
            <w:r w:rsidRPr="006778C9">
              <w:rPr>
                <w:rFonts w:ascii="Arial Narrow" w:hAnsi="Arial Narrow" w:cs="Arial"/>
                <w:sz w:val="20"/>
                <w:szCs w:val="20"/>
              </w:rPr>
              <w:t>Broj lokacija na kojima se može vršiti koncesiona djelatnost</w:t>
            </w:r>
          </w:p>
        </w:tc>
        <w:tc>
          <w:tcPr>
            <w:tcW w:w="1469" w:type="dxa"/>
            <w:gridSpan w:val="5"/>
            <w:shd w:val="clear" w:color="auto" w:fill="auto"/>
          </w:tcPr>
          <w:p w14:paraId="077F021D"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NI:Uprava za vode</w:t>
            </w:r>
          </w:p>
          <w:p w14:paraId="2E80C902" w14:textId="77777777" w:rsidR="00B80AA5" w:rsidRPr="006778C9" w:rsidRDefault="00B80AA5" w:rsidP="00591FB8">
            <w:pPr>
              <w:spacing w:before="20" w:after="20" w:line="240" w:lineRule="auto"/>
              <w:jc w:val="both"/>
              <w:rPr>
                <w:rFonts w:ascii="Arial Narrow" w:hAnsi="Arial Narrow" w:cs="Arial"/>
                <w:sz w:val="20"/>
                <w:szCs w:val="20"/>
              </w:rPr>
            </w:pPr>
          </w:p>
          <w:p w14:paraId="1DAC2D97"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NK:KEPIF</w:t>
            </w:r>
          </w:p>
        </w:tc>
        <w:tc>
          <w:tcPr>
            <w:tcW w:w="1638" w:type="dxa"/>
            <w:gridSpan w:val="3"/>
            <w:shd w:val="clear" w:color="auto" w:fill="auto"/>
          </w:tcPr>
          <w:p w14:paraId="715DC7DA"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 xml:space="preserve">I-III Q 2022. </w:t>
            </w:r>
          </w:p>
        </w:tc>
        <w:tc>
          <w:tcPr>
            <w:tcW w:w="2003" w:type="dxa"/>
            <w:gridSpan w:val="4"/>
            <w:shd w:val="clear" w:color="auto" w:fill="auto"/>
          </w:tcPr>
          <w:p w14:paraId="35C8F9C5"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Nijesu potrebna sredstva</w:t>
            </w:r>
          </w:p>
        </w:tc>
        <w:tc>
          <w:tcPr>
            <w:tcW w:w="1420" w:type="dxa"/>
            <w:gridSpan w:val="4"/>
            <w:shd w:val="clear" w:color="auto" w:fill="auto"/>
          </w:tcPr>
          <w:p w14:paraId="7A22D2E7"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w:t>
            </w:r>
          </w:p>
        </w:tc>
        <w:tc>
          <w:tcPr>
            <w:tcW w:w="2320" w:type="dxa"/>
            <w:gridSpan w:val="3"/>
            <w:shd w:val="clear" w:color="auto" w:fill="auto"/>
          </w:tcPr>
          <w:p w14:paraId="2501EE0B" w14:textId="77777777" w:rsidR="00B80AA5" w:rsidRPr="006778C9" w:rsidRDefault="00B80AA5" w:rsidP="00591FB8">
            <w:pPr>
              <w:tabs>
                <w:tab w:val="left" w:pos="8730"/>
              </w:tabs>
              <w:spacing w:after="0" w:line="240" w:lineRule="auto"/>
              <w:jc w:val="both"/>
              <w:rPr>
                <w:rFonts w:ascii="Arial Narrow" w:hAnsi="Arial Narrow" w:cs="Arial"/>
                <w:sz w:val="20"/>
                <w:szCs w:val="20"/>
              </w:rPr>
            </w:pPr>
            <w:r w:rsidRPr="006778C9">
              <w:rPr>
                <w:rFonts w:ascii="Arial Narrow" w:hAnsi="Arial Narrow" w:cs="Arial"/>
                <w:sz w:val="20"/>
                <w:szCs w:val="20"/>
              </w:rPr>
              <w:t>Na osnovu čl. 7 stav 1 Zakona o koncesijama („Službeni list CG“, br. 8/09 i 73/19), Vlada Crne Gore na sjednici od 9. septembra 2021. godine, donijela je Plan davanja koncesija u oblasti voda za 2021. godinu.</w:t>
            </w:r>
          </w:p>
        </w:tc>
      </w:tr>
      <w:tr w:rsidR="00B80AA5" w:rsidRPr="006778C9" w14:paraId="119A9EAB" w14:textId="77777777" w:rsidTr="00EA56E8">
        <w:trPr>
          <w:gridBefore w:val="1"/>
          <w:wBefore w:w="29" w:type="dxa"/>
        </w:trPr>
        <w:tc>
          <w:tcPr>
            <w:tcW w:w="740" w:type="dxa"/>
            <w:gridSpan w:val="3"/>
            <w:shd w:val="clear" w:color="auto" w:fill="auto"/>
          </w:tcPr>
          <w:p w14:paraId="1E941D52" w14:textId="77777777" w:rsidR="00B80AA5" w:rsidRPr="006778C9" w:rsidRDefault="00B80AA5" w:rsidP="00FD6B98">
            <w:pPr>
              <w:spacing w:before="20" w:after="20" w:line="240" w:lineRule="auto"/>
              <w:jc w:val="right"/>
              <w:rPr>
                <w:rFonts w:ascii="Arial Narrow" w:hAnsi="Arial Narrow" w:cs="Arial"/>
                <w:sz w:val="20"/>
                <w:szCs w:val="20"/>
              </w:rPr>
            </w:pPr>
            <w:r w:rsidRPr="006778C9">
              <w:rPr>
                <w:rFonts w:ascii="Arial Narrow" w:hAnsi="Arial Narrow" w:cs="Arial"/>
                <w:sz w:val="20"/>
                <w:szCs w:val="20"/>
              </w:rPr>
              <w:t>4.</w:t>
            </w:r>
          </w:p>
        </w:tc>
        <w:tc>
          <w:tcPr>
            <w:tcW w:w="2191" w:type="dxa"/>
            <w:gridSpan w:val="2"/>
            <w:shd w:val="clear" w:color="auto" w:fill="auto"/>
          </w:tcPr>
          <w:p w14:paraId="33359002" w14:textId="77777777" w:rsidR="00B80AA5" w:rsidRPr="006778C9" w:rsidRDefault="00B80AA5" w:rsidP="00591FB8">
            <w:pPr>
              <w:spacing w:before="20" w:after="20" w:line="240" w:lineRule="auto"/>
              <w:jc w:val="both"/>
              <w:rPr>
                <w:rFonts w:ascii="Arial Narrow" w:hAnsi="Arial Narrow" w:cs="Arial"/>
                <w:bCs/>
                <w:sz w:val="20"/>
                <w:szCs w:val="20"/>
              </w:rPr>
            </w:pPr>
            <w:r w:rsidRPr="006778C9">
              <w:rPr>
                <w:rFonts w:ascii="Arial Narrow" w:hAnsi="Arial Narrow" w:cs="Arial"/>
                <w:bCs/>
                <w:sz w:val="20"/>
                <w:szCs w:val="20"/>
              </w:rPr>
              <w:t>Izrada programa monitoringa voda za 2023</w:t>
            </w:r>
          </w:p>
        </w:tc>
        <w:tc>
          <w:tcPr>
            <w:tcW w:w="3105" w:type="dxa"/>
            <w:gridSpan w:val="3"/>
            <w:shd w:val="clear" w:color="auto" w:fill="auto"/>
          </w:tcPr>
          <w:p w14:paraId="28E25F90" w14:textId="77777777" w:rsidR="00B80AA5" w:rsidRPr="006778C9" w:rsidRDefault="00B80AA5" w:rsidP="00591FB8">
            <w:pPr>
              <w:numPr>
                <w:ilvl w:val="0"/>
                <w:numId w:val="8"/>
              </w:numPr>
              <w:spacing w:before="20" w:after="20" w:line="240" w:lineRule="auto"/>
              <w:contextualSpacing/>
              <w:jc w:val="both"/>
              <w:rPr>
                <w:rFonts w:ascii="Arial Narrow" w:eastAsia="Cambria" w:hAnsi="Arial Narrow" w:cs="Arial"/>
                <w:color w:val="000000"/>
                <w:sz w:val="20"/>
                <w:szCs w:val="20"/>
              </w:rPr>
            </w:pPr>
            <w:r w:rsidRPr="006778C9">
              <w:rPr>
                <w:rFonts w:ascii="Arial Narrow" w:hAnsi="Arial Narrow" w:cs="Arial"/>
                <w:bCs/>
                <w:sz w:val="20"/>
                <w:szCs w:val="20"/>
              </w:rPr>
              <w:t>Povećan broj mjernih mjesta u 2022. godini na kojima se vrši monitoring u odnosu na 2021. godinu</w:t>
            </w:r>
          </w:p>
          <w:p w14:paraId="0F78F20E" w14:textId="77777777" w:rsidR="00B80AA5" w:rsidRPr="006778C9" w:rsidRDefault="00B80AA5" w:rsidP="00591FB8">
            <w:pPr>
              <w:numPr>
                <w:ilvl w:val="0"/>
                <w:numId w:val="8"/>
              </w:numPr>
              <w:spacing w:before="20" w:after="20" w:line="240" w:lineRule="auto"/>
              <w:contextualSpacing/>
              <w:jc w:val="both"/>
              <w:rPr>
                <w:rFonts w:ascii="Arial Narrow" w:eastAsia="Cambria" w:hAnsi="Arial Narrow" w:cs="Arial"/>
                <w:color w:val="000000"/>
                <w:sz w:val="20"/>
                <w:szCs w:val="20"/>
              </w:rPr>
            </w:pPr>
            <w:r w:rsidRPr="006778C9">
              <w:rPr>
                <w:rFonts w:ascii="Arial Narrow" w:hAnsi="Arial Narrow" w:cs="Arial"/>
                <w:bCs/>
                <w:sz w:val="20"/>
                <w:szCs w:val="20"/>
              </w:rPr>
              <w:lastRenderedPageBreak/>
              <w:t>Uspostavljanje Programa monitoringa voda usklađenog sa Okvirnom direktivom o vodama</w:t>
            </w:r>
          </w:p>
        </w:tc>
        <w:tc>
          <w:tcPr>
            <w:tcW w:w="1469" w:type="dxa"/>
            <w:gridSpan w:val="5"/>
            <w:shd w:val="clear" w:color="auto" w:fill="auto"/>
          </w:tcPr>
          <w:p w14:paraId="2DEAB54A"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lastRenderedPageBreak/>
              <w:t xml:space="preserve">NI:Ministarstvo poljoprivrede, šumarstva i vodoprivrede   </w:t>
            </w:r>
          </w:p>
          <w:p w14:paraId="2039A62F" w14:textId="77777777" w:rsidR="00B80AA5" w:rsidRPr="006778C9" w:rsidRDefault="00B80AA5" w:rsidP="00591FB8">
            <w:pPr>
              <w:spacing w:before="20" w:after="20" w:line="240" w:lineRule="auto"/>
              <w:jc w:val="both"/>
              <w:rPr>
                <w:rFonts w:ascii="Arial Narrow" w:hAnsi="Arial Narrow" w:cs="Arial"/>
                <w:sz w:val="20"/>
                <w:szCs w:val="20"/>
              </w:rPr>
            </w:pPr>
          </w:p>
          <w:p w14:paraId="5EA92BCB"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lastRenderedPageBreak/>
              <w:t>NI:ZHMS</w:t>
            </w:r>
          </w:p>
          <w:p w14:paraId="1B01F8F8" w14:textId="77777777" w:rsidR="00B80AA5" w:rsidRPr="006778C9" w:rsidRDefault="00B80AA5" w:rsidP="00591FB8">
            <w:pPr>
              <w:spacing w:before="20" w:after="20" w:line="240" w:lineRule="auto"/>
              <w:jc w:val="both"/>
              <w:rPr>
                <w:rFonts w:ascii="Arial Narrow" w:hAnsi="Arial Narrow" w:cs="Arial"/>
                <w:sz w:val="20"/>
                <w:szCs w:val="20"/>
              </w:rPr>
            </w:pPr>
          </w:p>
          <w:p w14:paraId="35B8FCFD"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NK:KEPIF</w:t>
            </w:r>
          </w:p>
        </w:tc>
        <w:tc>
          <w:tcPr>
            <w:tcW w:w="1638" w:type="dxa"/>
            <w:gridSpan w:val="3"/>
            <w:shd w:val="clear" w:color="auto" w:fill="auto"/>
          </w:tcPr>
          <w:p w14:paraId="14CE46E9"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lastRenderedPageBreak/>
              <w:t>IV Q 2022.</w:t>
            </w:r>
          </w:p>
          <w:p w14:paraId="488319AF" w14:textId="77777777" w:rsidR="00B80AA5" w:rsidRPr="006778C9" w:rsidRDefault="00B80AA5" w:rsidP="00591FB8">
            <w:pPr>
              <w:spacing w:before="20" w:after="20" w:line="240" w:lineRule="auto"/>
              <w:jc w:val="both"/>
              <w:rPr>
                <w:rFonts w:ascii="Arial Narrow" w:hAnsi="Arial Narrow" w:cs="Arial"/>
                <w:sz w:val="20"/>
                <w:szCs w:val="20"/>
              </w:rPr>
            </w:pPr>
          </w:p>
        </w:tc>
        <w:tc>
          <w:tcPr>
            <w:tcW w:w="2003" w:type="dxa"/>
            <w:gridSpan w:val="4"/>
            <w:shd w:val="clear" w:color="auto" w:fill="auto"/>
          </w:tcPr>
          <w:p w14:paraId="687D1B86"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Planirana sredstva su iz Budžeta ZHMS.</w:t>
            </w:r>
          </w:p>
          <w:p w14:paraId="2295D26D"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Za utvrđivanje procjene uticaja propisa će biti urađena RIA.</w:t>
            </w:r>
          </w:p>
        </w:tc>
        <w:tc>
          <w:tcPr>
            <w:tcW w:w="1420" w:type="dxa"/>
            <w:gridSpan w:val="4"/>
            <w:shd w:val="clear" w:color="auto" w:fill="auto"/>
          </w:tcPr>
          <w:p w14:paraId="68B664E7" w14:textId="77777777" w:rsidR="00B80AA5" w:rsidRPr="006778C9" w:rsidRDefault="00B80AA5" w:rsidP="00591FB8">
            <w:pPr>
              <w:spacing w:before="20" w:after="20" w:line="240" w:lineRule="auto"/>
              <w:jc w:val="both"/>
              <w:rPr>
                <w:rFonts w:ascii="Arial Narrow" w:hAnsi="Arial Narrow" w:cs="Arial"/>
                <w:sz w:val="20"/>
                <w:szCs w:val="20"/>
              </w:rPr>
            </w:pPr>
            <w:r w:rsidRPr="006778C9">
              <w:rPr>
                <w:rFonts w:ascii="Arial Narrow" w:hAnsi="Arial Narrow" w:cs="Arial"/>
                <w:sz w:val="20"/>
                <w:szCs w:val="20"/>
              </w:rPr>
              <w:t>Budžet Crne Gore</w:t>
            </w:r>
          </w:p>
        </w:tc>
        <w:tc>
          <w:tcPr>
            <w:tcW w:w="2320" w:type="dxa"/>
            <w:gridSpan w:val="3"/>
            <w:shd w:val="clear" w:color="auto" w:fill="auto"/>
          </w:tcPr>
          <w:p w14:paraId="3849F2CC" w14:textId="77777777" w:rsidR="00B80AA5" w:rsidRPr="006778C9" w:rsidRDefault="00B80AA5" w:rsidP="00591FB8">
            <w:pPr>
              <w:spacing w:after="0" w:line="240" w:lineRule="auto"/>
              <w:jc w:val="both"/>
              <w:rPr>
                <w:rFonts w:ascii="Arial Narrow" w:hAnsi="Arial Narrow" w:cs="Arial"/>
                <w:color w:val="000000"/>
                <w:sz w:val="20"/>
                <w:szCs w:val="20"/>
              </w:rPr>
            </w:pPr>
            <w:r w:rsidRPr="006778C9">
              <w:rPr>
                <w:rFonts w:ascii="Arial Narrow" w:hAnsi="Arial Narrow" w:cs="Arial"/>
                <w:color w:val="000000"/>
                <w:sz w:val="20"/>
                <w:szCs w:val="20"/>
              </w:rPr>
              <w:t xml:space="preserve">Radi korišćenja i zaštite površinskih i podzemnih voda prate se kvalitativni i kvantitativni parametri </w:t>
            </w:r>
            <w:r w:rsidRPr="006778C9">
              <w:rPr>
                <w:rFonts w:ascii="Arial Narrow" w:hAnsi="Arial Narrow" w:cs="Arial"/>
                <w:color w:val="000000"/>
                <w:sz w:val="20"/>
                <w:szCs w:val="20"/>
              </w:rPr>
              <w:lastRenderedPageBreak/>
              <w:t>površinskih i podzemnih voda.</w:t>
            </w:r>
          </w:p>
          <w:p w14:paraId="07F43FC6" w14:textId="77777777" w:rsidR="00B80AA5" w:rsidRPr="006778C9" w:rsidRDefault="00B80AA5" w:rsidP="00591FB8">
            <w:pPr>
              <w:spacing w:after="0" w:line="240" w:lineRule="auto"/>
              <w:jc w:val="both"/>
              <w:rPr>
                <w:rFonts w:ascii="Arial Narrow" w:hAnsi="Arial Narrow" w:cs="Arial"/>
                <w:color w:val="000000"/>
                <w:sz w:val="20"/>
                <w:szCs w:val="20"/>
              </w:rPr>
            </w:pPr>
            <w:r w:rsidRPr="006778C9">
              <w:rPr>
                <w:rFonts w:ascii="Arial Narrow" w:hAnsi="Arial Narrow" w:cs="Arial"/>
                <w:color w:val="000000"/>
                <w:sz w:val="20"/>
                <w:szCs w:val="20"/>
              </w:rPr>
              <w:t>Osnov za donošenje Programa monitoringa površinskih i podzemnih voda za 2022. godinu sadržan je u članu 58 stav 4 Zakona o vodama (“Službeni list RCG”, br. 27/07  “Službeni list CG”, 47/11, 48/15 , 52/16  i 84/18 )kojim je utvrđeno  da se praćenje parametara  vrši  prema godišnjem programu monitoringa voda.Sredstva za sprovođenje godišnjeg programa obezbjeđuju se iz Buđzeta Crne Gore što je  definisano važećim Zakonom o vodama.</w:t>
            </w:r>
          </w:p>
          <w:p w14:paraId="403F433B" w14:textId="77777777" w:rsidR="00B80AA5" w:rsidRPr="006778C9" w:rsidRDefault="00B80AA5" w:rsidP="00591FB8">
            <w:pPr>
              <w:spacing w:after="0" w:line="240" w:lineRule="auto"/>
              <w:jc w:val="both"/>
              <w:rPr>
                <w:rFonts w:ascii="Arial Narrow" w:hAnsi="Arial Narrow" w:cs="Arial"/>
                <w:color w:val="000000"/>
                <w:sz w:val="20"/>
                <w:szCs w:val="20"/>
              </w:rPr>
            </w:pPr>
            <w:r w:rsidRPr="006778C9">
              <w:rPr>
                <w:rFonts w:ascii="Arial Narrow" w:hAnsi="Arial Narrow" w:cs="Arial"/>
                <w:color w:val="000000"/>
                <w:sz w:val="20"/>
                <w:szCs w:val="20"/>
              </w:rPr>
              <w:t>Monitoring voda je osnova  za pregled i procjenu statusa voda, kao i za planiranje upravljanja vodama</w:t>
            </w:r>
          </w:p>
          <w:p w14:paraId="56030008" w14:textId="77777777" w:rsidR="00B80AA5" w:rsidRPr="006778C9" w:rsidRDefault="00B80AA5" w:rsidP="00591FB8">
            <w:pPr>
              <w:spacing w:after="0" w:line="240" w:lineRule="auto"/>
              <w:jc w:val="both"/>
              <w:rPr>
                <w:rFonts w:ascii="Arial Narrow" w:hAnsi="Arial Narrow" w:cs="Arial"/>
                <w:color w:val="000000"/>
                <w:sz w:val="20"/>
                <w:szCs w:val="20"/>
              </w:rPr>
            </w:pPr>
          </w:p>
          <w:p w14:paraId="4C250554" w14:textId="77777777" w:rsidR="00B80AA5" w:rsidRPr="006778C9" w:rsidRDefault="00B80AA5" w:rsidP="00591FB8">
            <w:pPr>
              <w:spacing w:after="0" w:line="240" w:lineRule="auto"/>
              <w:jc w:val="both"/>
              <w:rPr>
                <w:rFonts w:ascii="Arial Narrow" w:hAnsi="Arial Narrow" w:cs="Arial"/>
                <w:color w:val="000000"/>
                <w:sz w:val="20"/>
                <w:szCs w:val="20"/>
              </w:rPr>
            </w:pPr>
            <w:r w:rsidRPr="006778C9">
              <w:rPr>
                <w:rFonts w:ascii="Arial Narrow" w:hAnsi="Arial Narrow" w:cs="Arial"/>
                <w:color w:val="000000"/>
                <w:sz w:val="20"/>
                <w:szCs w:val="20"/>
              </w:rPr>
              <w:t xml:space="preserve">Pored monitoringa površinskih voda, neophodno je vršiti i monitoring podzemnih voda u skladu sa zahtjevima zakonodavstva EU. </w:t>
            </w:r>
          </w:p>
          <w:p w14:paraId="434A39DD" w14:textId="77777777" w:rsidR="00B80AA5" w:rsidRPr="006778C9" w:rsidRDefault="00B80AA5" w:rsidP="00591FB8">
            <w:pPr>
              <w:tabs>
                <w:tab w:val="left" w:pos="8730"/>
              </w:tabs>
              <w:spacing w:after="0" w:line="240" w:lineRule="auto"/>
              <w:jc w:val="both"/>
              <w:rPr>
                <w:rFonts w:ascii="Arial Narrow" w:hAnsi="Arial Narrow" w:cs="Arial"/>
                <w:sz w:val="20"/>
                <w:szCs w:val="20"/>
              </w:rPr>
            </w:pPr>
          </w:p>
        </w:tc>
      </w:tr>
      <w:tr w:rsidR="00B80AA5" w:rsidRPr="006778C9" w14:paraId="3A4B2618" w14:textId="77777777" w:rsidTr="00EA56E8">
        <w:trPr>
          <w:gridAfter w:val="1"/>
          <w:wAfter w:w="30" w:type="dxa"/>
        </w:trPr>
        <w:tc>
          <w:tcPr>
            <w:tcW w:w="2978" w:type="dxa"/>
            <w:gridSpan w:val="7"/>
            <w:shd w:val="clear" w:color="auto" w:fill="D9E2F3"/>
          </w:tcPr>
          <w:p w14:paraId="73C5AF41"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 xml:space="preserve">Cilj </w:t>
            </w:r>
            <w:r>
              <w:rPr>
                <w:rFonts w:ascii="Arial Narrow" w:hAnsi="Arial Narrow" w:cs="Arial"/>
                <w:b/>
                <w:sz w:val="20"/>
                <w:szCs w:val="20"/>
              </w:rPr>
              <w:t>3.</w:t>
            </w:r>
            <w:r w:rsidRPr="006778C9">
              <w:rPr>
                <w:rFonts w:ascii="Arial Narrow" w:hAnsi="Arial Narrow" w:cs="Arial"/>
                <w:b/>
                <w:sz w:val="20"/>
                <w:szCs w:val="20"/>
              </w:rPr>
              <w:t>8</w:t>
            </w:r>
            <w:r>
              <w:rPr>
                <w:rFonts w:ascii="Arial Narrow" w:hAnsi="Arial Narrow" w:cs="Arial"/>
                <w:b/>
                <w:sz w:val="20"/>
                <w:szCs w:val="20"/>
              </w:rPr>
              <w:t>.</w:t>
            </w:r>
          </w:p>
        </w:tc>
        <w:tc>
          <w:tcPr>
            <w:tcW w:w="11907" w:type="dxa"/>
            <w:gridSpan w:val="20"/>
            <w:shd w:val="clear" w:color="auto" w:fill="D9E2F3"/>
          </w:tcPr>
          <w:p w14:paraId="01E1461B" w14:textId="77777777" w:rsidR="00B80AA5" w:rsidRPr="006778C9" w:rsidRDefault="00B80AA5" w:rsidP="00FD6B98">
            <w:pPr>
              <w:spacing w:before="40" w:after="40"/>
              <w:jc w:val="both"/>
              <w:rPr>
                <w:rFonts w:ascii="Arial Narrow" w:hAnsi="Arial Narrow" w:cs="Arial"/>
                <w:b/>
                <w:sz w:val="20"/>
                <w:szCs w:val="20"/>
              </w:rPr>
            </w:pPr>
            <w:r w:rsidRPr="006778C9">
              <w:rPr>
                <w:rFonts w:ascii="Arial Narrow" w:hAnsi="Arial Narrow" w:cs="Arial"/>
                <w:b/>
                <w:sz w:val="20"/>
                <w:szCs w:val="20"/>
              </w:rPr>
              <w:t>Unaprijeđeno upravljanje šumama i razvoj drvne industrije na bazi potencijala naših šuma</w:t>
            </w:r>
          </w:p>
        </w:tc>
      </w:tr>
      <w:tr w:rsidR="00B80AA5" w:rsidRPr="006778C9" w14:paraId="5E4365B8" w14:textId="77777777" w:rsidTr="00EA56E8">
        <w:trPr>
          <w:gridAfter w:val="1"/>
          <w:wAfter w:w="30" w:type="dxa"/>
        </w:trPr>
        <w:tc>
          <w:tcPr>
            <w:tcW w:w="2978" w:type="dxa"/>
            <w:gridSpan w:val="7"/>
            <w:shd w:val="clear" w:color="auto" w:fill="DAF2F6"/>
          </w:tcPr>
          <w:p w14:paraId="7001279B"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Indikator učinka</w:t>
            </w:r>
          </w:p>
        </w:tc>
        <w:tc>
          <w:tcPr>
            <w:tcW w:w="3118" w:type="dxa"/>
            <w:gridSpan w:val="3"/>
            <w:shd w:val="clear" w:color="auto" w:fill="DAF2F6"/>
          </w:tcPr>
          <w:p w14:paraId="775961B0"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Polazna vrijednost – 2021.g</w:t>
            </w:r>
          </w:p>
        </w:tc>
        <w:tc>
          <w:tcPr>
            <w:tcW w:w="3119" w:type="dxa"/>
            <w:gridSpan w:val="8"/>
            <w:shd w:val="clear" w:color="auto" w:fill="DAF2F6"/>
            <w:vAlign w:val="center"/>
          </w:tcPr>
          <w:p w14:paraId="3B058ADC"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Prelazna vrijednost – 2022.g</w:t>
            </w:r>
          </w:p>
        </w:tc>
        <w:tc>
          <w:tcPr>
            <w:tcW w:w="3402" w:type="dxa"/>
            <w:gridSpan w:val="8"/>
            <w:tcBorders>
              <w:bottom w:val="single" w:sz="4" w:space="0" w:color="FFFFFF"/>
            </w:tcBorders>
            <w:shd w:val="clear" w:color="auto" w:fill="DAF2F6"/>
            <w:vAlign w:val="center"/>
          </w:tcPr>
          <w:p w14:paraId="5EACDF61"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Prelazna vrijednost – 2023.g</w:t>
            </w:r>
          </w:p>
        </w:tc>
        <w:tc>
          <w:tcPr>
            <w:tcW w:w="2268" w:type="dxa"/>
            <w:tcBorders>
              <w:bottom w:val="single" w:sz="4" w:space="0" w:color="FFFFFF"/>
            </w:tcBorders>
            <w:shd w:val="clear" w:color="auto" w:fill="DAF2F6"/>
            <w:vAlign w:val="center"/>
          </w:tcPr>
          <w:p w14:paraId="290274B1"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Ciljna vrijednost - 2024.g</w:t>
            </w:r>
          </w:p>
        </w:tc>
      </w:tr>
      <w:tr w:rsidR="00B80AA5" w:rsidRPr="006778C9" w14:paraId="5F93710D" w14:textId="77777777" w:rsidTr="00EA56E8">
        <w:trPr>
          <w:gridAfter w:val="1"/>
          <w:wAfter w:w="30" w:type="dxa"/>
        </w:trPr>
        <w:tc>
          <w:tcPr>
            <w:tcW w:w="2978" w:type="dxa"/>
            <w:gridSpan w:val="7"/>
            <w:shd w:val="clear" w:color="auto" w:fill="DAF2F6"/>
          </w:tcPr>
          <w:p w14:paraId="5AA21F41" w14:textId="77777777" w:rsidR="00B80AA5" w:rsidRPr="00AE274D" w:rsidRDefault="00B80AA5" w:rsidP="00FD6B98">
            <w:pPr>
              <w:spacing w:before="40" w:after="40"/>
              <w:rPr>
                <w:rFonts w:ascii="Arial Narrow" w:hAnsi="Arial Narrow" w:cs="Arial"/>
                <w:bCs/>
                <w:sz w:val="20"/>
                <w:szCs w:val="20"/>
              </w:rPr>
            </w:pPr>
            <w:r w:rsidRPr="00AE274D">
              <w:rPr>
                <w:rFonts w:ascii="Arial Narrow" w:hAnsi="Arial Narrow" w:cs="Arial"/>
                <w:bCs/>
                <w:sz w:val="20"/>
                <w:szCs w:val="20"/>
              </w:rPr>
              <w:t>Ukupan broj službenika koji koriste softver za planiranje</w:t>
            </w:r>
          </w:p>
        </w:tc>
        <w:tc>
          <w:tcPr>
            <w:tcW w:w="3118" w:type="dxa"/>
            <w:gridSpan w:val="3"/>
            <w:shd w:val="clear" w:color="auto" w:fill="DAF2F6"/>
          </w:tcPr>
          <w:p w14:paraId="1895F188" w14:textId="77777777" w:rsidR="00B80AA5" w:rsidRPr="006778C9" w:rsidRDefault="00B80AA5" w:rsidP="00FD6B98">
            <w:pPr>
              <w:spacing w:before="40" w:after="40"/>
              <w:jc w:val="center"/>
              <w:rPr>
                <w:rFonts w:ascii="Arial Narrow" w:hAnsi="Arial Narrow" w:cs="Arial"/>
                <w:sz w:val="20"/>
                <w:szCs w:val="20"/>
              </w:rPr>
            </w:pPr>
            <w:r w:rsidRPr="006778C9">
              <w:rPr>
                <w:rFonts w:ascii="Arial Narrow" w:hAnsi="Arial Narrow" w:cs="Arial"/>
                <w:sz w:val="20"/>
                <w:szCs w:val="20"/>
              </w:rPr>
              <w:t>2</w:t>
            </w:r>
          </w:p>
        </w:tc>
        <w:tc>
          <w:tcPr>
            <w:tcW w:w="3119" w:type="dxa"/>
            <w:gridSpan w:val="8"/>
            <w:shd w:val="clear" w:color="auto" w:fill="DAF2F6"/>
          </w:tcPr>
          <w:p w14:paraId="4B5FBDFB" w14:textId="77777777" w:rsidR="00B80AA5" w:rsidRPr="006778C9" w:rsidRDefault="00B80AA5" w:rsidP="00FD6B98">
            <w:pPr>
              <w:spacing w:before="40" w:after="40"/>
              <w:jc w:val="center"/>
              <w:rPr>
                <w:rFonts w:ascii="Arial Narrow" w:hAnsi="Arial Narrow" w:cs="Arial"/>
                <w:sz w:val="20"/>
                <w:szCs w:val="20"/>
              </w:rPr>
            </w:pPr>
            <w:r w:rsidRPr="006778C9">
              <w:rPr>
                <w:rFonts w:ascii="Arial Narrow" w:hAnsi="Arial Narrow" w:cs="Arial"/>
                <w:sz w:val="20"/>
                <w:szCs w:val="20"/>
              </w:rPr>
              <w:t>5</w:t>
            </w:r>
          </w:p>
        </w:tc>
        <w:tc>
          <w:tcPr>
            <w:tcW w:w="3402" w:type="dxa"/>
            <w:gridSpan w:val="8"/>
            <w:shd w:val="clear" w:color="auto" w:fill="DAF2F6"/>
          </w:tcPr>
          <w:p w14:paraId="33081C47" w14:textId="77777777" w:rsidR="00B80AA5" w:rsidRPr="006778C9" w:rsidRDefault="00B80AA5" w:rsidP="00FD6B98">
            <w:pPr>
              <w:spacing w:before="40" w:after="40"/>
              <w:jc w:val="center"/>
              <w:rPr>
                <w:rFonts w:ascii="Arial Narrow" w:hAnsi="Arial Narrow" w:cs="Arial"/>
                <w:sz w:val="20"/>
                <w:szCs w:val="20"/>
              </w:rPr>
            </w:pPr>
            <w:r w:rsidRPr="006778C9">
              <w:rPr>
                <w:rFonts w:ascii="Arial Narrow" w:hAnsi="Arial Narrow" w:cs="Arial"/>
                <w:sz w:val="20"/>
                <w:szCs w:val="20"/>
              </w:rPr>
              <w:t>8</w:t>
            </w:r>
          </w:p>
        </w:tc>
        <w:tc>
          <w:tcPr>
            <w:tcW w:w="2268" w:type="dxa"/>
            <w:shd w:val="clear" w:color="auto" w:fill="DAF2F6"/>
          </w:tcPr>
          <w:p w14:paraId="59319E51" w14:textId="77777777" w:rsidR="00B80AA5" w:rsidRPr="006778C9" w:rsidRDefault="00B80AA5" w:rsidP="00FD6B98">
            <w:pPr>
              <w:spacing w:before="40" w:after="40"/>
              <w:jc w:val="center"/>
              <w:rPr>
                <w:rFonts w:ascii="Arial Narrow" w:hAnsi="Arial Narrow" w:cs="Arial"/>
                <w:sz w:val="20"/>
                <w:szCs w:val="20"/>
              </w:rPr>
            </w:pPr>
            <w:r w:rsidRPr="006778C9">
              <w:rPr>
                <w:rFonts w:ascii="Arial Narrow" w:hAnsi="Arial Narrow" w:cs="Arial"/>
                <w:sz w:val="20"/>
                <w:szCs w:val="20"/>
              </w:rPr>
              <w:t>12</w:t>
            </w:r>
          </w:p>
        </w:tc>
      </w:tr>
      <w:tr w:rsidR="00B80AA5" w:rsidRPr="006778C9" w14:paraId="7B1D164E" w14:textId="77777777" w:rsidTr="00EA56E8">
        <w:trPr>
          <w:gridAfter w:val="1"/>
          <w:wAfter w:w="30" w:type="dxa"/>
        </w:trPr>
        <w:tc>
          <w:tcPr>
            <w:tcW w:w="2978" w:type="dxa"/>
            <w:gridSpan w:val="7"/>
            <w:shd w:val="clear" w:color="auto" w:fill="DAF2F6"/>
          </w:tcPr>
          <w:p w14:paraId="3664E194" w14:textId="77777777" w:rsidR="00B80AA5" w:rsidRPr="00AE274D" w:rsidRDefault="00B80AA5" w:rsidP="00FD6B98">
            <w:pPr>
              <w:spacing w:before="40" w:after="40"/>
              <w:rPr>
                <w:rFonts w:ascii="Arial Narrow" w:hAnsi="Arial Narrow" w:cs="Arial"/>
                <w:bCs/>
                <w:sz w:val="20"/>
                <w:szCs w:val="20"/>
              </w:rPr>
            </w:pPr>
            <w:r w:rsidRPr="00AE274D">
              <w:rPr>
                <w:rFonts w:ascii="Arial Narrow" w:hAnsi="Arial Narrow" w:cs="Arial"/>
                <w:bCs/>
                <w:sz w:val="20"/>
                <w:szCs w:val="20"/>
              </w:rPr>
              <w:t xml:space="preserve">Procenat usaglašenosti nacionalne metodologije monitoringa </w:t>
            </w:r>
            <w:r w:rsidRPr="00AE274D">
              <w:rPr>
                <w:rFonts w:ascii="Arial Narrow" w:hAnsi="Arial Narrow" w:cs="Arial"/>
                <w:bCs/>
                <w:sz w:val="20"/>
                <w:szCs w:val="20"/>
              </w:rPr>
              <w:lastRenderedPageBreak/>
              <w:t>zdravstvenog stanja šuma i šteta od šumskih požara sa EU metodologijama</w:t>
            </w:r>
          </w:p>
        </w:tc>
        <w:tc>
          <w:tcPr>
            <w:tcW w:w="3118" w:type="dxa"/>
            <w:gridSpan w:val="3"/>
            <w:shd w:val="clear" w:color="auto" w:fill="DAF2F6"/>
          </w:tcPr>
          <w:p w14:paraId="572ECD25" w14:textId="77777777" w:rsidR="00B80AA5" w:rsidRPr="006778C9" w:rsidRDefault="00B80AA5" w:rsidP="00FD6B98">
            <w:pPr>
              <w:spacing w:before="40" w:after="40"/>
              <w:jc w:val="center"/>
              <w:rPr>
                <w:rFonts w:ascii="Arial Narrow" w:hAnsi="Arial Narrow" w:cs="Arial"/>
                <w:sz w:val="20"/>
                <w:szCs w:val="20"/>
              </w:rPr>
            </w:pPr>
            <w:r w:rsidRPr="006778C9">
              <w:rPr>
                <w:rFonts w:ascii="Arial Narrow" w:hAnsi="Arial Narrow" w:cs="Arial"/>
                <w:sz w:val="20"/>
                <w:szCs w:val="20"/>
              </w:rPr>
              <w:lastRenderedPageBreak/>
              <w:t>30%</w:t>
            </w:r>
          </w:p>
        </w:tc>
        <w:tc>
          <w:tcPr>
            <w:tcW w:w="3119" w:type="dxa"/>
            <w:gridSpan w:val="8"/>
            <w:shd w:val="clear" w:color="auto" w:fill="DAF2F6"/>
          </w:tcPr>
          <w:p w14:paraId="3980F13D" w14:textId="77777777" w:rsidR="00B80AA5" w:rsidRPr="006778C9" w:rsidRDefault="00B80AA5" w:rsidP="00FD6B98">
            <w:pPr>
              <w:spacing w:before="40" w:after="40"/>
              <w:jc w:val="center"/>
              <w:rPr>
                <w:rFonts w:ascii="Arial Narrow" w:hAnsi="Arial Narrow" w:cs="Arial"/>
                <w:sz w:val="20"/>
                <w:szCs w:val="20"/>
              </w:rPr>
            </w:pPr>
            <w:r w:rsidRPr="006778C9">
              <w:rPr>
                <w:rFonts w:ascii="Arial Narrow" w:hAnsi="Arial Narrow" w:cs="Arial"/>
                <w:sz w:val="20"/>
                <w:szCs w:val="20"/>
              </w:rPr>
              <w:t>60%</w:t>
            </w:r>
          </w:p>
        </w:tc>
        <w:tc>
          <w:tcPr>
            <w:tcW w:w="3402" w:type="dxa"/>
            <w:gridSpan w:val="8"/>
            <w:shd w:val="clear" w:color="auto" w:fill="DAF2F6"/>
          </w:tcPr>
          <w:p w14:paraId="22B3811C" w14:textId="77777777" w:rsidR="00B80AA5" w:rsidRPr="006778C9" w:rsidRDefault="00B80AA5" w:rsidP="00FD6B98">
            <w:pPr>
              <w:spacing w:before="40" w:after="40"/>
              <w:jc w:val="center"/>
              <w:rPr>
                <w:rFonts w:ascii="Arial Narrow" w:hAnsi="Arial Narrow" w:cs="Arial"/>
                <w:sz w:val="20"/>
                <w:szCs w:val="20"/>
              </w:rPr>
            </w:pPr>
            <w:r w:rsidRPr="006778C9">
              <w:rPr>
                <w:rFonts w:ascii="Arial Narrow" w:hAnsi="Arial Narrow" w:cs="Arial"/>
                <w:sz w:val="20"/>
                <w:szCs w:val="20"/>
              </w:rPr>
              <w:t>70%</w:t>
            </w:r>
          </w:p>
        </w:tc>
        <w:tc>
          <w:tcPr>
            <w:tcW w:w="2268" w:type="dxa"/>
            <w:shd w:val="clear" w:color="auto" w:fill="DAF2F6"/>
          </w:tcPr>
          <w:p w14:paraId="5B6CE1BE" w14:textId="77777777" w:rsidR="00B80AA5" w:rsidRPr="006778C9" w:rsidRDefault="00B80AA5" w:rsidP="00FD6B98">
            <w:pPr>
              <w:spacing w:before="40" w:after="40"/>
              <w:jc w:val="center"/>
              <w:rPr>
                <w:rFonts w:ascii="Arial Narrow" w:hAnsi="Arial Narrow" w:cs="Arial"/>
                <w:sz w:val="20"/>
                <w:szCs w:val="20"/>
              </w:rPr>
            </w:pPr>
            <w:r w:rsidRPr="006778C9">
              <w:rPr>
                <w:rFonts w:ascii="Arial Narrow" w:hAnsi="Arial Narrow" w:cs="Arial"/>
                <w:sz w:val="20"/>
                <w:szCs w:val="20"/>
              </w:rPr>
              <w:t>100%</w:t>
            </w:r>
          </w:p>
        </w:tc>
      </w:tr>
      <w:tr w:rsidR="00B80AA5" w:rsidRPr="006778C9" w14:paraId="64422ECF" w14:textId="77777777" w:rsidTr="00EA56E8">
        <w:trPr>
          <w:gridAfter w:val="1"/>
          <w:wAfter w:w="30" w:type="dxa"/>
        </w:trPr>
        <w:tc>
          <w:tcPr>
            <w:tcW w:w="2978" w:type="dxa"/>
            <w:gridSpan w:val="7"/>
            <w:shd w:val="clear" w:color="auto" w:fill="DAF2F6"/>
          </w:tcPr>
          <w:p w14:paraId="25ED97D6" w14:textId="77777777" w:rsidR="00B80AA5" w:rsidRPr="00AE274D" w:rsidRDefault="00B80AA5" w:rsidP="00FD6B98">
            <w:pPr>
              <w:spacing w:before="40" w:after="40"/>
              <w:rPr>
                <w:rFonts w:ascii="Arial Narrow" w:hAnsi="Arial Narrow" w:cs="Arial"/>
                <w:bCs/>
                <w:sz w:val="20"/>
                <w:szCs w:val="20"/>
              </w:rPr>
            </w:pPr>
            <w:r w:rsidRPr="00AE274D">
              <w:rPr>
                <w:rFonts w:ascii="Arial Narrow" w:hAnsi="Arial Narrow" w:cs="Arial"/>
                <w:bCs/>
                <w:sz w:val="20"/>
                <w:szCs w:val="20"/>
              </w:rPr>
              <w:t>Osnovano državno preduzeće  koje sprovodi proizvodne i komercijalne poslove u šumarstvu</w:t>
            </w:r>
          </w:p>
          <w:p w14:paraId="26E6BCFE" w14:textId="77777777" w:rsidR="00B80AA5" w:rsidRPr="00AE274D" w:rsidRDefault="00B80AA5" w:rsidP="00FD6B98">
            <w:pPr>
              <w:spacing w:before="40" w:after="40"/>
              <w:rPr>
                <w:rFonts w:ascii="Arial Narrow" w:hAnsi="Arial Narrow" w:cs="Arial"/>
                <w:bCs/>
                <w:sz w:val="20"/>
                <w:szCs w:val="20"/>
              </w:rPr>
            </w:pPr>
          </w:p>
        </w:tc>
        <w:tc>
          <w:tcPr>
            <w:tcW w:w="3118" w:type="dxa"/>
            <w:gridSpan w:val="3"/>
            <w:shd w:val="clear" w:color="auto" w:fill="DAF2F6"/>
            <w:vAlign w:val="center"/>
          </w:tcPr>
          <w:p w14:paraId="7CED245A" w14:textId="77777777" w:rsidR="00B80AA5" w:rsidRPr="006778C9" w:rsidRDefault="00B80AA5" w:rsidP="00FD6B98">
            <w:pPr>
              <w:spacing w:before="40" w:after="40"/>
              <w:rPr>
                <w:rFonts w:ascii="Arial Narrow" w:hAnsi="Arial Narrow" w:cs="Arial"/>
                <w:sz w:val="20"/>
                <w:szCs w:val="20"/>
              </w:rPr>
            </w:pPr>
            <w:r w:rsidRPr="006778C9">
              <w:rPr>
                <w:rFonts w:ascii="Arial Narrow" w:hAnsi="Arial Narrow" w:cs="Arial"/>
                <w:sz w:val="20"/>
                <w:szCs w:val="20"/>
              </w:rPr>
              <w:t xml:space="preserve">Donešena odluka o osnivanju </w:t>
            </w:r>
          </w:p>
        </w:tc>
        <w:tc>
          <w:tcPr>
            <w:tcW w:w="3119" w:type="dxa"/>
            <w:gridSpan w:val="8"/>
            <w:shd w:val="clear" w:color="auto" w:fill="DAF2F6"/>
            <w:vAlign w:val="center"/>
          </w:tcPr>
          <w:p w14:paraId="309886DC" w14:textId="77777777" w:rsidR="00B80AA5" w:rsidRPr="006778C9" w:rsidRDefault="00B80AA5" w:rsidP="00FD6B98">
            <w:pPr>
              <w:spacing w:before="40" w:after="40"/>
              <w:rPr>
                <w:rFonts w:ascii="Arial Narrow" w:hAnsi="Arial Narrow" w:cs="Arial"/>
                <w:sz w:val="20"/>
                <w:szCs w:val="20"/>
              </w:rPr>
            </w:pPr>
            <w:r w:rsidRPr="006778C9">
              <w:rPr>
                <w:rFonts w:ascii="Arial Narrow" w:hAnsi="Arial Narrow" w:cs="Arial"/>
                <w:sz w:val="20"/>
                <w:szCs w:val="20"/>
              </w:rPr>
              <w:t>Preduzeće se kadrovski i tehnički osposobljava, počinje sa proizvodnjom i preuzima komercijalne poslove u korišćenju šuma</w:t>
            </w:r>
          </w:p>
        </w:tc>
        <w:tc>
          <w:tcPr>
            <w:tcW w:w="3402" w:type="dxa"/>
            <w:gridSpan w:val="8"/>
            <w:shd w:val="clear" w:color="auto" w:fill="DAF2F6"/>
            <w:vAlign w:val="center"/>
          </w:tcPr>
          <w:p w14:paraId="667A6AA1" w14:textId="77777777" w:rsidR="00B80AA5" w:rsidRPr="006778C9" w:rsidRDefault="00B80AA5" w:rsidP="00FD6B98">
            <w:pPr>
              <w:spacing w:before="40" w:after="40"/>
              <w:rPr>
                <w:rFonts w:ascii="Arial Narrow" w:hAnsi="Arial Narrow" w:cs="Arial"/>
                <w:sz w:val="20"/>
                <w:szCs w:val="20"/>
              </w:rPr>
            </w:pPr>
            <w:r w:rsidRPr="006778C9">
              <w:rPr>
                <w:rFonts w:ascii="Arial Narrow" w:hAnsi="Arial Narrow" w:cs="Arial"/>
                <w:sz w:val="20"/>
                <w:szCs w:val="20"/>
              </w:rPr>
              <w:t xml:space="preserve">Preduzeće se kadrovski i tehnički osposobljava, povećava obim proizvodnje i isporučuje proizvode drvnoj industriji na dugoročnim osnovama </w:t>
            </w:r>
          </w:p>
        </w:tc>
        <w:tc>
          <w:tcPr>
            <w:tcW w:w="2268" w:type="dxa"/>
            <w:shd w:val="clear" w:color="auto" w:fill="DAF2F6"/>
            <w:vAlign w:val="center"/>
          </w:tcPr>
          <w:p w14:paraId="015991FC" w14:textId="77777777" w:rsidR="00B80AA5" w:rsidRPr="006778C9" w:rsidRDefault="00B80AA5" w:rsidP="00FD6B98">
            <w:pPr>
              <w:spacing w:before="40" w:after="40"/>
              <w:rPr>
                <w:rFonts w:ascii="Arial Narrow" w:hAnsi="Arial Narrow" w:cs="Arial"/>
                <w:sz w:val="20"/>
                <w:szCs w:val="20"/>
              </w:rPr>
            </w:pPr>
            <w:r w:rsidRPr="006778C9">
              <w:rPr>
                <w:rFonts w:ascii="Arial Narrow" w:hAnsi="Arial Narrow" w:cs="Arial"/>
                <w:sz w:val="20"/>
                <w:szCs w:val="20"/>
              </w:rPr>
              <w:t>Preduzeće u potpunosti vrši korišćenje šuma i prodaju drvnih proizvoda</w:t>
            </w:r>
          </w:p>
        </w:tc>
      </w:tr>
      <w:tr w:rsidR="00B80AA5" w:rsidRPr="006778C9" w14:paraId="148B8B66" w14:textId="77777777" w:rsidTr="00EA56E8">
        <w:trPr>
          <w:gridAfter w:val="1"/>
          <w:wAfter w:w="30" w:type="dxa"/>
        </w:trPr>
        <w:tc>
          <w:tcPr>
            <w:tcW w:w="2978" w:type="dxa"/>
            <w:gridSpan w:val="7"/>
            <w:shd w:val="clear" w:color="auto" w:fill="FFF2CC"/>
          </w:tcPr>
          <w:p w14:paraId="5A0AB93A" w14:textId="77777777" w:rsidR="00B80AA5" w:rsidRPr="006778C9" w:rsidRDefault="00B80AA5" w:rsidP="00FD6B98">
            <w:pPr>
              <w:spacing w:before="20" w:after="20"/>
              <w:jc w:val="center"/>
              <w:rPr>
                <w:rFonts w:ascii="Arial Narrow" w:hAnsi="Arial Narrow" w:cs="Arial"/>
                <w:b/>
                <w:sz w:val="20"/>
                <w:szCs w:val="20"/>
              </w:rPr>
            </w:pPr>
          </w:p>
          <w:p w14:paraId="6870DF4D" w14:textId="77777777" w:rsidR="00B80AA5" w:rsidRPr="006778C9" w:rsidRDefault="00B80AA5" w:rsidP="00FD6B98">
            <w:pPr>
              <w:spacing w:before="20" w:after="20"/>
              <w:jc w:val="center"/>
              <w:rPr>
                <w:rFonts w:ascii="Arial Narrow" w:hAnsi="Arial Narrow" w:cs="Arial"/>
                <w:b/>
                <w:sz w:val="20"/>
                <w:szCs w:val="20"/>
              </w:rPr>
            </w:pPr>
            <w:r w:rsidRPr="006778C9">
              <w:rPr>
                <w:rFonts w:ascii="Arial Narrow" w:hAnsi="Arial Narrow" w:cs="Arial"/>
                <w:b/>
                <w:sz w:val="20"/>
                <w:szCs w:val="20"/>
              </w:rPr>
              <w:t>Aktivnosti</w:t>
            </w:r>
          </w:p>
        </w:tc>
        <w:tc>
          <w:tcPr>
            <w:tcW w:w="3118" w:type="dxa"/>
            <w:gridSpan w:val="3"/>
            <w:shd w:val="clear" w:color="auto" w:fill="FFF2CC"/>
            <w:vAlign w:val="center"/>
          </w:tcPr>
          <w:p w14:paraId="4D338921" w14:textId="77777777" w:rsidR="00B80AA5" w:rsidRPr="006778C9" w:rsidRDefault="00B80AA5" w:rsidP="00FD6B98">
            <w:pPr>
              <w:spacing w:before="20" w:after="20"/>
              <w:jc w:val="center"/>
              <w:rPr>
                <w:rFonts w:ascii="Arial Narrow" w:hAnsi="Arial Narrow" w:cs="Arial"/>
                <w:b/>
                <w:sz w:val="20"/>
                <w:szCs w:val="20"/>
              </w:rPr>
            </w:pPr>
            <w:r w:rsidRPr="006778C9">
              <w:rPr>
                <w:rFonts w:ascii="Arial Narrow" w:hAnsi="Arial Narrow" w:cs="Arial"/>
                <w:b/>
                <w:sz w:val="20"/>
                <w:szCs w:val="20"/>
              </w:rPr>
              <w:t>Indikator rezultata</w:t>
            </w:r>
          </w:p>
        </w:tc>
        <w:tc>
          <w:tcPr>
            <w:tcW w:w="1276" w:type="dxa"/>
            <w:gridSpan w:val="2"/>
            <w:shd w:val="clear" w:color="auto" w:fill="FFF2CC"/>
            <w:vAlign w:val="center"/>
          </w:tcPr>
          <w:p w14:paraId="4D209001" w14:textId="77777777" w:rsidR="00B80AA5" w:rsidRPr="006778C9" w:rsidRDefault="00B80AA5" w:rsidP="00FD6B98">
            <w:pPr>
              <w:spacing w:before="20" w:after="20"/>
              <w:jc w:val="center"/>
              <w:rPr>
                <w:rFonts w:ascii="Arial Narrow" w:hAnsi="Arial Narrow" w:cs="Arial"/>
                <w:b/>
                <w:sz w:val="20"/>
                <w:szCs w:val="20"/>
              </w:rPr>
            </w:pPr>
            <w:r w:rsidRPr="006778C9">
              <w:rPr>
                <w:rFonts w:ascii="Arial Narrow" w:hAnsi="Arial Narrow" w:cs="Arial"/>
                <w:b/>
                <w:sz w:val="20"/>
                <w:szCs w:val="20"/>
              </w:rPr>
              <w:t>Nadležne institucije i nadležna komisija</w:t>
            </w:r>
          </w:p>
        </w:tc>
        <w:tc>
          <w:tcPr>
            <w:tcW w:w="1843" w:type="dxa"/>
            <w:gridSpan w:val="6"/>
            <w:shd w:val="clear" w:color="auto" w:fill="FFF2CC"/>
            <w:vAlign w:val="center"/>
          </w:tcPr>
          <w:p w14:paraId="7541481B" w14:textId="77777777" w:rsidR="00B80AA5" w:rsidRPr="006778C9" w:rsidRDefault="00B80AA5" w:rsidP="00FD6B98">
            <w:pPr>
              <w:spacing w:before="20" w:after="20"/>
              <w:jc w:val="center"/>
              <w:rPr>
                <w:rFonts w:ascii="Arial Narrow" w:hAnsi="Arial Narrow" w:cs="Arial"/>
                <w:b/>
                <w:sz w:val="20"/>
                <w:szCs w:val="20"/>
              </w:rPr>
            </w:pPr>
            <w:r w:rsidRPr="006778C9">
              <w:rPr>
                <w:rFonts w:ascii="Arial Narrow" w:hAnsi="Arial Narrow" w:cs="Arial"/>
                <w:b/>
                <w:sz w:val="20"/>
                <w:szCs w:val="20"/>
              </w:rPr>
              <w:t>Planirani početak i završetak aktivnosti</w:t>
            </w:r>
          </w:p>
        </w:tc>
        <w:tc>
          <w:tcPr>
            <w:tcW w:w="1701" w:type="dxa"/>
            <w:shd w:val="clear" w:color="auto" w:fill="FFF2CC"/>
            <w:vAlign w:val="center"/>
          </w:tcPr>
          <w:p w14:paraId="64783A87" w14:textId="77777777" w:rsidR="00B80AA5" w:rsidRPr="006778C9" w:rsidRDefault="00B80AA5" w:rsidP="00FD6B98">
            <w:pPr>
              <w:spacing w:before="20" w:after="20"/>
              <w:jc w:val="center"/>
              <w:rPr>
                <w:rFonts w:ascii="Arial Narrow" w:hAnsi="Arial Narrow" w:cs="Arial"/>
                <w:b/>
                <w:sz w:val="20"/>
                <w:szCs w:val="20"/>
              </w:rPr>
            </w:pPr>
            <w:r w:rsidRPr="006778C9">
              <w:rPr>
                <w:rFonts w:ascii="Arial Narrow" w:hAnsi="Arial Narrow" w:cs="Arial"/>
                <w:b/>
                <w:sz w:val="20"/>
                <w:szCs w:val="20"/>
              </w:rPr>
              <w:t>Sredstva za realizaciju  i informacija o izradi RIA</w:t>
            </w:r>
          </w:p>
        </w:tc>
        <w:tc>
          <w:tcPr>
            <w:tcW w:w="1701" w:type="dxa"/>
            <w:gridSpan w:val="7"/>
            <w:shd w:val="clear" w:color="auto" w:fill="FFF2CC"/>
            <w:vAlign w:val="center"/>
          </w:tcPr>
          <w:p w14:paraId="736A3DA8" w14:textId="77777777" w:rsidR="00B80AA5" w:rsidRPr="006778C9" w:rsidRDefault="00B80AA5" w:rsidP="00FD6B98">
            <w:pPr>
              <w:spacing w:before="20" w:after="20"/>
              <w:jc w:val="center"/>
              <w:rPr>
                <w:rFonts w:ascii="Arial Narrow" w:hAnsi="Arial Narrow" w:cs="Arial"/>
                <w:b/>
                <w:sz w:val="20"/>
                <w:szCs w:val="20"/>
              </w:rPr>
            </w:pPr>
            <w:r w:rsidRPr="006778C9">
              <w:rPr>
                <w:rFonts w:ascii="Arial Narrow" w:hAnsi="Arial Narrow" w:cs="Arial"/>
                <w:b/>
                <w:sz w:val="20"/>
                <w:szCs w:val="20"/>
              </w:rPr>
              <w:t xml:space="preserve"> Izvor finansiranja</w:t>
            </w:r>
          </w:p>
        </w:tc>
        <w:tc>
          <w:tcPr>
            <w:tcW w:w="2268" w:type="dxa"/>
            <w:shd w:val="clear" w:color="auto" w:fill="FFF2CC"/>
            <w:vAlign w:val="center"/>
          </w:tcPr>
          <w:p w14:paraId="4DCC5675" w14:textId="77777777" w:rsidR="00B80AA5" w:rsidRPr="006778C9" w:rsidRDefault="00B80AA5" w:rsidP="00FD6B98">
            <w:pPr>
              <w:spacing w:before="20" w:after="20"/>
              <w:jc w:val="center"/>
              <w:rPr>
                <w:rFonts w:ascii="Arial Narrow" w:hAnsi="Arial Narrow" w:cs="Arial"/>
                <w:b/>
                <w:sz w:val="20"/>
                <w:szCs w:val="20"/>
              </w:rPr>
            </w:pPr>
          </w:p>
          <w:p w14:paraId="331DAD3B" w14:textId="77777777" w:rsidR="00B80AA5" w:rsidRPr="006778C9" w:rsidRDefault="00B80AA5" w:rsidP="00FD6B98">
            <w:pPr>
              <w:spacing w:before="20" w:after="20"/>
              <w:jc w:val="center"/>
              <w:rPr>
                <w:rFonts w:ascii="Arial Narrow" w:hAnsi="Arial Narrow" w:cs="Arial"/>
                <w:b/>
                <w:sz w:val="20"/>
                <w:szCs w:val="20"/>
              </w:rPr>
            </w:pPr>
            <w:r w:rsidRPr="006778C9">
              <w:rPr>
                <w:rFonts w:ascii="Arial Narrow" w:hAnsi="Arial Narrow" w:cs="Arial"/>
                <w:b/>
                <w:sz w:val="20"/>
                <w:szCs w:val="20"/>
              </w:rPr>
              <w:t>Obrazloženje</w:t>
            </w:r>
          </w:p>
        </w:tc>
      </w:tr>
      <w:tr w:rsidR="00B80AA5" w:rsidRPr="006778C9" w14:paraId="0D15A37B" w14:textId="77777777" w:rsidTr="00EA56E8">
        <w:trPr>
          <w:gridAfter w:val="1"/>
          <w:wAfter w:w="30" w:type="dxa"/>
        </w:trPr>
        <w:tc>
          <w:tcPr>
            <w:tcW w:w="709" w:type="dxa"/>
            <w:gridSpan w:val="2"/>
            <w:shd w:val="clear" w:color="auto" w:fill="auto"/>
          </w:tcPr>
          <w:p w14:paraId="486F8F29" w14:textId="77777777" w:rsidR="00B80AA5" w:rsidRPr="006778C9" w:rsidRDefault="00B80AA5" w:rsidP="00FD6B98">
            <w:pPr>
              <w:spacing w:before="20" w:after="20"/>
              <w:jc w:val="right"/>
              <w:rPr>
                <w:rFonts w:ascii="Arial Narrow" w:hAnsi="Arial Narrow" w:cs="Arial"/>
                <w:sz w:val="20"/>
                <w:szCs w:val="20"/>
              </w:rPr>
            </w:pPr>
            <w:r w:rsidRPr="006778C9">
              <w:rPr>
                <w:rFonts w:ascii="Arial Narrow" w:hAnsi="Arial Narrow" w:cs="Arial"/>
                <w:sz w:val="20"/>
                <w:szCs w:val="20"/>
              </w:rPr>
              <w:t>1.</w:t>
            </w:r>
          </w:p>
        </w:tc>
        <w:tc>
          <w:tcPr>
            <w:tcW w:w="2269" w:type="dxa"/>
            <w:gridSpan w:val="5"/>
            <w:shd w:val="clear" w:color="auto" w:fill="auto"/>
            <w:vAlign w:val="center"/>
          </w:tcPr>
          <w:p w14:paraId="7AD40031"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Uraditi izmjene i dopune Zakona o šumama.</w:t>
            </w:r>
          </w:p>
        </w:tc>
        <w:tc>
          <w:tcPr>
            <w:tcW w:w="3118" w:type="dxa"/>
            <w:gridSpan w:val="3"/>
            <w:shd w:val="clear" w:color="auto" w:fill="auto"/>
            <w:vAlign w:val="center"/>
          </w:tcPr>
          <w:p w14:paraId="32185203"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Urađene izmjene i dopune Zakona o šumama.</w:t>
            </w:r>
          </w:p>
        </w:tc>
        <w:tc>
          <w:tcPr>
            <w:tcW w:w="1276" w:type="dxa"/>
            <w:gridSpan w:val="2"/>
            <w:shd w:val="clear" w:color="auto" w:fill="auto"/>
            <w:vAlign w:val="center"/>
          </w:tcPr>
          <w:p w14:paraId="6A0EFA74" w14:textId="77777777" w:rsidR="00B80AA5" w:rsidRPr="006778C9" w:rsidRDefault="00B80AA5" w:rsidP="00591FB8">
            <w:pPr>
              <w:spacing w:before="20" w:after="20"/>
              <w:jc w:val="both"/>
              <w:rPr>
                <w:rFonts w:ascii="Arial Narrow" w:hAnsi="Arial Narrow" w:cs="Arial"/>
                <w:sz w:val="20"/>
                <w:szCs w:val="20"/>
              </w:rPr>
            </w:pPr>
          </w:p>
          <w:p w14:paraId="5BAB2B46"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NI: MPSV,</w:t>
            </w:r>
          </w:p>
          <w:p w14:paraId="50A8154A" w14:textId="77777777" w:rsidR="00B80AA5" w:rsidRPr="006778C9" w:rsidRDefault="00B80AA5" w:rsidP="00591FB8">
            <w:pPr>
              <w:spacing w:before="20" w:after="20"/>
              <w:jc w:val="both"/>
              <w:rPr>
                <w:rFonts w:ascii="Arial Narrow" w:hAnsi="Arial Narrow" w:cs="Arial"/>
                <w:sz w:val="20"/>
                <w:szCs w:val="20"/>
              </w:rPr>
            </w:pPr>
          </w:p>
          <w:p w14:paraId="5B459132"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NK: KEPIF</w:t>
            </w:r>
          </w:p>
          <w:p w14:paraId="16E018C9" w14:textId="77777777" w:rsidR="00B80AA5" w:rsidRPr="006778C9" w:rsidRDefault="00B80AA5" w:rsidP="00591FB8">
            <w:pPr>
              <w:spacing w:before="20" w:after="20"/>
              <w:jc w:val="both"/>
              <w:rPr>
                <w:rFonts w:ascii="Arial Narrow" w:hAnsi="Arial Narrow" w:cs="Arial"/>
                <w:sz w:val="20"/>
                <w:szCs w:val="20"/>
              </w:rPr>
            </w:pPr>
          </w:p>
          <w:p w14:paraId="2E23A6E5" w14:textId="77777777" w:rsidR="00B80AA5" w:rsidRPr="006778C9" w:rsidRDefault="00B80AA5" w:rsidP="00591FB8">
            <w:pPr>
              <w:spacing w:before="20" w:after="20"/>
              <w:jc w:val="both"/>
              <w:rPr>
                <w:rFonts w:ascii="Arial Narrow" w:hAnsi="Arial Narrow" w:cs="Arial"/>
                <w:sz w:val="20"/>
                <w:szCs w:val="20"/>
              </w:rPr>
            </w:pPr>
          </w:p>
        </w:tc>
        <w:tc>
          <w:tcPr>
            <w:tcW w:w="1843" w:type="dxa"/>
            <w:gridSpan w:val="6"/>
            <w:shd w:val="clear" w:color="auto" w:fill="auto"/>
            <w:vAlign w:val="center"/>
          </w:tcPr>
          <w:p w14:paraId="28C66ACC" w14:textId="77777777" w:rsidR="00B80AA5" w:rsidRPr="006778C9" w:rsidRDefault="00B80AA5" w:rsidP="00591FB8">
            <w:pPr>
              <w:spacing w:before="20" w:after="20"/>
              <w:jc w:val="both"/>
              <w:rPr>
                <w:rFonts w:ascii="Arial Narrow" w:hAnsi="Arial Narrow" w:cs="Arial"/>
                <w:sz w:val="20"/>
                <w:szCs w:val="20"/>
              </w:rPr>
            </w:pPr>
          </w:p>
          <w:p w14:paraId="5EFBD226"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I-IV Q 2022.</w:t>
            </w:r>
          </w:p>
        </w:tc>
        <w:tc>
          <w:tcPr>
            <w:tcW w:w="1701" w:type="dxa"/>
            <w:shd w:val="clear" w:color="auto" w:fill="auto"/>
            <w:vAlign w:val="center"/>
          </w:tcPr>
          <w:p w14:paraId="7DB9E4ED"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Primjer: 5000 eura za angažovanje lokalnog konsultanta,</w:t>
            </w:r>
          </w:p>
          <w:p w14:paraId="5F90523B"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1500 eura za potrebe održavanja javne rasprave</w:t>
            </w:r>
          </w:p>
          <w:p w14:paraId="3EAF7E45"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Za utvrđivanje procjene uticaja propisa će biti urađena RIA.</w:t>
            </w:r>
          </w:p>
        </w:tc>
        <w:tc>
          <w:tcPr>
            <w:tcW w:w="1701" w:type="dxa"/>
            <w:gridSpan w:val="7"/>
            <w:shd w:val="clear" w:color="auto" w:fill="auto"/>
            <w:vAlign w:val="center"/>
          </w:tcPr>
          <w:p w14:paraId="6D8BF8ED" w14:textId="77777777" w:rsidR="00B80AA5" w:rsidRPr="006778C9" w:rsidRDefault="00B80AA5" w:rsidP="00591FB8">
            <w:pPr>
              <w:spacing w:before="20" w:after="20"/>
              <w:jc w:val="both"/>
              <w:rPr>
                <w:rFonts w:ascii="Arial Narrow" w:hAnsi="Arial Narrow" w:cs="Arial"/>
                <w:sz w:val="20"/>
                <w:szCs w:val="20"/>
              </w:rPr>
            </w:pPr>
          </w:p>
          <w:p w14:paraId="2DD99076"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Budžet,</w:t>
            </w:r>
          </w:p>
        </w:tc>
        <w:tc>
          <w:tcPr>
            <w:tcW w:w="2268" w:type="dxa"/>
            <w:shd w:val="clear" w:color="auto" w:fill="auto"/>
            <w:vAlign w:val="center"/>
          </w:tcPr>
          <w:p w14:paraId="0E87DC28" w14:textId="77777777" w:rsidR="00B80AA5" w:rsidRPr="006778C9" w:rsidRDefault="00B80AA5" w:rsidP="00591FB8">
            <w:pPr>
              <w:jc w:val="both"/>
              <w:rPr>
                <w:rFonts w:ascii="Arial Narrow" w:hAnsi="Arial Narrow" w:cs="Arial"/>
                <w:sz w:val="20"/>
                <w:szCs w:val="20"/>
              </w:rPr>
            </w:pPr>
            <w:r w:rsidRPr="006778C9">
              <w:rPr>
                <w:rFonts w:ascii="Arial Narrow" w:hAnsi="Arial Narrow" w:cs="Arial"/>
                <w:sz w:val="20"/>
                <w:szCs w:val="20"/>
              </w:rPr>
              <w:t xml:space="preserve">Reorganizacija šumarskog sektora i usklađivanje sa evropskim zakonodavstvom </w:t>
            </w:r>
          </w:p>
        </w:tc>
      </w:tr>
      <w:tr w:rsidR="00B80AA5" w:rsidRPr="006778C9" w14:paraId="7896702B" w14:textId="77777777" w:rsidTr="00EA56E8">
        <w:trPr>
          <w:gridAfter w:val="1"/>
          <w:wAfter w:w="30" w:type="dxa"/>
        </w:trPr>
        <w:tc>
          <w:tcPr>
            <w:tcW w:w="709" w:type="dxa"/>
            <w:gridSpan w:val="2"/>
            <w:shd w:val="clear" w:color="auto" w:fill="auto"/>
          </w:tcPr>
          <w:p w14:paraId="122D5AF6" w14:textId="77777777" w:rsidR="00B80AA5" w:rsidRPr="006778C9" w:rsidRDefault="00B80AA5" w:rsidP="00FD6B98">
            <w:pPr>
              <w:spacing w:before="20" w:after="20"/>
              <w:jc w:val="right"/>
              <w:rPr>
                <w:rFonts w:ascii="Arial Narrow" w:hAnsi="Arial Narrow" w:cs="Arial"/>
                <w:sz w:val="20"/>
                <w:szCs w:val="20"/>
              </w:rPr>
            </w:pPr>
            <w:r w:rsidRPr="006778C9">
              <w:rPr>
                <w:rFonts w:ascii="Arial Narrow" w:hAnsi="Arial Narrow" w:cs="Arial"/>
                <w:sz w:val="20"/>
                <w:szCs w:val="20"/>
              </w:rPr>
              <w:t>2.</w:t>
            </w:r>
          </w:p>
        </w:tc>
        <w:tc>
          <w:tcPr>
            <w:tcW w:w="2269" w:type="dxa"/>
            <w:gridSpan w:val="5"/>
            <w:shd w:val="clear" w:color="auto" w:fill="auto"/>
            <w:vAlign w:val="center"/>
          </w:tcPr>
          <w:p w14:paraId="71074876"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Izrada Strategije razvoja šuma i šumarstva za 2022-2026. godina</w:t>
            </w:r>
          </w:p>
        </w:tc>
        <w:tc>
          <w:tcPr>
            <w:tcW w:w="3118" w:type="dxa"/>
            <w:gridSpan w:val="3"/>
            <w:shd w:val="clear" w:color="auto" w:fill="auto"/>
            <w:vAlign w:val="center"/>
          </w:tcPr>
          <w:p w14:paraId="3F73C071"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Izrađena Strategije razvoja šuma i šumarstva za 2022-2026. godina sa Akcionim planom za 2023. godinu</w:t>
            </w:r>
          </w:p>
        </w:tc>
        <w:tc>
          <w:tcPr>
            <w:tcW w:w="1276" w:type="dxa"/>
            <w:gridSpan w:val="2"/>
            <w:shd w:val="clear" w:color="auto" w:fill="auto"/>
            <w:vAlign w:val="center"/>
          </w:tcPr>
          <w:p w14:paraId="56AA8657" w14:textId="77777777" w:rsidR="00B80AA5" w:rsidRPr="006778C9" w:rsidRDefault="00B80AA5" w:rsidP="00591FB8">
            <w:pPr>
              <w:spacing w:before="20" w:after="20"/>
              <w:jc w:val="both"/>
              <w:rPr>
                <w:rFonts w:ascii="Arial Narrow" w:hAnsi="Arial Narrow" w:cs="Arial"/>
                <w:sz w:val="20"/>
                <w:szCs w:val="20"/>
              </w:rPr>
            </w:pPr>
          </w:p>
          <w:p w14:paraId="66F0A8E5"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NI: MPSV,</w:t>
            </w:r>
          </w:p>
          <w:p w14:paraId="398C4B9C" w14:textId="77777777" w:rsidR="00B80AA5" w:rsidRPr="006778C9" w:rsidRDefault="00B80AA5" w:rsidP="00591FB8">
            <w:pPr>
              <w:spacing w:before="20" w:after="20"/>
              <w:jc w:val="both"/>
              <w:rPr>
                <w:rFonts w:ascii="Arial Narrow" w:hAnsi="Arial Narrow" w:cs="Arial"/>
                <w:sz w:val="20"/>
                <w:szCs w:val="20"/>
              </w:rPr>
            </w:pPr>
          </w:p>
          <w:p w14:paraId="563D6128"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NK: KEPIF</w:t>
            </w:r>
          </w:p>
          <w:p w14:paraId="0BC5324C" w14:textId="77777777" w:rsidR="00B80AA5" w:rsidRPr="006778C9" w:rsidRDefault="00B80AA5" w:rsidP="00591FB8">
            <w:pPr>
              <w:spacing w:before="20" w:after="20"/>
              <w:jc w:val="both"/>
              <w:rPr>
                <w:rFonts w:ascii="Arial Narrow" w:hAnsi="Arial Narrow" w:cs="Arial"/>
                <w:sz w:val="20"/>
                <w:szCs w:val="20"/>
              </w:rPr>
            </w:pPr>
          </w:p>
          <w:p w14:paraId="27273D44" w14:textId="77777777" w:rsidR="00B80AA5" w:rsidRPr="006778C9" w:rsidRDefault="00B80AA5" w:rsidP="00591FB8">
            <w:pPr>
              <w:spacing w:before="20" w:after="20"/>
              <w:jc w:val="both"/>
              <w:rPr>
                <w:rFonts w:ascii="Arial Narrow" w:hAnsi="Arial Narrow" w:cs="Arial"/>
                <w:sz w:val="20"/>
                <w:szCs w:val="20"/>
              </w:rPr>
            </w:pPr>
          </w:p>
        </w:tc>
        <w:tc>
          <w:tcPr>
            <w:tcW w:w="1843" w:type="dxa"/>
            <w:gridSpan w:val="6"/>
            <w:shd w:val="clear" w:color="auto" w:fill="auto"/>
            <w:vAlign w:val="center"/>
          </w:tcPr>
          <w:p w14:paraId="27662143"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I-II Q 2022</w:t>
            </w:r>
          </w:p>
          <w:p w14:paraId="1416CCBA" w14:textId="77777777" w:rsidR="00B80AA5" w:rsidRPr="006778C9" w:rsidRDefault="00B80AA5" w:rsidP="00591FB8">
            <w:pPr>
              <w:spacing w:before="20" w:after="20"/>
              <w:jc w:val="both"/>
              <w:rPr>
                <w:rFonts w:ascii="Arial Narrow" w:hAnsi="Arial Narrow" w:cs="Arial"/>
                <w:sz w:val="20"/>
                <w:szCs w:val="20"/>
              </w:rPr>
            </w:pPr>
          </w:p>
        </w:tc>
        <w:tc>
          <w:tcPr>
            <w:tcW w:w="1701" w:type="dxa"/>
            <w:shd w:val="clear" w:color="auto" w:fill="auto"/>
            <w:vAlign w:val="center"/>
          </w:tcPr>
          <w:p w14:paraId="49B8B6B0"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Angažovanje konsultanat 33.000 €. Za potrebe održavanja javne rasprave 2.000 € Za utvrđivanje procjene uticaja propisa će biti urađena RIA.</w:t>
            </w:r>
          </w:p>
        </w:tc>
        <w:tc>
          <w:tcPr>
            <w:tcW w:w="1701" w:type="dxa"/>
            <w:gridSpan w:val="7"/>
            <w:shd w:val="clear" w:color="auto" w:fill="auto"/>
            <w:vAlign w:val="center"/>
          </w:tcPr>
          <w:p w14:paraId="4E4563D7"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Budžet</w:t>
            </w:r>
          </w:p>
        </w:tc>
        <w:tc>
          <w:tcPr>
            <w:tcW w:w="2268" w:type="dxa"/>
            <w:shd w:val="clear" w:color="auto" w:fill="auto"/>
            <w:vAlign w:val="center"/>
          </w:tcPr>
          <w:p w14:paraId="57140A24" w14:textId="77777777" w:rsidR="00B80AA5" w:rsidRPr="006778C9" w:rsidRDefault="00B80AA5" w:rsidP="00591FB8">
            <w:pPr>
              <w:jc w:val="both"/>
              <w:rPr>
                <w:rFonts w:ascii="Arial Narrow" w:hAnsi="Arial Narrow" w:cs="Arial"/>
                <w:sz w:val="20"/>
                <w:szCs w:val="20"/>
              </w:rPr>
            </w:pPr>
            <w:r w:rsidRPr="006778C9">
              <w:rPr>
                <w:rFonts w:ascii="Arial Narrow" w:hAnsi="Arial Narrow" w:cs="Arial"/>
                <w:sz w:val="20"/>
                <w:szCs w:val="20"/>
              </w:rPr>
              <w:t>Strategijom će se na osnovu analize stanja i evaluacije prethodne Strategije utvrditi  strateški ciljevi  i definisati operativni ciljevi za razvoj šumarstva u Crnoj Gori.</w:t>
            </w:r>
          </w:p>
          <w:p w14:paraId="36D5FB84" w14:textId="77777777" w:rsidR="00B80AA5" w:rsidRPr="006778C9" w:rsidRDefault="00B80AA5" w:rsidP="00591FB8">
            <w:pPr>
              <w:jc w:val="both"/>
              <w:rPr>
                <w:rFonts w:ascii="Arial Narrow" w:hAnsi="Arial Narrow" w:cs="Arial"/>
                <w:sz w:val="20"/>
                <w:szCs w:val="20"/>
              </w:rPr>
            </w:pPr>
            <w:r w:rsidRPr="006778C9">
              <w:rPr>
                <w:rFonts w:ascii="Arial Narrow" w:hAnsi="Arial Narrow" w:cs="Arial"/>
                <w:sz w:val="20"/>
                <w:szCs w:val="20"/>
              </w:rPr>
              <w:t xml:space="preserve">Akcionim planom će se definisati aktivnosti, čije sprovodjenje doprinosi realizaciji strateških i operativnih ciljeva, nadležne institucije za sprovođenje, rokovi za realizaciju, </w:t>
            </w:r>
            <w:r w:rsidRPr="006778C9">
              <w:rPr>
                <w:rFonts w:ascii="Arial Narrow" w:hAnsi="Arial Narrow" w:cs="Arial"/>
                <w:sz w:val="20"/>
                <w:szCs w:val="20"/>
              </w:rPr>
              <w:lastRenderedPageBreak/>
              <w:t>indikatori učinka, budžetska sredstva za realizaciju aktivnosti, izvori finansiranja i druga pitanja od značaja za sprovođenje Strategije, za  period 2022-2023. godina.</w:t>
            </w:r>
          </w:p>
          <w:p w14:paraId="4A1EDB22" w14:textId="77777777" w:rsidR="00B80AA5" w:rsidRPr="006778C9" w:rsidRDefault="00B80AA5" w:rsidP="00591FB8">
            <w:pPr>
              <w:jc w:val="both"/>
              <w:rPr>
                <w:rFonts w:ascii="Arial Narrow" w:hAnsi="Arial Narrow" w:cs="Arial"/>
                <w:sz w:val="20"/>
                <w:szCs w:val="20"/>
              </w:rPr>
            </w:pPr>
            <w:r w:rsidRPr="006778C9">
              <w:rPr>
                <w:rFonts w:ascii="Arial Narrow" w:hAnsi="Arial Narrow" w:cs="Arial"/>
                <w:sz w:val="20"/>
                <w:szCs w:val="20"/>
              </w:rPr>
              <w:t>Preliminarna analiza uticaja propisa (RIA): Propis će imati uticaja na poslovni ambijent, građane i budžet Crne Gore, zbog čega će u procesu njegove pripreme biti urađena detaljna RIA.</w:t>
            </w:r>
          </w:p>
          <w:p w14:paraId="1CC97B93" w14:textId="77777777" w:rsidR="00B80AA5" w:rsidRPr="006778C9" w:rsidRDefault="00B80AA5" w:rsidP="00591FB8">
            <w:pPr>
              <w:spacing w:before="20" w:after="20"/>
              <w:jc w:val="both"/>
              <w:rPr>
                <w:rFonts w:ascii="Arial Narrow" w:hAnsi="Arial Narrow" w:cs="Arial"/>
                <w:sz w:val="20"/>
                <w:szCs w:val="20"/>
              </w:rPr>
            </w:pPr>
          </w:p>
        </w:tc>
      </w:tr>
      <w:tr w:rsidR="00B80AA5" w:rsidRPr="006778C9" w14:paraId="298804DE" w14:textId="77777777" w:rsidTr="00EA56E8">
        <w:trPr>
          <w:gridAfter w:val="1"/>
          <w:wAfter w:w="30" w:type="dxa"/>
        </w:trPr>
        <w:tc>
          <w:tcPr>
            <w:tcW w:w="709" w:type="dxa"/>
            <w:gridSpan w:val="2"/>
            <w:shd w:val="clear" w:color="auto" w:fill="auto"/>
          </w:tcPr>
          <w:p w14:paraId="3E5A238C" w14:textId="77777777" w:rsidR="00B80AA5" w:rsidRPr="006778C9" w:rsidRDefault="00B80AA5" w:rsidP="00FD6B98">
            <w:pPr>
              <w:spacing w:before="20" w:after="20"/>
              <w:jc w:val="right"/>
              <w:rPr>
                <w:rFonts w:ascii="Arial Narrow" w:hAnsi="Arial Narrow" w:cs="Arial"/>
                <w:sz w:val="20"/>
                <w:szCs w:val="20"/>
              </w:rPr>
            </w:pPr>
            <w:r w:rsidRPr="006778C9">
              <w:rPr>
                <w:rFonts w:ascii="Arial Narrow" w:hAnsi="Arial Narrow" w:cs="Arial"/>
                <w:sz w:val="20"/>
                <w:szCs w:val="20"/>
              </w:rPr>
              <w:t>3.</w:t>
            </w:r>
          </w:p>
        </w:tc>
        <w:tc>
          <w:tcPr>
            <w:tcW w:w="2269" w:type="dxa"/>
            <w:gridSpan w:val="5"/>
            <w:shd w:val="clear" w:color="auto" w:fill="auto"/>
            <w:vAlign w:val="center"/>
          </w:tcPr>
          <w:p w14:paraId="23128A80"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Donošenje programa gazdovanja šumama za 2022. godinu sa Izvještajem  o realizaciji Programa gazdovanja šumama u 2020. godinu (Izvještaj o radu Uprave za šume)</w:t>
            </w:r>
          </w:p>
        </w:tc>
        <w:tc>
          <w:tcPr>
            <w:tcW w:w="3118" w:type="dxa"/>
            <w:gridSpan w:val="3"/>
            <w:shd w:val="clear" w:color="auto" w:fill="auto"/>
            <w:vAlign w:val="center"/>
          </w:tcPr>
          <w:p w14:paraId="195825C5"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Donošenje programa gazdovanja šumama za 2022. godinu sa Izvještajem  o realizaciji Programa gazdovanja šumama u 2020. godinu (Izvještaj o radu Uprave za šume)</w:t>
            </w:r>
          </w:p>
        </w:tc>
        <w:tc>
          <w:tcPr>
            <w:tcW w:w="1276" w:type="dxa"/>
            <w:gridSpan w:val="2"/>
            <w:shd w:val="clear" w:color="auto" w:fill="auto"/>
            <w:vAlign w:val="center"/>
          </w:tcPr>
          <w:p w14:paraId="65ADC52A"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NI: MPŠV, Uprava za šume</w:t>
            </w:r>
          </w:p>
          <w:p w14:paraId="5671CADA" w14:textId="77777777" w:rsidR="00B80AA5" w:rsidRPr="006778C9" w:rsidRDefault="00B80AA5" w:rsidP="00591FB8">
            <w:pPr>
              <w:spacing w:before="20" w:after="20"/>
              <w:jc w:val="both"/>
              <w:rPr>
                <w:rFonts w:ascii="Arial Narrow" w:hAnsi="Arial Narrow" w:cs="Arial"/>
                <w:sz w:val="20"/>
                <w:szCs w:val="20"/>
              </w:rPr>
            </w:pPr>
          </w:p>
          <w:p w14:paraId="667FEAEE"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NK: KEPIF</w:t>
            </w:r>
          </w:p>
          <w:p w14:paraId="54648F37" w14:textId="77777777" w:rsidR="00B80AA5" w:rsidRPr="006778C9" w:rsidRDefault="00B80AA5" w:rsidP="00591FB8">
            <w:pPr>
              <w:spacing w:before="20" w:after="20"/>
              <w:jc w:val="both"/>
              <w:rPr>
                <w:rFonts w:ascii="Arial Narrow" w:hAnsi="Arial Narrow" w:cs="Arial"/>
                <w:sz w:val="20"/>
                <w:szCs w:val="20"/>
              </w:rPr>
            </w:pPr>
          </w:p>
        </w:tc>
        <w:tc>
          <w:tcPr>
            <w:tcW w:w="1843" w:type="dxa"/>
            <w:gridSpan w:val="6"/>
            <w:shd w:val="clear" w:color="auto" w:fill="auto"/>
            <w:vAlign w:val="center"/>
          </w:tcPr>
          <w:p w14:paraId="30D71A42"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I Q 2022.</w:t>
            </w:r>
          </w:p>
          <w:p w14:paraId="47171152" w14:textId="77777777" w:rsidR="00B80AA5" w:rsidRPr="006778C9" w:rsidRDefault="00B80AA5" w:rsidP="00591FB8">
            <w:pPr>
              <w:spacing w:before="20" w:after="20"/>
              <w:jc w:val="both"/>
              <w:rPr>
                <w:rFonts w:ascii="Arial Narrow" w:hAnsi="Arial Narrow" w:cs="Arial"/>
                <w:sz w:val="20"/>
                <w:szCs w:val="20"/>
              </w:rPr>
            </w:pPr>
          </w:p>
        </w:tc>
        <w:tc>
          <w:tcPr>
            <w:tcW w:w="1701" w:type="dxa"/>
            <w:shd w:val="clear" w:color="auto" w:fill="auto"/>
            <w:vAlign w:val="center"/>
          </w:tcPr>
          <w:p w14:paraId="5B004B3B" w14:textId="77777777" w:rsidR="00B80AA5" w:rsidRPr="006778C9" w:rsidRDefault="00B80AA5" w:rsidP="00591FB8">
            <w:pPr>
              <w:spacing w:before="20" w:after="20"/>
              <w:jc w:val="both"/>
              <w:rPr>
                <w:rFonts w:ascii="Arial Narrow" w:hAnsi="Arial Narrow" w:cs="Arial"/>
                <w:sz w:val="20"/>
                <w:szCs w:val="20"/>
              </w:rPr>
            </w:pPr>
          </w:p>
          <w:p w14:paraId="35530B79"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Za utvrđivanje procjene uticaja propisa će biti urađena RIA.</w:t>
            </w:r>
          </w:p>
        </w:tc>
        <w:tc>
          <w:tcPr>
            <w:tcW w:w="1701" w:type="dxa"/>
            <w:gridSpan w:val="7"/>
            <w:shd w:val="clear" w:color="auto" w:fill="auto"/>
            <w:vAlign w:val="center"/>
          </w:tcPr>
          <w:p w14:paraId="4DEBF028"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Budžet</w:t>
            </w:r>
          </w:p>
        </w:tc>
        <w:tc>
          <w:tcPr>
            <w:tcW w:w="2268" w:type="dxa"/>
            <w:shd w:val="clear" w:color="auto" w:fill="auto"/>
            <w:vAlign w:val="center"/>
          </w:tcPr>
          <w:p w14:paraId="6F690825" w14:textId="77777777" w:rsidR="00B80AA5" w:rsidRPr="006778C9" w:rsidRDefault="00B80AA5" w:rsidP="00591FB8">
            <w:pPr>
              <w:jc w:val="both"/>
              <w:rPr>
                <w:rFonts w:ascii="Arial Narrow" w:hAnsi="Arial Narrow" w:cs="Arial"/>
                <w:sz w:val="20"/>
                <w:szCs w:val="20"/>
              </w:rPr>
            </w:pPr>
            <w:r w:rsidRPr="006778C9">
              <w:rPr>
                <w:rFonts w:ascii="Arial Narrow" w:hAnsi="Arial Narrow" w:cs="Arial"/>
                <w:sz w:val="20"/>
                <w:szCs w:val="20"/>
              </w:rPr>
              <w:t xml:space="preserve">Ovim programom utvrdiće se obim mjera i aktivnosti na gazdovanju šumama u u 2022. godini </w:t>
            </w:r>
          </w:p>
          <w:p w14:paraId="2B6A5693"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Izvještaj o realizaciji Programa u 2021. godini će sadržati rezultate sprovedenih aktivnosti u prethodnoj godini</w:t>
            </w:r>
          </w:p>
        </w:tc>
      </w:tr>
      <w:tr w:rsidR="00B80AA5" w:rsidRPr="006778C9" w14:paraId="1355931B" w14:textId="77777777" w:rsidTr="00EA56E8">
        <w:trPr>
          <w:gridAfter w:val="1"/>
          <w:wAfter w:w="30" w:type="dxa"/>
        </w:trPr>
        <w:tc>
          <w:tcPr>
            <w:tcW w:w="709" w:type="dxa"/>
            <w:gridSpan w:val="2"/>
            <w:shd w:val="clear" w:color="auto" w:fill="auto"/>
          </w:tcPr>
          <w:p w14:paraId="622F8CB7" w14:textId="77777777" w:rsidR="00B80AA5" w:rsidRPr="006778C9" w:rsidRDefault="00B80AA5" w:rsidP="00FD6B98">
            <w:pPr>
              <w:spacing w:before="20" w:after="20"/>
              <w:jc w:val="right"/>
              <w:rPr>
                <w:rFonts w:ascii="Arial Narrow" w:hAnsi="Arial Narrow" w:cs="Arial"/>
                <w:sz w:val="20"/>
                <w:szCs w:val="20"/>
              </w:rPr>
            </w:pPr>
            <w:r w:rsidRPr="006778C9">
              <w:rPr>
                <w:rFonts w:ascii="Arial Narrow" w:hAnsi="Arial Narrow" w:cs="Arial"/>
                <w:sz w:val="20"/>
                <w:szCs w:val="20"/>
              </w:rPr>
              <w:t>4.</w:t>
            </w:r>
          </w:p>
        </w:tc>
        <w:tc>
          <w:tcPr>
            <w:tcW w:w="2269" w:type="dxa"/>
            <w:gridSpan w:val="5"/>
            <w:shd w:val="clear" w:color="auto" w:fill="auto"/>
            <w:vAlign w:val="center"/>
          </w:tcPr>
          <w:p w14:paraId="5536410A"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Sertifikacija šuma u državnom vlasništvu po FSC metodologiji</w:t>
            </w:r>
          </w:p>
        </w:tc>
        <w:tc>
          <w:tcPr>
            <w:tcW w:w="3118" w:type="dxa"/>
            <w:gridSpan w:val="3"/>
            <w:shd w:val="clear" w:color="auto" w:fill="auto"/>
            <w:vAlign w:val="center"/>
          </w:tcPr>
          <w:p w14:paraId="1D6A0071"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Dobijen FSC sertifikat</w:t>
            </w:r>
          </w:p>
        </w:tc>
        <w:tc>
          <w:tcPr>
            <w:tcW w:w="1276" w:type="dxa"/>
            <w:gridSpan w:val="2"/>
            <w:shd w:val="clear" w:color="auto" w:fill="auto"/>
            <w:vAlign w:val="center"/>
          </w:tcPr>
          <w:p w14:paraId="069FA06F"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NI: MPŠV</w:t>
            </w:r>
          </w:p>
        </w:tc>
        <w:tc>
          <w:tcPr>
            <w:tcW w:w="1843" w:type="dxa"/>
            <w:gridSpan w:val="6"/>
            <w:shd w:val="clear" w:color="auto" w:fill="auto"/>
            <w:vAlign w:val="center"/>
          </w:tcPr>
          <w:p w14:paraId="34DA6A56"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I-IV Q 2022</w:t>
            </w:r>
          </w:p>
        </w:tc>
        <w:tc>
          <w:tcPr>
            <w:tcW w:w="1701" w:type="dxa"/>
            <w:shd w:val="clear" w:color="auto" w:fill="auto"/>
            <w:vAlign w:val="center"/>
          </w:tcPr>
          <w:p w14:paraId="3A2E3EEF"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Javni poziv za sertifikaciju šuma na iznos od 35.000 €.</w:t>
            </w:r>
          </w:p>
          <w:p w14:paraId="1B311A90"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 xml:space="preserve"> Za utvrđivanje procjene uticaja propisa će biti urađena RIA.</w:t>
            </w:r>
          </w:p>
        </w:tc>
        <w:tc>
          <w:tcPr>
            <w:tcW w:w="1701" w:type="dxa"/>
            <w:gridSpan w:val="7"/>
            <w:shd w:val="clear" w:color="auto" w:fill="auto"/>
            <w:vAlign w:val="center"/>
          </w:tcPr>
          <w:p w14:paraId="45D4C195"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Budžet</w:t>
            </w:r>
          </w:p>
        </w:tc>
        <w:tc>
          <w:tcPr>
            <w:tcW w:w="2268" w:type="dxa"/>
            <w:shd w:val="clear" w:color="auto" w:fill="auto"/>
            <w:vAlign w:val="center"/>
          </w:tcPr>
          <w:p w14:paraId="0E133E9C" w14:textId="77777777" w:rsidR="00B80AA5" w:rsidRPr="006778C9" w:rsidRDefault="00B80AA5" w:rsidP="00591FB8">
            <w:pPr>
              <w:autoSpaceDE w:val="0"/>
              <w:autoSpaceDN w:val="0"/>
              <w:adjustRightInd w:val="0"/>
              <w:jc w:val="both"/>
              <w:rPr>
                <w:rFonts w:ascii="Arial Narrow" w:hAnsi="Arial Narrow" w:cs="Arial"/>
                <w:sz w:val="20"/>
                <w:szCs w:val="20"/>
              </w:rPr>
            </w:pPr>
          </w:p>
        </w:tc>
      </w:tr>
      <w:tr w:rsidR="00B80AA5" w:rsidRPr="006778C9" w14:paraId="48C035F3" w14:textId="77777777" w:rsidTr="00EA56E8">
        <w:trPr>
          <w:gridAfter w:val="1"/>
          <w:wAfter w:w="30" w:type="dxa"/>
        </w:trPr>
        <w:tc>
          <w:tcPr>
            <w:tcW w:w="709" w:type="dxa"/>
            <w:gridSpan w:val="2"/>
            <w:shd w:val="clear" w:color="auto" w:fill="auto"/>
          </w:tcPr>
          <w:p w14:paraId="54F941A2" w14:textId="77777777" w:rsidR="00B80AA5" w:rsidRPr="006778C9" w:rsidRDefault="00B80AA5" w:rsidP="00FD6B98">
            <w:pPr>
              <w:spacing w:before="20" w:after="20"/>
              <w:jc w:val="right"/>
              <w:rPr>
                <w:rFonts w:ascii="Arial Narrow" w:hAnsi="Arial Narrow" w:cs="Arial"/>
                <w:sz w:val="20"/>
                <w:szCs w:val="20"/>
              </w:rPr>
            </w:pPr>
            <w:r w:rsidRPr="006778C9">
              <w:rPr>
                <w:rFonts w:ascii="Arial Narrow" w:hAnsi="Arial Narrow" w:cs="Arial"/>
                <w:sz w:val="20"/>
                <w:szCs w:val="20"/>
              </w:rPr>
              <w:t>5.</w:t>
            </w:r>
          </w:p>
        </w:tc>
        <w:tc>
          <w:tcPr>
            <w:tcW w:w="2269" w:type="dxa"/>
            <w:gridSpan w:val="5"/>
            <w:shd w:val="clear" w:color="auto" w:fill="auto"/>
            <w:vAlign w:val="center"/>
          </w:tcPr>
          <w:p w14:paraId="7957C0FC"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Plan razvoja šuma, sa Strateškom procjenom uticaja na životnu sredinu za dvije opštine</w:t>
            </w:r>
          </w:p>
        </w:tc>
        <w:tc>
          <w:tcPr>
            <w:tcW w:w="3118" w:type="dxa"/>
            <w:gridSpan w:val="3"/>
            <w:shd w:val="clear" w:color="auto" w:fill="auto"/>
            <w:vAlign w:val="center"/>
          </w:tcPr>
          <w:p w14:paraId="36937B48"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Izrađeni Planovi razvoja šuma, sa Strateškom procjenom uticaja na životnu sredinu za dvije opštine</w:t>
            </w:r>
          </w:p>
        </w:tc>
        <w:tc>
          <w:tcPr>
            <w:tcW w:w="1276" w:type="dxa"/>
            <w:gridSpan w:val="2"/>
            <w:shd w:val="clear" w:color="auto" w:fill="auto"/>
            <w:vAlign w:val="center"/>
          </w:tcPr>
          <w:p w14:paraId="52ED5D2F"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NI: MPŠV</w:t>
            </w:r>
          </w:p>
          <w:p w14:paraId="771CC0B8"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NK: KEPIF</w:t>
            </w:r>
          </w:p>
        </w:tc>
        <w:tc>
          <w:tcPr>
            <w:tcW w:w="1843" w:type="dxa"/>
            <w:gridSpan w:val="6"/>
            <w:shd w:val="clear" w:color="auto" w:fill="auto"/>
            <w:vAlign w:val="center"/>
          </w:tcPr>
          <w:p w14:paraId="251A3B39"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II-IV Q 2022</w:t>
            </w:r>
          </w:p>
        </w:tc>
        <w:tc>
          <w:tcPr>
            <w:tcW w:w="1701" w:type="dxa"/>
            <w:shd w:val="clear" w:color="auto" w:fill="auto"/>
            <w:vAlign w:val="center"/>
          </w:tcPr>
          <w:p w14:paraId="7A5EAE3B"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Potrebna sredstva su 30.000€.</w:t>
            </w:r>
          </w:p>
          <w:p w14:paraId="1D4EF3F0"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 xml:space="preserve">Za utvrđivanje procjene uticaja </w:t>
            </w:r>
            <w:r w:rsidRPr="006778C9">
              <w:rPr>
                <w:rFonts w:ascii="Arial Narrow" w:hAnsi="Arial Narrow" w:cs="Arial"/>
                <w:sz w:val="20"/>
                <w:szCs w:val="20"/>
              </w:rPr>
              <w:lastRenderedPageBreak/>
              <w:t>propisa će biti urađena RIA.</w:t>
            </w:r>
          </w:p>
        </w:tc>
        <w:tc>
          <w:tcPr>
            <w:tcW w:w="1701" w:type="dxa"/>
            <w:gridSpan w:val="7"/>
            <w:shd w:val="clear" w:color="auto" w:fill="auto"/>
            <w:vAlign w:val="center"/>
          </w:tcPr>
          <w:p w14:paraId="78F1043E"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lastRenderedPageBreak/>
              <w:t>Budžet</w:t>
            </w:r>
          </w:p>
        </w:tc>
        <w:tc>
          <w:tcPr>
            <w:tcW w:w="2268" w:type="dxa"/>
            <w:shd w:val="clear" w:color="auto" w:fill="auto"/>
            <w:vAlign w:val="center"/>
          </w:tcPr>
          <w:p w14:paraId="513CB85B" w14:textId="77777777" w:rsidR="00B80AA5" w:rsidRPr="006778C9" w:rsidRDefault="00B80AA5" w:rsidP="00591FB8">
            <w:pPr>
              <w:pStyle w:val="1tekst"/>
              <w:ind w:firstLine="0"/>
              <w:rPr>
                <w:rFonts w:ascii="Arial Narrow" w:eastAsia="Calibri" w:hAnsi="Arial Narrow" w:cs="Arial"/>
                <w:sz w:val="20"/>
                <w:szCs w:val="20"/>
                <w:lang w:val="sr-Latn-ME"/>
              </w:rPr>
            </w:pPr>
            <w:r w:rsidRPr="006778C9">
              <w:rPr>
                <w:rFonts w:ascii="Arial Narrow" w:eastAsia="Calibri" w:hAnsi="Arial Narrow" w:cs="Arial"/>
                <w:sz w:val="20"/>
                <w:szCs w:val="20"/>
                <w:lang w:val="sr-Latn-ME"/>
              </w:rPr>
              <w:t xml:space="preserve">Plan razvoja šuma čini prikaz stanja šuma u šumskom području sa namjenom šuma i </w:t>
            </w:r>
            <w:r w:rsidRPr="006778C9">
              <w:rPr>
                <w:rFonts w:ascii="Arial Narrow" w:eastAsia="Calibri" w:hAnsi="Arial Narrow" w:cs="Arial"/>
                <w:sz w:val="20"/>
                <w:szCs w:val="20"/>
                <w:lang w:val="sr-Latn-ME"/>
              </w:rPr>
              <w:lastRenderedPageBreak/>
              <w:t>šumskog zemljišta za to područje.</w:t>
            </w:r>
          </w:p>
          <w:p w14:paraId="21796263" w14:textId="77777777" w:rsidR="00B80AA5" w:rsidRPr="006778C9" w:rsidRDefault="00B80AA5" w:rsidP="00591FB8">
            <w:pPr>
              <w:pStyle w:val="1tekst"/>
              <w:ind w:firstLine="0"/>
              <w:rPr>
                <w:rFonts w:ascii="Arial Narrow" w:eastAsia="Calibri" w:hAnsi="Arial Narrow" w:cs="Arial"/>
                <w:sz w:val="20"/>
                <w:szCs w:val="20"/>
                <w:lang w:val="sr-Latn-ME"/>
              </w:rPr>
            </w:pPr>
            <w:r w:rsidRPr="006778C9">
              <w:rPr>
                <w:rFonts w:ascii="Arial Narrow" w:eastAsia="Calibri" w:hAnsi="Arial Narrow" w:cs="Arial"/>
                <w:sz w:val="20"/>
                <w:szCs w:val="20"/>
                <w:lang w:val="sr-Latn-ME"/>
              </w:rPr>
              <w:t>Planom razvoja šuma obuhvaćene su šume u državnoj i privatnoj svojini.</w:t>
            </w:r>
          </w:p>
        </w:tc>
      </w:tr>
      <w:tr w:rsidR="00B80AA5" w:rsidRPr="006778C9" w14:paraId="43A61F46" w14:textId="77777777" w:rsidTr="00EA56E8">
        <w:trPr>
          <w:gridAfter w:val="1"/>
          <w:wAfter w:w="30" w:type="dxa"/>
        </w:trPr>
        <w:tc>
          <w:tcPr>
            <w:tcW w:w="709" w:type="dxa"/>
            <w:gridSpan w:val="2"/>
            <w:shd w:val="clear" w:color="auto" w:fill="auto"/>
          </w:tcPr>
          <w:p w14:paraId="10E277C8" w14:textId="77777777" w:rsidR="00B80AA5" w:rsidRPr="006778C9" w:rsidRDefault="00B80AA5" w:rsidP="00FD6B98">
            <w:pPr>
              <w:spacing w:before="20" w:after="20"/>
              <w:jc w:val="right"/>
              <w:rPr>
                <w:rFonts w:ascii="Arial Narrow" w:hAnsi="Arial Narrow" w:cs="Arial"/>
                <w:sz w:val="20"/>
                <w:szCs w:val="20"/>
              </w:rPr>
            </w:pPr>
            <w:r w:rsidRPr="006778C9">
              <w:rPr>
                <w:rFonts w:ascii="Arial Narrow" w:hAnsi="Arial Narrow" w:cs="Arial"/>
                <w:sz w:val="20"/>
                <w:szCs w:val="20"/>
              </w:rPr>
              <w:t>6.</w:t>
            </w:r>
          </w:p>
        </w:tc>
        <w:tc>
          <w:tcPr>
            <w:tcW w:w="2269" w:type="dxa"/>
            <w:gridSpan w:val="5"/>
            <w:shd w:val="clear" w:color="auto" w:fill="auto"/>
          </w:tcPr>
          <w:p w14:paraId="5B19F897" w14:textId="77777777" w:rsidR="00B80AA5" w:rsidRPr="006778C9" w:rsidRDefault="00B80AA5" w:rsidP="00FD6B98">
            <w:pPr>
              <w:spacing w:before="20" w:after="20"/>
              <w:rPr>
                <w:rFonts w:ascii="Arial Narrow" w:hAnsi="Arial Narrow" w:cs="Arial"/>
                <w:i/>
                <w:sz w:val="20"/>
                <w:szCs w:val="20"/>
              </w:rPr>
            </w:pPr>
            <w:r w:rsidRPr="006778C9">
              <w:rPr>
                <w:rFonts w:ascii="Arial Narrow" w:hAnsi="Arial Narrow" w:cs="Arial"/>
                <w:sz w:val="20"/>
                <w:szCs w:val="20"/>
              </w:rPr>
              <w:t xml:space="preserve">Tehnički izvještaj o zdravstvenom stanju šuma u 2022. godini </w:t>
            </w:r>
          </w:p>
        </w:tc>
        <w:tc>
          <w:tcPr>
            <w:tcW w:w="3118" w:type="dxa"/>
            <w:gridSpan w:val="3"/>
            <w:shd w:val="clear" w:color="auto" w:fill="auto"/>
          </w:tcPr>
          <w:p w14:paraId="0E6296E5" w14:textId="77777777" w:rsidR="00B80AA5" w:rsidRPr="006778C9" w:rsidRDefault="00B80AA5" w:rsidP="00FD6B98">
            <w:pPr>
              <w:spacing w:before="20" w:after="20"/>
              <w:rPr>
                <w:rFonts w:ascii="Arial Narrow" w:hAnsi="Arial Narrow" w:cs="Arial"/>
                <w:sz w:val="20"/>
                <w:szCs w:val="20"/>
              </w:rPr>
            </w:pPr>
            <w:r w:rsidRPr="006778C9">
              <w:rPr>
                <w:rFonts w:ascii="Arial Narrow" w:hAnsi="Arial Narrow" w:cs="Arial"/>
                <w:sz w:val="20"/>
                <w:szCs w:val="20"/>
              </w:rPr>
              <w:t>Urađen Izvještaj po                   (ICP-metodologija) (www.icpforests.org)</w:t>
            </w:r>
          </w:p>
        </w:tc>
        <w:tc>
          <w:tcPr>
            <w:tcW w:w="1276" w:type="dxa"/>
            <w:gridSpan w:val="2"/>
            <w:shd w:val="clear" w:color="auto" w:fill="auto"/>
          </w:tcPr>
          <w:p w14:paraId="77438117" w14:textId="77777777" w:rsidR="00B80AA5" w:rsidRPr="006778C9" w:rsidRDefault="00B80AA5" w:rsidP="00FD6B98">
            <w:pPr>
              <w:spacing w:before="20" w:after="20"/>
              <w:rPr>
                <w:rFonts w:ascii="Arial Narrow" w:hAnsi="Arial Narrow" w:cs="Arial"/>
                <w:sz w:val="20"/>
                <w:szCs w:val="20"/>
              </w:rPr>
            </w:pPr>
            <w:r w:rsidRPr="006778C9">
              <w:rPr>
                <w:rFonts w:ascii="Arial Narrow" w:hAnsi="Arial Narrow" w:cs="Arial"/>
                <w:sz w:val="20"/>
                <w:szCs w:val="20"/>
              </w:rPr>
              <w:t>NI: MPŠV</w:t>
            </w:r>
          </w:p>
          <w:p w14:paraId="73BC4E82" w14:textId="77777777" w:rsidR="00B80AA5" w:rsidRPr="006778C9" w:rsidRDefault="00B80AA5" w:rsidP="00FD6B98">
            <w:pPr>
              <w:spacing w:before="20" w:after="20"/>
              <w:rPr>
                <w:rFonts w:ascii="Arial Narrow" w:hAnsi="Arial Narrow" w:cs="Arial"/>
                <w:sz w:val="20"/>
                <w:szCs w:val="20"/>
              </w:rPr>
            </w:pPr>
          </w:p>
        </w:tc>
        <w:tc>
          <w:tcPr>
            <w:tcW w:w="1843" w:type="dxa"/>
            <w:gridSpan w:val="6"/>
            <w:shd w:val="clear" w:color="auto" w:fill="auto"/>
          </w:tcPr>
          <w:p w14:paraId="1A1CB482" w14:textId="77777777" w:rsidR="00B80AA5" w:rsidRPr="006778C9" w:rsidRDefault="00B80AA5" w:rsidP="00FD6B98">
            <w:pPr>
              <w:spacing w:before="20" w:after="20"/>
              <w:rPr>
                <w:rFonts w:ascii="Arial Narrow" w:hAnsi="Arial Narrow" w:cs="Arial"/>
                <w:sz w:val="20"/>
                <w:szCs w:val="20"/>
              </w:rPr>
            </w:pPr>
            <w:r w:rsidRPr="006778C9">
              <w:rPr>
                <w:rFonts w:ascii="Arial Narrow" w:hAnsi="Arial Narrow" w:cs="Arial"/>
                <w:sz w:val="20"/>
                <w:szCs w:val="20"/>
              </w:rPr>
              <w:t>II-IV Q 2022</w:t>
            </w:r>
          </w:p>
        </w:tc>
        <w:tc>
          <w:tcPr>
            <w:tcW w:w="1701" w:type="dxa"/>
            <w:shd w:val="clear" w:color="auto" w:fill="auto"/>
          </w:tcPr>
          <w:p w14:paraId="5A45ACA0" w14:textId="77777777" w:rsidR="00B80AA5" w:rsidRPr="006778C9" w:rsidRDefault="00B80AA5" w:rsidP="00FD6B98">
            <w:pPr>
              <w:spacing w:before="20" w:after="20"/>
              <w:rPr>
                <w:rFonts w:ascii="Arial Narrow" w:hAnsi="Arial Narrow" w:cs="Arial"/>
                <w:sz w:val="20"/>
                <w:szCs w:val="20"/>
              </w:rPr>
            </w:pPr>
            <w:r w:rsidRPr="006778C9">
              <w:rPr>
                <w:rFonts w:ascii="Arial Narrow" w:hAnsi="Arial Narrow" w:cs="Arial"/>
                <w:sz w:val="20"/>
                <w:szCs w:val="20"/>
              </w:rPr>
              <w:t>Potrebna sredstva su 4.500 €.</w:t>
            </w:r>
          </w:p>
        </w:tc>
        <w:tc>
          <w:tcPr>
            <w:tcW w:w="1701" w:type="dxa"/>
            <w:gridSpan w:val="7"/>
            <w:shd w:val="clear" w:color="auto" w:fill="auto"/>
          </w:tcPr>
          <w:p w14:paraId="3DFC6851" w14:textId="77777777" w:rsidR="00B80AA5" w:rsidRPr="006778C9" w:rsidRDefault="00B80AA5" w:rsidP="00FD6B98">
            <w:pPr>
              <w:spacing w:before="20" w:after="20"/>
              <w:rPr>
                <w:rFonts w:ascii="Arial Narrow" w:hAnsi="Arial Narrow" w:cs="Arial"/>
                <w:sz w:val="20"/>
                <w:szCs w:val="20"/>
              </w:rPr>
            </w:pPr>
            <w:r w:rsidRPr="006778C9">
              <w:rPr>
                <w:rFonts w:ascii="Arial Narrow" w:hAnsi="Arial Narrow" w:cs="Arial"/>
                <w:sz w:val="20"/>
                <w:szCs w:val="20"/>
              </w:rPr>
              <w:t>Budžet</w:t>
            </w:r>
          </w:p>
        </w:tc>
        <w:tc>
          <w:tcPr>
            <w:tcW w:w="2268" w:type="dxa"/>
            <w:shd w:val="clear" w:color="auto" w:fill="auto"/>
          </w:tcPr>
          <w:p w14:paraId="173ABE60" w14:textId="77777777" w:rsidR="00B80AA5" w:rsidRPr="006778C9" w:rsidRDefault="00B80AA5" w:rsidP="00FD6B98">
            <w:pPr>
              <w:spacing w:before="20" w:after="20"/>
              <w:jc w:val="both"/>
              <w:rPr>
                <w:rFonts w:ascii="Arial Narrow" w:hAnsi="Arial Narrow" w:cs="Arial"/>
                <w:b/>
                <w:sz w:val="20"/>
                <w:szCs w:val="20"/>
              </w:rPr>
            </w:pPr>
            <w:r w:rsidRPr="006778C9">
              <w:rPr>
                <w:rFonts w:ascii="Arial Narrow" w:hAnsi="Arial Narrow" w:cs="Arial"/>
                <w:sz w:val="20"/>
                <w:szCs w:val="20"/>
              </w:rPr>
              <w:t xml:space="preserve">Izvještaj o zdravstvenom stanju šuma će </w:t>
            </w:r>
            <w:r w:rsidRPr="006778C9">
              <w:rPr>
                <w:rFonts w:ascii="Arial Narrow" w:hAnsi="Arial Narrow" w:cs="Arial"/>
                <w:noProof/>
                <w:sz w:val="20"/>
                <w:szCs w:val="20"/>
              </w:rPr>
              <w:t xml:space="preserve">sadržati informacije i podatke o vitalnosti I zdravstvenom stanju šuma </w:t>
            </w:r>
          </w:p>
        </w:tc>
      </w:tr>
      <w:tr w:rsidR="00B80AA5" w:rsidRPr="006778C9" w14:paraId="05605145" w14:textId="77777777" w:rsidTr="00EA56E8">
        <w:trPr>
          <w:gridAfter w:val="1"/>
          <w:wAfter w:w="30" w:type="dxa"/>
        </w:trPr>
        <w:tc>
          <w:tcPr>
            <w:tcW w:w="2978" w:type="dxa"/>
            <w:gridSpan w:val="7"/>
            <w:shd w:val="clear" w:color="auto" w:fill="D9E2F3"/>
          </w:tcPr>
          <w:p w14:paraId="570A9553"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 xml:space="preserve">Cilj </w:t>
            </w:r>
            <w:r>
              <w:rPr>
                <w:rFonts w:ascii="Arial Narrow" w:hAnsi="Arial Narrow" w:cs="Arial"/>
                <w:b/>
                <w:sz w:val="20"/>
                <w:szCs w:val="20"/>
              </w:rPr>
              <w:t>3.</w:t>
            </w:r>
            <w:r w:rsidRPr="006778C9">
              <w:rPr>
                <w:rFonts w:ascii="Arial Narrow" w:hAnsi="Arial Narrow" w:cs="Arial"/>
                <w:b/>
                <w:sz w:val="20"/>
                <w:szCs w:val="20"/>
              </w:rPr>
              <w:t>9</w:t>
            </w:r>
            <w:r>
              <w:rPr>
                <w:rFonts w:ascii="Arial Narrow" w:hAnsi="Arial Narrow" w:cs="Arial"/>
                <w:b/>
                <w:sz w:val="20"/>
                <w:szCs w:val="20"/>
              </w:rPr>
              <w:t>.</w:t>
            </w:r>
          </w:p>
        </w:tc>
        <w:tc>
          <w:tcPr>
            <w:tcW w:w="11907" w:type="dxa"/>
            <w:gridSpan w:val="20"/>
            <w:shd w:val="clear" w:color="auto" w:fill="D9E2F3"/>
          </w:tcPr>
          <w:p w14:paraId="4C0F6346" w14:textId="77777777" w:rsidR="00B80AA5" w:rsidRPr="006778C9" w:rsidRDefault="00B80AA5" w:rsidP="00FD6B98">
            <w:pPr>
              <w:spacing w:before="40" w:after="40"/>
              <w:jc w:val="both"/>
              <w:rPr>
                <w:rFonts w:ascii="Arial Narrow" w:hAnsi="Arial Narrow" w:cs="Arial"/>
                <w:b/>
                <w:sz w:val="20"/>
                <w:szCs w:val="20"/>
              </w:rPr>
            </w:pPr>
            <w:r w:rsidRPr="006778C9">
              <w:rPr>
                <w:rFonts w:ascii="Arial Narrow" w:hAnsi="Arial Narrow" w:cs="Arial"/>
                <w:b/>
                <w:sz w:val="20"/>
                <w:szCs w:val="20"/>
              </w:rPr>
              <w:t>Unapređenje lovstva kao djelatnosti od javnog interesa</w:t>
            </w:r>
          </w:p>
        </w:tc>
      </w:tr>
      <w:tr w:rsidR="00B80AA5" w:rsidRPr="006778C9" w14:paraId="52ECA308" w14:textId="77777777" w:rsidTr="00EA56E8">
        <w:trPr>
          <w:gridAfter w:val="1"/>
          <w:wAfter w:w="30" w:type="dxa"/>
        </w:trPr>
        <w:tc>
          <w:tcPr>
            <w:tcW w:w="2978" w:type="dxa"/>
            <w:gridSpan w:val="7"/>
            <w:shd w:val="clear" w:color="auto" w:fill="DAF2F6"/>
          </w:tcPr>
          <w:p w14:paraId="5B1A7990"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Indikator učinka</w:t>
            </w:r>
          </w:p>
        </w:tc>
        <w:tc>
          <w:tcPr>
            <w:tcW w:w="3118" w:type="dxa"/>
            <w:gridSpan w:val="3"/>
            <w:shd w:val="clear" w:color="auto" w:fill="DAF2F6"/>
          </w:tcPr>
          <w:p w14:paraId="21B67DAE"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Polazna vrijednost – 2021.g</w:t>
            </w:r>
          </w:p>
        </w:tc>
        <w:tc>
          <w:tcPr>
            <w:tcW w:w="3119" w:type="dxa"/>
            <w:gridSpan w:val="8"/>
            <w:shd w:val="clear" w:color="auto" w:fill="DAF2F6"/>
            <w:vAlign w:val="center"/>
          </w:tcPr>
          <w:p w14:paraId="7100330E"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Prelazna vrijednost – 2022.g</w:t>
            </w:r>
          </w:p>
        </w:tc>
        <w:tc>
          <w:tcPr>
            <w:tcW w:w="3402" w:type="dxa"/>
            <w:gridSpan w:val="8"/>
            <w:tcBorders>
              <w:bottom w:val="single" w:sz="4" w:space="0" w:color="FFFFFF"/>
            </w:tcBorders>
            <w:shd w:val="clear" w:color="auto" w:fill="DAF2F6"/>
            <w:vAlign w:val="center"/>
          </w:tcPr>
          <w:p w14:paraId="2FB39ECA"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Prelazna vrijednost – 2023.g</w:t>
            </w:r>
          </w:p>
        </w:tc>
        <w:tc>
          <w:tcPr>
            <w:tcW w:w="2268" w:type="dxa"/>
            <w:tcBorders>
              <w:bottom w:val="single" w:sz="4" w:space="0" w:color="FFFFFF"/>
            </w:tcBorders>
            <w:shd w:val="clear" w:color="auto" w:fill="DAF2F6"/>
            <w:vAlign w:val="center"/>
          </w:tcPr>
          <w:p w14:paraId="18DF8B38" w14:textId="77777777" w:rsidR="00B80AA5" w:rsidRPr="006778C9" w:rsidRDefault="00B80AA5" w:rsidP="00FD6B98">
            <w:pPr>
              <w:spacing w:before="40" w:after="40"/>
              <w:jc w:val="center"/>
              <w:rPr>
                <w:rFonts w:ascii="Arial Narrow" w:hAnsi="Arial Narrow" w:cs="Arial"/>
                <w:b/>
                <w:sz w:val="20"/>
                <w:szCs w:val="20"/>
              </w:rPr>
            </w:pPr>
            <w:r w:rsidRPr="006778C9">
              <w:rPr>
                <w:rFonts w:ascii="Arial Narrow" w:hAnsi="Arial Narrow" w:cs="Arial"/>
                <w:b/>
                <w:sz w:val="20"/>
                <w:szCs w:val="20"/>
              </w:rPr>
              <w:t>Ciljna vrijednost - 2024.g</w:t>
            </w:r>
          </w:p>
        </w:tc>
      </w:tr>
      <w:tr w:rsidR="00B80AA5" w:rsidRPr="006778C9" w14:paraId="032AC54E" w14:textId="77777777" w:rsidTr="00EA56E8">
        <w:trPr>
          <w:gridAfter w:val="1"/>
          <w:wAfter w:w="30" w:type="dxa"/>
        </w:trPr>
        <w:tc>
          <w:tcPr>
            <w:tcW w:w="2978" w:type="dxa"/>
            <w:gridSpan w:val="7"/>
            <w:shd w:val="clear" w:color="auto" w:fill="CCECFF"/>
          </w:tcPr>
          <w:p w14:paraId="5B3752E1" w14:textId="77777777" w:rsidR="00B80AA5" w:rsidRPr="006778C9" w:rsidRDefault="00B80AA5" w:rsidP="00FD6B98">
            <w:pPr>
              <w:spacing w:before="20" w:after="20"/>
              <w:rPr>
                <w:rFonts w:ascii="Arial Narrow" w:hAnsi="Arial Narrow" w:cs="Arial"/>
                <w:sz w:val="20"/>
                <w:szCs w:val="20"/>
              </w:rPr>
            </w:pPr>
            <w:r w:rsidRPr="006778C9">
              <w:rPr>
                <w:rFonts w:ascii="Arial Narrow" w:hAnsi="Arial Narrow" w:cs="Arial"/>
                <w:sz w:val="20"/>
                <w:szCs w:val="20"/>
              </w:rPr>
              <w:t>Broj donesenih planova gazdovanja zaštićenim vrstama divljači u skladu sa EU direktivama, ukupno</w:t>
            </w:r>
          </w:p>
          <w:p w14:paraId="74736DEF" w14:textId="77777777" w:rsidR="00B80AA5" w:rsidRPr="006778C9" w:rsidRDefault="00B80AA5" w:rsidP="00FD6B98">
            <w:pPr>
              <w:spacing w:before="20" w:after="20"/>
              <w:rPr>
                <w:rFonts w:ascii="Arial Narrow" w:hAnsi="Arial Narrow" w:cs="Arial"/>
                <w:sz w:val="20"/>
                <w:szCs w:val="20"/>
              </w:rPr>
            </w:pPr>
          </w:p>
        </w:tc>
        <w:tc>
          <w:tcPr>
            <w:tcW w:w="3118" w:type="dxa"/>
            <w:gridSpan w:val="3"/>
            <w:shd w:val="clear" w:color="auto" w:fill="CCECFF"/>
            <w:vAlign w:val="center"/>
          </w:tcPr>
          <w:p w14:paraId="0B4D4EC2" w14:textId="77777777" w:rsidR="00B80AA5" w:rsidRPr="006778C9" w:rsidRDefault="00B80AA5" w:rsidP="00FD6B98">
            <w:pPr>
              <w:spacing w:before="20" w:after="20"/>
              <w:jc w:val="center"/>
              <w:rPr>
                <w:rFonts w:ascii="Arial Narrow" w:hAnsi="Arial Narrow" w:cs="Arial"/>
                <w:sz w:val="20"/>
                <w:szCs w:val="20"/>
              </w:rPr>
            </w:pPr>
            <w:r w:rsidRPr="006778C9">
              <w:rPr>
                <w:rFonts w:ascii="Arial Narrow" w:hAnsi="Arial Narrow" w:cs="Arial"/>
                <w:sz w:val="20"/>
                <w:szCs w:val="20"/>
              </w:rPr>
              <w:t>0</w:t>
            </w:r>
          </w:p>
        </w:tc>
        <w:tc>
          <w:tcPr>
            <w:tcW w:w="3119" w:type="dxa"/>
            <w:gridSpan w:val="8"/>
            <w:shd w:val="clear" w:color="auto" w:fill="CCECFF"/>
            <w:vAlign w:val="center"/>
          </w:tcPr>
          <w:p w14:paraId="2FD30F5E" w14:textId="77777777" w:rsidR="00B80AA5" w:rsidRPr="006778C9" w:rsidRDefault="00B80AA5" w:rsidP="00FD6B98">
            <w:pPr>
              <w:spacing w:before="20" w:after="20"/>
              <w:jc w:val="center"/>
              <w:rPr>
                <w:rFonts w:ascii="Arial Narrow" w:hAnsi="Arial Narrow" w:cs="Arial"/>
                <w:sz w:val="20"/>
                <w:szCs w:val="20"/>
              </w:rPr>
            </w:pPr>
            <w:r w:rsidRPr="006778C9">
              <w:rPr>
                <w:rFonts w:ascii="Arial Narrow" w:hAnsi="Arial Narrow" w:cs="Arial"/>
                <w:sz w:val="20"/>
                <w:szCs w:val="20"/>
              </w:rPr>
              <w:t>1</w:t>
            </w:r>
          </w:p>
        </w:tc>
        <w:tc>
          <w:tcPr>
            <w:tcW w:w="3402" w:type="dxa"/>
            <w:gridSpan w:val="8"/>
            <w:shd w:val="clear" w:color="auto" w:fill="CCECFF"/>
            <w:vAlign w:val="center"/>
          </w:tcPr>
          <w:p w14:paraId="4F01470A" w14:textId="77777777" w:rsidR="00B80AA5" w:rsidRPr="006778C9" w:rsidRDefault="00B80AA5" w:rsidP="00FD6B98">
            <w:pPr>
              <w:spacing w:before="20" w:after="20"/>
              <w:jc w:val="center"/>
              <w:rPr>
                <w:rFonts w:ascii="Arial Narrow" w:hAnsi="Arial Narrow" w:cs="Arial"/>
                <w:sz w:val="20"/>
                <w:szCs w:val="20"/>
              </w:rPr>
            </w:pPr>
            <w:r w:rsidRPr="006778C9">
              <w:rPr>
                <w:rFonts w:ascii="Arial Narrow" w:hAnsi="Arial Narrow" w:cs="Arial"/>
                <w:sz w:val="20"/>
                <w:szCs w:val="20"/>
              </w:rPr>
              <w:t>1</w:t>
            </w:r>
          </w:p>
        </w:tc>
        <w:tc>
          <w:tcPr>
            <w:tcW w:w="2268" w:type="dxa"/>
            <w:shd w:val="clear" w:color="auto" w:fill="CCECFF"/>
            <w:vAlign w:val="center"/>
          </w:tcPr>
          <w:p w14:paraId="7F0F25D1" w14:textId="77777777" w:rsidR="00B80AA5" w:rsidRPr="006778C9" w:rsidRDefault="00B80AA5" w:rsidP="00FD6B98">
            <w:pPr>
              <w:spacing w:before="20" w:after="20"/>
              <w:jc w:val="center"/>
              <w:rPr>
                <w:rFonts w:ascii="Arial Narrow" w:hAnsi="Arial Narrow" w:cs="Arial"/>
                <w:sz w:val="20"/>
                <w:szCs w:val="20"/>
              </w:rPr>
            </w:pPr>
            <w:r w:rsidRPr="006778C9">
              <w:rPr>
                <w:rFonts w:ascii="Arial Narrow" w:hAnsi="Arial Narrow" w:cs="Arial"/>
                <w:sz w:val="20"/>
                <w:szCs w:val="20"/>
              </w:rPr>
              <w:t>2</w:t>
            </w:r>
          </w:p>
        </w:tc>
      </w:tr>
      <w:tr w:rsidR="00B80AA5" w:rsidRPr="006778C9" w14:paraId="1FB69408" w14:textId="77777777" w:rsidTr="00EA56E8">
        <w:trPr>
          <w:gridAfter w:val="1"/>
          <w:wAfter w:w="30" w:type="dxa"/>
        </w:trPr>
        <w:tc>
          <w:tcPr>
            <w:tcW w:w="2978" w:type="dxa"/>
            <w:gridSpan w:val="7"/>
            <w:shd w:val="clear" w:color="auto" w:fill="FFF2CC"/>
          </w:tcPr>
          <w:p w14:paraId="1ADFF6EA" w14:textId="77777777" w:rsidR="00B80AA5" w:rsidRPr="006778C9" w:rsidRDefault="00B80AA5" w:rsidP="00FD6B98">
            <w:pPr>
              <w:spacing w:before="20" w:after="20"/>
              <w:rPr>
                <w:rFonts w:ascii="Arial Narrow" w:hAnsi="Arial Narrow" w:cs="Arial"/>
                <w:b/>
                <w:sz w:val="20"/>
                <w:szCs w:val="20"/>
              </w:rPr>
            </w:pPr>
          </w:p>
          <w:p w14:paraId="1D101D9E" w14:textId="77777777" w:rsidR="00B80AA5" w:rsidRPr="006778C9" w:rsidRDefault="00B80AA5" w:rsidP="00FD6B98">
            <w:pPr>
              <w:spacing w:before="20" w:after="20"/>
              <w:rPr>
                <w:rFonts w:ascii="Arial Narrow" w:hAnsi="Arial Narrow" w:cs="Arial"/>
                <w:b/>
                <w:sz w:val="20"/>
                <w:szCs w:val="20"/>
              </w:rPr>
            </w:pPr>
          </w:p>
          <w:p w14:paraId="0E4D0022" w14:textId="77777777" w:rsidR="00B80AA5" w:rsidRPr="006778C9" w:rsidRDefault="00B80AA5" w:rsidP="00FD6B98">
            <w:pPr>
              <w:spacing w:before="20" w:after="20"/>
              <w:jc w:val="center"/>
              <w:rPr>
                <w:rFonts w:ascii="Arial Narrow" w:hAnsi="Arial Narrow" w:cs="Arial"/>
                <w:sz w:val="20"/>
                <w:szCs w:val="20"/>
              </w:rPr>
            </w:pPr>
            <w:r w:rsidRPr="006778C9">
              <w:rPr>
                <w:rFonts w:ascii="Arial Narrow" w:hAnsi="Arial Narrow" w:cs="Arial"/>
                <w:b/>
                <w:sz w:val="20"/>
                <w:szCs w:val="20"/>
              </w:rPr>
              <w:t>Aktivnosti</w:t>
            </w:r>
          </w:p>
        </w:tc>
        <w:tc>
          <w:tcPr>
            <w:tcW w:w="3118" w:type="dxa"/>
            <w:gridSpan w:val="3"/>
            <w:shd w:val="clear" w:color="auto" w:fill="FFF2CC"/>
            <w:vAlign w:val="center"/>
          </w:tcPr>
          <w:p w14:paraId="3B0AC1A3" w14:textId="77777777" w:rsidR="00B80AA5" w:rsidRPr="006778C9" w:rsidRDefault="00B80AA5" w:rsidP="00FD6B98">
            <w:pPr>
              <w:spacing w:before="20" w:after="20"/>
              <w:rPr>
                <w:rFonts w:ascii="Arial Narrow" w:hAnsi="Arial Narrow" w:cs="Arial"/>
                <w:sz w:val="20"/>
                <w:szCs w:val="20"/>
              </w:rPr>
            </w:pPr>
            <w:r w:rsidRPr="006778C9">
              <w:rPr>
                <w:rFonts w:ascii="Arial Narrow" w:hAnsi="Arial Narrow" w:cs="Arial"/>
                <w:b/>
                <w:sz w:val="20"/>
                <w:szCs w:val="20"/>
              </w:rPr>
              <w:t>Indikator rezultata</w:t>
            </w:r>
          </w:p>
        </w:tc>
        <w:tc>
          <w:tcPr>
            <w:tcW w:w="1276" w:type="dxa"/>
            <w:gridSpan w:val="2"/>
            <w:shd w:val="clear" w:color="auto" w:fill="FFF2CC"/>
            <w:vAlign w:val="center"/>
          </w:tcPr>
          <w:p w14:paraId="26B36747" w14:textId="77777777" w:rsidR="00B80AA5" w:rsidRPr="006778C9" w:rsidRDefault="00B80AA5" w:rsidP="00FD6B98">
            <w:pPr>
              <w:spacing w:before="20" w:after="20"/>
              <w:rPr>
                <w:rFonts w:ascii="Arial Narrow" w:hAnsi="Arial Narrow" w:cs="Arial"/>
                <w:sz w:val="20"/>
                <w:szCs w:val="20"/>
              </w:rPr>
            </w:pPr>
            <w:r w:rsidRPr="006778C9">
              <w:rPr>
                <w:rFonts w:ascii="Arial Narrow" w:hAnsi="Arial Narrow" w:cs="Arial"/>
                <w:b/>
                <w:sz w:val="20"/>
                <w:szCs w:val="20"/>
              </w:rPr>
              <w:t>Nadležne institucije i nadležna komisija</w:t>
            </w:r>
          </w:p>
        </w:tc>
        <w:tc>
          <w:tcPr>
            <w:tcW w:w="1843" w:type="dxa"/>
            <w:gridSpan w:val="6"/>
            <w:shd w:val="clear" w:color="auto" w:fill="FFF2CC"/>
            <w:vAlign w:val="center"/>
          </w:tcPr>
          <w:p w14:paraId="4B8DD932" w14:textId="77777777" w:rsidR="00B80AA5" w:rsidRPr="006778C9" w:rsidRDefault="00B80AA5" w:rsidP="00FD6B98">
            <w:pPr>
              <w:rPr>
                <w:rFonts w:ascii="Arial Narrow" w:hAnsi="Arial Narrow" w:cs="Arial"/>
                <w:sz w:val="20"/>
                <w:szCs w:val="20"/>
              </w:rPr>
            </w:pPr>
            <w:r w:rsidRPr="006778C9">
              <w:rPr>
                <w:rFonts w:ascii="Arial Narrow" w:hAnsi="Arial Narrow" w:cs="Arial"/>
                <w:b/>
                <w:sz w:val="20"/>
                <w:szCs w:val="20"/>
              </w:rPr>
              <w:t>Planirani početak i završetak aktivnosti</w:t>
            </w:r>
          </w:p>
          <w:p w14:paraId="1BD23B2B" w14:textId="77777777" w:rsidR="00B80AA5" w:rsidRPr="006778C9" w:rsidRDefault="00B80AA5" w:rsidP="00FD6B98">
            <w:pPr>
              <w:spacing w:before="20" w:after="20"/>
              <w:rPr>
                <w:rFonts w:ascii="Arial Narrow" w:hAnsi="Arial Narrow" w:cs="Arial"/>
                <w:sz w:val="20"/>
                <w:szCs w:val="20"/>
              </w:rPr>
            </w:pPr>
          </w:p>
        </w:tc>
        <w:tc>
          <w:tcPr>
            <w:tcW w:w="1701" w:type="dxa"/>
            <w:shd w:val="clear" w:color="auto" w:fill="FFF2CC"/>
            <w:vAlign w:val="center"/>
          </w:tcPr>
          <w:p w14:paraId="6B349897" w14:textId="77777777" w:rsidR="00B80AA5" w:rsidRPr="006778C9" w:rsidRDefault="00B80AA5" w:rsidP="00FD6B98">
            <w:pPr>
              <w:spacing w:before="20" w:after="20"/>
              <w:rPr>
                <w:rFonts w:ascii="Arial Narrow" w:hAnsi="Arial Narrow" w:cs="Arial"/>
                <w:sz w:val="20"/>
                <w:szCs w:val="20"/>
              </w:rPr>
            </w:pPr>
            <w:r w:rsidRPr="006778C9">
              <w:rPr>
                <w:rFonts w:ascii="Arial Narrow" w:hAnsi="Arial Narrow" w:cs="Arial"/>
                <w:b/>
                <w:sz w:val="20"/>
                <w:szCs w:val="20"/>
              </w:rPr>
              <w:t>Sredstva za realizaciju  i informacija o izradi RIA</w:t>
            </w:r>
          </w:p>
        </w:tc>
        <w:tc>
          <w:tcPr>
            <w:tcW w:w="1701" w:type="dxa"/>
            <w:gridSpan w:val="7"/>
            <w:shd w:val="clear" w:color="auto" w:fill="FFF2CC"/>
            <w:vAlign w:val="center"/>
          </w:tcPr>
          <w:p w14:paraId="5BCECCFE" w14:textId="77777777" w:rsidR="00B80AA5" w:rsidRPr="006778C9" w:rsidRDefault="00B80AA5" w:rsidP="00FD6B98">
            <w:pPr>
              <w:rPr>
                <w:rFonts w:ascii="Arial Narrow" w:hAnsi="Arial Narrow" w:cs="Arial"/>
                <w:sz w:val="20"/>
                <w:szCs w:val="20"/>
              </w:rPr>
            </w:pPr>
            <w:r w:rsidRPr="006778C9">
              <w:rPr>
                <w:rFonts w:ascii="Arial Narrow" w:hAnsi="Arial Narrow" w:cs="Arial"/>
                <w:b/>
                <w:sz w:val="20"/>
                <w:szCs w:val="20"/>
              </w:rPr>
              <w:t>Izvor finansiranja</w:t>
            </w:r>
          </w:p>
          <w:p w14:paraId="279B1B18" w14:textId="77777777" w:rsidR="00B80AA5" w:rsidRPr="006778C9" w:rsidRDefault="00B80AA5" w:rsidP="00FD6B98">
            <w:pPr>
              <w:spacing w:before="20" w:after="20"/>
              <w:rPr>
                <w:rFonts w:ascii="Arial Narrow" w:hAnsi="Arial Narrow" w:cs="Arial"/>
                <w:sz w:val="20"/>
                <w:szCs w:val="20"/>
              </w:rPr>
            </w:pPr>
          </w:p>
        </w:tc>
        <w:tc>
          <w:tcPr>
            <w:tcW w:w="2268" w:type="dxa"/>
            <w:shd w:val="clear" w:color="auto" w:fill="FFF2CC"/>
            <w:vAlign w:val="center"/>
          </w:tcPr>
          <w:p w14:paraId="046B3400" w14:textId="77777777" w:rsidR="00B80AA5" w:rsidRPr="006778C9" w:rsidRDefault="00B80AA5" w:rsidP="00FD6B98">
            <w:pPr>
              <w:spacing w:before="20" w:after="20"/>
              <w:rPr>
                <w:rFonts w:ascii="Arial Narrow" w:hAnsi="Arial Narrow" w:cs="Arial"/>
                <w:sz w:val="20"/>
                <w:szCs w:val="20"/>
              </w:rPr>
            </w:pPr>
            <w:r w:rsidRPr="006778C9">
              <w:rPr>
                <w:rFonts w:ascii="Arial Narrow" w:hAnsi="Arial Narrow" w:cs="Arial"/>
                <w:b/>
                <w:sz w:val="20"/>
                <w:szCs w:val="20"/>
              </w:rPr>
              <w:t>Obrazloženje</w:t>
            </w:r>
          </w:p>
        </w:tc>
      </w:tr>
      <w:tr w:rsidR="00B80AA5" w:rsidRPr="006778C9" w14:paraId="7E476988" w14:textId="77777777" w:rsidTr="00EA56E8">
        <w:trPr>
          <w:gridAfter w:val="1"/>
          <w:wAfter w:w="30" w:type="dxa"/>
        </w:trPr>
        <w:tc>
          <w:tcPr>
            <w:tcW w:w="709" w:type="dxa"/>
            <w:gridSpan w:val="2"/>
            <w:shd w:val="clear" w:color="auto" w:fill="auto"/>
          </w:tcPr>
          <w:p w14:paraId="3A59BAF1" w14:textId="77777777" w:rsidR="00B80AA5" w:rsidRPr="006778C9" w:rsidRDefault="00B80AA5" w:rsidP="00FD6B98">
            <w:pPr>
              <w:spacing w:before="20" w:after="20"/>
              <w:jc w:val="right"/>
              <w:rPr>
                <w:rFonts w:ascii="Arial Narrow" w:hAnsi="Arial Narrow" w:cs="Arial"/>
                <w:sz w:val="20"/>
                <w:szCs w:val="20"/>
              </w:rPr>
            </w:pPr>
            <w:r w:rsidRPr="006778C9">
              <w:rPr>
                <w:rFonts w:ascii="Arial Narrow" w:hAnsi="Arial Narrow" w:cs="Arial"/>
                <w:sz w:val="20"/>
                <w:szCs w:val="20"/>
              </w:rPr>
              <w:t>1.</w:t>
            </w:r>
          </w:p>
        </w:tc>
        <w:tc>
          <w:tcPr>
            <w:tcW w:w="2269" w:type="dxa"/>
            <w:gridSpan w:val="5"/>
            <w:shd w:val="clear" w:color="auto" w:fill="auto"/>
            <w:vAlign w:val="center"/>
          </w:tcPr>
          <w:p w14:paraId="1F6586B2"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Plan gazdovanja mrkim medvjedom u Crnoj Gori</w:t>
            </w:r>
          </w:p>
        </w:tc>
        <w:tc>
          <w:tcPr>
            <w:tcW w:w="3118" w:type="dxa"/>
            <w:gridSpan w:val="3"/>
            <w:shd w:val="clear" w:color="auto" w:fill="auto"/>
            <w:vAlign w:val="center"/>
          </w:tcPr>
          <w:p w14:paraId="14ED17A9" w14:textId="77777777" w:rsidR="00B80AA5" w:rsidRPr="006778C9" w:rsidRDefault="00B80AA5" w:rsidP="00591FB8">
            <w:pPr>
              <w:spacing w:before="20" w:after="20"/>
              <w:jc w:val="both"/>
              <w:rPr>
                <w:rFonts w:ascii="Arial Narrow" w:hAnsi="Arial Narrow" w:cs="Arial"/>
                <w:b/>
                <w:sz w:val="20"/>
                <w:szCs w:val="20"/>
              </w:rPr>
            </w:pPr>
            <w:r w:rsidRPr="006778C9">
              <w:rPr>
                <w:rFonts w:ascii="Arial Narrow" w:hAnsi="Arial Narrow" w:cs="Arial"/>
                <w:sz w:val="20"/>
                <w:szCs w:val="20"/>
              </w:rPr>
              <w:t>Izrađen Plan gazdovanja mrkim medvjedom u Crnoj Gor, sa strateškom procjenom uticaja na životnu sredinu</w:t>
            </w:r>
          </w:p>
        </w:tc>
        <w:tc>
          <w:tcPr>
            <w:tcW w:w="1276" w:type="dxa"/>
            <w:gridSpan w:val="2"/>
            <w:shd w:val="clear" w:color="auto" w:fill="auto"/>
            <w:vAlign w:val="center"/>
          </w:tcPr>
          <w:p w14:paraId="66B15C53"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NI: MPŠV</w:t>
            </w:r>
          </w:p>
          <w:p w14:paraId="3D2FC341" w14:textId="77777777" w:rsidR="00B80AA5" w:rsidRPr="006778C9" w:rsidRDefault="00B80AA5" w:rsidP="00591FB8">
            <w:pPr>
              <w:spacing w:before="20" w:after="20"/>
              <w:jc w:val="both"/>
              <w:rPr>
                <w:rFonts w:ascii="Arial Narrow" w:hAnsi="Arial Narrow" w:cs="Arial"/>
                <w:b/>
                <w:sz w:val="20"/>
                <w:szCs w:val="20"/>
              </w:rPr>
            </w:pPr>
            <w:r w:rsidRPr="006778C9">
              <w:rPr>
                <w:rFonts w:ascii="Arial Narrow" w:hAnsi="Arial Narrow" w:cs="Arial"/>
                <w:sz w:val="20"/>
                <w:szCs w:val="20"/>
              </w:rPr>
              <w:t>NK: KEPIF</w:t>
            </w:r>
          </w:p>
        </w:tc>
        <w:tc>
          <w:tcPr>
            <w:tcW w:w="1843" w:type="dxa"/>
            <w:gridSpan w:val="6"/>
            <w:shd w:val="clear" w:color="auto" w:fill="auto"/>
            <w:vAlign w:val="center"/>
          </w:tcPr>
          <w:p w14:paraId="6C626C0D" w14:textId="77777777" w:rsidR="00B80AA5" w:rsidRPr="006778C9" w:rsidRDefault="00B80AA5" w:rsidP="00591FB8">
            <w:pPr>
              <w:jc w:val="both"/>
              <w:rPr>
                <w:rFonts w:ascii="Arial Narrow" w:hAnsi="Arial Narrow" w:cs="Arial"/>
                <w:b/>
                <w:sz w:val="20"/>
                <w:szCs w:val="20"/>
              </w:rPr>
            </w:pPr>
            <w:r w:rsidRPr="006778C9">
              <w:rPr>
                <w:rFonts w:ascii="Arial Narrow" w:hAnsi="Arial Narrow" w:cs="Arial"/>
                <w:sz w:val="20"/>
                <w:szCs w:val="20"/>
              </w:rPr>
              <w:t>IV Q 2022</w:t>
            </w:r>
          </w:p>
          <w:p w14:paraId="16D82DF4" w14:textId="77777777" w:rsidR="00B80AA5" w:rsidRPr="006778C9" w:rsidRDefault="00B80AA5" w:rsidP="00591FB8">
            <w:pPr>
              <w:spacing w:before="20" w:after="20"/>
              <w:jc w:val="both"/>
              <w:rPr>
                <w:rFonts w:ascii="Arial Narrow" w:hAnsi="Arial Narrow" w:cs="Arial"/>
                <w:b/>
                <w:sz w:val="20"/>
                <w:szCs w:val="20"/>
              </w:rPr>
            </w:pPr>
          </w:p>
        </w:tc>
        <w:tc>
          <w:tcPr>
            <w:tcW w:w="1701" w:type="dxa"/>
            <w:shd w:val="clear" w:color="auto" w:fill="auto"/>
            <w:vAlign w:val="center"/>
          </w:tcPr>
          <w:p w14:paraId="7E67AD99" w14:textId="77777777" w:rsidR="00B80AA5" w:rsidRPr="006778C9" w:rsidRDefault="00B80AA5" w:rsidP="00591FB8">
            <w:pPr>
              <w:spacing w:before="20" w:after="20"/>
              <w:jc w:val="both"/>
              <w:rPr>
                <w:rFonts w:ascii="Arial Narrow" w:hAnsi="Arial Narrow" w:cs="Arial"/>
                <w:b/>
                <w:sz w:val="20"/>
                <w:szCs w:val="20"/>
              </w:rPr>
            </w:pPr>
            <w:r w:rsidRPr="006778C9">
              <w:rPr>
                <w:rFonts w:ascii="Arial Narrow" w:hAnsi="Arial Narrow" w:cs="Arial"/>
                <w:sz w:val="20"/>
                <w:szCs w:val="20"/>
              </w:rPr>
              <w:t>Potrebna sredstva su 7.000 €.</w:t>
            </w:r>
          </w:p>
        </w:tc>
        <w:tc>
          <w:tcPr>
            <w:tcW w:w="1701" w:type="dxa"/>
            <w:gridSpan w:val="7"/>
            <w:shd w:val="clear" w:color="auto" w:fill="auto"/>
            <w:vAlign w:val="center"/>
          </w:tcPr>
          <w:p w14:paraId="6A7BBD1E" w14:textId="77777777" w:rsidR="00B80AA5" w:rsidRPr="006778C9" w:rsidRDefault="00B80AA5" w:rsidP="00591FB8">
            <w:pPr>
              <w:spacing w:before="20" w:after="20"/>
              <w:jc w:val="both"/>
              <w:rPr>
                <w:rFonts w:ascii="Arial Narrow" w:hAnsi="Arial Narrow" w:cs="Arial"/>
                <w:b/>
                <w:sz w:val="20"/>
                <w:szCs w:val="20"/>
              </w:rPr>
            </w:pPr>
            <w:r w:rsidRPr="006778C9">
              <w:rPr>
                <w:rFonts w:ascii="Arial Narrow" w:hAnsi="Arial Narrow" w:cs="Arial"/>
                <w:i/>
                <w:sz w:val="20"/>
                <w:szCs w:val="20"/>
              </w:rPr>
              <w:t>Budžet</w:t>
            </w:r>
          </w:p>
        </w:tc>
        <w:tc>
          <w:tcPr>
            <w:tcW w:w="2268" w:type="dxa"/>
            <w:shd w:val="clear" w:color="auto" w:fill="auto"/>
            <w:vAlign w:val="center"/>
          </w:tcPr>
          <w:p w14:paraId="28130F87" w14:textId="77777777" w:rsidR="00B80AA5" w:rsidRPr="006778C9" w:rsidRDefault="00B80AA5" w:rsidP="00591FB8">
            <w:pPr>
              <w:spacing w:before="20" w:after="20"/>
              <w:jc w:val="both"/>
              <w:rPr>
                <w:rFonts w:ascii="Arial Narrow" w:hAnsi="Arial Narrow" w:cs="Arial"/>
                <w:b/>
                <w:sz w:val="20"/>
                <w:szCs w:val="20"/>
              </w:rPr>
            </w:pPr>
            <w:r w:rsidRPr="006778C9">
              <w:rPr>
                <w:rFonts w:ascii="Arial Narrow" w:hAnsi="Arial Narrow" w:cs="Arial"/>
                <w:sz w:val="20"/>
                <w:szCs w:val="20"/>
              </w:rPr>
              <w:t>Plan gazdovanja mrkim medvjedom u Crnoj Gori urediće osnovne smjernice obitavanja mrkog medvjeda i gazdovanja mrkim medvjedom u Crnoj Gori.</w:t>
            </w:r>
          </w:p>
        </w:tc>
      </w:tr>
      <w:tr w:rsidR="00B80AA5" w:rsidRPr="006778C9" w14:paraId="45286E09" w14:textId="77777777" w:rsidTr="00EA56E8">
        <w:trPr>
          <w:gridAfter w:val="1"/>
          <w:wAfter w:w="30" w:type="dxa"/>
        </w:trPr>
        <w:tc>
          <w:tcPr>
            <w:tcW w:w="709" w:type="dxa"/>
            <w:gridSpan w:val="2"/>
            <w:shd w:val="clear" w:color="auto" w:fill="auto"/>
          </w:tcPr>
          <w:p w14:paraId="14A88F27" w14:textId="77777777" w:rsidR="00B80AA5" w:rsidRPr="006778C9" w:rsidRDefault="00B80AA5" w:rsidP="00FD6B98">
            <w:pPr>
              <w:spacing w:before="20" w:after="20"/>
              <w:jc w:val="right"/>
              <w:rPr>
                <w:rFonts w:ascii="Arial Narrow" w:hAnsi="Arial Narrow" w:cs="Arial"/>
                <w:sz w:val="20"/>
                <w:szCs w:val="20"/>
              </w:rPr>
            </w:pPr>
            <w:r w:rsidRPr="006778C9">
              <w:rPr>
                <w:rFonts w:ascii="Arial Narrow" w:hAnsi="Arial Narrow" w:cs="Arial"/>
                <w:sz w:val="20"/>
                <w:szCs w:val="20"/>
              </w:rPr>
              <w:t>2.</w:t>
            </w:r>
          </w:p>
        </w:tc>
        <w:tc>
          <w:tcPr>
            <w:tcW w:w="2269" w:type="dxa"/>
            <w:gridSpan w:val="5"/>
            <w:shd w:val="clear" w:color="auto" w:fill="auto"/>
            <w:vAlign w:val="center"/>
          </w:tcPr>
          <w:p w14:paraId="218891AD"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 xml:space="preserve">Odluka o pokretanju postupka dodjele lovišta na korišćenje,  i sproveden Javni konkurs za dodjelu lovišta na korišćenje </w:t>
            </w:r>
          </w:p>
        </w:tc>
        <w:tc>
          <w:tcPr>
            <w:tcW w:w="3118" w:type="dxa"/>
            <w:gridSpan w:val="3"/>
            <w:shd w:val="clear" w:color="auto" w:fill="auto"/>
            <w:vAlign w:val="center"/>
          </w:tcPr>
          <w:p w14:paraId="0F4970C5"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Donešena Odluka o pokretanju postupka dodjele lovišta na korišćenje, isproveden Javni konkurs za dodjelu lovišta na korišćenje, kao Odluke i dodjeli lovišta na korišćenje i zaključeni Ugovori o korišćenju lovišta</w:t>
            </w:r>
          </w:p>
        </w:tc>
        <w:tc>
          <w:tcPr>
            <w:tcW w:w="1276" w:type="dxa"/>
            <w:gridSpan w:val="2"/>
            <w:shd w:val="clear" w:color="auto" w:fill="auto"/>
            <w:vAlign w:val="center"/>
          </w:tcPr>
          <w:p w14:paraId="0F77DDA8"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NI: MPŠV</w:t>
            </w:r>
          </w:p>
          <w:p w14:paraId="047F3054"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NK: KEPIF</w:t>
            </w:r>
          </w:p>
        </w:tc>
        <w:tc>
          <w:tcPr>
            <w:tcW w:w="1843" w:type="dxa"/>
            <w:gridSpan w:val="6"/>
            <w:shd w:val="clear" w:color="auto" w:fill="auto"/>
            <w:vAlign w:val="center"/>
          </w:tcPr>
          <w:p w14:paraId="1E6DC622" w14:textId="77777777" w:rsidR="00B80AA5" w:rsidRPr="006778C9" w:rsidRDefault="00B80AA5" w:rsidP="00591FB8">
            <w:pPr>
              <w:jc w:val="both"/>
              <w:rPr>
                <w:rFonts w:ascii="Arial Narrow" w:hAnsi="Arial Narrow" w:cs="Arial"/>
                <w:b/>
                <w:sz w:val="20"/>
                <w:szCs w:val="20"/>
              </w:rPr>
            </w:pPr>
            <w:r w:rsidRPr="006778C9">
              <w:rPr>
                <w:rFonts w:ascii="Arial Narrow" w:hAnsi="Arial Narrow" w:cs="Arial"/>
                <w:sz w:val="20"/>
                <w:szCs w:val="20"/>
              </w:rPr>
              <w:t>IV Q 2022</w:t>
            </w:r>
          </w:p>
          <w:p w14:paraId="7456C1FE" w14:textId="77777777" w:rsidR="00B80AA5" w:rsidRPr="006778C9" w:rsidRDefault="00B80AA5" w:rsidP="00591FB8">
            <w:pPr>
              <w:spacing w:before="20" w:after="20"/>
              <w:jc w:val="both"/>
              <w:rPr>
                <w:rFonts w:ascii="Arial Narrow" w:hAnsi="Arial Narrow" w:cs="Arial"/>
                <w:sz w:val="20"/>
                <w:szCs w:val="20"/>
              </w:rPr>
            </w:pPr>
          </w:p>
        </w:tc>
        <w:tc>
          <w:tcPr>
            <w:tcW w:w="1701" w:type="dxa"/>
            <w:shd w:val="clear" w:color="auto" w:fill="auto"/>
            <w:vAlign w:val="center"/>
          </w:tcPr>
          <w:p w14:paraId="3F5D1D97"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w:t>
            </w:r>
          </w:p>
        </w:tc>
        <w:tc>
          <w:tcPr>
            <w:tcW w:w="1701" w:type="dxa"/>
            <w:gridSpan w:val="7"/>
            <w:shd w:val="clear" w:color="auto" w:fill="auto"/>
            <w:vAlign w:val="center"/>
          </w:tcPr>
          <w:p w14:paraId="72450E7B"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w:t>
            </w:r>
          </w:p>
        </w:tc>
        <w:tc>
          <w:tcPr>
            <w:tcW w:w="2268" w:type="dxa"/>
            <w:shd w:val="clear" w:color="auto" w:fill="auto"/>
            <w:vAlign w:val="center"/>
          </w:tcPr>
          <w:p w14:paraId="5E4982B6" w14:textId="77777777" w:rsidR="00B80AA5" w:rsidRPr="006778C9" w:rsidRDefault="00B80AA5" w:rsidP="00591FB8">
            <w:pPr>
              <w:spacing w:before="20" w:after="20"/>
              <w:jc w:val="both"/>
              <w:rPr>
                <w:rFonts w:ascii="Arial Narrow" w:hAnsi="Arial Narrow" w:cs="Arial"/>
                <w:sz w:val="20"/>
                <w:szCs w:val="20"/>
              </w:rPr>
            </w:pPr>
            <w:r w:rsidRPr="006778C9">
              <w:rPr>
                <w:rFonts w:ascii="Arial Narrow" w:hAnsi="Arial Narrow" w:cs="Arial"/>
                <w:sz w:val="20"/>
                <w:szCs w:val="20"/>
              </w:rPr>
              <w:t xml:space="preserve">Donošenjem Odluke i dodjeli lovišta na korišćenje stvaraju se uslovi da resorno ministarstvo zaključi ugovore o korišćenju lovišta sa izabranim korisnicima na period od deset godina, čime se omogućava sprovođenje mjera koje </w:t>
            </w:r>
            <w:r w:rsidRPr="006778C9">
              <w:rPr>
                <w:rFonts w:ascii="Arial Narrow" w:hAnsi="Arial Narrow" w:cs="Arial"/>
                <w:sz w:val="20"/>
                <w:szCs w:val="20"/>
              </w:rPr>
              <w:lastRenderedPageBreak/>
              <w:t xml:space="preserve">namjerava da preduzme u cilju unaprjeđenja divljači i lovstva </w:t>
            </w:r>
          </w:p>
        </w:tc>
      </w:tr>
    </w:tbl>
    <w:p w14:paraId="3B123B04" w14:textId="77777777" w:rsidR="00EA56E8" w:rsidRDefault="00EA56E8">
      <w:pPr>
        <w:rPr>
          <w:rFonts w:ascii="Arial Narrow" w:hAnsi="Arial Narrow"/>
          <w:lang w:val="en-GB" w:eastAsia="en-GB"/>
        </w:rPr>
      </w:pPr>
      <w:r>
        <w:rPr>
          <w:rFonts w:ascii="Arial Narrow" w:hAnsi="Arial Narrow"/>
          <w:lang w:val="en-GB" w:eastAsia="en-GB"/>
        </w:rPr>
        <w:br w:type="page"/>
      </w:r>
    </w:p>
    <w:tbl>
      <w:tblPr>
        <w:tblStyle w:val="TableGrid34"/>
        <w:tblW w:w="14886" w:type="dxa"/>
        <w:tblInd w:w="-856" w:type="dxa"/>
        <w:tblLook w:val="04A0" w:firstRow="1" w:lastRow="0" w:firstColumn="1" w:lastColumn="0" w:noHBand="0" w:noVBand="1"/>
      </w:tblPr>
      <w:tblGrid>
        <w:gridCol w:w="445"/>
        <w:gridCol w:w="2915"/>
        <w:gridCol w:w="2452"/>
        <w:gridCol w:w="373"/>
        <w:gridCol w:w="950"/>
        <w:gridCol w:w="1251"/>
        <w:gridCol w:w="584"/>
        <w:gridCol w:w="1096"/>
        <w:gridCol w:w="2045"/>
        <w:gridCol w:w="2775"/>
      </w:tblGrid>
      <w:tr w:rsidR="0020161C" w:rsidRPr="00B453D0" w14:paraId="2A5B33C0" w14:textId="77777777" w:rsidTr="00FD6B98">
        <w:tc>
          <w:tcPr>
            <w:tcW w:w="3360" w:type="dxa"/>
            <w:gridSpan w:val="2"/>
            <w:shd w:val="clear" w:color="auto" w:fill="DEEAF6" w:themeFill="accent5" w:themeFillTint="33"/>
          </w:tcPr>
          <w:p w14:paraId="456EE9EF" w14:textId="77777777" w:rsidR="0020161C" w:rsidRPr="00AE274D" w:rsidRDefault="0020161C" w:rsidP="00FD6B98">
            <w:pPr>
              <w:spacing w:before="40" w:after="40"/>
              <w:jc w:val="center"/>
              <w:rPr>
                <w:rFonts w:cstheme="minorHAnsi"/>
                <w:b/>
                <w:szCs w:val="24"/>
              </w:rPr>
            </w:pPr>
            <w:r w:rsidRPr="00AE274D">
              <w:rPr>
                <w:rFonts w:cstheme="minorHAnsi"/>
                <w:b/>
                <w:szCs w:val="24"/>
              </w:rPr>
              <w:lastRenderedPageBreak/>
              <w:t>PRIORITET 4.</w:t>
            </w:r>
          </w:p>
        </w:tc>
        <w:tc>
          <w:tcPr>
            <w:tcW w:w="11526" w:type="dxa"/>
            <w:gridSpan w:val="8"/>
            <w:shd w:val="clear" w:color="auto" w:fill="DEEAF6" w:themeFill="accent5" w:themeFillTint="33"/>
          </w:tcPr>
          <w:p w14:paraId="4B115BBA" w14:textId="77777777" w:rsidR="0020161C" w:rsidRPr="00AE274D" w:rsidRDefault="0020161C" w:rsidP="00AE274D">
            <w:pPr>
              <w:spacing w:before="40" w:after="40"/>
              <w:rPr>
                <w:rFonts w:cstheme="minorHAnsi"/>
                <w:b/>
                <w:szCs w:val="24"/>
              </w:rPr>
            </w:pPr>
            <w:r w:rsidRPr="00AE274D">
              <w:rPr>
                <w:rFonts w:cstheme="minorHAnsi"/>
                <w:b/>
                <w:szCs w:val="24"/>
              </w:rPr>
              <w:t>OBRAZOVANJE I DRUŠTVO ZASNOVANO NA ZNANJU</w:t>
            </w:r>
          </w:p>
          <w:p w14:paraId="73F8C99B" w14:textId="77777777" w:rsidR="0020161C" w:rsidRPr="00AE274D" w:rsidRDefault="0020161C" w:rsidP="00FD6B98">
            <w:pPr>
              <w:spacing w:before="40" w:after="40"/>
              <w:rPr>
                <w:rFonts w:cstheme="minorHAnsi"/>
                <w:b/>
                <w:szCs w:val="24"/>
              </w:rPr>
            </w:pPr>
          </w:p>
        </w:tc>
      </w:tr>
      <w:tr w:rsidR="0020161C" w:rsidRPr="00B453D0" w14:paraId="5B35691E" w14:textId="77777777" w:rsidTr="00FD6B98">
        <w:tc>
          <w:tcPr>
            <w:tcW w:w="3360" w:type="dxa"/>
            <w:gridSpan w:val="2"/>
            <w:shd w:val="clear" w:color="auto" w:fill="DEEAF6" w:themeFill="accent5" w:themeFillTint="33"/>
          </w:tcPr>
          <w:p w14:paraId="07DD0AB8" w14:textId="77777777" w:rsidR="0020161C" w:rsidRPr="00061DD4" w:rsidRDefault="0020161C" w:rsidP="00FD6B98">
            <w:pPr>
              <w:spacing w:before="40" w:after="40"/>
              <w:jc w:val="center"/>
              <w:rPr>
                <w:rFonts w:cstheme="minorHAnsi"/>
                <w:b/>
                <w:sz w:val="20"/>
                <w:szCs w:val="20"/>
              </w:rPr>
            </w:pPr>
            <w:bookmarkStart w:id="36" w:name="_Hlk89633946"/>
            <w:bookmarkStart w:id="37" w:name="_Hlk87963801"/>
            <w:bookmarkStart w:id="38" w:name="_Hlk87955661"/>
            <w:r w:rsidRPr="00061DD4">
              <w:rPr>
                <w:rFonts w:cstheme="minorHAnsi"/>
                <w:b/>
                <w:sz w:val="20"/>
                <w:szCs w:val="20"/>
              </w:rPr>
              <w:t>Cilj 4.1.</w:t>
            </w:r>
          </w:p>
          <w:p w14:paraId="45F0F0A3" w14:textId="77777777" w:rsidR="0020161C" w:rsidRPr="00061DD4" w:rsidRDefault="0020161C" w:rsidP="00FD6B98">
            <w:pPr>
              <w:spacing w:before="40" w:after="40"/>
              <w:jc w:val="center"/>
              <w:rPr>
                <w:rFonts w:cstheme="minorHAnsi"/>
                <w:b/>
                <w:sz w:val="20"/>
                <w:szCs w:val="20"/>
                <w:highlight w:val="yellow"/>
              </w:rPr>
            </w:pPr>
          </w:p>
        </w:tc>
        <w:tc>
          <w:tcPr>
            <w:tcW w:w="11526" w:type="dxa"/>
            <w:gridSpan w:val="8"/>
            <w:shd w:val="clear" w:color="auto" w:fill="DEEAF6" w:themeFill="accent5" w:themeFillTint="33"/>
          </w:tcPr>
          <w:p w14:paraId="474C751B" w14:textId="77777777" w:rsidR="0020161C" w:rsidRPr="00061DD4" w:rsidRDefault="0020161C" w:rsidP="00AE274D">
            <w:pPr>
              <w:spacing w:before="40" w:after="40"/>
              <w:rPr>
                <w:rFonts w:cstheme="minorHAnsi"/>
                <w:b/>
                <w:sz w:val="20"/>
                <w:szCs w:val="20"/>
              </w:rPr>
            </w:pPr>
            <w:r w:rsidRPr="00061DD4">
              <w:rPr>
                <w:rFonts w:cstheme="minorHAnsi"/>
                <w:b/>
                <w:sz w:val="20"/>
                <w:szCs w:val="20"/>
              </w:rPr>
              <w:t>U</w:t>
            </w:r>
            <w:r w:rsidR="00AE274D" w:rsidRPr="00061DD4">
              <w:rPr>
                <w:rFonts w:cstheme="minorHAnsi"/>
                <w:b/>
                <w:sz w:val="20"/>
                <w:szCs w:val="20"/>
              </w:rPr>
              <w:t xml:space="preserve">napređenje sistema obrazovanja na svim nivoima </w:t>
            </w:r>
          </w:p>
        </w:tc>
      </w:tr>
      <w:tr w:rsidR="0020161C" w:rsidRPr="00B453D0" w14:paraId="715BB38D" w14:textId="77777777" w:rsidTr="00FD6B98">
        <w:tc>
          <w:tcPr>
            <w:tcW w:w="3360" w:type="dxa"/>
            <w:gridSpan w:val="2"/>
            <w:shd w:val="clear" w:color="auto" w:fill="BFCFEB"/>
          </w:tcPr>
          <w:p w14:paraId="2B0E9BB6" w14:textId="77777777" w:rsidR="0020161C" w:rsidRPr="00B453D0" w:rsidRDefault="0020161C" w:rsidP="00FD6B98">
            <w:pPr>
              <w:spacing w:before="40" w:after="40"/>
              <w:jc w:val="center"/>
              <w:rPr>
                <w:rFonts w:cstheme="minorHAnsi"/>
                <w:b/>
                <w:sz w:val="20"/>
                <w:szCs w:val="20"/>
              </w:rPr>
            </w:pPr>
            <w:bookmarkStart w:id="39" w:name="_Hlk87955561"/>
            <w:r w:rsidRPr="00B453D0">
              <w:rPr>
                <w:rFonts w:cstheme="minorHAnsi"/>
                <w:b/>
                <w:sz w:val="20"/>
                <w:szCs w:val="20"/>
              </w:rPr>
              <w:t>Indikator učinka</w:t>
            </w:r>
          </w:p>
        </w:tc>
        <w:tc>
          <w:tcPr>
            <w:tcW w:w="2825" w:type="dxa"/>
            <w:gridSpan w:val="2"/>
            <w:shd w:val="clear" w:color="auto" w:fill="BFCFEB"/>
          </w:tcPr>
          <w:p w14:paraId="6A785999" w14:textId="77777777" w:rsidR="0020161C" w:rsidRPr="00B453D0" w:rsidRDefault="0020161C" w:rsidP="00FD6B98">
            <w:pPr>
              <w:spacing w:before="40" w:after="40"/>
              <w:jc w:val="center"/>
              <w:rPr>
                <w:rFonts w:cstheme="minorHAnsi"/>
                <w:b/>
                <w:sz w:val="20"/>
                <w:szCs w:val="20"/>
              </w:rPr>
            </w:pPr>
            <w:r w:rsidRPr="00B453D0">
              <w:rPr>
                <w:rFonts w:cstheme="minorHAnsi"/>
                <w:b/>
                <w:sz w:val="20"/>
                <w:szCs w:val="20"/>
              </w:rPr>
              <w:t>Polazna vrijednost – 2021.g</w:t>
            </w:r>
          </w:p>
        </w:tc>
        <w:tc>
          <w:tcPr>
            <w:tcW w:w="2785" w:type="dxa"/>
            <w:gridSpan w:val="3"/>
            <w:shd w:val="clear" w:color="auto" w:fill="BFCFEB"/>
            <w:vAlign w:val="center"/>
          </w:tcPr>
          <w:p w14:paraId="26124389" w14:textId="77777777" w:rsidR="0020161C" w:rsidRPr="00B453D0" w:rsidRDefault="0020161C" w:rsidP="00FD6B98">
            <w:pPr>
              <w:spacing w:before="40" w:after="40"/>
              <w:jc w:val="center"/>
              <w:rPr>
                <w:rFonts w:cstheme="minorHAnsi"/>
                <w:b/>
                <w:sz w:val="20"/>
                <w:szCs w:val="20"/>
              </w:rPr>
            </w:pPr>
            <w:r w:rsidRPr="00B453D0">
              <w:rPr>
                <w:rFonts w:cstheme="minorHAnsi"/>
                <w:b/>
                <w:sz w:val="20"/>
                <w:szCs w:val="20"/>
              </w:rPr>
              <w:t>Prelazna vrijednost – 2022.g</w:t>
            </w:r>
          </w:p>
        </w:tc>
        <w:tc>
          <w:tcPr>
            <w:tcW w:w="3141" w:type="dxa"/>
            <w:gridSpan w:val="2"/>
            <w:tcBorders>
              <w:bottom w:val="single" w:sz="4" w:space="0" w:color="FFFFFF" w:themeColor="background1"/>
            </w:tcBorders>
            <w:shd w:val="clear" w:color="auto" w:fill="BFCFEB"/>
            <w:vAlign w:val="center"/>
          </w:tcPr>
          <w:p w14:paraId="25B5A966" w14:textId="77777777" w:rsidR="0020161C" w:rsidRPr="00B453D0" w:rsidRDefault="0020161C" w:rsidP="00FD6B98">
            <w:pPr>
              <w:spacing w:before="40" w:after="40"/>
              <w:jc w:val="center"/>
              <w:rPr>
                <w:rFonts w:cstheme="minorHAnsi"/>
                <w:b/>
                <w:sz w:val="20"/>
                <w:szCs w:val="20"/>
              </w:rPr>
            </w:pPr>
            <w:r w:rsidRPr="00B453D0">
              <w:rPr>
                <w:rFonts w:cstheme="minorHAnsi"/>
                <w:b/>
                <w:sz w:val="20"/>
                <w:szCs w:val="20"/>
              </w:rPr>
              <w:t>Prelazna vrijednost – 2023.g</w:t>
            </w:r>
          </w:p>
        </w:tc>
        <w:tc>
          <w:tcPr>
            <w:tcW w:w="2775" w:type="dxa"/>
            <w:tcBorders>
              <w:bottom w:val="single" w:sz="4" w:space="0" w:color="FFFFFF" w:themeColor="background1"/>
            </w:tcBorders>
            <w:shd w:val="clear" w:color="auto" w:fill="BFCFEB"/>
            <w:vAlign w:val="center"/>
          </w:tcPr>
          <w:p w14:paraId="45308499" w14:textId="77777777" w:rsidR="0020161C" w:rsidRPr="00B453D0" w:rsidRDefault="0020161C" w:rsidP="00FD6B98">
            <w:pPr>
              <w:spacing w:before="40" w:after="40"/>
              <w:jc w:val="center"/>
              <w:rPr>
                <w:rFonts w:cstheme="minorHAnsi"/>
                <w:b/>
                <w:sz w:val="20"/>
                <w:szCs w:val="20"/>
              </w:rPr>
            </w:pPr>
            <w:r w:rsidRPr="00B453D0">
              <w:rPr>
                <w:rFonts w:cstheme="minorHAnsi"/>
                <w:b/>
                <w:sz w:val="20"/>
                <w:szCs w:val="20"/>
              </w:rPr>
              <w:t>Ciljna vrijednost - 2024.g</w:t>
            </w:r>
          </w:p>
        </w:tc>
      </w:tr>
      <w:tr w:rsidR="0020161C" w:rsidRPr="00B453D0" w14:paraId="586542BA" w14:textId="77777777" w:rsidTr="00FD6B98">
        <w:tc>
          <w:tcPr>
            <w:tcW w:w="3360" w:type="dxa"/>
            <w:gridSpan w:val="2"/>
            <w:shd w:val="clear" w:color="auto" w:fill="BFCFEB"/>
          </w:tcPr>
          <w:p w14:paraId="66041D7C" w14:textId="77777777" w:rsidR="0020161C" w:rsidRPr="00250561" w:rsidRDefault="0020161C" w:rsidP="00591FB8">
            <w:pPr>
              <w:jc w:val="both"/>
              <w:rPr>
                <w:sz w:val="20"/>
                <w:szCs w:val="20"/>
              </w:rPr>
            </w:pPr>
            <w:r w:rsidRPr="00250561">
              <w:rPr>
                <w:sz w:val="20"/>
                <w:szCs w:val="20"/>
              </w:rPr>
              <w:t>Smanjenje procenta učenika čija su postignuća na nivou 1 i 2 za 10%  na ciklusu nakon 2022.  iz svih vrsta pismenosti na PISA testiranju</w:t>
            </w:r>
          </w:p>
        </w:tc>
        <w:tc>
          <w:tcPr>
            <w:tcW w:w="2825" w:type="dxa"/>
            <w:gridSpan w:val="2"/>
            <w:shd w:val="clear" w:color="auto" w:fill="BFCFEB"/>
          </w:tcPr>
          <w:p w14:paraId="46EC023A" w14:textId="77777777" w:rsidR="0020161C" w:rsidRPr="00B453D0" w:rsidRDefault="0020161C" w:rsidP="00591FB8">
            <w:pPr>
              <w:spacing w:before="40" w:after="40"/>
              <w:jc w:val="center"/>
              <w:rPr>
                <w:rFonts w:cstheme="minorHAnsi"/>
                <w:b/>
                <w:sz w:val="20"/>
                <w:szCs w:val="20"/>
              </w:rPr>
            </w:pPr>
          </w:p>
        </w:tc>
        <w:tc>
          <w:tcPr>
            <w:tcW w:w="2785" w:type="dxa"/>
            <w:gridSpan w:val="3"/>
            <w:shd w:val="clear" w:color="auto" w:fill="BFCFEB"/>
            <w:vAlign w:val="center"/>
          </w:tcPr>
          <w:p w14:paraId="671E3F4A" w14:textId="77777777" w:rsidR="0020161C" w:rsidRDefault="0020161C" w:rsidP="00591FB8">
            <w:pPr>
              <w:jc w:val="center"/>
              <w:rPr>
                <w:b/>
                <w:sz w:val="20"/>
                <w:szCs w:val="20"/>
              </w:rPr>
            </w:pPr>
            <w:r>
              <w:rPr>
                <w:b/>
                <w:sz w:val="20"/>
                <w:szCs w:val="20"/>
              </w:rPr>
              <w:t>2</w:t>
            </w:r>
            <w:r w:rsidRPr="00286A64">
              <w:rPr>
                <w:b/>
                <w:sz w:val="20"/>
                <w:szCs w:val="20"/>
              </w:rPr>
              <w:t>%</w:t>
            </w:r>
          </w:p>
          <w:p w14:paraId="0E6EDA05" w14:textId="77777777" w:rsidR="0020161C" w:rsidRPr="00B453D0" w:rsidRDefault="0020161C" w:rsidP="00591FB8">
            <w:pPr>
              <w:spacing w:before="40" w:after="40"/>
              <w:jc w:val="center"/>
              <w:rPr>
                <w:rFonts w:cstheme="minorHAnsi"/>
                <w:b/>
                <w:sz w:val="20"/>
                <w:szCs w:val="20"/>
              </w:rPr>
            </w:pPr>
          </w:p>
        </w:tc>
        <w:tc>
          <w:tcPr>
            <w:tcW w:w="3141" w:type="dxa"/>
            <w:gridSpan w:val="2"/>
            <w:tcBorders>
              <w:bottom w:val="single" w:sz="4" w:space="0" w:color="FFFFFF" w:themeColor="background1"/>
            </w:tcBorders>
            <w:shd w:val="clear" w:color="auto" w:fill="BFCFEB"/>
            <w:vAlign w:val="center"/>
          </w:tcPr>
          <w:p w14:paraId="4DAEA704" w14:textId="77777777" w:rsidR="0020161C" w:rsidRPr="00B453D0" w:rsidRDefault="0020161C" w:rsidP="00591FB8">
            <w:pPr>
              <w:spacing w:before="40" w:after="40"/>
              <w:jc w:val="center"/>
              <w:rPr>
                <w:rFonts w:cstheme="minorHAnsi"/>
                <w:b/>
                <w:sz w:val="20"/>
                <w:szCs w:val="20"/>
              </w:rPr>
            </w:pPr>
          </w:p>
        </w:tc>
        <w:tc>
          <w:tcPr>
            <w:tcW w:w="2775" w:type="dxa"/>
            <w:tcBorders>
              <w:bottom w:val="single" w:sz="4" w:space="0" w:color="FFFFFF" w:themeColor="background1"/>
            </w:tcBorders>
            <w:shd w:val="clear" w:color="auto" w:fill="BFCFEB"/>
            <w:vAlign w:val="center"/>
          </w:tcPr>
          <w:p w14:paraId="404A1CF2" w14:textId="77777777" w:rsidR="0020161C" w:rsidRPr="00286A64" w:rsidRDefault="0020161C" w:rsidP="00591FB8">
            <w:pPr>
              <w:jc w:val="center"/>
              <w:rPr>
                <w:b/>
                <w:sz w:val="20"/>
                <w:szCs w:val="20"/>
              </w:rPr>
            </w:pPr>
            <w:r>
              <w:rPr>
                <w:b/>
                <w:sz w:val="20"/>
                <w:szCs w:val="20"/>
              </w:rPr>
              <w:t>1</w:t>
            </w:r>
            <w:r w:rsidRPr="00286A64">
              <w:rPr>
                <w:b/>
                <w:sz w:val="20"/>
                <w:szCs w:val="20"/>
              </w:rPr>
              <w:t>0%</w:t>
            </w:r>
          </w:p>
          <w:p w14:paraId="7645373E" w14:textId="77777777" w:rsidR="0020161C" w:rsidRPr="00B453D0" w:rsidRDefault="0020161C" w:rsidP="00591FB8">
            <w:pPr>
              <w:spacing w:before="40" w:after="40"/>
              <w:jc w:val="center"/>
              <w:rPr>
                <w:rFonts w:cstheme="minorHAnsi"/>
                <w:b/>
                <w:sz w:val="20"/>
                <w:szCs w:val="20"/>
              </w:rPr>
            </w:pPr>
          </w:p>
        </w:tc>
      </w:tr>
      <w:tr w:rsidR="0020161C" w:rsidRPr="00B453D0" w14:paraId="3F672AC8" w14:textId="77777777" w:rsidTr="00FD6B98">
        <w:tc>
          <w:tcPr>
            <w:tcW w:w="3360" w:type="dxa"/>
            <w:gridSpan w:val="2"/>
            <w:shd w:val="clear" w:color="auto" w:fill="BFCFEB"/>
          </w:tcPr>
          <w:p w14:paraId="3FBDC77E" w14:textId="77777777" w:rsidR="0020161C" w:rsidRPr="00250561" w:rsidRDefault="0020161C" w:rsidP="00591FB8">
            <w:pPr>
              <w:jc w:val="both"/>
              <w:rPr>
                <w:sz w:val="20"/>
                <w:szCs w:val="20"/>
              </w:rPr>
            </w:pPr>
            <w:r w:rsidRPr="00250561">
              <w:rPr>
                <w:sz w:val="20"/>
                <w:szCs w:val="20"/>
              </w:rPr>
              <w:t>Povećanje postignuća učenika na nivoima 5 i 6 za 5% iz svih vrsta pismenosti na PISA testiranju na ciklusu nakon 2022. godine</w:t>
            </w:r>
          </w:p>
        </w:tc>
        <w:tc>
          <w:tcPr>
            <w:tcW w:w="2825" w:type="dxa"/>
            <w:gridSpan w:val="2"/>
            <w:shd w:val="clear" w:color="auto" w:fill="BFCFEB"/>
          </w:tcPr>
          <w:p w14:paraId="6E9AF228" w14:textId="77777777" w:rsidR="0020161C" w:rsidRPr="00B453D0" w:rsidRDefault="0020161C" w:rsidP="00591FB8">
            <w:pPr>
              <w:spacing w:before="40" w:after="40"/>
              <w:jc w:val="center"/>
              <w:rPr>
                <w:rFonts w:cstheme="minorHAnsi"/>
                <w:b/>
                <w:sz w:val="20"/>
                <w:szCs w:val="20"/>
              </w:rPr>
            </w:pPr>
          </w:p>
        </w:tc>
        <w:tc>
          <w:tcPr>
            <w:tcW w:w="2785" w:type="dxa"/>
            <w:gridSpan w:val="3"/>
            <w:shd w:val="clear" w:color="auto" w:fill="BFCFEB"/>
            <w:vAlign w:val="center"/>
          </w:tcPr>
          <w:p w14:paraId="4948CA03" w14:textId="77777777" w:rsidR="0020161C" w:rsidRPr="00286A64" w:rsidRDefault="0020161C" w:rsidP="00591FB8">
            <w:pPr>
              <w:spacing w:line="360" w:lineRule="auto"/>
              <w:jc w:val="center"/>
              <w:rPr>
                <w:b/>
                <w:sz w:val="20"/>
                <w:szCs w:val="20"/>
              </w:rPr>
            </w:pPr>
            <w:r>
              <w:rPr>
                <w:b/>
                <w:sz w:val="20"/>
                <w:szCs w:val="20"/>
              </w:rPr>
              <w:t>2%</w:t>
            </w:r>
          </w:p>
          <w:p w14:paraId="087ABB12" w14:textId="77777777" w:rsidR="0020161C" w:rsidRDefault="0020161C" w:rsidP="00591FB8">
            <w:pPr>
              <w:jc w:val="center"/>
              <w:rPr>
                <w:b/>
                <w:sz w:val="20"/>
                <w:szCs w:val="20"/>
              </w:rPr>
            </w:pPr>
          </w:p>
        </w:tc>
        <w:tc>
          <w:tcPr>
            <w:tcW w:w="3141" w:type="dxa"/>
            <w:gridSpan w:val="2"/>
            <w:tcBorders>
              <w:bottom w:val="single" w:sz="4" w:space="0" w:color="FFFFFF" w:themeColor="background1"/>
            </w:tcBorders>
            <w:shd w:val="clear" w:color="auto" w:fill="BFCFEB"/>
            <w:vAlign w:val="center"/>
          </w:tcPr>
          <w:p w14:paraId="67675D2E" w14:textId="77777777" w:rsidR="0020161C" w:rsidRPr="00B453D0" w:rsidRDefault="0020161C" w:rsidP="00591FB8">
            <w:pPr>
              <w:spacing w:before="40" w:after="40"/>
              <w:jc w:val="center"/>
              <w:rPr>
                <w:rFonts w:cstheme="minorHAnsi"/>
                <w:b/>
                <w:sz w:val="20"/>
                <w:szCs w:val="20"/>
              </w:rPr>
            </w:pPr>
          </w:p>
        </w:tc>
        <w:tc>
          <w:tcPr>
            <w:tcW w:w="2775" w:type="dxa"/>
            <w:tcBorders>
              <w:bottom w:val="single" w:sz="4" w:space="0" w:color="FFFFFF" w:themeColor="background1"/>
            </w:tcBorders>
            <w:shd w:val="clear" w:color="auto" w:fill="BFCFEB"/>
            <w:vAlign w:val="center"/>
          </w:tcPr>
          <w:p w14:paraId="036E9E08" w14:textId="77777777" w:rsidR="0020161C" w:rsidRDefault="0020161C" w:rsidP="00591FB8">
            <w:pPr>
              <w:jc w:val="center"/>
              <w:rPr>
                <w:b/>
                <w:sz w:val="20"/>
                <w:szCs w:val="20"/>
              </w:rPr>
            </w:pPr>
            <w:r>
              <w:rPr>
                <w:b/>
                <w:sz w:val="20"/>
                <w:szCs w:val="20"/>
              </w:rPr>
              <w:t>5%</w:t>
            </w:r>
          </w:p>
          <w:p w14:paraId="45B15719" w14:textId="77777777" w:rsidR="0020161C" w:rsidRDefault="0020161C" w:rsidP="00591FB8">
            <w:pPr>
              <w:jc w:val="center"/>
              <w:rPr>
                <w:b/>
                <w:sz w:val="20"/>
                <w:szCs w:val="20"/>
              </w:rPr>
            </w:pPr>
          </w:p>
        </w:tc>
      </w:tr>
      <w:tr w:rsidR="0020161C" w:rsidRPr="00B453D0" w14:paraId="709E9F95" w14:textId="77777777" w:rsidTr="00FD6B98">
        <w:tc>
          <w:tcPr>
            <w:tcW w:w="3360" w:type="dxa"/>
            <w:gridSpan w:val="2"/>
            <w:shd w:val="clear" w:color="auto" w:fill="BFCFEB"/>
          </w:tcPr>
          <w:p w14:paraId="73E1062E" w14:textId="77777777" w:rsidR="0020161C" w:rsidRPr="00250561" w:rsidRDefault="0020161C" w:rsidP="00591FB8">
            <w:pPr>
              <w:jc w:val="both"/>
              <w:rPr>
                <w:sz w:val="20"/>
                <w:szCs w:val="20"/>
              </w:rPr>
            </w:pPr>
            <w:r w:rsidRPr="00250561">
              <w:rPr>
                <w:sz w:val="20"/>
                <w:szCs w:val="20"/>
              </w:rPr>
              <w:t>Povećana prosječna ocjena na predmetima mature  za 5% na godišnjem nivou</w:t>
            </w:r>
          </w:p>
        </w:tc>
        <w:tc>
          <w:tcPr>
            <w:tcW w:w="2825" w:type="dxa"/>
            <w:gridSpan w:val="2"/>
            <w:shd w:val="clear" w:color="auto" w:fill="BFCFEB"/>
          </w:tcPr>
          <w:p w14:paraId="1AB71683" w14:textId="77777777" w:rsidR="0020161C" w:rsidRDefault="0020161C" w:rsidP="00591FB8">
            <w:pPr>
              <w:jc w:val="center"/>
              <w:rPr>
                <w:b/>
                <w:sz w:val="20"/>
                <w:szCs w:val="20"/>
              </w:rPr>
            </w:pPr>
            <w:r w:rsidRPr="00286A64">
              <w:rPr>
                <w:b/>
                <w:sz w:val="20"/>
                <w:szCs w:val="20"/>
              </w:rPr>
              <w:t>0</w:t>
            </w:r>
          </w:p>
          <w:p w14:paraId="7CE7668B" w14:textId="77777777" w:rsidR="0020161C" w:rsidRPr="00B453D0" w:rsidRDefault="0020161C" w:rsidP="00591FB8">
            <w:pPr>
              <w:spacing w:before="40" w:after="40"/>
              <w:jc w:val="center"/>
              <w:rPr>
                <w:rFonts w:cstheme="minorHAnsi"/>
                <w:b/>
                <w:sz w:val="20"/>
                <w:szCs w:val="20"/>
              </w:rPr>
            </w:pPr>
          </w:p>
        </w:tc>
        <w:tc>
          <w:tcPr>
            <w:tcW w:w="2785" w:type="dxa"/>
            <w:gridSpan w:val="3"/>
            <w:shd w:val="clear" w:color="auto" w:fill="BFCFEB"/>
            <w:vAlign w:val="center"/>
          </w:tcPr>
          <w:p w14:paraId="5455E339" w14:textId="77777777" w:rsidR="0020161C" w:rsidRDefault="0020161C" w:rsidP="00591FB8">
            <w:pPr>
              <w:spacing w:line="360" w:lineRule="auto"/>
              <w:jc w:val="center"/>
              <w:rPr>
                <w:b/>
                <w:sz w:val="20"/>
                <w:szCs w:val="20"/>
              </w:rPr>
            </w:pPr>
          </w:p>
        </w:tc>
        <w:tc>
          <w:tcPr>
            <w:tcW w:w="3141" w:type="dxa"/>
            <w:gridSpan w:val="2"/>
            <w:tcBorders>
              <w:bottom w:val="single" w:sz="4" w:space="0" w:color="FFFFFF" w:themeColor="background1"/>
            </w:tcBorders>
            <w:shd w:val="clear" w:color="auto" w:fill="BFCFEB"/>
            <w:vAlign w:val="center"/>
          </w:tcPr>
          <w:p w14:paraId="7DFADDF1" w14:textId="77777777" w:rsidR="0020161C" w:rsidRDefault="0020161C" w:rsidP="00591FB8">
            <w:pPr>
              <w:jc w:val="center"/>
              <w:rPr>
                <w:b/>
                <w:sz w:val="20"/>
                <w:szCs w:val="20"/>
              </w:rPr>
            </w:pPr>
            <w:r>
              <w:rPr>
                <w:b/>
                <w:sz w:val="20"/>
                <w:szCs w:val="20"/>
              </w:rPr>
              <w:t>10%</w:t>
            </w:r>
          </w:p>
          <w:p w14:paraId="1C215765" w14:textId="77777777" w:rsidR="0020161C" w:rsidRPr="00B453D0" w:rsidRDefault="0020161C" w:rsidP="00591FB8">
            <w:pPr>
              <w:spacing w:before="40" w:after="40"/>
              <w:jc w:val="center"/>
              <w:rPr>
                <w:rFonts w:cstheme="minorHAnsi"/>
                <w:b/>
                <w:sz w:val="20"/>
                <w:szCs w:val="20"/>
              </w:rPr>
            </w:pPr>
          </w:p>
        </w:tc>
        <w:tc>
          <w:tcPr>
            <w:tcW w:w="2775" w:type="dxa"/>
            <w:tcBorders>
              <w:bottom w:val="single" w:sz="4" w:space="0" w:color="FFFFFF" w:themeColor="background1"/>
            </w:tcBorders>
            <w:shd w:val="clear" w:color="auto" w:fill="BFCFEB"/>
            <w:vAlign w:val="center"/>
          </w:tcPr>
          <w:p w14:paraId="46228672" w14:textId="77777777" w:rsidR="0020161C" w:rsidRDefault="0020161C" w:rsidP="00591FB8">
            <w:pPr>
              <w:jc w:val="center"/>
              <w:rPr>
                <w:b/>
                <w:sz w:val="20"/>
                <w:szCs w:val="20"/>
              </w:rPr>
            </w:pPr>
            <w:r>
              <w:rPr>
                <w:b/>
                <w:sz w:val="20"/>
                <w:szCs w:val="20"/>
              </w:rPr>
              <w:t>15%</w:t>
            </w:r>
          </w:p>
          <w:p w14:paraId="358CAB91" w14:textId="77777777" w:rsidR="0020161C" w:rsidRDefault="0020161C" w:rsidP="00591FB8">
            <w:pPr>
              <w:jc w:val="center"/>
              <w:rPr>
                <w:b/>
                <w:sz w:val="20"/>
                <w:szCs w:val="20"/>
              </w:rPr>
            </w:pPr>
          </w:p>
        </w:tc>
      </w:tr>
      <w:tr w:rsidR="0020161C" w:rsidRPr="00B453D0" w14:paraId="4FC24FB6" w14:textId="77777777" w:rsidTr="00FD6B98">
        <w:tc>
          <w:tcPr>
            <w:tcW w:w="3360" w:type="dxa"/>
            <w:gridSpan w:val="2"/>
            <w:shd w:val="clear" w:color="auto" w:fill="BFCFEB"/>
          </w:tcPr>
          <w:p w14:paraId="105D0307" w14:textId="77777777" w:rsidR="0020161C" w:rsidRPr="00B8387A" w:rsidRDefault="0020161C" w:rsidP="00591FB8">
            <w:pPr>
              <w:jc w:val="both"/>
              <w:rPr>
                <w:sz w:val="20"/>
                <w:szCs w:val="20"/>
              </w:rPr>
            </w:pPr>
            <w:r w:rsidRPr="00B8387A">
              <w:rPr>
                <w:sz w:val="20"/>
                <w:szCs w:val="20"/>
              </w:rPr>
              <w:t>Povećano učešće nastavnika u profesionalnom razvoju na nivou škole za 5% na godišnjem nivou</w:t>
            </w:r>
          </w:p>
          <w:p w14:paraId="5B49EC99" w14:textId="77777777" w:rsidR="0020161C" w:rsidRPr="00250561" w:rsidRDefault="0020161C" w:rsidP="00591FB8">
            <w:pPr>
              <w:jc w:val="both"/>
              <w:rPr>
                <w:sz w:val="20"/>
                <w:szCs w:val="20"/>
              </w:rPr>
            </w:pPr>
          </w:p>
        </w:tc>
        <w:tc>
          <w:tcPr>
            <w:tcW w:w="2825" w:type="dxa"/>
            <w:gridSpan w:val="2"/>
            <w:shd w:val="clear" w:color="auto" w:fill="BFCFEB"/>
          </w:tcPr>
          <w:p w14:paraId="3E06873E" w14:textId="77777777" w:rsidR="0020161C" w:rsidRPr="00286A64" w:rsidRDefault="0020161C" w:rsidP="00591FB8">
            <w:pPr>
              <w:jc w:val="center"/>
              <w:rPr>
                <w:b/>
                <w:sz w:val="20"/>
                <w:szCs w:val="20"/>
              </w:rPr>
            </w:pPr>
          </w:p>
        </w:tc>
        <w:tc>
          <w:tcPr>
            <w:tcW w:w="2785" w:type="dxa"/>
            <w:gridSpan w:val="3"/>
            <w:shd w:val="clear" w:color="auto" w:fill="BFCFEB"/>
            <w:vAlign w:val="center"/>
          </w:tcPr>
          <w:p w14:paraId="1B7F3150" w14:textId="77777777" w:rsidR="0020161C" w:rsidRPr="00286A64" w:rsidRDefault="0020161C" w:rsidP="00591FB8">
            <w:pPr>
              <w:jc w:val="center"/>
              <w:rPr>
                <w:b/>
                <w:sz w:val="20"/>
                <w:szCs w:val="20"/>
              </w:rPr>
            </w:pPr>
            <w:r>
              <w:rPr>
                <w:b/>
                <w:sz w:val="20"/>
                <w:szCs w:val="20"/>
              </w:rPr>
              <w:t>5</w:t>
            </w:r>
            <w:r w:rsidRPr="00286A64">
              <w:rPr>
                <w:b/>
                <w:sz w:val="20"/>
                <w:szCs w:val="20"/>
              </w:rPr>
              <w:t>%</w:t>
            </w:r>
          </w:p>
          <w:p w14:paraId="79939117" w14:textId="77777777" w:rsidR="0020161C" w:rsidRDefault="0020161C" w:rsidP="00591FB8">
            <w:pPr>
              <w:spacing w:line="360" w:lineRule="auto"/>
              <w:jc w:val="center"/>
              <w:rPr>
                <w:b/>
                <w:sz w:val="20"/>
                <w:szCs w:val="20"/>
              </w:rPr>
            </w:pPr>
          </w:p>
        </w:tc>
        <w:tc>
          <w:tcPr>
            <w:tcW w:w="3141" w:type="dxa"/>
            <w:gridSpan w:val="2"/>
            <w:tcBorders>
              <w:bottom w:val="single" w:sz="4" w:space="0" w:color="FFFFFF" w:themeColor="background1"/>
            </w:tcBorders>
            <w:shd w:val="clear" w:color="auto" w:fill="BFCFEB"/>
            <w:vAlign w:val="center"/>
          </w:tcPr>
          <w:p w14:paraId="2D32270D" w14:textId="77777777" w:rsidR="0020161C" w:rsidRDefault="0020161C" w:rsidP="00591FB8">
            <w:pPr>
              <w:jc w:val="center"/>
              <w:rPr>
                <w:b/>
                <w:sz w:val="20"/>
                <w:szCs w:val="20"/>
              </w:rPr>
            </w:pPr>
            <w:r>
              <w:rPr>
                <w:b/>
                <w:sz w:val="20"/>
                <w:szCs w:val="20"/>
              </w:rPr>
              <w:t>10%</w:t>
            </w:r>
          </w:p>
        </w:tc>
        <w:tc>
          <w:tcPr>
            <w:tcW w:w="2775" w:type="dxa"/>
            <w:tcBorders>
              <w:bottom w:val="single" w:sz="4" w:space="0" w:color="FFFFFF" w:themeColor="background1"/>
            </w:tcBorders>
            <w:shd w:val="clear" w:color="auto" w:fill="BFCFEB"/>
            <w:vAlign w:val="center"/>
          </w:tcPr>
          <w:p w14:paraId="7810F5C3" w14:textId="77777777" w:rsidR="0020161C" w:rsidRPr="00286A64" w:rsidRDefault="0020161C" w:rsidP="00591FB8">
            <w:pPr>
              <w:jc w:val="center"/>
              <w:rPr>
                <w:b/>
                <w:sz w:val="20"/>
                <w:szCs w:val="20"/>
              </w:rPr>
            </w:pPr>
            <w:r>
              <w:rPr>
                <w:b/>
                <w:sz w:val="20"/>
                <w:szCs w:val="20"/>
              </w:rPr>
              <w:t>15%</w:t>
            </w:r>
          </w:p>
          <w:p w14:paraId="3DB12417" w14:textId="77777777" w:rsidR="0020161C" w:rsidRDefault="0020161C" w:rsidP="00591FB8">
            <w:pPr>
              <w:jc w:val="center"/>
              <w:rPr>
                <w:b/>
                <w:sz w:val="20"/>
                <w:szCs w:val="20"/>
              </w:rPr>
            </w:pPr>
          </w:p>
        </w:tc>
      </w:tr>
      <w:tr w:rsidR="0020161C" w:rsidRPr="00B453D0" w14:paraId="7BE031A5" w14:textId="77777777" w:rsidTr="00FD6B98">
        <w:tc>
          <w:tcPr>
            <w:tcW w:w="3360" w:type="dxa"/>
            <w:gridSpan w:val="2"/>
            <w:shd w:val="clear" w:color="auto" w:fill="BFCFEB"/>
          </w:tcPr>
          <w:p w14:paraId="6562478F" w14:textId="42D5649A" w:rsidR="0020161C" w:rsidRPr="00B8387A" w:rsidRDefault="00924831" w:rsidP="00FD6B98">
            <w:pPr>
              <w:rPr>
                <w:sz w:val="20"/>
                <w:szCs w:val="20"/>
              </w:rPr>
            </w:pPr>
            <w:r>
              <w:rPr>
                <w:sz w:val="20"/>
                <w:szCs w:val="20"/>
              </w:rPr>
              <w:t>Broj</w:t>
            </w:r>
            <w:r w:rsidR="0020161C" w:rsidRPr="00A323A3">
              <w:rPr>
                <w:sz w:val="20"/>
                <w:szCs w:val="20"/>
              </w:rPr>
              <w:t xml:space="preserve"> licenciranih </w:t>
            </w:r>
            <w:r>
              <w:rPr>
                <w:sz w:val="20"/>
                <w:szCs w:val="20"/>
              </w:rPr>
              <w:t xml:space="preserve">programa </w:t>
            </w:r>
            <w:r w:rsidR="0020161C" w:rsidRPr="00A323A3">
              <w:rPr>
                <w:sz w:val="20"/>
                <w:szCs w:val="20"/>
              </w:rPr>
              <w:t>obrazovanja odraslih</w:t>
            </w:r>
          </w:p>
        </w:tc>
        <w:tc>
          <w:tcPr>
            <w:tcW w:w="2825" w:type="dxa"/>
            <w:gridSpan w:val="2"/>
            <w:shd w:val="clear" w:color="auto" w:fill="BFCFEB"/>
          </w:tcPr>
          <w:p w14:paraId="06602513" w14:textId="77777777" w:rsidR="0020161C" w:rsidRPr="00286A64" w:rsidRDefault="0020161C" w:rsidP="00591FB8">
            <w:pPr>
              <w:jc w:val="center"/>
              <w:rPr>
                <w:b/>
                <w:sz w:val="20"/>
                <w:szCs w:val="20"/>
              </w:rPr>
            </w:pPr>
            <w:r w:rsidRPr="00A323A3">
              <w:rPr>
                <w:b/>
                <w:sz w:val="20"/>
                <w:szCs w:val="20"/>
              </w:rPr>
              <w:t>118</w:t>
            </w:r>
          </w:p>
        </w:tc>
        <w:tc>
          <w:tcPr>
            <w:tcW w:w="2785" w:type="dxa"/>
            <w:gridSpan w:val="3"/>
            <w:shd w:val="clear" w:color="auto" w:fill="BFCFEB"/>
            <w:vAlign w:val="center"/>
          </w:tcPr>
          <w:p w14:paraId="317B0180" w14:textId="77777777" w:rsidR="0020161C" w:rsidRDefault="0020161C" w:rsidP="00591FB8">
            <w:pPr>
              <w:jc w:val="center"/>
              <w:rPr>
                <w:b/>
                <w:sz w:val="20"/>
                <w:szCs w:val="20"/>
              </w:rPr>
            </w:pPr>
            <w:r w:rsidRPr="00A323A3">
              <w:rPr>
                <w:b/>
                <w:sz w:val="20"/>
                <w:szCs w:val="20"/>
              </w:rPr>
              <w:t>124</w:t>
            </w:r>
          </w:p>
        </w:tc>
        <w:tc>
          <w:tcPr>
            <w:tcW w:w="3141" w:type="dxa"/>
            <w:gridSpan w:val="2"/>
            <w:tcBorders>
              <w:bottom w:val="single" w:sz="4" w:space="0" w:color="FFFFFF" w:themeColor="background1"/>
            </w:tcBorders>
            <w:shd w:val="clear" w:color="auto" w:fill="BFCFEB"/>
            <w:vAlign w:val="center"/>
          </w:tcPr>
          <w:p w14:paraId="56F55CCC" w14:textId="77777777" w:rsidR="0020161C" w:rsidRDefault="0020161C" w:rsidP="00591FB8">
            <w:pPr>
              <w:jc w:val="center"/>
              <w:rPr>
                <w:b/>
                <w:sz w:val="20"/>
                <w:szCs w:val="20"/>
              </w:rPr>
            </w:pPr>
            <w:r w:rsidRPr="00A323A3">
              <w:rPr>
                <w:b/>
                <w:sz w:val="20"/>
                <w:szCs w:val="20"/>
              </w:rPr>
              <w:t>130</w:t>
            </w:r>
          </w:p>
        </w:tc>
        <w:tc>
          <w:tcPr>
            <w:tcW w:w="2775" w:type="dxa"/>
            <w:tcBorders>
              <w:bottom w:val="single" w:sz="4" w:space="0" w:color="FFFFFF" w:themeColor="background1"/>
            </w:tcBorders>
            <w:shd w:val="clear" w:color="auto" w:fill="BFCFEB"/>
            <w:vAlign w:val="center"/>
          </w:tcPr>
          <w:p w14:paraId="1DF5DB06" w14:textId="77777777" w:rsidR="0020161C" w:rsidRDefault="0020161C" w:rsidP="00591FB8">
            <w:pPr>
              <w:jc w:val="center"/>
              <w:rPr>
                <w:b/>
                <w:sz w:val="20"/>
                <w:szCs w:val="20"/>
              </w:rPr>
            </w:pPr>
            <w:r w:rsidRPr="00A323A3">
              <w:rPr>
                <w:b/>
                <w:sz w:val="20"/>
                <w:szCs w:val="20"/>
              </w:rPr>
              <w:t>136</w:t>
            </w:r>
          </w:p>
        </w:tc>
      </w:tr>
      <w:bookmarkEnd w:id="36"/>
      <w:bookmarkEnd w:id="39"/>
      <w:tr w:rsidR="0020161C" w:rsidRPr="00B453D0" w14:paraId="4D15219A" w14:textId="77777777" w:rsidTr="00FD6B98">
        <w:tc>
          <w:tcPr>
            <w:tcW w:w="3360" w:type="dxa"/>
            <w:gridSpan w:val="2"/>
            <w:shd w:val="clear" w:color="auto" w:fill="FFF2CC" w:themeFill="accent4" w:themeFillTint="33"/>
            <w:vAlign w:val="center"/>
          </w:tcPr>
          <w:p w14:paraId="62DD772F" w14:textId="77777777" w:rsidR="0020161C" w:rsidRPr="00B453D0" w:rsidRDefault="0020161C" w:rsidP="00FD6B98">
            <w:pPr>
              <w:spacing w:before="20" w:after="20"/>
              <w:jc w:val="center"/>
              <w:rPr>
                <w:rFonts w:cstheme="minorHAnsi"/>
                <w:b/>
                <w:sz w:val="20"/>
                <w:szCs w:val="20"/>
              </w:rPr>
            </w:pPr>
            <w:r w:rsidRPr="00B453D0">
              <w:rPr>
                <w:rFonts w:cstheme="minorHAnsi"/>
                <w:b/>
                <w:sz w:val="20"/>
                <w:szCs w:val="20"/>
              </w:rPr>
              <w:t>Aktivnosti</w:t>
            </w:r>
          </w:p>
        </w:tc>
        <w:tc>
          <w:tcPr>
            <w:tcW w:w="2452" w:type="dxa"/>
            <w:shd w:val="clear" w:color="auto" w:fill="FFF2CC" w:themeFill="accent4" w:themeFillTint="33"/>
            <w:vAlign w:val="center"/>
          </w:tcPr>
          <w:p w14:paraId="653223CF" w14:textId="77777777" w:rsidR="0020161C" w:rsidRPr="00B453D0" w:rsidRDefault="0020161C" w:rsidP="00FD6B98">
            <w:pPr>
              <w:spacing w:before="20" w:after="20"/>
              <w:jc w:val="center"/>
              <w:rPr>
                <w:rFonts w:cstheme="minorHAnsi"/>
                <w:b/>
                <w:sz w:val="20"/>
                <w:szCs w:val="20"/>
              </w:rPr>
            </w:pPr>
            <w:r w:rsidRPr="00B453D0">
              <w:rPr>
                <w:rFonts w:cstheme="minorHAnsi"/>
                <w:b/>
                <w:sz w:val="20"/>
                <w:szCs w:val="20"/>
              </w:rPr>
              <w:t>Indikator rezultata</w:t>
            </w:r>
          </w:p>
        </w:tc>
        <w:tc>
          <w:tcPr>
            <w:tcW w:w="1323" w:type="dxa"/>
            <w:gridSpan w:val="2"/>
            <w:shd w:val="clear" w:color="auto" w:fill="FFF2CC" w:themeFill="accent4" w:themeFillTint="33"/>
            <w:vAlign w:val="center"/>
          </w:tcPr>
          <w:p w14:paraId="4F949EF4" w14:textId="77777777" w:rsidR="0020161C" w:rsidRPr="00B453D0" w:rsidRDefault="0020161C" w:rsidP="00FD6B98">
            <w:pPr>
              <w:spacing w:before="20" w:after="20"/>
              <w:jc w:val="center"/>
              <w:rPr>
                <w:rFonts w:cstheme="minorHAnsi"/>
                <w:b/>
                <w:sz w:val="20"/>
                <w:szCs w:val="20"/>
              </w:rPr>
            </w:pPr>
            <w:r w:rsidRPr="00B453D0">
              <w:rPr>
                <w:rFonts w:cstheme="minorHAnsi"/>
                <w:b/>
                <w:sz w:val="20"/>
                <w:szCs w:val="20"/>
              </w:rPr>
              <w:t>Nadležne institucije i nadležna komisija</w:t>
            </w:r>
          </w:p>
        </w:tc>
        <w:tc>
          <w:tcPr>
            <w:tcW w:w="1251" w:type="dxa"/>
            <w:shd w:val="clear" w:color="auto" w:fill="FFF2CC" w:themeFill="accent4" w:themeFillTint="33"/>
            <w:vAlign w:val="center"/>
          </w:tcPr>
          <w:p w14:paraId="13A2DFEB" w14:textId="77777777" w:rsidR="0020161C" w:rsidRPr="00B453D0" w:rsidRDefault="0020161C" w:rsidP="00FD6B98">
            <w:pPr>
              <w:spacing w:before="20" w:after="20"/>
              <w:jc w:val="center"/>
              <w:rPr>
                <w:rFonts w:cstheme="minorHAnsi"/>
                <w:b/>
                <w:sz w:val="20"/>
                <w:szCs w:val="20"/>
              </w:rPr>
            </w:pPr>
            <w:r w:rsidRPr="00B453D0">
              <w:rPr>
                <w:rFonts w:cstheme="minorHAnsi"/>
                <w:b/>
                <w:sz w:val="20"/>
                <w:szCs w:val="20"/>
              </w:rPr>
              <w:t>Planirani početak i završetak aktivnosti</w:t>
            </w:r>
          </w:p>
        </w:tc>
        <w:tc>
          <w:tcPr>
            <w:tcW w:w="1680" w:type="dxa"/>
            <w:gridSpan w:val="2"/>
            <w:shd w:val="clear" w:color="auto" w:fill="FFF2CC" w:themeFill="accent4" w:themeFillTint="33"/>
            <w:vAlign w:val="center"/>
          </w:tcPr>
          <w:p w14:paraId="6A74F5B6" w14:textId="77777777" w:rsidR="0020161C" w:rsidRPr="00B453D0" w:rsidRDefault="0020161C" w:rsidP="00FD6B98">
            <w:pPr>
              <w:spacing w:before="20" w:after="20"/>
              <w:jc w:val="center"/>
              <w:rPr>
                <w:rFonts w:cstheme="minorHAnsi"/>
                <w:b/>
                <w:sz w:val="20"/>
                <w:szCs w:val="20"/>
              </w:rPr>
            </w:pPr>
            <w:r w:rsidRPr="00B453D0">
              <w:rPr>
                <w:rFonts w:cstheme="minorHAnsi"/>
                <w:b/>
                <w:sz w:val="20"/>
                <w:szCs w:val="20"/>
              </w:rPr>
              <w:t>Sredstva za realizaciju  i informacija o izradi RIA</w:t>
            </w:r>
          </w:p>
        </w:tc>
        <w:tc>
          <w:tcPr>
            <w:tcW w:w="2045" w:type="dxa"/>
            <w:shd w:val="clear" w:color="auto" w:fill="FFF2CC" w:themeFill="accent4" w:themeFillTint="33"/>
            <w:vAlign w:val="center"/>
          </w:tcPr>
          <w:p w14:paraId="240341ED" w14:textId="77777777" w:rsidR="0020161C" w:rsidRPr="00B453D0" w:rsidRDefault="0020161C" w:rsidP="00FD6B98">
            <w:pPr>
              <w:spacing w:before="20" w:after="20"/>
              <w:jc w:val="center"/>
              <w:rPr>
                <w:rFonts w:cstheme="minorHAnsi"/>
                <w:b/>
                <w:sz w:val="20"/>
                <w:szCs w:val="20"/>
              </w:rPr>
            </w:pPr>
            <w:r w:rsidRPr="00B453D0">
              <w:rPr>
                <w:rFonts w:cstheme="minorHAnsi"/>
                <w:b/>
                <w:sz w:val="20"/>
                <w:szCs w:val="20"/>
              </w:rPr>
              <w:t xml:space="preserve"> Izvor finansiranja</w:t>
            </w:r>
          </w:p>
        </w:tc>
        <w:tc>
          <w:tcPr>
            <w:tcW w:w="2775" w:type="dxa"/>
            <w:shd w:val="clear" w:color="auto" w:fill="FFF2CC" w:themeFill="accent4" w:themeFillTint="33"/>
            <w:vAlign w:val="center"/>
          </w:tcPr>
          <w:p w14:paraId="2C04EFC6" w14:textId="77777777" w:rsidR="0020161C" w:rsidRPr="00B453D0" w:rsidRDefault="0020161C" w:rsidP="00FD6B98">
            <w:pPr>
              <w:spacing w:before="20" w:after="20"/>
              <w:jc w:val="center"/>
              <w:rPr>
                <w:rFonts w:cstheme="minorHAnsi"/>
                <w:b/>
                <w:sz w:val="20"/>
                <w:szCs w:val="20"/>
              </w:rPr>
            </w:pPr>
          </w:p>
          <w:p w14:paraId="546F4E21" w14:textId="77777777" w:rsidR="0020161C" w:rsidRPr="00B453D0" w:rsidRDefault="0020161C" w:rsidP="00FD6B98">
            <w:pPr>
              <w:spacing w:before="20" w:after="20"/>
              <w:jc w:val="center"/>
              <w:rPr>
                <w:rFonts w:cstheme="minorHAnsi"/>
                <w:b/>
                <w:sz w:val="20"/>
                <w:szCs w:val="20"/>
              </w:rPr>
            </w:pPr>
            <w:r w:rsidRPr="00B453D0">
              <w:rPr>
                <w:rFonts w:cstheme="minorHAnsi"/>
                <w:b/>
                <w:sz w:val="20"/>
                <w:szCs w:val="20"/>
              </w:rPr>
              <w:t>Obrazloženje</w:t>
            </w:r>
          </w:p>
        </w:tc>
      </w:tr>
      <w:bookmarkEnd w:id="37"/>
      <w:bookmarkEnd w:id="38"/>
      <w:tr w:rsidR="0020161C" w:rsidRPr="00B453D0" w14:paraId="60B7DD1D" w14:textId="77777777" w:rsidTr="00FD6B98">
        <w:tc>
          <w:tcPr>
            <w:tcW w:w="445" w:type="dxa"/>
          </w:tcPr>
          <w:p w14:paraId="3EB6F413" w14:textId="77777777" w:rsidR="0020161C" w:rsidRPr="00FF0B4A" w:rsidRDefault="0020161C" w:rsidP="00FD6B98">
            <w:pPr>
              <w:spacing w:before="20" w:after="20"/>
              <w:rPr>
                <w:rFonts w:cstheme="minorHAnsi"/>
                <w:sz w:val="20"/>
                <w:szCs w:val="20"/>
              </w:rPr>
            </w:pPr>
            <w:r w:rsidRPr="00FF0B4A">
              <w:rPr>
                <w:rFonts w:cstheme="minorHAnsi"/>
                <w:sz w:val="20"/>
                <w:szCs w:val="20"/>
              </w:rPr>
              <w:t>1</w:t>
            </w:r>
            <w:r w:rsidR="00FF0B4A" w:rsidRPr="00FF0B4A">
              <w:rPr>
                <w:rFonts w:cstheme="minorHAnsi"/>
                <w:sz w:val="20"/>
                <w:szCs w:val="20"/>
              </w:rPr>
              <w:t>.</w:t>
            </w:r>
          </w:p>
        </w:tc>
        <w:tc>
          <w:tcPr>
            <w:tcW w:w="2915" w:type="dxa"/>
          </w:tcPr>
          <w:p w14:paraId="0BBE62A9" w14:textId="77777777" w:rsidR="0020161C" w:rsidRPr="00591FB8" w:rsidRDefault="0020161C" w:rsidP="00591FB8">
            <w:pPr>
              <w:spacing w:before="20" w:after="20"/>
              <w:jc w:val="both"/>
              <w:rPr>
                <w:rFonts w:cstheme="minorHAnsi"/>
                <w:bCs/>
                <w:iCs/>
                <w:sz w:val="20"/>
                <w:szCs w:val="20"/>
              </w:rPr>
            </w:pPr>
            <w:r w:rsidRPr="00591FB8">
              <w:rPr>
                <w:rFonts w:cstheme="minorHAnsi"/>
                <w:bCs/>
                <w:iCs/>
                <w:sz w:val="20"/>
                <w:szCs w:val="20"/>
              </w:rPr>
              <w:t>Priprema predloga zakona o izmjenama  i dopunama Opšteg zakona o obrazovanju i vaspitanju</w:t>
            </w:r>
          </w:p>
          <w:p w14:paraId="21DB9422" w14:textId="77777777" w:rsidR="0020161C" w:rsidRPr="00591FB8" w:rsidRDefault="0020161C" w:rsidP="00591FB8">
            <w:pPr>
              <w:spacing w:before="20" w:after="20"/>
              <w:jc w:val="both"/>
              <w:rPr>
                <w:rFonts w:cstheme="minorHAnsi"/>
                <w:sz w:val="20"/>
                <w:szCs w:val="20"/>
              </w:rPr>
            </w:pPr>
          </w:p>
        </w:tc>
        <w:tc>
          <w:tcPr>
            <w:tcW w:w="2452" w:type="dxa"/>
          </w:tcPr>
          <w:p w14:paraId="7FCEB2AA" w14:textId="77777777" w:rsidR="0020161C" w:rsidRPr="00591FB8" w:rsidRDefault="0020161C" w:rsidP="00591FB8">
            <w:pPr>
              <w:spacing w:before="20" w:after="20"/>
              <w:jc w:val="both"/>
              <w:rPr>
                <w:rFonts w:cstheme="minorHAnsi"/>
                <w:sz w:val="20"/>
                <w:szCs w:val="20"/>
              </w:rPr>
            </w:pPr>
            <w:r w:rsidRPr="00591FB8">
              <w:rPr>
                <w:rFonts w:cstheme="minorHAnsi"/>
                <w:sz w:val="20"/>
                <w:szCs w:val="20"/>
              </w:rPr>
              <w:t>Pripremljen predlog zakona o izmjenama  i dopunama Opšteg zakona o obrazovanju i vaspitanju sa unapređenim odredbama koje se odnose na nadležnosti ustanova i tijela, profesionalni razvoj nastavnika, nastavu na daljinu, licenciranje ustanova i dr.</w:t>
            </w:r>
          </w:p>
        </w:tc>
        <w:tc>
          <w:tcPr>
            <w:tcW w:w="1323" w:type="dxa"/>
            <w:gridSpan w:val="2"/>
          </w:tcPr>
          <w:p w14:paraId="37A92D8D" w14:textId="77777777" w:rsidR="0020161C" w:rsidRPr="00591FB8" w:rsidRDefault="0020161C" w:rsidP="00591FB8">
            <w:pPr>
              <w:spacing w:before="20" w:after="20"/>
              <w:jc w:val="both"/>
              <w:rPr>
                <w:rFonts w:cstheme="minorHAnsi"/>
                <w:sz w:val="20"/>
                <w:szCs w:val="20"/>
              </w:rPr>
            </w:pPr>
            <w:r w:rsidRPr="00591FB8">
              <w:rPr>
                <w:rFonts w:cstheme="minorHAnsi"/>
                <w:sz w:val="20"/>
                <w:szCs w:val="20"/>
              </w:rPr>
              <w:t>NI: MPNKS</w:t>
            </w:r>
          </w:p>
          <w:p w14:paraId="7045558F" w14:textId="77777777" w:rsidR="0020161C" w:rsidRPr="00591FB8" w:rsidRDefault="0020161C" w:rsidP="00591FB8">
            <w:pPr>
              <w:spacing w:before="20" w:after="20"/>
              <w:jc w:val="both"/>
              <w:rPr>
                <w:rFonts w:cstheme="minorHAnsi"/>
                <w:sz w:val="20"/>
                <w:szCs w:val="20"/>
              </w:rPr>
            </w:pPr>
            <w:r w:rsidRPr="00591FB8">
              <w:rPr>
                <w:rFonts w:cstheme="minorHAnsi"/>
                <w:sz w:val="20"/>
                <w:szCs w:val="20"/>
              </w:rPr>
              <w:t>NK: KPS, KEPIF</w:t>
            </w:r>
          </w:p>
          <w:p w14:paraId="2EF038E6" w14:textId="77777777" w:rsidR="0020161C" w:rsidRPr="00591FB8" w:rsidRDefault="0020161C" w:rsidP="00591FB8">
            <w:pPr>
              <w:spacing w:before="20" w:after="20"/>
              <w:jc w:val="both"/>
              <w:rPr>
                <w:rFonts w:cstheme="minorHAnsi"/>
                <w:sz w:val="20"/>
                <w:szCs w:val="20"/>
              </w:rPr>
            </w:pPr>
          </w:p>
          <w:p w14:paraId="50C3A366" w14:textId="77777777" w:rsidR="0020161C" w:rsidRPr="00591FB8" w:rsidRDefault="0020161C" w:rsidP="00591FB8">
            <w:pPr>
              <w:spacing w:before="20" w:after="20"/>
              <w:jc w:val="both"/>
              <w:rPr>
                <w:rFonts w:cstheme="minorHAnsi"/>
                <w:sz w:val="20"/>
                <w:szCs w:val="20"/>
              </w:rPr>
            </w:pPr>
          </w:p>
        </w:tc>
        <w:tc>
          <w:tcPr>
            <w:tcW w:w="1251" w:type="dxa"/>
          </w:tcPr>
          <w:p w14:paraId="7C6063B5" w14:textId="77777777" w:rsidR="0020161C" w:rsidRPr="00591FB8" w:rsidRDefault="0020161C" w:rsidP="00591FB8">
            <w:pPr>
              <w:spacing w:before="20" w:after="20"/>
              <w:jc w:val="both"/>
              <w:rPr>
                <w:rFonts w:cstheme="minorHAnsi"/>
                <w:sz w:val="20"/>
                <w:szCs w:val="20"/>
              </w:rPr>
            </w:pPr>
            <w:r w:rsidRPr="00591FB8">
              <w:rPr>
                <w:rFonts w:cstheme="minorHAnsi"/>
                <w:sz w:val="20"/>
                <w:szCs w:val="20"/>
              </w:rPr>
              <w:t>I Q 2022.</w:t>
            </w:r>
          </w:p>
          <w:p w14:paraId="18DE06ED" w14:textId="77777777" w:rsidR="0020161C" w:rsidRPr="00591FB8" w:rsidRDefault="0020161C" w:rsidP="00591FB8">
            <w:pPr>
              <w:spacing w:before="20" w:after="20"/>
              <w:jc w:val="both"/>
              <w:rPr>
                <w:rFonts w:cstheme="minorHAnsi"/>
                <w:sz w:val="20"/>
                <w:szCs w:val="20"/>
              </w:rPr>
            </w:pPr>
          </w:p>
          <w:p w14:paraId="18BC626E" w14:textId="77777777" w:rsidR="0020161C" w:rsidRPr="00591FB8" w:rsidRDefault="0020161C" w:rsidP="00591FB8">
            <w:pPr>
              <w:spacing w:before="20" w:after="20"/>
              <w:jc w:val="both"/>
              <w:rPr>
                <w:rFonts w:cstheme="minorHAnsi"/>
                <w:sz w:val="20"/>
                <w:szCs w:val="20"/>
              </w:rPr>
            </w:pPr>
            <w:r w:rsidRPr="00591FB8">
              <w:rPr>
                <w:rFonts w:cstheme="minorHAnsi"/>
                <w:sz w:val="20"/>
                <w:szCs w:val="20"/>
              </w:rPr>
              <w:t>II Q 2022</w:t>
            </w:r>
          </w:p>
        </w:tc>
        <w:tc>
          <w:tcPr>
            <w:tcW w:w="1680" w:type="dxa"/>
            <w:gridSpan w:val="2"/>
          </w:tcPr>
          <w:p w14:paraId="0E18CF82" w14:textId="77777777" w:rsidR="0020161C" w:rsidRPr="00591FB8" w:rsidRDefault="0020161C" w:rsidP="00591FB8">
            <w:pPr>
              <w:spacing w:before="20" w:after="20"/>
              <w:jc w:val="both"/>
              <w:rPr>
                <w:rFonts w:cstheme="minorHAnsi"/>
                <w:sz w:val="20"/>
                <w:szCs w:val="20"/>
              </w:rPr>
            </w:pPr>
            <w:r w:rsidRPr="00591FB8">
              <w:rPr>
                <w:rFonts w:cstheme="minorHAnsi"/>
                <w:sz w:val="20"/>
                <w:szCs w:val="20"/>
              </w:rPr>
              <w:t>Za utvrđivanje procjene uticaja propisa će biti urađena RIA.</w:t>
            </w:r>
          </w:p>
          <w:p w14:paraId="68DD74E2" w14:textId="77777777" w:rsidR="0020161C" w:rsidRPr="00591FB8" w:rsidRDefault="0020161C" w:rsidP="00591FB8">
            <w:pPr>
              <w:spacing w:before="20" w:after="20"/>
              <w:jc w:val="both"/>
              <w:rPr>
                <w:rFonts w:cstheme="minorHAnsi"/>
                <w:sz w:val="20"/>
                <w:szCs w:val="20"/>
              </w:rPr>
            </w:pPr>
          </w:p>
        </w:tc>
        <w:tc>
          <w:tcPr>
            <w:tcW w:w="2045" w:type="dxa"/>
          </w:tcPr>
          <w:p w14:paraId="12D9E6F5" w14:textId="77777777" w:rsidR="0020161C" w:rsidRPr="00591FB8" w:rsidRDefault="0020161C" w:rsidP="00591FB8">
            <w:pPr>
              <w:spacing w:before="20" w:after="20"/>
              <w:jc w:val="both"/>
              <w:rPr>
                <w:rFonts w:cstheme="minorHAnsi"/>
                <w:sz w:val="20"/>
                <w:szCs w:val="20"/>
              </w:rPr>
            </w:pPr>
          </w:p>
          <w:p w14:paraId="4C7E0B36" w14:textId="77777777" w:rsidR="0020161C" w:rsidRPr="00591FB8" w:rsidRDefault="0020161C" w:rsidP="00591FB8">
            <w:pPr>
              <w:spacing w:before="20" w:after="20"/>
              <w:jc w:val="both"/>
              <w:rPr>
                <w:rFonts w:cstheme="minorHAnsi"/>
                <w:sz w:val="20"/>
                <w:szCs w:val="20"/>
              </w:rPr>
            </w:pPr>
            <w:r w:rsidRPr="00591FB8">
              <w:rPr>
                <w:rFonts w:cstheme="minorHAnsi"/>
                <w:sz w:val="20"/>
                <w:szCs w:val="20"/>
              </w:rPr>
              <w:t>MPNKS-budžet CG</w:t>
            </w:r>
          </w:p>
        </w:tc>
        <w:tc>
          <w:tcPr>
            <w:tcW w:w="2775" w:type="dxa"/>
          </w:tcPr>
          <w:p w14:paraId="1A80F807" w14:textId="77777777" w:rsidR="0020161C" w:rsidRPr="00591FB8" w:rsidRDefault="0020161C" w:rsidP="00591FB8">
            <w:pPr>
              <w:jc w:val="both"/>
              <w:rPr>
                <w:sz w:val="20"/>
                <w:szCs w:val="20"/>
              </w:rPr>
            </w:pPr>
            <w:r w:rsidRPr="00591FB8">
              <w:rPr>
                <w:rFonts w:cstheme="minorHAnsi"/>
                <w:sz w:val="20"/>
                <w:szCs w:val="20"/>
              </w:rPr>
              <w:t xml:space="preserve">Izmjenama i dopunama Opšteg zakona o obrazovanju i vaspitanju definisaće se bliže  nadležnosti ustanova i tijela,  stvoriti uslovi za definisanje u podzakonskim aktima uslova za ostvarivanje i način osiguranja kvaliteta i vrednovanja postignuća i druga pitanja, vezana za realizaciju nastave na daljinu, dalje unaprijediti odredbe koje se odnose na </w:t>
            </w:r>
            <w:r w:rsidRPr="00591FB8">
              <w:rPr>
                <w:color w:val="000000" w:themeColor="text1"/>
                <w:sz w:val="20"/>
                <w:szCs w:val="20"/>
              </w:rPr>
              <w:t xml:space="preserve">pripravnički staž nastavnika,  polaganje stručnog ispita nastavnika, načinu i postupku </w:t>
            </w:r>
            <w:r w:rsidRPr="00591FB8">
              <w:rPr>
                <w:color w:val="000000" w:themeColor="text1"/>
                <w:sz w:val="20"/>
                <w:szCs w:val="20"/>
              </w:rPr>
              <w:lastRenderedPageBreak/>
              <w:t>izdavanja i obnavljanja dozvole za rad nastavniku, direktoru i pomoćniku direktora ustanove o izboru programa stručnog usavršavanja nastavnika i dr. Unapređenje profesionalnog razvoja nastavnika, pored ostalog,  kroz  promociju ponude različitih oblika profesionalnog razvoja koji odgovaraju kontekstu savremene nastave, uvesti mjere koje osiguravaju primjenu novih vještina u svakodnevnoj nastavi i osigurati odgovarajuće podsticaje za razvoj karijere nastavnika. Sve to doprinijeće unapređenje kvaliteta obrazovno-vaspitnog rada.</w:t>
            </w:r>
          </w:p>
        </w:tc>
      </w:tr>
      <w:tr w:rsidR="0020161C" w:rsidRPr="00B453D0" w14:paraId="7A45C91A" w14:textId="77777777" w:rsidTr="00FD6B98">
        <w:tc>
          <w:tcPr>
            <w:tcW w:w="445" w:type="dxa"/>
          </w:tcPr>
          <w:p w14:paraId="08AA80B3" w14:textId="77777777" w:rsidR="0020161C" w:rsidRPr="00FF0B4A" w:rsidRDefault="0020161C" w:rsidP="00FD6B98">
            <w:pPr>
              <w:spacing w:before="20" w:after="20"/>
              <w:rPr>
                <w:rFonts w:cstheme="minorHAnsi"/>
                <w:sz w:val="20"/>
                <w:szCs w:val="20"/>
              </w:rPr>
            </w:pPr>
            <w:r w:rsidRPr="00FF0B4A">
              <w:rPr>
                <w:rFonts w:cstheme="minorHAnsi"/>
                <w:sz w:val="20"/>
                <w:szCs w:val="20"/>
              </w:rPr>
              <w:t>2</w:t>
            </w:r>
            <w:r w:rsidR="00FF0B4A" w:rsidRPr="00FF0B4A">
              <w:rPr>
                <w:rFonts w:cstheme="minorHAnsi"/>
                <w:sz w:val="20"/>
                <w:szCs w:val="20"/>
              </w:rPr>
              <w:t>.</w:t>
            </w:r>
          </w:p>
        </w:tc>
        <w:tc>
          <w:tcPr>
            <w:tcW w:w="2915" w:type="dxa"/>
          </w:tcPr>
          <w:p w14:paraId="1017FA5E" w14:textId="77777777" w:rsidR="0020161C" w:rsidRPr="00C050B1" w:rsidRDefault="0020161C" w:rsidP="00591FB8">
            <w:pPr>
              <w:spacing w:before="20" w:after="20"/>
              <w:jc w:val="both"/>
              <w:rPr>
                <w:rFonts w:cstheme="minorHAnsi"/>
                <w:bCs/>
                <w:iCs/>
                <w:sz w:val="20"/>
                <w:szCs w:val="20"/>
              </w:rPr>
            </w:pPr>
            <w:r w:rsidRPr="00C050B1">
              <w:rPr>
                <w:rFonts w:eastAsia="Calibri" w:cs="Calibri"/>
                <w:bCs/>
                <w:iCs/>
                <w:sz w:val="20"/>
                <w:szCs w:val="20"/>
              </w:rPr>
              <w:t>Priprema predloga zakona o izmjenama  i dopunama Zakona o gimnaziji</w:t>
            </w:r>
          </w:p>
        </w:tc>
        <w:tc>
          <w:tcPr>
            <w:tcW w:w="2452" w:type="dxa"/>
          </w:tcPr>
          <w:p w14:paraId="02ECA97D" w14:textId="77777777" w:rsidR="0020161C" w:rsidRPr="00C050B1" w:rsidRDefault="0020161C" w:rsidP="00591FB8">
            <w:pPr>
              <w:spacing w:before="20" w:after="20" w:line="259" w:lineRule="auto"/>
              <w:jc w:val="both"/>
              <w:rPr>
                <w:rFonts w:eastAsia="Calibri" w:cs="Calibri"/>
                <w:color w:val="002060"/>
                <w:sz w:val="20"/>
                <w:szCs w:val="20"/>
              </w:rPr>
            </w:pPr>
            <w:r w:rsidRPr="00C050B1">
              <w:rPr>
                <w:rFonts w:eastAsia="Calibri" w:cs="Calibri"/>
                <w:sz w:val="20"/>
                <w:szCs w:val="20"/>
              </w:rPr>
              <w:t>Pripremljen predlog zakona o izmjenama  i dopunama Zakona o gimnaziji, usaglašen sa odredbama izmjena i dopuna Opšteg zakona o obrazovanju i vaspitanju</w:t>
            </w:r>
          </w:p>
        </w:tc>
        <w:tc>
          <w:tcPr>
            <w:tcW w:w="1323" w:type="dxa"/>
            <w:gridSpan w:val="2"/>
          </w:tcPr>
          <w:p w14:paraId="4C2EE2DF" w14:textId="77777777" w:rsidR="0020161C" w:rsidRPr="00D571FF" w:rsidRDefault="0020161C" w:rsidP="00591FB8">
            <w:pPr>
              <w:spacing w:before="20" w:after="20"/>
              <w:jc w:val="both"/>
              <w:rPr>
                <w:rFonts w:cstheme="minorHAnsi"/>
                <w:bCs/>
                <w:iCs/>
                <w:sz w:val="20"/>
                <w:szCs w:val="20"/>
              </w:rPr>
            </w:pPr>
            <w:r w:rsidRPr="00D571FF">
              <w:rPr>
                <w:rFonts w:cstheme="minorHAnsi"/>
                <w:bCs/>
                <w:iCs/>
                <w:sz w:val="20"/>
                <w:szCs w:val="20"/>
              </w:rPr>
              <w:t>NI: MPNKS</w:t>
            </w:r>
          </w:p>
          <w:p w14:paraId="3DC26346" w14:textId="77777777" w:rsidR="0020161C" w:rsidRPr="00D571FF" w:rsidRDefault="0020161C" w:rsidP="00591FB8">
            <w:pPr>
              <w:spacing w:before="20" w:after="20"/>
              <w:jc w:val="both"/>
              <w:rPr>
                <w:rFonts w:cstheme="minorHAnsi"/>
                <w:bCs/>
                <w:iCs/>
                <w:sz w:val="20"/>
                <w:szCs w:val="20"/>
              </w:rPr>
            </w:pPr>
            <w:r w:rsidRPr="00D571FF">
              <w:rPr>
                <w:rFonts w:cstheme="minorHAnsi"/>
                <w:bCs/>
                <w:iCs/>
                <w:sz w:val="20"/>
                <w:szCs w:val="20"/>
              </w:rPr>
              <w:t>NK: KPS, KEPIF</w:t>
            </w:r>
          </w:p>
          <w:p w14:paraId="6567523D" w14:textId="77777777" w:rsidR="0020161C" w:rsidRPr="00D571FF" w:rsidRDefault="0020161C" w:rsidP="00591FB8">
            <w:pPr>
              <w:spacing w:before="20" w:after="20"/>
              <w:jc w:val="both"/>
              <w:rPr>
                <w:rFonts w:cstheme="minorHAnsi"/>
                <w:bCs/>
                <w:iCs/>
                <w:sz w:val="20"/>
                <w:szCs w:val="20"/>
              </w:rPr>
            </w:pPr>
          </w:p>
          <w:p w14:paraId="47CAD7E2" w14:textId="77777777" w:rsidR="0020161C" w:rsidRPr="00D571FF" w:rsidRDefault="0020161C" w:rsidP="00591FB8">
            <w:pPr>
              <w:spacing w:before="20" w:after="20"/>
              <w:jc w:val="both"/>
              <w:rPr>
                <w:rFonts w:cstheme="minorHAnsi"/>
                <w:bCs/>
                <w:iCs/>
                <w:sz w:val="20"/>
                <w:szCs w:val="20"/>
              </w:rPr>
            </w:pPr>
          </w:p>
        </w:tc>
        <w:tc>
          <w:tcPr>
            <w:tcW w:w="1251" w:type="dxa"/>
          </w:tcPr>
          <w:p w14:paraId="4BC8DE41" w14:textId="77777777" w:rsidR="0020161C" w:rsidRPr="00D571FF" w:rsidRDefault="0020161C" w:rsidP="00591FB8">
            <w:pPr>
              <w:spacing w:before="20" w:after="20"/>
              <w:jc w:val="both"/>
              <w:rPr>
                <w:rFonts w:cstheme="minorHAnsi"/>
                <w:bCs/>
                <w:iCs/>
                <w:sz w:val="20"/>
                <w:szCs w:val="20"/>
              </w:rPr>
            </w:pPr>
            <w:r w:rsidRPr="00D571FF">
              <w:rPr>
                <w:rFonts w:cstheme="minorHAnsi"/>
                <w:bCs/>
                <w:iCs/>
                <w:sz w:val="20"/>
                <w:szCs w:val="20"/>
              </w:rPr>
              <w:t>I Q 2022.</w:t>
            </w:r>
          </w:p>
          <w:p w14:paraId="740345B1" w14:textId="77777777" w:rsidR="0020161C" w:rsidRPr="00D571FF" w:rsidRDefault="0020161C" w:rsidP="00591FB8">
            <w:pPr>
              <w:spacing w:before="20" w:after="20"/>
              <w:jc w:val="both"/>
              <w:rPr>
                <w:rFonts w:cstheme="minorHAnsi"/>
                <w:bCs/>
                <w:iCs/>
                <w:sz w:val="20"/>
                <w:szCs w:val="20"/>
              </w:rPr>
            </w:pPr>
            <w:r w:rsidRPr="00D571FF">
              <w:rPr>
                <w:rFonts w:cstheme="minorHAnsi"/>
                <w:bCs/>
                <w:iCs/>
                <w:sz w:val="20"/>
                <w:szCs w:val="20"/>
              </w:rPr>
              <w:t>II Q 2022.</w:t>
            </w:r>
          </w:p>
        </w:tc>
        <w:tc>
          <w:tcPr>
            <w:tcW w:w="1680" w:type="dxa"/>
            <w:gridSpan w:val="2"/>
          </w:tcPr>
          <w:p w14:paraId="3C958E96" w14:textId="77777777" w:rsidR="0020161C" w:rsidRPr="00D571FF" w:rsidRDefault="0020161C" w:rsidP="00591FB8">
            <w:pPr>
              <w:spacing w:before="20" w:after="20"/>
              <w:jc w:val="both"/>
              <w:rPr>
                <w:rFonts w:cstheme="minorHAnsi"/>
                <w:bCs/>
                <w:iCs/>
                <w:sz w:val="20"/>
                <w:szCs w:val="20"/>
              </w:rPr>
            </w:pPr>
            <w:r w:rsidRPr="00D571FF">
              <w:rPr>
                <w:rFonts w:cstheme="minorHAnsi"/>
                <w:bCs/>
                <w:iCs/>
                <w:sz w:val="20"/>
                <w:szCs w:val="20"/>
              </w:rPr>
              <w:t>Za utvrđivanje procjene uticaja propisa će biti urađena RIA.</w:t>
            </w:r>
          </w:p>
          <w:p w14:paraId="508BF0ED" w14:textId="77777777" w:rsidR="0020161C" w:rsidRPr="00D571FF" w:rsidRDefault="0020161C" w:rsidP="00591FB8">
            <w:pPr>
              <w:spacing w:before="20" w:after="20"/>
              <w:jc w:val="both"/>
              <w:rPr>
                <w:rFonts w:cstheme="minorHAnsi"/>
                <w:bCs/>
                <w:iCs/>
                <w:sz w:val="20"/>
                <w:szCs w:val="20"/>
              </w:rPr>
            </w:pPr>
          </w:p>
        </w:tc>
        <w:tc>
          <w:tcPr>
            <w:tcW w:w="2045" w:type="dxa"/>
          </w:tcPr>
          <w:p w14:paraId="23A6852C" w14:textId="77777777" w:rsidR="0020161C" w:rsidRPr="00D571FF" w:rsidRDefault="0020161C" w:rsidP="00591FB8">
            <w:pPr>
              <w:spacing w:before="20" w:after="20"/>
              <w:jc w:val="both"/>
              <w:rPr>
                <w:rFonts w:cstheme="minorHAnsi"/>
                <w:bCs/>
                <w:iCs/>
                <w:sz w:val="20"/>
                <w:szCs w:val="20"/>
              </w:rPr>
            </w:pPr>
            <w:r w:rsidRPr="00D571FF">
              <w:rPr>
                <w:rFonts w:cstheme="minorHAnsi"/>
                <w:bCs/>
                <w:iCs/>
                <w:sz w:val="20"/>
                <w:szCs w:val="20"/>
              </w:rPr>
              <w:t>MPNKS-budžet CG</w:t>
            </w:r>
          </w:p>
        </w:tc>
        <w:tc>
          <w:tcPr>
            <w:tcW w:w="2775" w:type="dxa"/>
          </w:tcPr>
          <w:p w14:paraId="464FB0FE" w14:textId="77777777" w:rsidR="0020161C" w:rsidRPr="00D571FF" w:rsidRDefault="0020161C" w:rsidP="00591FB8">
            <w:pPr>
              <w:spacing w:before="20" w:after="20"/>
              <w:jc w:val="both"/>
              <w:rPr>
                <w:rFonts w:cstheme="minorHAnsi"/>
                <w:sz w:val="20"/>
                <w:szCs w:val="20"/>
              </w:rPr>
            </w:pPr>
            <w:r w:rsidRPr="00B621BC">
              <w:rPr>
                <w:rFonts w:cstheme="minorHAnsi"/>
                <w:sz w:val="20"/>
                <w:szCs w:val="20"/>
              </w:rPr>
              <w:t xml:space="preserve">Izmjenama i dopunama </w:t>
            </w:r>
            <w:r>
              <w:rPr>
                <w:rFonts w:cstheme="minorHAnsi"/>
                <w:sz w:val="20"/>
                <w:szCs w:val="20"/>
              </w:rPr>
              <w:t>Zakona o gimnaziji i njegovim usklađivanjem sa izmjenama i dopunama Opšteg unaprijediće se odredbe koje se odnose na uslove za osnivanje specijalističkih odjeljenja, organizaciju, realizaciju i vrednovanje  nastave na daljinu, nedjeljno opterećenje učenika, paralelno obrazovanje učenika, pitanja vezana za stručne saradnike i saradnike u nastavi i druga pitanja kojima će se unaprijediti kvalitet obrazovno-vaspitnog rada u gimnazijama.</w:t>
            </w:r>
          </w:p>
        </w:tc>
      </w:tr>
      <w:tr w:rsidR="0020161C" w:rsidRPr="00B453D0" w14:paraId="1B2422A2" w14:textId="77777777" w:rsidTr="00FD6B98">
        <w:tc>
          <w:tcPr>
            <w:tcW w:w="445" w:type="dxa"/>
          </w:tcPr>
          <w:p w14:paraId="6240D990" w14:textId="77777777" w:rsidR="0020161C" w:rsidRPr="00D571FF" w:rsidRDefault="0020161C" w:rsidP="00FD6B98">
            <w:pPr>
              <w:spacing w:before="20" w:after="20"/>
              <w:rPr>
                <w:rFonts w:cstheme="minorHAnsi"/>
                <w:iCs/>
                <w:sz w:val="20"/>
                <w:szCs w:val="20"/>
              </w:rPr>
            </w:pPr>
            <w:r>
              <w:rPr>
                <w:rFonts w:cstheme="minorHAnsi"/>
                <w:iCs/>
                <w:sz w:val="20"/>
                <w:szCs w:val="20"/>
              </w:rPr>
              <w:t>3.</w:t>
            </w:r>
          </w:p>
        </w:tc>
        <w:tc>
          <w:tcPr>
            <w:tcW w:w="2915" w:type="dxa"/>
          </w:tcPr>
          <w:p w14:paraId="6CE75189" w14:textId="77777777" w:rsidR="0020161C" w:rsidRPr="00D571FF" w:rsidRDefault="0020161C" w:rsidP="00591FB8">
            <w:pPr>
              <w:spacing w:before="20" w:after="20"/>
              <w:jc w:val="both"/>
              <w:rPr>
                <w:rFonts w:eastAsia="Calibri" w:cs="Calibri"/>
                <w:bCs/>
                <w:iCs/>
                <w:sz w:val="20"/>
                <w:szCs w:val="20"/>
              </w:rPr>
            </w:pPr>
            <w:r w:rsidRPr="00D571FF">
              <w:rPr>
                <w:rFonts w:cstheme="minorHAnsi"/>
                <w:bCs/>
                <w:iCs/>
                <w:sz w:val="20"/>
                <w:szCs w:val="20"/>
              </w:rPr>
              <w:t>Priprema predloga zakona o izmjenama  i dopunama Zakona o stručnom obrazovanju</w:t>
            </w:r>
            <w:r w:rsidRPr="00D571FF" w:rsidDel="0031180E">
              <w:rPr>
                <w:rFonts w:cstheme="minorHAnsi"/>
                <w:bCs/>
                <w:iCs/>
                <w:sz w:val="20"/>
                <w:szCs w:val="20"/>
              </w:rPr>
              <w:t xml:space="preserve"> </w:t>
            </w:r>
          </w:p>
        </w:tc>
        <w:tc>
          <w:tcPr>
            <w:tcW w:w="2452" w:type="dxa"/>
          </w:tcPr>
          <w:p w14:paraId="012FE803" w14:textId="77777777" w:rsidR="0020161C" w:rsidRPr="00D571FF" w:rsidRDefault="0020161C" w:rsidP="00591FB8">
            <w:pPr>
              <w:spacing w:before="20" w:after="20"/>
              <w:jc w:val="both"/>
              <w:rPr>
                <w:rFonts w:eastAsia="Calibri" w:cs="Calibri"/>
                <w:bCs/>
                <w:iCs/>
                <w:sz w:val="20"/>
                <w:szCs w:val="20"/>
              </w:rPr>
            </w:pPr>
            <w:r w:rsidRPr="00D571FF">
              <w:rPr>
                <w:rFonts w:cstheme="minorHAnsi"/>
                <w:bCs/>
                <w:iCs/>
                <w:sz w:val="20"/>
                <w:szCs w:val="20"/>
              </w:rPr>
              <w:t>Pripremljen predlog zakona o izmjenama  i dopunama Zakona o stručnom obrazovanju, usaglašen sa odredbama izmjena i dopuna Opšteg zakona o obrazovanju i vaspitanju</w:t>
            </w:r>
          </w:p>
        </w:tc>
        <w:tc>
          <w:tcPr>
            <w:tcW w:w="1323" w:type="dxa"/>
            <w:gridSpan w:val="2"/>
          </w:tcPr>
          <w:p w14:paraId="25E47CA7" w14:textId="77777777" w:rsidR="0020161C" w:rsidRPr="00D571FF" w:rsidRDefault="0020161C" w:rsidP="00591FB8">
            <w:pPr>
              <w:spacing w:before="20" w:after="20"/>
              <w:jc w:val="both"/>
              <w:rPr>
                <w:rFonts w:cstheme="minorHAnsi"/>
                <w:bCs/>
                <w:iCs/>
                <w:sz w:val="20"/>
                <w:szCs w:val="20"/>
              </w:rPr>
            </w:pPr>
            <w:r w:rsidRPr="00D571FF">
              <w:rPr>
                <w:rFonts w:cstheme="minorHAnsi"/>
                <w:bCs/>
                <w:iCs/>
                <w:sz w:val="20"/>
                <w:szCs w:val="20"/>
              </w:rPr>
              <w:t>NI: MPNKS</w:t>
            </w:r>
          </w:p>
          <w:p w14:paraId="498EEA09" w14:textId="77777777" w:rsidR="0020161C" w:rsidRPr="00D571FF" w:rsidRDefault="0020161C" w:rsidP="00591FB8">
            <w:pPr>
              <w:spacing w:before="20" w:after="20"/>
              <w:jc w:val="both"/>
              <w:rPr>
                <w:rFonts w:cstheme="minorHAnsi"/>
                <w:bCs/>
                <w:iCs/>
                <w:sz w:val="20"/>
                <w:szCs w:val="20"/>
              </w:rPr>
            </w:pPr>
            <w:r w:rsidRPr="00D571FF">
              <w:rPr>
                <w:rFonts w:cstheme="minorHAnsi"/>
                <w:bCs/>
                <w:iCs/>
                <w:sz w:val="20"/>
                <w:szCs w:val="20"/>
              </w:rPr>
              <w:t>NK: KPS, KEPIF</w:t>
            </w:r>
          </w:p>
          <w:p w14:paraId="0AB538AC" w14:textId="77777777" w:rsidR="0020161C" w:rsidRPr="00D571FF" w:rsidRDefault="0020161C" w:rsidP="00591FB8">
            <w:pPr>
              <w:spacing w:before="20" w:after="20"/>
              <w:jc w:val="both"/>
              <w:rPr>
                <w:rFonts w:cstheme="minorHAnsi"/>
                <w:bCs/>
                <w:iCs/>
                <w:sz w:val="20"/>
                <w:szCs w:val="20"/>
              </w:rPr>
            </w:pPr>
          </w:p>
        </w:tc>
        <w:tc>
          <w:tcPr>
            <w:tcW w:w="1251" w:type="dxa"/>
          </w:tcPr>
          <w:p w14:paraId="654BCEBC" w14:textId="77777777" w:rsidR="0020161C" w:rsidRDefault="0020161C" w:rsidP="00591FB8">
            <w:pPr>
              <w:spacing w:before="20" w:after="20"/>
              <w:jc w:val="both"/>
              <w:rPr>
                <w:rFonts w:cstheme="minorHAnsi"/>
                <w:i/>
                <w:sz w:val="20"/>
                <w:szCs w:val="20"/>
              </w:rPr>
            </w:pPr>
            <w:r>
              <w:rPr>
                <w:rFonts w:cstheme="minorHAnsi"/>
                <w:i/>
                <w:sz w:val="20"/>
                <w:szCs w:val="20"/>
              </w:rPr>
              <w:t>I Q 2022.</w:t>
            </w:r>
          </w:p>
          <w:p w14:paraId="2847019A" w14:textId="77777777" w:rsidR="0020161C" w:rsidRPr="00D571FF" w:rsidRDefault="0020161C" w:rsidP="00591FB8">
            <w:pPr>
              <w:spacing w:before="20" w:after="20"/>
              <w:jc w:val="both"/>
              <w:rPr>
                <w:rFonts w:cstheme="minorHAnsi"/>
                <w:bCs/>
                <w:iCs/>
                <w:sz w:val="20"/>
                <w:szCs w:val="20"/>
              </w:rPr>
            </w:pPr>
            <w:r>
              <w:rPr>
                <w:rFonts w:cstheme="minorHAnsi"/>
                <w:i/>
                <w:sz w:val="20"/>
                <w:szCs w:val="20"/>
              </w:rPr>
              <w:t>II Q 2022.</w:t>
            </w:r>
          </w:p>
        </w:tc>
        <w:tc>
          <w:tcPr>
            <w:tcW w:w="1680" w:type="dxa"/>
            <w:gridSpan w:val="2"/>
          </w:tcPr>
          <w:p w14:paraId="47153BB9" w14:textId="77777777" w:rsidR="0020161C" w:rsidRPr="00D571FF" w:rsidRDefault="0020161C" w:rsidP="00591FB8">
            <w:pPr>
              <w:spacing w:before="20" w:after="20"/>
              <w:jc w:val="both"/>
              <w:rPr>
                <w:rFonts w:cstheme="minorHAnsi"/>
                <w:bCs/>
                <w:iCs/>
                <w:sz w:val="20"/>
                <w:szCs w:val="20"/>
              </w:rPr>
            </w:pPr>
            <w:r w:rsidRPr="00D571FF">
              <w:rPr>
                <w:rFonts w:cstheme="minorHAnsi"/>
                <w:bCs/>
                <w:iCs/>
                <w:sz w:val="20"/>
                <w:szCs w:val="20"/>
              </w:rPr>
              <w:t>Za utvrđivanje procjene uticaja propisa će biti urađena RIA.</w:t>
            </w:r>
          </w:p>
          <w:p w14:paraId="14A10CB0" w14:textId="77777777" w:rsidR="0020161C" w:rsidRPr="00D571FF" w:rsidRDefault="0020161C" w:rsidP="00591FB8">
            <w:pPr>
              <w:spacing w:before="20" w:after="20"/>
              <w:jc w:val="both"/>
              <w:rPr>
                <w:rFonts w:cstheme="minorHAnsi"/>
                <w:bCs/>
                <w:iCs/>
                <w:sz w:val="20"/>
                <w:szCs w:val="20"/>
              </w:rPr>
            </w:pPr>
          </w:p>
        </w:tc>
        <w:tc>
          <w:tcPr>
            <w:tcW w:w="2045" w:type="dxa"/>
          </w:tcPr>
          <w:p w14:paraId="017085AC" w14:textId="77777777" w:rsidR="0020161C" w:rsidRPr="00D571FF" w:rsidRDefault="0020161C" w:rsidP="00591FB8">
            <w:pPr>
              <w:spacing w:before="20" w:after="20"/>
              <w:jc w:val="both"/>
              <w:rPr>
                <w:rFonts w:cstheme="minorHAnsi"/>
                <w:bCs/>
                <w:iCs/>
                <w:sz w:val="20"/>
                <w:szCs w:val="20"/>
              </w:rPr>
            </w:pPr>
            <w:r w:rsidRPr="00D571FF">
              <w:rPr>
                <w:rFonts w:cstheme="minorHAnsi"/>
                <w:bCs/>
                <w:iCs/>
                <w:sz w:val="20"/>
                <w:szCs w:val="20"/>
              </w:rPr>
              <w:t>MPNKS-budžet CG</w:t>
            </w:r>
          </w:p>
        </w:tc>
        <w:tc>
          <w:tcPr>
            <w:tcW w:w="2775" w:type="dxa"/>
          </w:tcPr>
          <w:p w14:paraId="54C4C0C5" w14:textId="77777777" w:rsidR="0020161C" w:rsidRPr="00B621BC" w:rsidRDefault="0020161C" w:rsidP="00591FB8">
            <w:pPr>
              <w:spacing w:before="20" w:after="20"/>
              <w:jc w:val="both"/>
              <w:rPr>
                <w:rFonts w:cstheme="minorHAnsi"/>
                <w:sz w:val="20"/>
                <w:szCs w:val="20"/>
              </w:rPr>
            </w:pPr>
            <w:r w:rsidRPr="00B621BC">
              <w:rPr>
                <w:rFonts w:cstheme="minorHAnsi"/>
                <w:sz w:val="20"/>
                <w:szCs w:val="20"/>
              </w:rPr>
              <w:t xml:space="preserve">Izmjenama i dopunama </w:t>
            </w:r>
            <w:r>
              <w:rPr>
                <w:rFonts w:cstheme="minorHAnsi"/>
                <w:sz w:val="20"/>
                <w:szCs w:val="20"/>
              </w:rPr>
              <w:t xml:space="preserve">Zakona o stručnom obrazovanju i njegovo usaglašavanje sa izmjenama i dopunama </w:t>
            </w:r>
            <w:r w:rsidRPr="00B621BC">
              <w:rPr>
                <w:rFonts w:cstheme="minorHAnsi"/>
                <w:sz w:val="20"/>
                <w:szCs w:val="20"/>
              </w:rPr>
              <w:t xml:space="preserve">Opšteg zakona o obrazovanju i vaspitanju </w:t>
            </w:r>
            <w:r>
              <w:rPr>
                <w:rFonts w:cstheme="minorHAnsi"/>
                <w:sz w:val="20"/>
                <w:szCs w:val="20"/>
              </w:rPr>
              <w:t xml:space="preserve">unaprijediće se odredbe koje se odnose na praktično obrazovanje kod poslodavca, provjeravanje i </w:t>
            </w:r>
            <w:r>
              <w:rPr>
                <w:rFonts w:cstheme="minorHAnsi"/>
                <w:sz w:val="20"/>
                <w:szCs w:val="20"/>
              </w:rPr>
              <w:lastRenderedPageBreak/>
              <w:t>ocjenjivanje postignuća učenika u programima, baziranim na ishodima učenja, organizaciju, realizaciju i vrednovanje  nastave na daljinu, nedjeljno opterećenje učenika, paralelno obrazovanje učenika, pitanja vezana za stručne saradnike i saradnike u nastavi i druga pitanja kojima će se unaprijediti kvalitet obrazovno-vaspitnog rada u stručnim školama.</w:t>
            </w:r>
          </w:p>
        </w:tc>
      </w:tr>
      <w:tr w:rsidR="0020161C" w:rsidRPr="00B453D0" w14:paraId="604EBD75" w14:textId="77777777" w:rsidTr="00FD6B98">
        <w:tc>
          <w:tcPr>
            <w:tcW w:w="445" w:type="dxa"/>
          </w:tcPr>
          <w:p w14:paraId="5451505B" w14:textId="77777777" w:rsidR="0020161C" w:rsidRDefault="0020161C" w:rsidP="00FD6B98">
            <w:pPr>
              <w:spacing w:before="20" w:after="20"/>
              <w:rPr>
                <w:rFonts w:cstheme="minorHAnsi"/>
                <w:iCs/>
                <w:sz w:val="20"/>
                <w:szCs w:val="20"/>
              </w:rPr>
            </w:pPr>
            <w:r>
              <w:rPr>
                <w:rFonts w:cstheme="minorHAnsi"/>
                <w:iCs/>
                <w:sz w:val="20"/>
                <w:szCs w:val="20"/>
              </w:rPr>
              <w:lastRenderedPageBreak/>
              <w:t>4.</w:t>
            </w:r>
          </w:p>
        </w:tc>
        <w:tc>
          <w:tcPr>
            <w:tcW w:w="2915" w:type="dxa"/>
          </w:tcPr>
          <w:p w14:paraId="4E84930B" w14:textId="77777777" w:rsidR="0020161C" w:rsidRPr="00D571FF" w:rsidRDefault="0020161C" w:rsidP="00591FB8">
            <w:pPr>
              <w:spacing w:before="20" w:after="20"/>
              <w:jc w:val="both"/>
              <w:rPr>
                <w:rFonts w:cstheme="minorHAnsi"/>
                <w:bCs/>
                <w:iCs/>
                <w:sz w:val="20"/>
                <w:szCs w:val="20"/>
              </w:rPr>
            </w:pPr>
            <w:r>
              <w:rPr>
                <w:rFonts w:cstheme="minorHAnsi"/>
                <w:sz w:val="20"/>
                <w:szCs w:val="20"/>
              </w:rPr>
              <w:t xml:space="preserve">Priprema </w:t>
            </w:r>
            <w:r w:rsidRPr="00B453D0">
              <w:rPr>
                <w:rFonts w:cstheme="minorHAnsi"/>
                <w:sz w:val="20"/>
                <w:szCs w:val="20"/>
              </w:rPr>
              <w:t xml:space="preserve"> Programa razvoja opšteg srednjeg obrazovanja u Crnoj Gori (202</w:t>
            </w:r>
            <w:r>
              <w:rPr>
                <w:rFonts w:cstheme="minorHAnsi"/>
                <w:sz w:val="20"/>
                <w:szCs w:val="20"/>
              </w:rPr>
              <w:t>2</w:t>
            </w:r>
            <w:r w:rsidRPr="00B453D0">
              <w:rPr>
                <w:rFonts w:cstheme="minorHAnsi"/>
                <w:sz w:val="20"/>
                <w:szCs w:val="20"/>
              </w:rPr>
              <w:t>-202</w:t>
            </w:r>
            <w:r>
              <w:rPr>
                <w:rFonts w:cstheme="minorHAnsi"/>
                <w:sz w:val="20"/>
                <w:szCs w:val="20"/>
              </w:rPr>
              <w:t>4</w:t>
            </w:r>
            <w:r w:rsidRPr="00B453D0">
              <w:rPr>
                <w:rFonts w:cstheme="minorHAnsi"/>
                <w:sz w:val="20"/>
                <w:szCs w:val="20"/>
              </w:rPr>
              <w:t xml:space="preserve">), s Akcionim planom </w:t>
            </w:r>
          </w:p>
        </w:tc>
        <w:tc>
          <w:tcPr>
            <w:tcW w:w="2452" w:type="dxa"/>
          </w:tcPr>
          <w:p w14:paraId="4F09DA9F" w14:textId="77777777" w:rsidR="0020161C" w:rsidRPr="00D571FF" w:rsidRDefault="0020161C" w:rsidP="00591FB8">
            <w:pPr>
              <w:spacing w:before="20" w:after="20"/>
              <w:jc w:val="both"/>
              <w:rPr>
                <w:rFonts w:eastAsia="Calibri" w:cs="Times New Roman"/>
                <w:sz w:val="20"/>
                <w:szCs w:val="20"/>
              </w:rPr>
            </w:pPr>
            <w:r w:rsidRPr="00D571FF">
              <w:rPr>
                <w:rFonts w:eastAsia="Calibri" w:cs="Times New Roman"/>
                <w:sz w:val="20"/>
                <w:szCs w:val="20"/>
              </w:rPr>
              <w:t>Urađen Program razvoja opšteg srednjeg obrazovanje u Crnoj Gori (2022-2024</w:t>
            </w:r>
          </w:p>
          <w:p w14:paraId="4814E67E" w14:textId="77777777" w:rsidR="0020161C" w:rsidRPr="00D571FF" w:rsidRDefault="0020161C" w:rsidP="00591FB8">
            <w:pPr>
              <w:spacing w:before="20" w:after="20"/>
              <w:jc w:val="both"/>
              <w:rPr>
                <w:rFonts w:eastAsia="Calibri" w:cs="Times New Roman"/>
                <w:sz w:val="20"/>
                <w:szCs w:val="20"/>
              </w:rPr>
            </w:pPr>
          </w:p>
          <w:p w14:paraId="64DB5CB8" w14:textId="77777777" w:rsidR="0020161C" w:rsidRPr="00D571FF" w:rsidRDefault="0020161C" w:rsidP="00591FB8">
            <w:pPr>
              <w:spacing w:before="20" w:after="20"/>
              <w:jc w:val="both"/>
              <w:rPr>
                <w:rFonts w:cstheme="minorHAnsi"/>
                <w:sz w:val="20"/>
                <w:szCs w:val="20"/>
              </w:rPr>
            </w:pPr>
            <w:r w:rsidRPr="00D571FF">
              <w:rPr>
                <w:rFonts w:eastAsia="Calibri" w:cs="Times New Roman"/>
                <w:sz w:val="20"/>
                <w:szCs w:val="20"/>
              </w:rPr>
              <w:t>Program razvoja opšteg srednjeg obrazovanje u Crnoj Gori usvojen na Vladi</w:t>
            </w:r>
          </w:p>
        </w:tc>
        <w:tc>
          <w:tcPr>
            <w:tcW w:w="1323" w:type="dxa"/>
            <w:gridSpan w:val="2"/>
          </w:tcPr>
          <w:p w14:paraId="4E80DCBA" w14:textId="77777777" w:rsidR="0020161C" w:rsidRPr="00D571FF" w:rsidRDefault="0020161C" w:rsidP="00591FB8">
            <w:pPr>
              <w:spacing w:before="20" w:after="20"/>
              <w:jc w:val="both"/>
              <w:rPr>
                <w:rFonts w:cstheme="minorHAnsi"/>
                <w:bCs/>
                <w:iCs/>
                <w:sz w:val="20"/>
                <w:szCs w:val="20"/>
              </w:rPr>
            </w:pPr>
            <w:r w:rsidRPr="00B453D0">
              <w:rPr>
                <w:rFonts w:cstheme="minorHAnsi"/>
                <w:sz w:val="20"/>
                <w:szCs w:val="20"/>
              </w:rPr>
              <w:t>MPNKS</w:t>
            </w:r>
          </w:p>
        </w:tc>
        <w:tc>
          <w:tcPr>
            <w:tcW w:w="1251" w:type="dxa"/>
          </w:tcPr>
          <w:p w14:paraId="40A0BC43" w14:textId="77777777" w:rsidR="0020161C" w:rsidRDefault="0020161C" w:rsidP="00591FB8">
            <w:pPr>
              <w:spacing w:before="20" w:after="20"/>
              <w:jc w:val="both"/>
              <w:rPr>
                <w:rFonts w:cstheme="minorHAnsi"/>
                <w:sz w:val="20"/>
                <w:szCs w:val="20"/>
              </w:rPr>
            </w:pPr>
            <w:r>
              <w:rPr>
                <w:rFonts w:cstheme="minorHAnsi"/>
                <w:sz w:val="20"/>
                <w:szCs w:val="20"/>
              </w:rPr>
              <w:t xml:space="preserve">I Q 2022 </w:t>
            </w:r>
          </w:p>
          <w:p w14:paraId="7163375F" w14:textId="77777777" w:rsidR="0020161C" w:rsidRDefault="0020161C" w:rsidP="00591FB8">
            <w:pPr>
              <w:spacing w:before="20" w:after="20"/>
              <w:jc w:val="both"/>
              <w:rPr>
                <w:rFonts w:cstheme="minorHAnsi"/>
                <w:i/>
                <w:sz w:val="20"/>
                <w:szCs w:val="20"/>
              </w:rPr>
            </w:pPr>
            <w:r w:rsidRPr="00B453D0">
              <w:rPr>
                <w:rFonts w:cstheme="minorHAnsi"/>
                <w:sz w:val="20"/>
                <w:szCs w:val="20"/>
              </w:rPr>
              <w:t>II Q 2022</w:t>
            </w:r>
          </w:p>
        </w:tc>
        <w:tc>
          <w:tcPr>
            <w:tcW w:w="1680" w:type="dxa"/>
            <w:gridSpan w:val="2"/>
          </w:tcPr>
          <w:p w14:paraId="065019F9" w14:textId="77777777" w:rsidR="0020161C" w:rsidRPr="00D571FF" w:rsidRDefault="0020161C" w:rsidP="00591FB8">
            <w:pPr>
              <w:spacing w:before="20" w:after="20"/>
              <w:jc w:val="both"/>
              <w:rPr>
                <w:rFonts w:cstheme="minorHAnsi"/>
                <w:sz w:val="20"/>
                <w:szCs w:val="20"/>
              </w:rPr>
            </w:pPr>
            <w:r w:rsidRPr="00B453D0">
              <w:rPr>
                <w:rFonts w:cstheme="minorHAnsi"/>
                <w:sz w:val="20"/>
                <w:szCs w:val="20"/>
              </w:rPr>
              <w:t>Za utvrđivanje procjene uticaja propisa će biti urađena RIA.</w:t>
            </w:r>
          </w:p>
        </w:tc>
        <w:tc>
          <w:tcPr>
            <w:tcW w:w="2045" w:type="dxa"/>
          </w:tcPr>
          <w:p w14:paraId="4A010CA5" w14:textId="77777777" w:rsidR="0020161C" w:rsidRPr="00D571FF" w:rsidRDefault="0020161C" w:rsidP="00591FB8">
            <w:pPr>
              <w:spacing w:before="20" w:after="20"/>
              <w:jc w:val="both"/>
              <w:rPr>
                <w:rFonts w:cstheme="minorHAnsi"/>
                <w:bCs/>
                <w:iCs/>
                <w:sz w:val="20"/>
                <w:szCs w:val="20"/>
              </w:rPr>
            </w:pPr>
          </w:p>
        </w:tc>
        <w:tc>
          <w:tcPr>
            <w:tcW w:w="2775" w:type="dxa"/>
          </w:tcPr>
          <w:p w14:paraId="254EEFB5" w14:textId="77777777" w:rsidR="0020161C" w:rsidRPr="00D571FF" w:rsidRDefault="0020161C" w:rsidP="00FD6B98">
            <w:pPr>
              <w:rPr>
                <w:rFonts w:eastAsia="Calibri" w:cs="Times New Roman"/>
                <w:bCs/>
                <w:color w:val="000000" w:themeColor="text1"/>
                <w:sz w:val="20"/>
                <w:szCs w:val="20"/>
              </w:rPr>
            </w:pPr>
            <w:r w:rsidRPr="00D571FF">
              <w:rPr>
                <w:rFonts w:cstheme="minorHAnsi"/>
                <w:sz w:val="20"/>
                <w:szCs w:val="20"/>
              </w:rPr>
              <w:t>Program razvoja definisace viziju i prioritete, mjere i aktivnosti za unapređenje kvaliteta gimnazijskog obrazovanja. Pored ostalog, Programom će se definisati smjernice za unapređene koncepta izbornih predmeta i njihova povezanost sa predmetima od značaja za nastavak obrazovanja, Takođe, nakon usaglašavanja odredbi Zakona o visokom obrazovanju koje se odnose na upis učenika na studije i vertilkalnu prohodnost na pojedine studijske programe sa odredbama propisa koji urđeju gimnazijsko obrazovanje</w:t>
            </w:r>
            <w:r w:rsidRPr="00D571FF">
              <w:rPr>
                <w:rFonts w:cstheme="minorHAnsi"/>
                <w:color w:val="000000" w:themeColor="text1"/>
                <w:sz w:val="20"/>
                <w:szCs w:val="20"/>
              </w:rPr>
              <w:t xml:space="preserve">, </w:t>
            </w:r>
            <w:r w:rsidRPr="00D571FF">
              <w:rPr>
                <w:rFonts w:eastAsia="Calibri" w:cs="Times New Roman"/>
                <w:bCs/>
                <w:color w:val="000000" w:themeColor="text1"/>
                <w:sz w:val="20"/>
                <w:szCs w:val="20"/>
              </w:rPr>
              <w:t xml:space="preserve">broj učenika koji na maturskom ispitu polažu matematiku kao obavezni predmet mature </w:t>
            </w:r>
            <w:r w:rsidRPr="00D571FF">
              <w:rPr>
                <w:rFonts w:eastAsia="Calibri"/>
                <w:bCs/>
                <w:color w:val="000000" w:themeColor="text1"/>
                <w:sz w:val="20"/>
                <w:szCs w:val="20"/>
              </w:rPr>
              <w:t xml:space="preserve">povećaće se za </w:t>
            </w:r>
            <w:r w:rsidRPr="00D571FF">
              <w:rPr>
                <w:rFonts w:eastAsia="Calibri" w:cs="Times New Roman"/>
                <w:bCs/>
                <w:color w:val="000000" w:themeColor="text1"/>
                <w:sz w:val="20"/>
                <w:szCs w:val="20"/>
              </w:rPr>
              <w:t xml:space="preserve"> 5% na godišnjem nivou</w:t>
            </w:r>
            <w:r w:rsidRPr="00D571FF">
              <w:rPr>
                <w:rFonts w:eastAsia="Calibri"/>
                <w:bCs/>
                <w:color w:val="000000" w:themeColor="text1"/>
                <w:sz w:val="20"/>
                <w:szCs w:val="20"/>
              </w:rPr>
              <w:t xml:space="preserve"> I </w:t>
            </w:r>
            <w:r w:rsidRPr="00D571FF">
              <w:rPr>
                <w:rFonts w:eastAsia="Calibri" w:cs="Times New Roman"/>
                <w:bCs/>
                <w:color w:val="000000" w:themeColor="text1"/>
                <w:sz w:val="20"/>
                <w:szCs w:val="20"/>
              </w:rPr>
              <w:t>broj učenika koji kao izborni predmet na maturskom ispitu polažu fiziku, hemiju I biologiju</w:t>
            </w:r>
            <w:r w:rsidRPr="00D571FF">
              <w:rPr>
                <w:rFonts w:eastAsia="Calibri"/>
                <w:bCs/>
                <w:color w:val="000000" w:themeColor="text1"/>
                <w:sz w:val="20"/>
                <w:szCs w:val="20"/>
              </w:rPr>
              <w:t xml:space="preserve"> povećaće se </w:t>
            </w:r>
            <w:r w:rsidRPr="00D571FF">
              <w:rPr>
                <w:rFonts w:eastAsia="Calibri" w:cs="Times New Roman"/>
                <w:bCs/>
                <w:color w:val="000000" w:themeColor="text1"/>
                <w:sz w:val="20"/>
                <w:szCs w:val="20"/>
              </w:rPr>
              <w:t>za 8% na godišnjem nivou.</w:t>
            </w:r>
          </w:p>
        </w:tc>
      </w:tr>
      <w:tr w:rsidR="0020161C" w:rsidRPr="00B453D0" w14:paraId="254B84D9" w14:textId="77777777" w:rsidTr="00FD6B98">
        <w:tc>
          <w:tcPr>
            <w:tcW w:w="445" w:type="dxa"/>
          </w:tcPr>
          <w:p w14:paraId="47C70F04" w14:textId="77777777" w:rsidR="0020161C" w:rsidRDefault="0020161C" w:rsidP="00FD6B98">
            <w:pPr>
              <w:spacing w:before="20" w:after="20"/>
              <w:rPr>
                <w:rFonts w:cstheme="minorHAnsi"/>
                <w:iCs/>
                <w:sz w:val="20"/>
                <w:szCs w:val="20"/>
              </w:rPr>
            </w:pPr>
            <w:r>
              <w:rPr>
                <w:rFonts w:cstheme="minorHAnsi"/>
                <w:iCs/>
                <w:sz w:val="20"/>
                <w:szCs w:val="20"/>
              </w:rPr>
              <w:t>5.</w:t>
            </w:r>
          </w:p>
        </w:tc>
        <w:tc>
          <w:tcPr>
            <w:tcW w:w="2915" w:type="dxa"/>
            <w:shd w:val="clear" w:color="auto" w:fill="auto"/>
          </w:tcPr>
          <w:p w14:paraId="3A97DA4E" w14:textId="77777777" w:rsidR="0020161C" w:rsidRPr="001F33F6" w:rsidRDefault="0020161C" w:rsidP="00591FB8">
            <w:pPr>
              <w:spacing w:before="20" w:after="20"/>
              <w:jc w:val="both"/>
              <w:rPr>
                <w:rFonts w:cstheme="minorHAnsi"/>
                <w:iCs/>
                <w:sz w:val="20"/>
                <w:szCs w:val="20"/>
              </w:rPr>
            </w:pPr>
            <w:r w:rsidRPr="001F33F6">
              <w:rPr>
                <w:rFonts w:cstheme="minorHAnsi"/>
                <w:iCs/>
                <w:sz w:val="20"/>
                <w:szCs w:val="20"/>
              </w:rPr>
              <w:t xml:space="preserve">Priprema predloga zakona o izmjenama  i dopunama Zakona o nacionalnim stručnim kvalifikacijama </w:t>
            </w:r>
          </w:p>
        </w:tc>
        <w:tc>
          <w:tcPr>
            <w:tcW w:w="2452" w:type="dxa"/>
            <w:shd w:val="clear" w:color="auto" w:fill="auto"/>
          </w:tcPr>
          <w:p w14:paraId="6E9EB19C" w14:textId="77777777" w:rsidR="0020161C" w:rsidRPr="001F33F6" w:rsidRDefault="0020161C" w:rsidP="00591FB8">
            <w:pPr>
              <w:spacing w:before="20" w:after="20"/>
              <w:jc w:val="both"/>
              <w:rPr>
                <w:rFonts w:eastAsia="Calibri" w:cs="Times New Roman"/>
                <w:iCs/>
                <w:sz w:val="20"/>
                <w:szCs w:val="20"/>
              </w:rPr>
            </w:pPr>
            <w:r w:rsidRPr="001F33F6">
              <w:rPr>
                <w:rFonts w:cstheme="minorHAnsi"/>
                <w:iCs/>
                <w:sz w:val="20"/>
                <w:szCs w:val="20"/>
              </w:rPr>
              <w:t xml:space="preserve">Pripremljen predlog zakona o izmjenama  i dopunama Zakona o nacionalnim stručnim kvalifikacijama </w:t>
            </w:r>
          </w:p>
        </w:tc>
        <w:tc>
          <w:tcPr>
            <w:tcW w:w="1323" w:type="dxa"/>
            <w:gridSpan w:val="2"/>
            <w:shd w:val="clear" w:color="auto" w:fill="auto"/>
          </w:tcPr>
          <w:p w14:paraId="59108E41" w14:textId="77777777" w:rsidR="0020161C" w:rsidRPr="001F33F6" w:rsidRDefault="0020161C" w:rsidP="00591FB8">
            <w:pPr>
              <w:spacing w:before="20" w:after="20"/>
              <w:jc w:val="both"/>
              <w:rPr>
                <w:rFonts w:cstheme="minorHAnsi"/>
                <w:iCs/>
                <w:sz w:val="20"/>
                <w:szCs w:val="20"/>
              </w:rPr>
            </w:pPr>
            <w:r w:rsidRPr="001F33F6">
              <w:rPr>
                <w:rFonts w:cstheme="minorHAnsi"/>
                <w:iCs/>
                <w:sz w:val="20"/>
                <w:szCs w:val="20"/>
              </w:rPr>
              <w:t>MPNKS</w:t>
            </w:r>
          </w:p>
        </w:tc>
        <w:tc>
          <w:tcPr>
            <w:tcW w:w="1251" w:type="dxa"/>
            <w:shd w:val="clear" w:color="auto" w:fill="auto"/>
          </w:tcPr>
          <w:p w14:paraId="6B2E32B2" w14:textId="6A14C961" w:rsidR="0020161C" w:rsidRPr="001F33F6" w:rsidRDefault="0020161C" w:rsidP="00591FB8">
            <w:pPr>
              <w:spacing w:before="20" w:after="20"/>
              <w:jc w:val="both"/>
              <w:rPr>
                <w:rFonts w:cstheme="minorHAnsi"/>
                <w:iCs/>
                <w:sz w:val="20"/>
                <w:szCs w:val="20"/>
              </w:rPr>
            </w:pPr>
            <w:r w:rsidRPr="001F33F6">
              <w:rPr>
                <w:rFonts w:cstheme="minorHAnsi"/>
                <w:iCs/>
                <w:sz w:val="20"/>
                <w:szCs w:val="20"/>
              </w:rPr>
              <w:t>II Q-IIIQ</w:t>
            </w:r>
            <w:r w:rsidR="00924831">
              <w:rPr>
                <w:rFonts w:cstheme="minorHAnsi"/>
                <w:iCs/>
                <w:sz w:val="20"/>
                <w:szCs w:val="20"/>
              </w:rPr>
              <w:t xml:space="preserve"> 2022</w:t>
            </w:r>
          </w:p>
        </w:tc>
        <w:tc>
          <w:tcPr>
            <w:tcW w:w="1680" w:type="dxa"/>
            <w:gridSpan w:val="2"/>
            <w:shd w:val="clear" w:color="auto" w:fill="auto"/>
          </w:tcPr>
          <w:p w14:paraId="665BC3C2" w14:textId="77777777" w:rsidR="0020161C" w:rsidRPr="001F33F6" w:rsidRDefault="0020161C" w:rsidP="00591FB8">
            <w:pPr>
              <w:spacing w:before="20" w:after="20"/>
              <w:jc w:val="both"/>
              <w:rPr>
                <w:rFonts w:cstheme="minorHAnsi"/>
                <w:iCs/>
                <w:sz w:val="20"/>
                <w:szCs w:val="20"/>
              </w:rPr>
            </w:pPr>
            <w:r w:rsidRPr="001F33F6">
              <w:rPr>
                <w:rFonts w:cstheme="minorHAnsi"/>
                <w:iCs/>
                <w:sz w:val="20"/>
                <w:szCs w:val="20"/>
              </w:rPr>
              <w:t>Za utvrđivanje procjene uticaja propisa će biti urađena RIA.</w:t>
            </w:r>
          </w:p>
          <w:p w14:paraId="6971D54C" w14:textId="77777777" w:rsidR="0020161C" w:rsidRPr="001F33F6" w:rsidRDefault="0020161C" w:rsidP="00591FB8">
            <w:pPr>
              <w:spacing w:before="20" w:after="20"/>
              <w:jc w:val="both"/>
              <w:rPr>
                <w:rFonts w:cstheme="minorHAnsi"/>
                <w:iCs/>
                <w:sz w:val="20"/>
                <w:szCs w:val="20"/>
              </w:rPr>
            </w:pPr>
          </w:p>
        </w:tc>
        <w:tc>
          <w:tcPr>
            <w:tcW w:w="2045" w:type="dxa"/>
            <w:shd w:val="clear" w:color="auto" w:fill="auto"/>
          </w:tcPr>
          <w:p w14:paraId="4F10AD0F" w14:textId="77777777" w:rsidR="0020161C" w:rsidRPr="001F33F6" w:rsidRDefault="0020161C" w:rsidP="00FD6B98">
            <w:pPr>
              <w:spacing w:before="20" w:after="20"/>
              <w:rPr>
                <w:rFonts w:cstheme="minorHAnsi"/>
                <w:bCs/>
                <w:iCs/>
                <w:sz w:val="20"/>
                <w:szCs w:val="20"/>
              </w:rPr>
            </w:pPr>
            <w:r w:rsidRPr="001F33F6">
              <w:rPr>
                <w:rFonts w:cstheme="minorHAnsi"/>
                <w:iCs/>
                <w:sz w:val="20"/>
                <w:szCs w:val="20"/>
              </w:rPr>
              <w:lastRenderedPageBreak/>
              <w:t>MPNKS-budžet CG</w:t>
            </w:r>
          </w:p>
        </w:tc>
        <w:tc>
          <w:tcPr>
            <w:tcW w:w="2775" w:type="dxa"/>
            <w:shd w:val="clear" w:color="auto" w:fill="auto"/>
          </w:tcPr>
          <w:p w14:paraId="4DCBFA3B" w14:textId="77777777" w:rsidR="0020161C" w:rsidRPr="001F33F6" w:rsidRDefault="0020161C" w:rsidP="00FD6B98">
            <w:pPr>
              <w:rPr>
                <w:rFonts w:cstheme="minorHAnsi"/>
                <w:iCs/>
                <w:sz w:val="20"/>
                <w:szCs w:val="20"/>
              </w:rPr>
            </w:pPr>
            <w:r w:rsidRPr="001F33F6">
              <w:rPr>
                <w:rFonts w:cstheme="minorHAnsi"/>
                <w:iCs/>
                <w:sz w:val="20"/>
                <w:szCs w:val="20"/>
              </w:rPr>
              <w:t xml:space="preserve">Izmjenama i dopunama Zakona o nacionalnim stručnim kvalifikacijama  unaprijediće se odredbe koje se odnose na </w:t>
            </w:r>
            <w:r w:rsidRPr="001F33F6">
              <w:rPr>
                <w:rFonts w:cstheme="minorHAnsi"/>
                <w:iCs/>
                <w:sz w:val="20"/>
                <w:szCs w:val="20"/>
              </w:rPr>
              <w:lastRenderedPageBreak/>
              <w:t xml:space="preserve">nadležnosti organa, institucija i ustanova u postupku provjere i potvrđivanja znanja, vještina i kompetencija, stečenih kroz neformalno i informalno učenje. Kroz jasnije definisanje procedura provjere i potvrđivanja postupak sticanja sertifikata o nacionalnoj stručnoj kvalifikaciji učiniće se transparentnim, unaprijediće se validnost stečenih sertifikata. To će motivisati odrasle polaznike koji su stekli znanja van formalnog obrazovanja da verifikuju prethodno učenje i tako poboljšaju svoj položaj na tržištu rada.   </w:t>
            </w:r>
          </w:p>
        </w:tc>
      </w:tr>
      <w:tr w:rsidR="0020161C" w:rsidRPr="00B453D0" w14:paraId="08FDE1AE" w14:textId="77777777" w:rsidTr="00FD6B98">
        <w:tc>
          <w:tcPr>
            <w:tcW w:w="445" w:type="dxa"/>
          </w:tcPr>
          <w:p w14:paraId="5D344362" w14:textId="77777777" w:rsidR="0020161C" w:rsidRDefault="0020161C" w:rsidP="00FD6B98">
            <w:pPr>
              <w:spacing w:before="20" w:after="20"/>
              <w:rPr>
                <w:rFonts w:cstheme="minorHAnsi"/>
                <w:iCs/>
                <w:sz w:val="20"/>
                <w:szCs w:val="20"/>
              </w:rPr>
            </w:pPr>
            <w:r>
              <w:rPr>
                <w:rFonts w:cstheme="minorHAnsi"/>
                <w:iCs/>
                <w:sz w:val="20"/>
                <w:szCs w:val="20"/>
              </w:rPr>
              <w:lastRenderedPageBreak/>
              <w:t>6.</w:t>
            </w:r>
          </w:p>
        </w:tc>
        <w:tc>
          <w:tcPr>
            <w:tcW w:w="2915" w:type="dxa"/>
            <w:shd w:val="clear" w:color="auto" w:fill="auto"/>
          </w:tcPr>
          <w:p w14:paraId="3909FC8A" w14:textId="77777777" w:rsidR="0020161C" w:rsidRPr="00212777" w:rsidRDefault="0020161C" w:rsidP="00591FB8">
            <w:pPr>
              <w:spacing w:before="20" w:after="20"/>
              <w:jc w:val="both"/>
              <w:rPr>
                <w:rFonts w:cstheme="minorHAnsi"/>
                <w:iCs/>
                <w:sz w:val="20"/>
                <w:szCs w:val="20"/>
              </w:rPr>
            </w:pPr>
            <w:r w:rsidRPr="00212777">
              <w:rPr>
                <w:rFonts w:cstheme="minorHAnsi"/>
                <w:iCs/>
                <w:sz w:val="20"/>
                <w:szCs w:val="20"/>
              </w:rPr>
              <w:t xml:space="preserve">Priprema predloga zakona o izmjenama  i dopunama Zakona o obrazovanju odraslih </w:t>
            </w:r>
          </w:p>
        </w:tc>
        <w:tc>
          <w:tcPr>
            <w:tcW w:w="2452" w:type="dxa"/>
            <w:shd w:val="clear" w:color="auto" w:fill="auto"/>
          </w:tcPr>
          <w:p w14:paraId="4F2A103A" w14:textId="77777777" w:rsidR="0020161C" w:rsidRPr="00212777" w:rsidRDefault="0020161C" w:rsidP="00591FB8">
            <w:pPr>
              <w:spacing w:before="20" w:after="20"/>
              <w:jc w:val="both"/>
              <w:rPr>
                <w:rFonts w:cstheme="minorHAnsi"/>
                <w:iCs/>
                <w:sz w:val="20"/>
                <w:szCs w:val="20"/>
              </w:rPr>
            </w:pPr>
            <w:r w:rsidRPr="00212777">
              <w:rPr>
                <w:rFonts w:cstheme="minorHAnsi"/>
                <w:iCs/>
                <w:sz w:val="20"/>
                <w:szCs w:val="20"/>
              </w:rPr>
              <w:t>Pripremljen predlog zakona o izmjenama  i dopunama o obrazovanju odraslih</w:t>
            </w:r>
          </w:p>
        </w:tc>
        <w:tc>
          <w:tcPr>
            <w:tcW w:w="1323" w:type="dxa"/>
            <w:gridSpan w:val="2"/>
            <w:shd w:val="clear" w:color="auto" w:fill="auto"/>
          </w:tcPr>
          <w:p w14:paraId="1BBD4F99" w14:textId="77777777" w:rsidR="0020161C" w:rsidRPr="00212777" w:rsidRDefault="0020161C" w:rsidP="00591FB8">
            <w:pPr>
              <w:spacing w:before="20" w:after="20"/>
              <w:jc w:val="both"/>
              <w:rPr>
                <w:rFonts w:cstheme="minorHAnsi"/>
                <w:iCs/>
                <w:sz w:val="20"/>
                <w:szCs w:val="20"/>
              </w:rPr>
            </w:pPr>
            <w:r w:rsidRPr="00212777">
              <w:rPr>
                <w:rFonts w:cstheme="minorHAnsi"/>
                <w:iCs/>
                <w:sz w:val="20"/>
                <w:szCs w:val="20"/>
              </w:rPr>
              <w:t>MPNKS</w:t>
            </w:r>
          </w:p>
        </w:tc>
        <w:tc>
          <w:tcPr>
            <w:tcW w:w="1251" w:type="dxa"/>
            <w:shd w:val="clear" w:color="auto" w:fill="auto"/>
          </w:tcPr>
          <w:p w14:paraId="48A361D8" w14:textId="7002EE4F" w:rsidR="0020161C" w:rsidRPr="00212777" w:rsidRDefault="0020161C" w:rsidP="00591FB8">
            <w:pPr>
              <w:spacing w:before="20" w:after="20"/>
              <w:jc w:val="both"/>
              <w:rPr>
                <w:rFonts w:cstheme="minorHAnsi"/>
                <w:iCs/>
                <w:sz w:val="20"/>
                <w:szCs w:val="20"/>
              </w:rPr>
            </w:pPr>
            <w:r w:rsidRPr="00212777">
              <w:rPr>
                <w:rFonts w:cstheme="minorHAnsi"/>
                <w:iCs/>
                <w:sz w:val="20"/>
                <w:szCs w:val="20"/>
              </w:rPr>
              <w:t>IIQ-IIIQ</w:t>
            </w:r>
            <w:r w:rsidR="00924831">
              <w:rPr>
                <w:rFonts w:cstheme="minorHAnsi"/>
                <w:iCs/>
                <w:sz w:val="20"/>
                <w:szCs w:val="20"/>
              </w:rPr>
              <w:t xml:space="preserve"> 2022</w:t>
            </w:r>
          </w:p>
        </w:tc>
        <w:tc>
          <w:tcPr>
            <w:tcW w:w="1680" w:type="dxa"/>
            <w:gridSpan w:val="2"/>
            <w:shd w:val="clear" w:color="auto" w:fill="auto"/>
          </w:tcPr>
          <w:p w14:paraId="3EED7D53" w14:textId="77777777" w:rsidR="0020161C" w:rsidRPr="00212777" w:rsidRDefault="0020161C" w:rsidP="00591FB8">
            <w:pPr>
              <w:spacing w:before="20" w:after="20"/>
              <w:jc w:val="both"/>
              <w:rPr>
                <w:rFonts w:cstheme="minorHAnsi"/>
                <w:iCs/>
                <w:sz w:val="20"/>
                <w:szCs w:val="20"/>
              </w:rPr>
            </w:pPr>
            <w:r w:rsidRPr="00212777">
              <w:rPr>
                <w:rFonts w:cstheme="minorHAnsi"/>
                <w:iCs/>
                <w:sz w:val="20"/>
                <w:szCs w:val="20"/>
              </w:rPr>
              <w:t>Za utvrđivanje procjene uticaja propisa će biti urađena RIA.</w:t>
            </w:r>
          </w:p>
          <w:p w14:paraId="37EDBB89" w14:textId="77777777" w:rsidR="0020161C" w:rsidRPr="00212777" w:rsidRDefault="0020161C" w:rsidP="00591FB8">
            <w:pPr>
              <w:spacing w:before="20" w:after="20"/>
              <w:jc w:val="both"/>
              <w:rPr>
                <w:rFonts w:cstheme="minorHAnsi"/>
                <w:iCs/>
                <w:sz w:val="20"/>
                <w:szCs w:val="20"/>
              </w:rPr>
            </w:pPr>
          </w:p>
        </w:tc>
        <w:tc>
          <w:tcPr>
            <w:tcW w:w="2045" w:type="dxa"/>
            <w:shd w:val="clear" w:color="auto" w:fill="auto"/>
          </w:tcPr>
          <w:p w14:paraId="36403D34" w14:textId="77777777" w:rsidR="0020161C" w:rsidRPr="00212777" w:rsidRDefault="0020161C" w:rsidP="00591FB8">
            <w:pPr>
              <w:spacing w:before="20" w:after="20"/>
              <w:jc w:val="both"/>
              <w:rPr>
                <w:rFonts w:cstheme="minorHAnsi"/>
                <w:iCs/>
                <w:sz w:val="20"/>
                <w:szCs w:val="20"/>
              </w:rPr>
            </w:pPr>
            <w:r w:rsidRPr="00212777">
              <w:rPr>
                <w:rFonts w:cstheme="minorHAnsi"/>
                <w:iCs/>
                <w:sz w:val="20"/>
                <w:szCs w:val="20"/>
              </w:rPr>
              <w:t>MPNKS-budžet CG</w:t>
            </w:r>
          </w:p>
        </w:tc>
        <w:tc>
          <w:tcPr>
            <w:tcW w:w="2775" w:type="dxa"/>
            <w:shd w:val="clear" w:color="auto" w:fill="auto"/>
          </w:tcPr>
          <w:p w14:paraId="5978C3D6" w14:textId="77777777" w:rsidR="0020161C" w:rsidRPr="00212777" w:rsidRDefault="0020161C" w:rsidP="00FD6B98">
            <w:pPr>
              <w:rPr>
                <w:rFonts w:cstheme="minorHAnsi"/>
                <w:iCs/>
                <w:sz w:val="20"/>
                <w:szCs w:val="20"/>
              </w:rPr>
            </w:pPr>
            <w:r w:rsidRPr="00212777">
              <w:rPr>
                <w:rFonts w:cstheme="minorHAnsi"/>
                <w:iCs/>
                <w:sz w:val="20"/>
                <w:szCs w:val="20"/>
              </w:rPr>
              <w:t xml:space="preserve">Izmjenama i dopunama Zakona o obrazovanju odraslih otkloniće se postojeće barijere u postupku osnivanja ustanova za obrazovanje odraslih. To će uticati na povećano učešće odraslih u programima cjeloživotnog učenja. </w:t>
            </w:r>
          </w:p>
        </w:tc>
      </w:tr>
      <w:tr w:rsidR="0020161C" w:rsidRPr="00B453D0" w14:paraId="1B85F8B8" w14:textId="77777777" w:rsidTr="00FD6B98">
        <w:tc>
          <w:tcPr>
            <w:tcW w:w="445" w:type="dxa"/>
          </w:tcPr>
          <w:p w14:paraId="0EC78A22" w14:textId="77777777" w:rsidR="0020161C" w:rsidRDefault="0020161C" w:rsidP="00FD6B98">
            <w:pPr>
              <w:spacing w:before="20" w:after="20"/>
              <w:rPr>
                <w:rFonts w:cstheme="minorHAnsi"/>
                <w:iCs/>
                <w:sz w:val="20"/>
                <w:szCs w:val="20"/>
              </w:rPr>
            </w:pPr>
            <w:r>
              <w:rPr>
                <w:rFonts w:cstheme="minorHAnsi"/>
                <w:iCs/>
                <w:sz w:val="20"/>
                <w:szCs w:val="20"/>
              </w:rPr>
              <w:t>7.</w:t>
            </w:r>
          </w:p>
        </w:tc>
        <w:tc>
          <w:tcPr>
            <w:tcW w:w="2915" w:type="dxa"/>
          </w:tcPr>
          <w:p w14:paraId="180AFD7D" w14:textId="77777777" w:rsidR="0020161C" w:rsidRPr="00212777" w:rsidRDefault="0020161C" w:rsidP="00591FB8">
            <w:pPr>
              <w:spacing w:before="20" w:after="20"/>
              <w:jc w:val="both"/>
              <w:rPr>
                <w:rFonts w:cstheme="minorHAnsi"/>
                <w:iCs/>
                <w:sz w:val="20"/>
                <w:szCs w:val="20"/>
              </w:rPr>
            </w:pPr>
            <w:r w:rsidRPr="00B453D0">
              <w:rPr>
                <w:rFonts w:cstheme="minorHAnsi"/>
                <w:sz w:val="20"/>
                <w:szCs w:val="20"/>
              </w:rPr>
              <w:t>Usvojiti Zakon o visokom obrazovanju</w:t>
            </w:r>
          </w:p>
        </w:tc>
        <w:tc>
          <w:tcPr>
            <w:tcW w:w="2452" w:type="dxa"/>
          </w:tcPr>
          <w:p w14:paraId="78AB74A8" w14:textId="77777777" w:rsidR="0020161C" w:rsidRPr="00212777" w:rsidRDefault="0020161C" w:rsidP="00591FB8">
            <w:pPr>
              <w:spacing w:before="20" w:after="20"/>
              <w:jc w:val="both"/>
              <w:rPr>
                <w:rFonts w:cstheme="minorHAnsi"/>
                <w:iCs/>
                <w:sz w:val="20"/>
                <w:szCs w:val="20"/>
              </w:rPr>
            </w:pPr>
            <w:r w:rsidRPr="00B453D0">
              <w:rPr>
                <w:rFonts w:cstheme="minorHAnsi"/>
                <w:sz w:val="20"/>
                <w:szCs w:val="20"/>
              </w:rPr>
              <w:t>Bliže definisanje Agencije i Savjeta za visoko obrazovanje u procesu akreditacije obrazovne ustanove, izbora u zvanje; definisanjem statusa zaposlenih u visokoškolskim ustanovama, nivoi studiranja, način funkcionisanja ustanova visokoškolskih ustanova</w:t>
            </w:r>
          </w:p>
        </w:tc>
        <w:tc>
          <w:tcPr>
            <w:tcW w:w="1323" w:type="dxa"/>
            <w:gridSpan w:val="2"/>
          </w:tcPr>
          <w:p w14:paraId="64A73F79" w14:textId="77777777" w:rsidR="0020161C" w:rsidRPr="00212777" w:rsidRDefault="0020161C" w:rsidP="00591FB8">
            <w:pPr>
              <w:spacing w:before="20" w:after="20"/>
              <w:jc w:val="both"/>
              <w:rPr>
                <w:rFonts w:cstheme="minorHAnsi"/>
                <w:iCs/>
                <w:sz w:val="20"/>
                <w:szCs w:val="20"/>
              </w:rPr>
            </w:pPr>
            <w:r w:rsidRPr="00B453D0">
              <w:rPr>
                <w:rFonts w:cstheme="minorHAnsi"/>
                <w:sz w:val="20"/>
                <w:szCs w:val="20"/>
              </w:rPr>
              <w:t>MPNKS</w:t>
            </w:r>
          </w:p>
        </w:tc>
        <w:tc>
          <w:tcPr>
            <w:tcW w:w="1251" w:type="dxa"/>
          </w:tcPr>
          <w:p w14:paraId="7F3AFB44" w14:textId="77777777" w:rsidR="0020161C" w:rsidRPr="00212777" w:rsidRDefault="0020161C" w:rsidP="00591FB8">
            <w:pPr>
              <w:spacing w:before="20" w:after="20"/>
              <w:jc w:val="both"/>
              <w:rPr>
                <w:rFonts w:cstheme="minorHAnsi"/>
                <w:iCs/>
                <w:sz w:val="20"/>
                <w:szCs w:val="20"/>
              </w:rPr>
            </w:pPr>
            <w:r w:rsidRPr="00B453D0">
              <w:rPr>
                <w:rFonts w:cstheme="minorHAnsi"/>
                <w:sz w:val="20"/>
                <w:szCs w:val="20"/>
              </w:rPr>
              <w:t>I Q 2022</w:t>
            </w:r>
          </w:p>
        </w:tc>
        <w:tc>
          <w:tcPr>
            <w:tcW w:w="1680" w:type="dxa"/>
            <w:gridSpan w:val="2"/>
          </w:tcPr>
          <w:p w14:paraId="14C658A4" w14:textId="77777777" w:rsidR="0020161C" w:rsidRPr="00B453D0" w:rsidRDefault="0020161C" w:rsidP="00591FB8">
            <w:pPr>
              <w:spacing w:before="20" w:after="20"/>
              <w:jc w:val="both"/>
              <w:rPr>
                <w:rFonts w:cstheme="minorHAnsi"/>
                <w:sz w:val="20"/>
                <w:szCs w:val="20"/>
              </w:rPr>
            </w:pPr>
            <w:r w:rsidRPr="00B453D0">
              <w:rPr>
                <w:rFonts w:cstheme="minorHAnsi"/>
                <w:sz w:val="20"/>
                <w:szCs w:val="20"/>
              </w:rPr>
              <w:t>Za utvrđivanje procjene uticaja propisa će biti urađena RIA.</w:t>
            </w:r>
          </w:p>
          <w:p w14:paraId="184345A6" w14:textId="77777777" w:rsidR="0020161C" w:rsidRPr="00212777" w:rsidRDefault="0020161C" w:rsidP="00591FB8">
            <w:pPr>
              <w:spacing w:before="20" w:after="20"/>
              <w:jc w:val="both"/>
              <w:rPr>
                <w:rFonts w:cstheme="minorHAnsi"/>
                <w:iCs/>
                <w:sz w:val="20"/>
                <w:szCs w:val="20"/>
              </w:rPr>
            </w:pPr>
            <w:r w:rsidRPr="00B453D0">
              <w:rPr>
                <w:rFonts w:cstheme="minorHAnsi"/>
                <w:sz w:val="20"/>
                <w:szCs w:val="20"/>
              </w:rPr>
              <w:t>1500 e za eksperta</w:t>
            </w:r>
          </w:p>
        </w:tc>
        <w:tc>
          <w:tcPr>
            <w:tcW w:w="2045" w:type="dxa"/>
          </w:tcPr>
          <w:p w14:paraId="67D3C260" w14:textId="77777777" w:rsidR="0020161C" w:rsidRPr="00212777" w:rsidRDefault="0020161C" w:rsidP="00591FB8">
            <w:pPr>
              <w:spacing w:before="20" w:after="20"/>
              <w:jc w:val="both"/>
              <w:rPr>
                <w:rFonts w:cstheme="minorHAnsi"/>
                <w:iCs/>
                <w:sz w:val="20"/>
                <w:szCs w:val="20"/>
              </w:rPr>
            </w:pPr>
          </w:p>
        </w:tc>
        <w:tc>
          <w:tcPr>
            <w:tcW w:w="2775" w:type="dxa"/>
          </w:tcPr>
          <w:p w14:paraId="41D4CB3F" w14:textId="77777777" w:rsidR="0020161C" w:rsidRPr="00212777" w:rsidRDefault="0020161C" w:rsidP="00591FB8">
            <w:pPr>
              <w:jc w:val="both"/>
              <w:rPr>
                <w:rFonts w:cstheme="minorHAnsi"/>
                <w:iCs/>
                <w:sz w:val="20"/>
                <w:szCs w:val="20"/>
              </w:rPr>
            </w:pPr>
            <w:r w:rsidRPr="00212777">
              <w:rPr>
                <w:rFonts w:cstheme="minorHAnsi"/>
                <w:sz w:val="20"/>
                <w:szCs w:val="20"/>
              </w:rPr>
              <w:t xml:space="preserve">Kako bi se povezao sistem srednjeg i visokog obrazovanja neophodno bi bilo unaprijediti odredbe Zakona o visokom obrazovanju i odgovarajućeg pravilnika o upisu na studije sa maturskim i stručnim ispitom na način da ustanove visokog obrazovanja definišu predmete mature, značajne za upis na studije kao i nivo polaganja matematike i stranog jezika (osnovni, viši), za koje bi učenici dobijali veći broj bodova pri upisu na željeni studijski program. To je način da se motivišu učenici da na maturi polažu matematiku i STEM predmete,jer je </w:t>
            </w:r>
            <w:r w:rsidRPr="00212777">
              <w:rPr>
                <w:rFonts w:cstheme="minorHAnsi"/>
                <w:sz w:val="20"/>
                <w:szCs w:val="20"/>
              </w:rPr>
              <w:lastRenderedPageBreak/>
              <w:t>sada broj učenika koji polažu na maturi ove predmete veoma mali.</w:t>
            </w:r>
          </w:p>
        </w:tc>
      </w:tr>
      <w:tr w:rsidR="0020161C" w:rsidRPr="00B453D0" w14:paraId="210F53A3" w14:textId="77777777" w:rsidTr="00FD6B98">
        <w:tc>
          <w:tcPr>
            <w:tcW w:w="445" w:type="dxa"/>
          </w:tcPr>
          <w:p w14:paraId="7DA37398" w14:textId="77777777" w:rsidR="0020161C" w:rsidRDefault="0020161C" w:rsidP="00FD6B98">
            <w:pPr>
              <w:spacing w:before="20" w:after="20"/>
              <w:rPr>
                <w:rFonts w:cstheme="minorHAnsi"/>
                <w:iCs/>
                <w:sz w:val="20"/>
                <w:szCs w:val="20"/>
              </w:rPr>
            </w:pPr>
            <w:r>
              <w:rPr>
                <w:rFonts w:cstheme="minorHAnsi"/>
                <w:iCs/>
                <w:sz w:val="20"/>
                <w:szCs w:val="20"/>
              </w:rPr>
              <w:t>8.</w:t>
            </w:r>
          </w:p>
        </w:tc>
        <w:tc>
          <w:tcPr>
            <w:tcW w:w="2915" w:type="dxa"/>
          </w:tcPr>
          <w:p w14:paraId="02969CBD" w14:textId="77777777" w:rsidR="0020161C" w:rsidRPr="00B453D0" w:rsidRDefault="0020161C" w:rsidP="00FD6B98">
            <w:pPr>
              <w:spacing w:before="20" w:after="20"/>
              <w:rPr>
                <w:rFonts w:cstheme="minorHAnsi"/>
                <w:sz w:val="20"/>
                <w:szCs w:val="20"/>
              </w:rPr>
            </w:pPr>
            <w:r>
              <w:rPr>
                <w:rFonts w:cstheme="minorHAnsi"/>
                <w:sz w:val="20"/>
                <w:szCs w:val="20"/>
              </w:rPr>
              <w:t>Usvo</w:t>
            </w:r>
            <w:r w:rsidRPr="00B453D0">
              <w:rPr>
                <w:rFonts w:cstheme="minorHAnsi"/>
                <w:sz w:val="20"/>
                <w:szCs w:val="20"/>
              </w:rPr>
              <w:t>jiti Zakon o izmjenama i dopunama Zakona o priznavanju inostranih obrazovnih isprava i izjednačavanju kvalifikacija</w:t>
            </w:r>
          </w:p>
        </w:tc>
        <w:tc>
          <w:tcPr>
            <w:tcW w:w="2452" w:type="dxa"/>
          </w:tcPr>
          <w:p w14:paraId="67079E5A" w14:textId="77777777" w:rsidR="0020161C" w:rsidRPr="00B453D0" w:rsidRDefault="0020161C" w:rsidP="00FD6B98">
            <w:pPr>
              <w:spacing w:before="20" w:after="20"/>
              <w:rPr>
                <w:rFonts w:cstheme="minorHAnsi"/>
                <w:sz w:val="20"/>
                <w:szCs w:val="20"/>
              </w:rPr>
            </w:pPr>
            <w:r w:rsidRPr="00B453D0">
              <w:rPr>
                <w:rFonts w:cstheme="minorHAnsi"/>
                <w:sz w:val="20"/>
                <w:szCs w:val="20"/>
              </w:rPr>
              <w:t>Promjena u pristupu i načinu priznavanja inostrane obrazovne isprave</w:t>
            </w:r>
          </w:p>
        </w:tc>
        <w:tc>
          <w:tcPr>
            <w:tcW w:w="1323" w:type="dxa"/>
            <w:gridSpan w:val="2"/>
          </w:tcPr>
          <w:p w14:paraId="2A52DC88" w14:textId="77777777" w:rsidR="0020161C" w:rsidRPr="00B453D0" w:rsidRDefault="0020161C" w:rsidP="00FD6B98">
            <w:pPr>
              <w:spacing w:before="20" w:after="20"/>
              <w:rPr>
                <w:rFonts w:cstheme="minorHAnsi"/>
                <w:sz w:val="20"/>
                <w:szCs w:val="20"/>
              </w:rPr>
            </w:pPr>
            <w:r w:rsidRPr="00B453D0">
              <w:rPr>
                <w:rFonts w:cstheme="minorHAnsi"/>
                <w:sz w:val="20"/>
                <w:szCs w:val="20"/>
              </w:rPr>
              <w:t>MPNKS</w:t>
            </w:r>
          </w:p>
        </w:tc>
        <w:tc>
          <w:tcPr>
            <w:tcW w:w="1251" w:type="dxa"/>
          </w:tcPr>
          <w:p w14:paraId="47E32539" w14:textId="77777777" w:rsidR="0020161C" w:rsidRPr="00B453D0" w:rsidRDefault="0020161C" w:rsidP="00FD6B98">
            <w:pPr>
              <w:spacing w:before="20" w:after="20"/>
              <w:rPr>
                <w:rFonts w:cstheme="minorHAnsi"/>
                <w:sz w:val="20"/>
                <w:szCs w:val="20"/>
              </w:rPr>
            </w:pPr>
            <w:r w:rsidRPr="00B453D0">
              <w:rPr>
                <w:rFonts w:cstheme="minorHAnsi"/>
                <w:sz w:val="20"/>
                <w:szCs w:val="20"/>
              </w:rPr>
              <w:t>I Q 2022</w:t>
            </w:r>
          </w:p>
        </w:tc>
        <w:tc>
          <w:tcPr>
            <w:tcW w:w="1680" w:type="dxa"/>
            <w:gridSpan w:val="2"/>
          </w:tcPr>
          <w:p w14:paraId="7017D10C" w14:textId="77777777" w:rsidR="0020161C" w:rsidRPr="00B453D0" w:rsidRDefault="0020161C" w:rsidP="00FD6B98">
            <w:pPr>
              <w:spacing w:before="20" w:after="20"/>
              <w:rPr>
                <w:rFonts w:cstheme="minorHAnsi"/>
                <w:sz w:val="20"/>
                <w:szCs w:val="20"/>
              </w:rPr>
            </w:pPr>
            <w:r w:rsidRPr="00B453D0">
              <w:rPr>
                <w:rFonts w:cstheme="minorHAnsi"/>
                <w:sz w:val="20"/>
                <w:szCs w:val="20"/>
              </w:rPr>
              <w:t>Za utvrđivanje procjene uticaja propisa će biti urađena RIA.</w:t>
            </w:r>
          </w:p>
          <w:p w14:paraId="5CBBB54A" w14:textId="77777777" w:rsidR="0020161C" w:rsidRPr="00B453D0" w:rsidRDefault="0020161C" w:rsidP="00FD6B98">
            <w:pPr>
              <w:spacing w:before="20" w:after="20"/>
              <w:rPr>
                <w:rFonts w:cstheme="minorHAnsi"/>
                <w:sz w:val="20"/>
                <w:szCs w:val="20"/>
              </w:rPr>
            </w:pPr>
            <w:r w:rsidRPr="00B453D0">
              <w:rPr>
                <w:rFonts w:cstheme="minorHAnsi"/>
                <w:sz w:val="20"/>
                <w:szCs w:val="20"/>
              </w:rPr>
              <w:t>1500 e za eksperta</w:t>
            </w:r>
          </w:p>
        </w:tc>
        <w:tc>
          <w:tcPr>
            <w:tcW w:w="2045" w:type="dxa"/>
          </w:tcPr>
          <w:p w14:paraId="2826C282" w14:textId="77777777" w:rsidR="0020161C" w:rsidRPr="00212777" w:rsidRDefault="0020161C" w:rsidP="00FD6B98">
            <w:pPr>
              <w:spacing w:before="20" w:after="20"/>
              <w:rPr>
                <w:rFonts w:cstheme="minorHAnsi"/>
                <w:iCs/>
                <w:sz w:val="20"/>
                <w:szCs w:val="20"/>
              </w:rPr>
            </w:pPr>
            <w:r w:rsidRPr="00B453D0">
              <w:rPr>
                <w:rFonts w:cstheme="minorHAnsi"/>
                <w:sz w:val="20"/>
                <w:szCs w:val="20"/>
              </w:rPr>
              <w:t>MPNKS</w:t>
            </w:r>
          </w:p>
        </w:tc>
        <w:tc>
          <w:tcPr>
            <w:tcW w:w="2775" w:type="dxa"/>
          </w:tcPr>
          <w:p w14:paraId="7200BAE8" w14:textId="77777777" w:rsidR="0020161C" w:rsidRPr="00212777" w:rsidRDefault="0020161C" w:rsidP="00FD6B98">
            <w:pPr>
              <w:rPr>
                <w:rFonts w:cstheme="minorHAnsi"/>
                <w:sz w:val="20"/>
                <w:szCs w:val="20"/>
              </w:rPr>
            </w:pPr>
            <w:r w:rsidRPr="00B453D0">
              <w:rPr>
                <w:rFonts w:cstheme="minorHAnsi"/>
                <w:sz w:val="20"/>
                <w:szCs w:val="20"/>
              </w:rPr>
              <w:t>U cilju unaprijeđenja postupka priznavanja inostranih obrazovnih isprava, utvrđivanja dodatnih kriterijuma za priznavanje (kako bi se obezbijedio kvalitetan kadar na tržištu rada), neophodne su izmjene i dopune važećeg zakona. Takođe, zbog izmjene nacionalne legislative, neophodno je urediti postupak izjednačavanja kvalifikacija stečenih u inostranstvu sa kvalifikacijama koje se stiču u Crnoj Gori.</w:t>
            </w:r>
          </w:p>
        </w:tc>
      </w:tr>
      <w:tr w:rsidR="0020161C" w:rsidRPr="00B453D0" w14:paraId="7E92261C" w14:textId="77777777" w:rsidTr="00FD6B98">
        <w:tc>
          <w:tcPr>
            <w:tcW w:w="3360" w:type="dxa"/>
            <w:gridSpan w:val="2"/>
            <w:shd w:val="clear" w:color="auto" w:fill="DEEAF6" w:themeFill="accent5" w:themeFillTint="33"/>
          </w:tcPr>
          <w:p w14:paraId="640869B5" w14:textId="77777777" w:rsidR="0020161C" w:rsidRPr="00AE274D" w:rsidRDefault="0020161C" w:rsidP="00AE274D">
            <w:pPr>
              <w:spacing w:before="40" w:after="40"/>
              <w:jc w:val="center"/>
              <w:rPr>
                <w:rFonts w:cstheme="minorHAnsi"/>
                <w:b/>
                <w:sz w:val="20"/>
                <w:szCs w:val="20"/>
              </w:rPr>
            </w:pPr>
            <w:bookmarkStart w:id="40" w:name="_Hlk89633967"/>
            <w:r w:rsidRPr="00AE274D">
              <w:rPr>
                <w:rFonts w:cstheme="minorHAnsi"/>
                <w:b/>
                <w:sz w:val="20"/>
                <w:szCs w:val="20"/>
              </w:rPr>
              <w:t>Cilj 4.2</w:t>
            </w:r>
          </w:p>
          <w:p w14:paraId="31CC2843" w14:textId="77777777" w:rsidR="0020161C" w:rsidRPr="00B453D0" w:rsidRDefault="0020161C" w:rsidP="00FD6B98">
            <w:pPr>
              <w:spacing w:before="40" w:after="40"/>
              <w:jc w:val="center"/>
              <w:rPr>
                <w:rFonts w:cstheme="minorHAnsi"/>
                <w:b/>
                <w:sz w:val="20"/>
                <w:szCs w:val="20"/>
              </w:rPr>
            </w:pPr>
          </w:p>
        </w:tc>
        <w:tc>
          <w:tcPr>
            <w:tcW w:w="11526" w:type="dxa"/>
            <w:gridSpan w:val="8"/>
            <w:shd w:val="clear" w:color="auto" w:fill="DEEAF6" w:themeFill="accent5" w:themeFillTint="33"/>
          </w:tcPr>
          <w:p w14:paraId="00314E36" w14:textId="77777777" w:rsidR="0020161C" w:rsidRPr="00AE274D" w:rsidRDefault="0020161C" w:rsidP="00AE274D">
            <w:pPr>
              <w:spacing w:before="40" w:after="40"/>
              <w:rPr>
                <w:rFonts w:cstheme="minorHAnsi"/>
                <w:b/>
                <w:sz w:val="20"/>
                <w:szCs w:val="20"/>
                <w:highlight w:val="yellow"/>
              </w:rPr>
            </w:pPr>
            <w:r w:rsidRPr="00AE274D">
              <w:rPr>
                <w:rFonts w:cstheme="minorHAnsi"/>
                <w:b/>
                <w:sz w:val="20"/>
                <w:szCs w:val="20"/>
              </w:rPr>
              <w:t>Jednake šanse za sve u kulturi</w:t>
            </w:r>
          </w:p>
        </w:tc>
      </w:tr>
      <w:tr w:rsidR="0020161C" w:rsidRPr="00B453D0" w14:paraId="4A246C27" w14:textId="77777777" w:rsidTr="00FD6B98">
        <w:tc>
          <w:tcPr>
            <w:tcW w:w="3360" w:type="dxa"/>
            <w:gridSpan w:val="2"/>
            <w:shd w:val="clear" w:color="auto" w:fill="DAF2F6"/>
          </w:tcPr>
          <w:p w14:paraId="47CCFEBA" w14:textId="77777777" w:rsidR="0020161C" w:rsidRPr="00B453D0" w:rsidRDefault="0020161C" w:rsidP="00FD6B98">
            <w:pPr>
              <w:spacing w:before="40" w:after="40"/>
              <w:jc w:val="center"/>
              <w:rPr>
                <w:rFonts w:cstheme="minorHAnsi"/>
                <w:b/>
                <w:sz w:val="20"/>
                <w:szCs w:val="20"/>
              </w:rPr>
            </w:pPr>
            <w:r w:rsidRPr="00B453D0">
              <w:rPr>
                <w:rFonts w:cstheme="minorHAnsi"/>
                <w:b/>
                <w:sz w:val="20"/>
                <w:szCs w:val="20"/>
              </w:rPr>
              <w:t>Indikator učinka</w:t>
            </w:r>
          </w:p>
        </w:tc>
        <w:tc>
          <w:tcPr>
            <w:tcW w:w="2452" w:type="dxa"/>
            <w:shd w:val="clear" w:color="auto" w:fill="DAF2F6"/>
          </w:tcPr>
          <w:p w14:paraId="1E5505DB" w14:textId="77777777" w:rsidR="0020161C" w:rsidRPr="00B453D0" w:rsidRDefault="0020161C" w:rsidP="00FD6B98">
            <w:pPr>
              <w:spacing w:before="40" w:after="40"/>
              <w:jc w:val="center"/>
              <w:rPr>
                <w:rFonts w:cstheme="minorHAnsi"/>
                <w:b/>
                <w:sz w:val="20"/>
                <w:szCs w:val="20"/>
              </w:rPr>
            </w:pPr>
            <w:r w:rsidRPr="00B453D0">
              <w:rPr>
                <w:rFonts w:cstheme="minorHAnsi"/>
                <w:b/>
                <w:sz w:val="20"/>
                <w:szCs w:val="20"/>
              </w:rPr>
              <w:t>Polazna vrijednost – 2021.g</w:t>
            </w:r>
          </w:p>
        </w:tc>
        <w:tc>
          <w:tcPr>
            <w:tcW w:w="2574" w:type="dxa"/>
            <w:gridSpan w:val="3"/>
            <w:shd w:val="clear" w:color="auto" w:fill="DAF2F6"/>
            <w:vAlign w:val="center"/>
          </w:tcPr>
          <w:p w14:paraId="3ECE65B2" w14:textId="77777777" w:rsidR="0020161C" w:rsidRPr="00B453D0" w:rsidRDefault="0020161C" w:rsidP="00FD6B98">
            <w:pPr>
              <w:spacing w:before="40" w:after="40"/>
              <w:jc w:val="center"/>
              <w:rPr>
                <w:rFonts w:cstheme="minorHAnsi"/>
                <w:b/>
                <w:sz w:val="20"/>
                <w:szCs w:val="20"/>
              </w:rPr>
            </w:pPr>
            <w:r w:rsidRPr="00B453D0">
              <w:rPr>
                <w:rFonts w:cstheme="minorHAnsi"/>
                <w:b/>
                <w:sz w:val="20"/>
                <w:szCs w:val="20"/>
              </w:rPr>
              <w:t>Prelazna vrijednost – 2022.g</w:t>
            </w:r>
          </w:p>
        </w:tc>
        <w:tc>
          <w:tcPr>
            <w:tcW w:w="3725" w:type="dxa"/>
            <w:gridSpan w:val="3"/>
            <w:tcBorders>
              <w:bottom w:val="single" w:sz="4" w:space="0" w:color="FFFFFF" w:themeColor="background1"/>
            </w:tcBorders>
            <w:shd w:val="clear" w:color="auto" w:fill="DAF2F6"/>
            <w:vAlign w:val="center"/>
          </w:tcPr>
          <w:p w14:paraId="0F202DEA" w14:textId="77777777" w:rsidR="0020161C" w:rsidRPr="00B453D0" w:rsidRDefault="0020161C" w:rsidP="00FD6B98">
            <w:pPr>
              <w:spacing w:before="40" w:after="40"/>
              <w:jc w:val="center"/>
              <w:rPr>
                <w:rFonts w:cstheme="minorHAnsi"/>
                <w:b/>
                <w:sz w:val="20"/>
                <w:szCs w:val="20"/>
              </w:rPr>
            </w:pPr>
            <w:r w:rsidRPr="00B453D0">
              <w:rPr>
                <w:rFonts w:cstheme="minorHAnsi"/>
                <w:b/>
                <w:sz w:val="20"/>
                <w:szCs w:val="20"/>
              </w:rPr>
              <w:t>Prelazna vrijednost – 2023.g</w:t>
            </w:r>
          </w:p>
        </w:tc>
        <w:tc>
          <w:tcPr>
            <w:tcW w:w="2775" w:type="dxa"/>
            <w:tcBorders>
              <w:bottom w:val="single" w:sz="4" w:space="0" w:color="FFFFFF" w:themeColor="background1"/>
            </w:tcBorders>
            <w:shd w:val="clear" w:color="auto" w:fill="DAF2F6"/>
            <w:vAlign w:val="center"/>
          </w:tcPr>
          <w:p w14:paraId="608E3216" w14:textId="77777777" w:rsidR="0020161C" w:rsidRPr="00B453D0" w:rsidRDefault="0020161C" w:rsidP="00FD6B98">
            <w:pPr>
              <w:spacing w:before="40" w:after="40"/>
              <w:jc w:val="center"/>
              <w:rPr>
                <w:rFonts w:cstheme="minorHAnsi"/>
                <w:b/>
                <w:sz w:val="20"/>
                <w:szCs w:val="20"/>
              </w:rPr>
            </w:pPr>
            <w:r w:rsidRPr="00B453D0">
              <w:rPr>
                <w:rFonts w:cstheme="minorHAnsi"/>
                <w:b/>
                <w:sz w:val="20"/>
                <w:szCs w:val="20"/>
              </w:rPr>
              <w:t>Ciljna vrijednost - 2024.g</w:t>
            </w:r>
          </w:p>
        </w:tc>
      </w:tr>
      <w:tr w:rsidR="0020161C" w:rsidRPr="00B453D0" w14:paraId="5FD4EEA2" w14:textId="77777777" w:rsidTr="00FD6B98">
        <w:trPr>
          <w:trHeight w:val="1063"/>
        </w:trPr>
        <w:tc>
          <w:tcPr>
            <w:tcW w:w="3360" w:type="dxa"/>
            <w:gridSpan w:val="2"/>
            <w:shd w:val="clear" w:color="auto" w:fill="D2F8FA"/>
            <w:vAlign w:val="center"/>
          </w:tcPr>
          <w:p w14:paraId="7255FF2A" w14:textId="77777777" w:rsidR="0020161C" w:rsidRPr="00AE274D" w:rsidRDefault="0020161C" w:rsidP="00FD6B98">
            <w:pPr>
              <w:spacing w:before="20" w:after="20"/>
              <w:jc w:val="center"/>
              <w:rPr>
                <w:rFonts w:cstheme="minorHAnsi"/>
                <w:sz w:val="20"/>
                <w:szCs w:val="20"/>
              </w:rPr>
            </w:pPr>
            <w:r w:rsidRPr="00AE274D">
              <w:rPr>
                <w:rFonts w:cstheme="minorHAnsi"/>
                <w:color w:val="000000" w:themeColor="text1"/>
                <w:sz w:val="20"/>
                <w:szCs w:val="20"/>
              </w:rPr>
              <w:t>Broj licenciranih ustanova i pojedinaca</w:t>
            </w:r>
          </w:p>
        </w:tc>
        <w:tc>
          <w:tcPr>
            <w:tcW w:w="2452" w:type="dxa"/>
            <w:shd w:val="clear" w:color="auto" w:fill="D2F8FA"/>
            <w:vAlign w:val="center"/>
          </w:tcPr>
          <w:p w14:paraId="682AD6C8" w14:textId="77777777" w:rsidR="0020161C" w:rsidRDefault="0020161C" w:rsidP="00FD6B98">
            <w:pPr>
              <w:spacing w:before="20" w:after="20"/>
              <w:jc w:val="center"/>
              <w:rPr>
                <w:rFonts w:cstheme="minorHAnsi"/>
                <w:b/>
                <w:sz w:val="20"/>
                <w:szCs w:val="20"/>
              </w:rPr>
            </w:pPr>
            <w:r>
              <w:rPr>
                <w:rFonts w:cstheme="minorHAnsi"/>
                <w:b/>
                <w:sz w:val="20"/>
                <w:szCs w:val="20"/>
              </w:rPr>
              <w:t>128</w:t>
            </w:r>
          </w:p>
        </w:tc>
        <w:tc>
          <w:tcPr>
            <w:tcW w:w="2574" w:type="dxa"/>
            <w:gridSpan w:val="3"/>
            <w:shd w:val="clear" w:color="auto" w:fill="D2F8FA"/>
            <w:vAlign w:val="center"/>
          </w:tcPr>
          <w:p w14:paraId="4E7E9F7B" w14:textId="77777777" w:rsidR="0020161C" w:rsidRPr="00B453D0" w:rsidRDefault="0020161C" w:rsidP="00FD6B98">
            <w:pPr>
              <w:spacing w:before="20" w:after="20"/>
              <w:jc w:val="center"/>
              <w:rPr>
                <w:rFonts w:cstheme="minorHAnsi"/>
                <w:b/>
                <w:sz w:val="20"/>
                <w:szCs w:val="20"/>
              </w:rPr>
            </w:pPr>
            <w:r>
              <w:rPr>
                <w:rFonts w:cstheme="minorHAnsi"/>
                <w:b/>
                <w:sz w:val="20"/>
                <w:szCs w:val="20"/>
              </w:rPr>
              <w:t>20%</w:t>
            </w:r>
          </w:p>
        </w:tc>
        <w:tc>
          <w:tcPr>
            <w:tcW w:w="3725" w:type="dxa"/>
            <w:gridSpan w:val="3"/>
            <w:shd w:val="clear" w:color="auto" w:fill="D2F8FA"/>
            <w:vAlign w:val="center"/>
          </w:tcPr>
          <w:p w14:paraId="6AB90FF1" w14:textId="77777777" w:rsidR="0020161C" w:rsidRDefault="0020161C" w:rsidP="00FD6B98">
            <w:pPr>
              <w:spacing w:before="20" w:after="20"/>
              <w:jc w:val="center"/>
              <w:rPr>
                <w:rFonts w:cstheme="minorHAnsi"/>
                <w:b/>
                <w:sz w:val="20"/>
                <w:szCs w:val="20"/>
              </w:rPr>
            </w:pPr>
            <w:r>
              <w:rPr>
                <w:rFonts w:cstheme="minorHAnsi"/>
                <w:b/>
                <w:sz w:val="20"/>
                <w:szCs w:val="20"/>
              </w:rPr>
              <w:t>20%</w:t>
            </w:r>
          </w:p>
        </w:tc>
        <w:tc>
          <w:tcPr>
            <w:tcW w:w="2775" w:type="dxa"/>
            <w:shd w:val="clear" w:color="auto" w:fill="D2F8FA"/>
            <w:vAlign w:val="center"/>
          </w:tcPr>
          <w:p w14:paraId="58A57DB8" w14:textId="77777777" w:rsidR="0020161C" w:rsidRDefault="0020161C" w:rsidP="00FD6B98">
            <w:pPr>
              <w:spacing w:before="20" w:after="20"/>
              <w:jc w:val="center"/>
              <w:rPr>
                <w:rFonts w:cstheme="minorHAnsi"/>
                <w:b/>
                <w:sz w:val="20"/>
                <w:szCs w:val="20"/>
              </w:rPr>
            </w:pPr>
            <w:r>
              <w:rPr>
                <w:rFonts w:cstheme="minorHAnsi"/>
                <w:b/>
                <w:sz w:val="20"/>
                <w:szCs w:val="20"/>
              </w:rPr>
              <w:t>30%</w:t>
            </w:r>
          </w:p>
        </w:tc>
      </w:tr>
      <w:tr w:rsidR="0020161C" w:rsidRPr="00B453D0" w14:paraId="756973A8" w14:textId="77777777" w:rsidTr="00FD6B98">
        <w:trPr>
          <w:trHeight w:val="1063"/>
        </w:trPr>
        <w:tc>
          <w:tcPr>
            <w:tcW w:w="3360" w:type="dxa"/>
            <w:gridSpan w:val="2"/>
            <w:shd w:val="clear" w:color="auto" w:fill="D2F8FA"/>
            <w:vAlign w:val="center"/>
          </w:tcPr>
          <w:p w14:paraId="06D3A12F" w14:textId="77777777" w:rsidR="0020161C" w:rsidRPr="00AE274D" w:rsidRDefault="0020161C" w:rsidP="00FD6B98">
            <w:pPr>
              <w:spacing w:before="20" w:after="20"/>
              <w:jc w:val="both"/>
              <w:rPr>
                <w:rFonts w:cstheme="minorHAnsi"/>
                <w:color w:val="000000" w:themeColor="text1"/>
                <w:sz w:val="20"/>
                <w:szCs w:val="20"/>
              </w:rPr>
            </w:pPr>
            <w:r w:rsidRPr="00AE274D">
              <w:rPr>
                <w:rFonts w:cstheme="minorHAnsi"/>
                <w:sz w:val="20"/>
                <w:szCs w:val="20"/>
              </w:rPr>
              <w:t>Procenat usaglašenih propisa u oblasti bibliotečke djelatnosti u vezi sa prilagpđavanjem osobama sa invaliditetom</w:t>
            </w:r>
          </w:p>
        </w:tc>
        <w:tc>
          <w:tcPr>
            <w:tcW w:w="2452" w:type="dxa"/>
            <w:shd w:val="clear" w:color="auto" w:fill="D2F8FA"/>
            <w:vAlign w:val="center"/>
          </w:tcPr>
          <w:p w14:paraId="7FDB43DD" w14:textId="77777777" w:rsidR="0020161C" w:rsidRDefault="0020161C" w:rsidP="00FD6B98">
            <w:pPr>
              <w:spacing w:before="20" w:after="20"/>
              <w:jc w:val="center"/>
              <w:rPr>
                <w:rFonts w:cstheme="minorHAnsi"/>
                <w:b/>
                <w:sz w:val="20"/>
                <w:szCs w:val="20"/>
              </w:rPr>
            </w:pPr>
            <w:r>
              <w:rPr>
                <w:rFonts w:cstheme="minorHAnsi"/>
                <w:b/>
                <w:sz w:val="20"/>
                <w:szCs w:val="20"/>
              </w:rPr>
              <w:t>0</w:t>
            </w:r>
          </w:p>
        </w:tc>
        <w:tc>
          <w:tcPr>
            <w:tcW w:w="2574" w:type="dxa"/>
            <w:gridSpan w:val="3"/>
            <w:shd w:val="clear" w:color="auto" w:fill="D2F8FA"/>
            <w:vAlign w:val="center"/>
          </w:tcPr>
          <w:p w14:paraId="19C7738B" w14:textId="77777777" w:rsidR="0020161C" w:rsidRDefault="0020161C" w:rsidP="00FD6B98">
            <w:pPr>
              <w:spacing w:before="20" w:after="20"/>
              <w:jc w:val="center"/>
              <w:rPr>
                <w:rFonts w:cstheme="minorHAnsi"/>
                <w:b/>
                <w:sz w:val="20"/>
                <w:szCs w:val="20"/>
              </w:rPr>
            </w:pPr>
            <w:r>
              <w:rPr>
                <w:rFonts w:cstheme="minorHAnsi"/>
                <w:b/>
                <w:sz w:val="20"/>
                <w:szCs w:val="20"/>
              </w:rPr>
              <w:t>30%</w:t>
            </w:r>
          </w:p>
        </w:tc>
        <w:tc>
          <w:tcPr>
            <w:tcW w:w="3725" w:type="dxa"/>
            <w:gridSpan w:val="3"/>
            <w:shd w:val="clear" w:color="auto" w:fill="D2F8FA"/>
            <w:vAlign w:val="center"/>
          </w:tcPr>
          <w:p w14:paraId="13A85186" w14:textId="77777777" w:rsidR="0020161C" w:rsidRDefault="0020161C" w:rsidP="00FD6B98">
            <w:pPr>
              <w:spacing w:before="20" w:after="20"/>
              <w:jc w:val="center"/>
              <w:rPr>
                <w:rFonts w:cstheme="minorHAnsi"/>
                <w:b/>
                <w:sz w:val="20"/>
                <w:szCs w:val="20"/>
              </w:rPr>
            </w:pPr>
            <w:r>
              <w:rPr>
                <w:rFonts w:cstheme="minorHAnsi"/>
                <w:b/>
                <w:sz w:val="20"/>
                <w:szCs w:val="20"/>
              </w:rPr>
              <w:t>50%</w:t>
            </w:r>
          </w:p>
        </w:tc>
        <w:tc>
          <w:tcPr>
            <w:tcW w:w="2775" w:type="dxa"/>
            <w:shd w:val="clear" w:color="auto" w:fill="D2F8FA"/>
            <w:vAlign w:val="center"/>
          </w:tcPr>
          <w:p w14:paraId="3B4C33BB" w14:textId="77777777" w:rsidR="0020161C" w:rsidRDefault="0020161C" w:rsidP="00FD6B98">
            <w:pPr>
              <w:spacing w:before="20" w:after="20"/>
              <w:jc w:val="center"/>
              <w:rPr>
                <w:rFonts w:cstheme="minorHAnsi"/>
                <w:b/>
                <w:sz w:val="20"/>
                <w:szCs w:val="20"/>
              </w:rPr>
            </w:pPr>
            <w:r>
              <w:rPr>
                <w:rFonts w:cstheme="minorHAnsi"/>
                <w:b/>
                <w:sz w:val="20"/>
                <w:szCs w:val="20"/>
              </w:rPr>
              <w:t>10</w:t>
            </w:r>
            <w:r w:rsidRPr="00166B74">
              <w:rPr>
                <w:rFonts w:cstheme="minorHAnsi"/>
                <w:b/>
                <w:sz w:val="20"/>
                <w:szCs w:val="20"/>
              </w:rPr>
              <w:t>0%</w:t>
            </w:r>
          </w:p>
        </w:tc>
      </w:tr>
      <w:bookmarkEnd w:id="40"/>
      <w:tr w:rsidR="0020161C" w:rsidRPr="00B453D0" w14:paraId="45205B15" w14:textId="77777777" w:rsidTr="00FD6B98">
        <w:tc>
          <w:tcPr>
            <w:tcW w:w="445" w:type="dxa"/>
          </w:tcPr>
          <w:p w14:paraId="6986F55B" w14:textId="77777777" w:rsidR="0020161C" w:rsidRPr="00B453D0" w:rsidRDefault="00AE274D" w:rsidP="00591FB8">
            <w:pPr>
              <w:spacing w:before="20" w:after="20"/>
              <w:jc w:val="both"/>
              <w:rPr>
                <w:rFonts w:cstheme="minorHAnsi"/>
                <w:sz w:val="20"/>
                <w:szCs w:val="20"/>
              </w:rPr>
            </w:pPr>
            <w:r>
              <w:rPr>
                <w:rFonts w:cstheme="minorHAnsi"/>
                <w:sz w:val="20"/>
                <w:szCs w:val="20"/>
              </w:rPr>
              <w:t>1</w:t>
            </w:r>
            <w:r w:rsidR="0020161C">
              <w:rPr>
                <w:rFonts w:cstheme="minorHAnsi"/>
                <w:sz w:val="20"/>
                <w:szCs w:val="20"/>
              </w:rPr>
              <w:t>.</w:t>
            </w:r>
          </w:p>
        </w:tc>
        <w:tc>
          <w:tcPr>
            <w:tcW w:w="2915" w:type="dxa"/>
          </w:tcPr>
          <w:p w14:paraId="797F91AD" w14:textId="77777777" w:rsidR="0020161C" w:rsidRPr="004A7736" w:rsidRDefault="0020161C" w:rsidP="00591FB8">
            <w:pPr>
              <w:spacing w:before="20" w:after="20"/>
              <w:jc w:val="both"/>
              <w:rPr>
                <w:rFonts w:cstheme="minorHAnsi"/>
                <w:bCs/>
                <w:sz w:val="20"/>
                <w:szCs w:val="20"/>
              </w:rPr>
            </w:pPr>
            <w:r w:rsidRPr="004A7736">
              <w:rPr>
                <w:rFonts w:cstheme="minorHAnsi"/>
                <w:bCs/>
                <w:sz w:val="20"/>
                <w:szCs w:val="20"/>
              </w:rPr>
              <w:t>Utvrditi Predlog zakona o izmjenama i dopunama Zakona o kulturi</w:t>
            </w:r>
          </w:p>
          <w:p w14:paraId="2E049016" w14:textId="77777777" w:rsidR="0020161C" w:rsidRPr="004A7736" w:rsidRDefault="0020161C" w:rsidP="00591FB8">
            <w:pPr>
              <w:spacing w:before="20" w:after="20"/>
              <w:jc w:val="both"/>
              <w:rPr>
                <w:rFonts w:cstheme="minorHAnsi"/>
                <w:bCs/>
                <w:i/>
                <w:sz w:val="20"/>
                <w:szCs w:val="20"/>
              </w:rPr>
            </w:pPr>
          </w:p>
          <w:p w14:paraId="001867C0" w14:textId="77777777" w:rsidR="0020161C" w:rsidRPr="004A7736" w:rsidRDefault="0020161C" w:rsidP="00591FB8">
            <w:pPr>
              <w:spacing w:before="20" w:after="20"/>
              <w:jc w:val="both"/>
              <w:rPr>
                <w:rFonts w:cstheme="minorHAnsi"/>
                <w:bCs/>
                <w:i/>
                <w:sz w:val="20"/>
                <w:szCs w:val="20"/>
              </w:rPr>
            </w:pPr>
          </w:p>
        </w:tc>
        <w:tc>
          <w:tcPr>
            <w:tcW w:w="2452" w:type="dxa"/>
          </w:tcPr>
          <w:p w14:paraId="4350D65D" w14:textId="77777777" w:rsidR="0020161C" w:rsidRPr="004A7736" w:rsidRDefault="0020161C" w:rsidP="00591FB8">
            <w:pPr>
              <w:spacing w:before="20" w:after="20"/>
              <w:jc w:val="both"/>
              <w:rPr>
                <w:rFonts w:cstheme="minorHAnsi"/>
                <w:bCs/>
                <w:sz w:val="20"/>
                <w:szCs w:val="20"/>
              </w:rPr>
            </w:pPr>
            <w:r w:rsidRPr="004A7736">
              <w:rPr>
                <w:rFonts w:cstheme="minorHAnsi"/>
                <w:bCs/>
                <w:sz w:val="20"/>
                <w:szCs w:val="20"/>
              </w:rPr>
              <w:t>Utvr</w:t>
            </w:r>
            <w:r>
              <w:rPr>
                <w:rFonts w:cstheme="minorHAnsi"/>
                <w:bCs/>
                <w:sz w:val="20"/>
                <w:szCs w:val="20"/>
              </w:rPr>
              <w:t>đen</w:t>
            </w:r>
            <w:r w:rsidRPr="004A7736">
              <w:rPr>
                <w:rFonts w:cstheme="minorHAnsi"/>
                <w:bCs/>
                <w:sz w:val="20"/>
                <w:szCs w:val="20"/>
              </w:rPr>
              <w:t xml:space="preserve"> Predlog zakona o izmjenama i dopunama Zakona o kulturi</w:t>
            </w:r>
          </w:p>
          <w:p w14:paraId="0F3C8EAC" w14:textId="77777777" w:rsidR="0020161C" w:rsidRPr="004A7736" w:rsidRDefault="0020161C" w:rsidP="00591FB8">
            <w:pPr>
              <w:spacing w:before="20" w:after="20"/>
              <w:jc w:val="both"/>
              <w:rPr>
                <w:rFonts w:cstheme="minorHAnsi"/>
                <w:bCs/>
                <w:sz w:val="20"/>
                <w:szCs w:val="20"/>
              </w:rPr>
            </w:pPr>
            <w:r w:rsidRPr="004A7736">
              <w:rPr>
                <w:rFonts w:cstheme="minorHAnsi"/>
                <w:bCs/>
                <w:sz w:val="20"/>
                <w:szCs w:val="20"/>
              </w:rPr>
              <w:t>Propisana procedura izbora direktora nacionalnih ustanova kulture na osnovu javnih konkursa</w:t>
            </w:r>
          </w:p>
        </w:tc>
        <w:tc>
          <w:tcPr>
            <w:tcW w:w="1323" w:type="dxa"/>
            <w:gridSpan w:val="2"/>
          </w:tcPr>
          <w:p w14:paraId="213A1848" w14:textId="77777777" w:rsidR="0020161C" w:rsidRPr="004A7736" w:rsidRDefault="0020161C" w:rsidP="00591FB8">
            <w:pPr>
              <w:spacing w:before="20" w:after="20"/>
              <w:jc w:val="both"/>
              <w:rPr>
                <w:rFonts w:cstheme="minorHAnsi"/>
                <w:bCs/>
                <w:i/>
                <w:sz w:val="20"/>
                <w:szCs w:val="20"/>
              </w:rPr>
            </w:pPr>
          </w:p>
          <w:p w14:paraId="4CC233AF" w14:textId="77777777" w:rsidR="0020161C" w:rsidRPr="004A7736" w:rsidRDefault="0020161C" w:rsidP="00591FB8">
            <w:pPr>
              <w:spacing w:before="20" w:after="20"/>
              <w:jc w:val="both"/>
              <w:rPr>
                <w:rFonts w:cstheme="minorHAnsi"/>
                <w:bCs/>
                <w:sz w:val="20"/>
                <w:szCs w:val="20"/>
              </w:rPr>
            </w:pPr>
            <w:r w:rsidRPr="004A7736">
              <w:rPr>
                <w:rFonts w:cstheme="minorHAnsi"/>
                <w:bCs/>
                <w:sz w:val="20"/>
                <w:szCs w:val="20"/>
              </w:rPr>
              <w:t>NI: MPNKS</w:t>
            </w:r>
          </w:p>
          <w:p w14:paraId="51459CE3" w14:textId="77777777" w:rsidR="0020161C" w:rsidRPr="004A7736" w:rsidRDefault="0020161C" w:rsidP="00591FB8">
            <w:pPr>
              <w:spacing w:before="20" w:after="20"/>
              <w:jc w:val="both"/>
              <w:rPr>
                <w:rFonts w:cstheme="minorHAnsi"/>
                <w:bCs/>
                <w:sz w:val="20"/>
                <w:szCs w:val="20"/>
              </w:rPr>
            </w:pPr>
            <w:r w:rsidRPr="004A7736">
              <w:rPr>
                <w:rFonts w:cstheme="minorHAnsi"/>
                <w:bCs/>
                <w:sz w:val="20"/>
                <w:szCs w:val="20"/>
              </w:rPr>
              <w:t>NK: KPS, KEPIF</w:t>
            </w:r>
          </w:p>
        </w:tc>
        <w:tc>
          <w:tcPr>
            <w:tcW w:w="1251" w:type="dxa"/>
          </w:tcPr>
          <w:p w14:paraId="76A081E9" w14:textId="77777777" w:rsidR="0020161C" w:rsidRPr="004A7736" w:rsidRDefault="0020161C" w:rsidP="00591FB8">
            <w:pPr>
              <w:spacing w:before="20" w:after="20"/>
              <w:jc w:val="both"/>
              <w:rPr>
                <w:rFonts w:cstheme="minorHAnsi"/>
                <w:bCs/>
                <w:i/>
                <w:sz w:val="20"/>
                <w:szCs w:val="20"/>
              </w:rPr>
            </w:pPr>
            <w:r w:rsidRPr="004A7736">
              <w:rPr>
                <w:rFonts w:cstheme="minorHAnsi"/>
                <w:bCs/>
                <w:i/>
                <w:sz w:val="20"/>
                <w:szCs w:val="20"/>
              </w:rPr>
              <w:t>III Q 2022.</w:t>
            </w:r>
          </w:p>
          <w:p w14:paraId="06A4B27F" w14:textId="77777777" w:rsidR="0020161C" w:rsidRPr="004A7736" w:rsidRDefault="0020161C" w:rsidP="00591FB8">
            <w:pPr>
              <w:spacing w:before="20" w:after="20"/>
              <w:jc w:val="both"/>
              <w:rPr>
                <w:rFonts w:cstheme="minorHAnsi"/>
                <w:bCs/>
                <w:sz w:val="20"/>
                <w:szCs w:val="20"/>
              </w:rPr>
            </w:pPr>
            <w:r w:rsidRPr="004A7736">
              <w:rPr>
                <w:rFonts w:cstheme="minorHAnsi"/>
                <w:bCs/>
                <w:sz w:val="20"/>
                <w:szCs w:val="20"/>
              </w:rPr>
              <w:t>IV Q 2022</w:t>
            </w:r>
          </w:p>
        </w:tc>
        <w:tc>
          <w:tcPr>
            <w:tcW w:w="1680" w:type="dxa"/>
            <w:gridSpan w:val="2"/>
          </w:tcPr>
          <w:p w14:paraId="77606682" w14:textId="77777777" w:rsidR="0020161C" w:rsidRPr="004A7736" w:rsidRDefault="0020161C" w:rsidP="00591FB8">
            <w:pPr>
              <w:spacing w:before="20" w:after="20"/>
              <w:jc w:val="both"/>
              <w:rPr>
                <w:rFonts w:cstheme="minorHAnsi"/>
                <w:bCs/>
                <w:iCs/>
                <w:sz w:val="20"/>
                <w:szCs w:val="20"/>
              </w:rPr>
            </w:pPr>
            <w:r w:rsidRPr="004A7736">
              <w:rPr>
                <w:rFonts w:cstheme="minorHAnsi"/>
                <w:bCs/>
                <w:iCs/>
                <w:sz w:val="20"/>
                <w:szCs w:val="20"/>
              </w:rPr>
              <w:t>Za utvrđivanje procjene uticaja propisa će biti urađena RIA.</w:t>
            </w:r>
          </w:p>
          <w:p w14:paraId="48498828" w14:textId="77777777" w:rsidR="0020161C" w:rsidRPr="004A7736" w:rsidRDefault="0020161C" w:rsidP="00591FB8">
            <w:pPr>
              <w:spacing w:before="20" w:after="20"/>
              <w:jc w:val="both"/>
              <w:rPr>
                <w:rFonts w:cstheme="minorHAnsi"/>
                <w:bCs/>
                <w:sz w:val="20"/>
                <w:szCs w:val="20"/>
              </w:rPr>
            </w:pPr>
          </w:p>
        </w:tc>
        <w:tc>
          <w:tcPr>
            <w:tcW w:w="2045" w:type="dxa"/>
          </w:tcPr>
          <w:p w14:paraId="47F934FB" w14:textId="77777777" w:rsidR="0020161C" w:rsidRPr="004A7736" w:rsidRDefault="0020161C" w:rsidP="00591FB8">
            <w:pPr>
              <w:spacing w:before="20" w:after="20"/>
              <w:jc w:val="both"/>
              <w:rPr>
                <w:rFonts w:cstheme="minorHAnsi"/>
                <w:bCs/>
                <w:sz w:val="20"/>
                <w:szCs w:val="20"/>
              </w:rPr>
            </w:pPr>
            <w:r w:rsidRPr="004A7736">
              <w:rPr>
                <w:rFonts w:cstheme="minorHAnsi"/>
                <w:bCs/>
                <w:sz w:val="20"/>
                <w:szCs w:val="20"/>
              </w:rPr>
              <w:t>Budžet</w:t>
            </w:r>
          </w:p>
        </w:tc>
        <w:tc>
          <w:tcPr>
            <w:tcW w:w="2775" w:type="dxa"/>
          </w:tcPr>
          <w:p w14:paraId="3E7261D7" w14:textId="77777777" w:rsidR="0020161C" w:rsidRPr="004A7736" w:rsidRDefault="0020161C" w:rsidP="00591FB8">
            <w:pPr>
              <w:spacing w:before="20" w:after="20"/>
              <w:jc w:val="both"/>
              <w:rPr>
                <w:rFonts w:cstheme="minorHAnsi"/>
                <w:bCs/>
                <w:sz w:val="20"/>
                <w:szCs w:val="20"/>
              </w:rPr>
            </w:pPr>
            <w:r w:rsidRPr="004A7736">
              <w:rPr>
                <w:rFonts w:cstheme="minorHAnsi"/>
                <w:bCs/>
                <w:sz w:val="20"/>
                <w:szCs w:val="20"/>
              </w:rPr>
              <w:t>Izmjenama i dopunama Zakona o kulturi obezbijediće se transparentno i meritorno zapošljavanje kojim se postiže profesionalno i kreativno upravljanje u kulturi.</w:t>
            </w:r>
          </w:p>
        </w:tc>
      </w:tr>
      <w:tr w:rsidR="0020161C" w:rsidRPr="00B453D0" w14:paraId="6CD6574E" w14:textId="77777777" w:rsidTr="00FD6B98">
        <w:tc>
          <w:tcPr>
            <w:tcW w:w="445" w:type="dxa"/>
          </w:tcPr>
          <w:p w14:paraId="055316A4" w14:textId="77777777" w:rsidR="0020161C" w:rsidRPr="004A7736" w:rsidRDefault="00AE274D" w:rsidP="00591FB8">
            <w:pPr>
              <w:spacing w:before="20" w:after="20"/>
              <w:jc w:val="both"/>
              <w:rPr>
                <w:rFonts w:cstheme="minorHAnsi"/>
                <w:sz w:val="20"/>
                <w:szCs w:val="20"/>
              </w:rPr>
            </w:pPr>
            <w:r>
              <w:rPr>
                <w:rFonts w:cstheme="minorHAnsi"/>
                <w:sz w:val="20"/>
                <w:szCs w:val="20"/>
              </w:rPr>
              <w:t>2</w:t>
            </w:r>
            <w:r w:rsidR="0020161C" w:rsidRPr="004A7736">
              <w:rPr>
                <w:rFonts w:cstheme="minorHAnsi"/>
                <w:sz w:val="20"/>
                <w:szCs w:val="20"/>
              </w:rPr>
              <w:t>.</w:t>
            </w:r>
          </w:p>
        </w:tc>
        <w:tc>
          <w:tcPr>
            <w:tcW w:w="2915" w:type="dxa"/>
          </w:tcPr>
          <w:p w14:paraId="5F98352B" w14:textId="77777777" w:rsidR="0020161C" w:rsidRPr="004A7736" w:rsidRDefault="0020161C" w:rsidP="00591FB8">
            <w:pPr>
              <w:spacing w:before="20" w:after="20"/>
              <w:jc w:val="both"/>
              <w:rPr>
                <w:color w:val="000000" w:themeColor="text1"/>
                <w:sz w:val="20"/>
                <w:szCs w:val="20"/>
              </w:rPr>
            </w:pPr>
            <w:r w:rsidRPr="004A7736">
              <w:rPr>
                <w:color w:val="000000" w:themeColor="text1"/>
                <w:sz w:val="20"/>
                <w:szCs w:val="20"/>
              </w:rPr>
              <w:t>Utvrditi Predlog zakona o izmjenama i dopunama Zakona o zaštiti kulturnih dobara</w:t>
            </w:r>
          </w:p>
          <w:p w14:paraId="6D3C972C" w14:textId="77777777" w:rsidR="0020161C" w:rsidRPr="004A7736" w:rsidRDefault="0020161C" w:rsidP="00591FB8">
            <w:pPr>
              <w:spacing w:before="20" w:after="20"/>
              <w:jc w:val="both"/>
              <w:rPr>
                <w:rFonts w:cstheme="minorHAnsi"/>
                <w:bCs/>
                <w:sz w:val="20"/>
                <w:szCs w:val="20"/>
              </w:rPr>
            </w:pPr>
          </w:p>
        </w:tc>
        <w:tc>
          <w:tcPr>
            <w:tcW w:w="2452" w:type="dxa"/>
          </w:tcPr>
          <w:p w14:paraId="48806A0C" w14:textId="77777777" w:rsidR="0020161C" w:rsidRPr="004A7736" w:rsidRDefault="0020161C" w:rsidP="00591FB8">
            <w:pPr>
              <w:spacing w:before="20" w:after="20"/>
              <w:jc w:val="both"/>
              <w:rPr>
                <w:rFonts w:cstheme="minorHAnsi"/>
                <w:bCs/>
                <w:iCs/>
                <w:sz w:val="20"/>
                <w:szCs w:val="20"/>
              </w:rPr>
            </w:pPr>
            <w:r>
              <w:rPr>
                <w:rFonts w:cstheme="minorHAnsi"/>
                <w:iCs/>
                <w:sz w:val="20"/>
                <w:szCs w:val="20"/>
              </w:rPr>
              <w:t xml:space="preserve">Utvrđen </w:t>
            </w:r>
            <w:r w:rsidRPr="004A7736">
              <w:rPr>
                <w:rFonts w:cstheme="minorHAnsi"/>
                <w:iCs/>
                <w:sz w:val="20"/>
                <w:szCs w:val="20"/>
              </w:rPr>
              <w:t>Predlog zakona o izmjenama i dopunama Zakona o zaštiti kulturnih dobara</w:t>
            </w:r>
          </w:p>
        </w:tc>
        <w:tc>
          <w:tcPr>
            <w:tcW w:w="1323" w:type="dxa"/>
            <w:gridSpan w:val="2"/>
          </w:tcPr>
          <w:p w14:paraId="017119F7" w14:textId="77777777" w:rsidR="0020161C" w:rsidRPr="004A7736" w:rsidRDefault="0020161C" w:rsidP="00591FB8">
            <w:pPr>
              <w:spacing w:before="20" w:after="20"/>
              <w:jc w:val="both"/>
              <w:rPr>
                <w:rFonts w:cstheme="minorHAnsi"/>
                <w:bCs/>
                <w:iCs/>
                <w:sz w:val="20"/>
                <w:szCs w:val="20"/>
              </w:rPr>
            </w:pPr>
            <w:r w:rsidRPr="004A7736">
              <w:rPr>
                <w:rFonts w:cstheme="minorHAnsi"/>
                <w:bCs/>
                <w:iCs/>
                <w:sz w:val="20"/>
                <w:szCs w:val="20"/>
              </w:rPr>
              <w:t xml:space="preserve">MPNKS, Uprava za zaštitu </w:t>
            </w:r>
            <w:r w:rsidRPr="004A7736">
              <w:rPr>
                <w:rFonts w:cstheme="minorHAnsi"/>
                <w:bCs/>
                <w:iCs/>
                <w:sz w:val="20"/>
                <w:szCs w:val="20"/>
              </w:rPr>
              <w:lastRenderedPageBreak/>
              <w:t>kulturnih dobara</w:t>
            </w:r>
          </w:p>
        </w:tc>
        <w:tc>
          <w:tcPr>
            <w:tcW w:w="1251" w:type="dxa"/>
          </w:tcPr>
          <w:p w14:paraId="6AFDD6C5" w14:textId="77777777" w:rsidR="0020161C" w:rsidRPr="004A7736" w:rsidRDefault="0020161C" w:rsidP="00591FB8">
            <w:pPr>
              <w:spacing w:before="20" w:after="20"/>
              <w:jc w:val="both"/>
              <w:rPr>
                <w:rFonts w:cstheme="minorHAnsi"/>
                <w:bCs/>
                <w:iCs/>
                <w:sz w:val="20"/>
                <w:szCs w:val="20"/>
              </w:rPr>
            </w:pPr>
            <w:r w:rsidRPr="004A7736">
              <w:rPr>
                <w:rFonts w:cstheme="minorHAnsi"/>
                <w:bCs/>
                <w:iCs/>
                <w:sz w:val="20"/>
                <w:szCs w:val="20"/>
              </w:rPr>
              <w:lastRenderedPageBreak/>
              <w:t>IV Q 2022</w:t>
            </w:r>
          </w:p>
        </w:tc>
        <w:tc>
          <w:tcPr>
            <w:tcW w:w="1680" w:type="dxa"/>
            <w:gridSpan w:val="2"/>
          </w:tcPr>
          <w:p w14:paraId="27252CB2" w14:textId="77777777" w:rsidR="0020161C" w:rsidRPr="00952125" w:rsidRDefault="0020161C" w:rsidP="00591FB8">
            <w:pPr>
              <w:spacing w:before="20" w:after="20"/>
              <w:jc w:val="both"/>
              <w:rPr>
                <w:rFonts w:cstheme="minorHAnsi"/>
                <w:b/>
                <w:i/>
                <w:sz w:val="20"/>
                <w:szCs w:val="20"/>
              </w:rPr>
            </w:pPr>
            <w:r w:rsidRPr="00952125">
              <w:rPr>
                <w:sz w:val="20"/>
                <w:szCs w:val="20"/>
              </w:rPr>
              <w:t xml:space="preserve">Za utvrđivanje procjene uticaja propisa će biti urađena RIA </w:t>
            </w:r>
          </w:p>
          <w:p w14:paraId="583061AF" w14:textId="77777777" w:rsidR="0020161C" w:rsidRPr="004A7736" w:rsidRDefault="0020161C" w:rsidP="00591FB8">
            <w:pPr>
              <w:spacing w:before="20" w:after="20"/>
              <w:jc w:val="both"/>
              <w:rPr>
                <w:rFonts w:cstheme="minorHAnsi"/>
                <w:bCs/>
                <w:i/>
                <w:sz w:val="20"/>
                <w:szCs w:val="20"/>
              </w:rPr>
            </w:pPr>
          </w:p>
        </w:tc>
        <w:tc>
          <w:tcPr>
            <w:tcW w:w="2045" w:type="dxa"/>
          </w:tcPr>
          <w:p w14:paraId="5320592E" w14:textId="77777777" w:rsidR="0020161C" w:rsidRPr="004A7736" w:rsidRDefault="0020161C" w:rsidP="00591FB8">
            <w:pPr>
              <w:spacing w:before="20" w:after="20"/>
              <w:jc w:val="both"/>
              <w:rPr>
                <w:rFonts w:cstheme="minorHAnsi"/>
                <w:bCs/>
                <w:sz w:val="20"/>
                <w:szCs w:val="20"/>
              </w:rPr>
            </w:pPr>
            <w:r>
              <w:rPr>
                <w:rFonts w:cstheme="minorHAnsi"/>
                <w:sz w:val="20"/>
                <w:szCs w:val="20"/>
              </w:rPr>
              <w:lastRenderedPageBreak/>
              <w:t>Budžet</w:t>
            </w:r>
          </w:p>
        </w:tc>
        <w:tc>
          <w:tcPr>
            <w:tcW w:w="2775" w:type="dxa"/>
          </w:tcPr>
          <w:p w14:paraId="1B0A150D" w14:textId="77777777" w:rsidR="0020161C" w:rsidRPr="004A7736" w:rsidRDefault="0020161C" w:rsidP="00591FB8">
            <w:pPr>
              <w:spacing w:before="20" w:after="20"/>
              <w:jc w:val="both"/>
              <w:rPr>
                <w:rFonts w:cstheme="minorHAnsi"/>
                <w:bCs/>
                <w:sz w:val="20"/>
                <w:szCs w:val="20"/>
              </w:rPr>
            </w:pPr>
            <w:r w:rsidRPr="00B453D0">
              <w:rPr>
                <w:rFonts w:cstheme="minorHAnsi"/>
                <w:sz w:val="20"/>
                <w:szCs w:val="20"/>
              </w:rPr>
              <w:t>Usklađivanje sa EU pravilima.</w:t>
            </w:r>
          </w:p>
        </w:tc>
      </w:tr>
      <w:tr w:rsidR="0020161C" w:rsidRPr="00B453D0" w14:paraId="24E03518" w14:textId="77777777" w:rsidTr="00FD6B98">
        <w:tc>
          <w:tcPr>
            <w:tcW w:w="445" w:type="dxa"/>
          </w:tcPr>
          <w:p w14:paraId="75E04564" w14:textId="77777777" w:rsidR="0020161C" w:rsidRPr="004A7736" w:rsidRDefault="00AE274D" w:rsidP="00591FB8">
            <w:pPr>
              <w:spacing w:before="20" w:after="20"/>
              <w:jc w:val="both"/>
              <w:rPr>
                <w:rFonts w:cstheme="minorHAnsi"/>
                <w:sz w:val="20"/>
                <w:szCs w:val="20"/>
              </w:rPr>
            </w:pPr>
            <w:r>
              <w:rPr>
                <w:rFonts w:cstheme="minorHAnsi"/>
                <w:sz w:val="20"/>
                <w:szCs w:val="20"/>
              </w:rPr>
              <w:t>3.</w:t>
            </w:r>
          </w:p>
        </w:tc>
        <w:tc>
          <w:tcPr>
            <w:tcW w:w="2915" w:type="dxa"/>
          </w:tcPr>
          <w:p w14:paraId="37D3097C" w14:textId="77777777" w:rsidR="0020161C" w:rsidRPr="00061DD4" w:rsidRDefault="0020161C" w:rsidP="00591FB8">
            <w:pPr>
              <w:spacing w:before="20" w:after="20"/>
              <w:jc w:val="both"/>
              <w:rPr>
                <w:rFonts w:cstheme="minorHAnsi"/>
                <w:bCs/>
                <w:iCs/>
                <w:sz w:val="20"/>
                <w:szCs w:val="20"/>
              </w:rPr>
            </w:pPr>
            <w:r w:rsidRPr="00061DD4">
              <w:rPr>
                <w:rFonts w:cstheme="minorHAnsi"/>
                <w:bCs/>
                <w:iCs/>
                <w:sz w:val="20"/>
                <w:szCs w:val="20"/>
              </w:rPr>
              <w:t>Predlog zakona o izmjenama Zakona o bibliotečkoj djelatnosti</w:t>
            </w:r>
          </w:p>
          <w:p w14:paraId="361FB323" w14:textId="77777777" w:rsidR="0020161C" w:rsidRPr="00061DD4" w:rsidRDefault="0020161C" w:rsidP="00591FB8">
            <w:pPr>
              <w:spacing w:before="20" w:after="20"/>
              <w:jc w:val="both"/>
              <w:rPr>
                <w:bCs/>
                <w:iCs/>
                <w:color w:val="000000" w:themeColor="text1"/>
                <w:sz w:val="20"/>
                <w:szCs w:val="20"/>
              </w:rPr>
            </w:pPr>
          </w:p>
        </w:tc>
        <w:tc>
          <w:tcPr>
            <w:tcW w:w="2452" w:type="dxa"/>
          </w:tcPr>
          <w:p w14:paraId="79281E6D" w14:textId="77777777" w:rsidR="0020161C" w:rsidRPr="00061DD4" w:rsidRDefault="0020161C" w:rsidP="00591FB8">
            <w:pPr>
              <w:spacing w:before="20" w:after="20"/>
              <w:jc w:val="both"/>
              <w:rPr>
                <w:rFonts w:cstheme="minorHAnsi"/>
                <w:bCs/>
                <w:iCs/>
                <w:sz w:val="20"/>
                <w:szCs w:val="20"/>
              </w:rPr>
            </w:pPr>
            <w:r w:rsidRPr="00061DD4">
              <w:rPr>
                <w:rFonts w:cstheme="minorHAnsi"/>
                <w:bCs/>
                <w:iCs/>
                <w:sz w:val="20"/>
                <w:szCs w:val="20"/>
              </w:rPr>
              <w:t>Predlog zakona o izmjenama Zakona o bibliotečkoj djelatnosti</w:t>
            </w:r>
            <w:r w:rsidRPr="00061DD4" w:rsidDel="0022491E">
              <w:rPr>
                <w:rFonts w:cstheme="minorHAnsi"/>
                <w:bCs/>
                <w:iCs/>
                <w:sz w:val="20"/>
                <w:szCs w:val="20"/>
              </w:rPr>
              <w:t xml:space="preserve"> </w:t>
            </w:r>
            <w:r w:rsidRPr="00061DD4">
              <w:rPr>
                <w:rFonts w:cstheme="minorHAnsi"/>
                <w:bCs/>
                <w:iCs/>
                <w:sz w:val="20"/>
                <w:szCs w:val="20"/>
              </w:rPr>
              <w:t>Usklađivanje terminologije OSI licima</w:t>
            </w:r>
          </w:p>
          <w:p w14:paraId="13243E33" w14:textId="77777777" w:rsidR="0020161C" w:rsidRPr="00061DD4" w:rsidRDefault="0020161C" w:rsidP="00591FB8">
            <w:pPr>
              <w:spacing w:before="20" w:after="20"/>
              <w:jc w:val="both"/>
              <w:rPr>
                <w:rFonts w:cstheme="minorHAnsi"/>
                <w:bCs/>
                <w:iCs/>
                <w:sz w:val="20"/>
                <w:szCs w:val="20"/>
              </w:rPr>
            </w:pPr>
            <w:r w:rsidRPr="00061DD4">
              <w:rPr>
                <w:rFonts w:cstheme="minorHAnsi"/>
                <w:bCs/>
                <w:iCs/>
                <w:sz w:val="20"/>
                <w:szCs w:val="20"/>
              </w:rPr>
              <w:t xml:space="preserve"> </w:t>
            </w:r>
          </w:p>
        </w:tc>
        <w:tc>
          <w:tcPr>
            <w:tcW w:w="1323" w:type="dxa"/>
            <w:gridSpan w:val="2"/>
          </w:tcPr>
          <w:p w14:paraId="7072F514" w14:textId="77777777" w:rsidR="0020161C" w:rsidRPr="00061DD4" w:rsidRDefault="0020161C" w:rsidP="00591FB8">
            <w:pPr>
              <w:spacing w:before="20" w:after="20"/>
              <w:jc w:val="both"/>
              <w:rPr>
                <w:rFonts w:cstheme="minorHAnsi"/>
                <w:bCs/>
                <w:iCs/>
                <w:sz w:val="20"/>
                <w:szCs w:val="20"/>
              </w:rPr>
            </w:pPr>
            <w:r w:rsidRPr="00061DD4">
              <w:rPr>
                <w:rFonts w:cstheme="minorHAnsi"/>
                <w:bCs/>
                <w:iCs/>
                <w:sz w:val="20"/>
                <w:szCs w:val="20"/>
              </w:rPr>
              <w:t>MPNKS</w:t>
            </w:r>
          </w:p>
        </w:tc>
        <w:tc>
          <w:tcPr>
            <w:tcW w:w="1251" w:type="dxa"/>
          </w:tcPr>
          <w:p w14:paraId="0530F635" w14:textId="77777777" w:rsidR="0020161C" w:rsidRPr="00061DD4" w:rsidRDefault="0020161C" w:rsidP="00591FB8">
            <w:pPr>
              <w:spacing w:before="20" w:after="20"/>
              <w:jc w:val="both"/>
              <w:rPr>
                <w:rFonts w:cstheme="minorHAnsi"/>
                <w:bCs/>
                <w:iCs/>
                <w:sz w:val="20"/>
                <w:szCs w:val="20"/>
              </w:rPr>
            </w:pPr>
            <w:r w:rsidRPr="00061DD4">
              <w:rPr>
                <w:rFonts w:cstheme="minorHAnsi"/>
                <w:bCs/>
                <w:iCs/>
                <w:sz w:val="20"/>
                <w:szCs w:val="20"/>
              </w:rPr>
              <w:t>III Q 2022</w:t>
            </w:r>
          </w:p>
        </w:tc>
        <w:tc>
          <w:tcPr>
            <w:tcW w:w="1680" w:type="dxa"/>
            <w:gridSpan w:val="2"/>
          </w:tcPr>
          <w:p w14:paraId="4261FF22" w14:textId="77777777" w:rsidR="0020161C" w:rsidRPr="00061DD4" w:rsidRDefault="0020161C" w:rsidP="00591FB8">
            <w:pPr>
              <w:spacing w:before="20" w:after="20"/>
              <w:jc w:val="both"/>
              <w:rPr>
                <w:rFonts w:cstheme="minorHAnsi"/>
                <w:bCs/>
                <w:iCs/>
                <w:sz w:val="20"/>
                <w:szCs w:val="20"/>
              </w:rPr>
            </w:pPr>
            <w:r w:rsidRPr="00061DD4">
              <w:rPr>
                <w:rFonts w:cstheme="minorHAnsi"/>
                <w:bCs/>
                <w:iCs/>
                <w:sz w:val="20"/>
                <w:szCs w:val="20"/>
              </w:rPr>
              <w:t>Za utvrđivanje procjene uticaja propisa će biti urađena RIA.</w:t>
            </w:r>
          </w:p>
          <w:p w14:paraId="448597D0" w14:textId="77777777" w:rsidR="0020161C" w:rsidRPr="00061DD4" w:rsidRDefault="0020161C" w:rsidP="00591FB8">
            <w:pPr>
              <w:spacing w:before="20" w:after="20"/>
              <w:jc w:val="both"/>
              <w:rPr>
                <w:rFonts w:cstheme="minorHAnsi"/>
                <w:bCs/>
                <w:iCs/>
                <w:sz w:val="20"/>
                <w:szCs w:val="20"/>
              </w:rPr>
            </w:pPr>
          </w:p>
          <w:p w14:paraId="541DE5F2" w14:textId="77777777" w:rsidR="0020161C" w:rsidRPr="00061DD4" w:rsidRDefault="0020161C" w:rsidP="00591FB8">
            <w:pPr>
              <w:spacing w:before="20" w:after="20"/>
              <w:jc w:val="both"/>
              <w:rPr>
                <w:rFonts w:cstheme="minorHAnsi"/>
                <w:bCs/>
                <w:iCs/>
                <w:sz w:val="20"/>
                <w:szCs w:val="20"/>
              </w:rPr>
            </w:pPr>
          </w:p>
          <w:p w14:paraId="1A0B5786" w14:textId="77777777" w:rsidR="0020161C" w:rsidRPr="00061DD4" w:rsidRDefault="0020161C" w:rsidP="00591FB8">
            <w:pPr>
              <w:spacing w:before="20" w:after="20"/>
              <w:jc w:val="both"/>
              <w:rPr>
                <w:bCs/>
                <w:iCs/>
                <w:sz w:val="20"/>
                <w:szCs w:val="20"/>
              </w:rPr>
            </w:pPr>
          </w:p>
        </w:tc>
        <w:tc>
          <w:tcPr>
            <w:tcW w:w="2045" w:type="dxa"/>
          </w:tcPr>
          <w:p w14:paraId="402964A8" w14:textId="77777777" w:rsidR="0020161C" w:rsidRDefault="0020161C" w:rsidP="00591FB8">
            <w:pPr>
              <w:spacing w:before="20" w:after="20"/>
              <w:jc w:val="both"/>
              <w:rPr>
                <w:rFonts w:cstheme="minorHAnsi"/>
                <w:sz w:val="20"/>
                <w:szCs w:val="20"/>
              </w:rPr>
            </w:pPr>
            <w:r>
              <w:rPr>
                <w:rFonts w:cstheme="minorHAnsi"/>
                <w:sz w:val="20"/>
                <w:szCs w:val="20"/>
              </w:rPr>
              <w:t>Budžet</w:t>
            </w:r>
          </w:p>
        </w:tc>
        <w:tc>
          <w:tcPr>
            <w:tcW w:w="2775" w:type="dxa"/>
          </w:tcPr>
          <w:p w14:paraId="0F07449F" w14:textId="77777777" w:rsidR="0020161C" w:rsidRPr="00B453D0" w:rsidRDefault="0020161C" w:rsidP="00591FB8">
            <w:pPr>
              <w:spacing w:before="20" w:after="20"/>
              <w:jc w:val="both"/>
              <w:rPr>
                <w:rFonts w:cstheme="minorHAnsi"/>
                <w:sz w:val="20"/>
                <w:szCs w:val="20"/>
              </w:rPr>
            </w:pPr>
            <w:r w:rsidRPr="00E9185C">
              <w:rPr>
                <w:rFonts w:cstheme="minorHAnsi"/>
                <w:sz w:val="20"/>
                <w:szCs w:val="20"/>
              </w:rPr>
              <w:t xml:space="preserve">Usklađivanje sa EU pravilima </w:t>
            </w:r>
          </w:p>
        </w:tc>
      </w:tr>
      <w:tr w:rsidR="0020161C" w:rsidRPr="00B453D0" w14:paraId="721BC940" w14:textId="77777777" w:rsidTr="00FD6B98">
        <w:tc>
          <w:tcPr>
            <w:tcW w:w="445" w:type="dxa"/>
          </w:tcPr>
          <w:p w14:paraId="4861AF70" w14:textId="77777777" w:rsidR="0020161C" w:rsidRPr="004A7736" w:rsidRDefault="00AE274D" w:rsidP="00591FB8">
            <w:pPr>
              <w:spacing w:before="20" w:after="20"/>
              <w:jc w:val="both"/>
              <w:rPr>
                <w:rFonts w:cstheme="minorHAnsi"/>
                <w:sz w:val="20"/>
                <w:szCs w:val="20"/>
              </w:rPr>
            </w:pPr>
            <w:r>
              <w:rPr>
                <w:rFonts w:cstheme="minorHAnsi"/>
                <w:sz w:val="20"/>
                <w:szCs w:val="20"/>
              </w:rPr>
              <w:t>4.</w:t>
            </w:r>
          </w:p>
        </w:tc>
        <w:tc>
          <w:tcPr>
            <w:tcW w:w="2915" w:type="dxa"/>
          </w:tcPr>
          <w:p w14:paraId="66942DBB" w14:textId="77777777" w:rsidR="0020161C" w:rsidRPr="00061DD4" w:rsidRDefault="0020161C" w:rsidP="00591FB8">
            <w:pPr>
              <w:spacing w:before="20" w:after="20"/>
              <w:jc w:val="both"/>
              <w:rPr>
                <w:rFonts w:cstheme="minorHAnsi"/>
                <w:bCs/>
                <w:iCs/>
                <w:sz w:val="20"/>
                <w:szCs w:val="20"/>
              </w:rPr>
            </w:pPr>
            <w:r w:rsidRPr="00061DD4">
              <w:rPr>
                <w:rFonts w:cstheme="minorHAnsi"/>
                <w:bCs/>
                <w:iCs/>
                <w:sz w:val="20"/>
                <w:szCs w:val="20"/>
              </w:rPr>
              <w:t>Predlog zakona o izmjenama Zakona o muzejskoj djelatnosti</w:t>
            </w:r>
          </w:p>
          <w:p w14:paraId="5DAB5B2A" w14:textId="77777777" w:rsidR="0020161C" w:rsidRPr="00061DD4" w:rsidRDefault="0020161C" w:rsidP="00591FB8">
            <w:pPr>
              <w:spacing w:before="20" w:after="20"/>
              <w:jc w:val="both"/>
              <w:rPr>
                <w:bCs/>
                <w:iCs/>
                <w:color w:val="000000" w:themeColor="text1"/>
                <w:sz w:val="20"/>
                <w:szCs w:val="20"/>
              </w:rPr>
            </w:pPr>
          </w:p>
        </w:tc>
        <w:tc>
          <w:tcPr>
            <w:tcW w:w="2452" w:type="dxa"/>
          </w:tcPr>
          <w:p w14:paraId="11D53A3E" w14:textId="77777777" w:rsidR="0020161C" w:rsidRPr="00061DD4" w:rsidRDefault="0020161C" w:rsidP="00591FB8">
            <w:pPr>
              <w:spacing w:before="20" w:after="20"/>
              <w:jc w:val="both"/>
              <w:rPr>
                <w:rFonts w:cstheme="minorHAnsi"/>
                <w:bCs/>
                <w:iCs/>
                <w:sz w:val="20"/>
                <w:szCs w:val="20"/>
              </w:rPr>
            </w:pPr>
            <w:r w:rsidRPr="00061DD4">
              <w:rPr>
                <w:rFonts w:cstheme="minorHAnsi"/>
                <w:bCs/>
                <w:iCs/>
                <w:sz w:val="20"/>
                <w:szCs w:val="20"/>
              </w:rPr>
              <w:t>Predlog zakona o izmjenama Zakona o muzejskoj djelatnosti</w:t>
            </w:r>
            <w:r w:rsidRPr="00061DD4" w:rsidDel="0022491E">
              <w:rPr>
                <w:rFonts w:cstheme="minorHAnsi"/>
                <w:bCs/>
                <w:iCs/>
                <w:sz w:val="20"/>
                <w:szCs w:val="20"/>
              </w:rPr>
              <w:t xml:space="preserve"> </w:t>
            </w:r>
            <w:r w:rsidRPr="00061DD4">
              <w:rPr>
                <w:rFonts w:cstheme="minorHAnsi"/>
                <w:bCs/>
                <w:iCs/>
                <w:sz w:val="20"/>
                <w:szCs w:val="20"/>
              </w:rPr>
              <w:t>Usklađivanje terminologije OSI licima</w:t>
            </w:r>
          </w:p>
          <w:p w14:paraId="3C282A26" w14:textId="77777777" w:rsidR="0020161C" w:rsidRPr="00061DD4" w:rsidRDefault="0020161C" w:rsidP="00591FB8">
            <w:pPr>
              <w:spacing w:before="20" w:after="20"/>
              <w:jc w:val="both"/>
              <w:rPr>
                <w:rFonts w:cstheme="minorHAnsi"/>
                <w:bCs/>
                <w:iCs/>
                <w:sz w:val="20"/>
                <w:szCs w:val="20"/>
              </w:rPr>
            </w:pPr>
          </w:p>
        </w:tc>
        <w:tc>
          <w:tcPr>
            <w:tcW w:w="1323" w:type="dxa"/>
            <w:gridSpan w:val="2"/>
          </w:tcPr>
          <w:p w14:paraId="6BE5D489" w14:textId="77777777" w:rsidR="0020161C" w:rsidRPr="00061DD4" w:rsidRDefault="0020161C" w:rsidP="00591FB8">
            <w:pPr>
              <w:spacing w:before="20" w:after="20"/>
              <w:jc w:val="both"/>
              <w:rPr>
                <w:rFonts w:cstheme="minorHAnsi"/>
                <w:bCs/>
                <w:iCs/>
                <w:sz w:val="20"/>
                <w:szCs w:val="20"/>
              </w:rPr>
            </w:pPr>
            <w:r w:rsidRPr="00061DD4">
              <w:rPr>
                <w:rFonts w:cstheme="minorHAnsi"/>
                <w:bCs/>
                <w:iCs/>
                <w:sz w:val="20"/>
                <w:szCs w:val="20"/>
              </w:rPr>
              <w:t>MPNKS</w:t>
            </w:r>
          </w:p>
        </w:tc>
        <w:tc>
          <w:tcPr>
            <w:tcW w:w="1251" w:type="dxa"/>
          </w:tcPr>
          <w:p w14:paraId="6B1778B7" w14:textId="77777777" w:rsidR="0020161C" w:rsidRPr="00061DD4" w:rsidRDefault="0020161C" w:rsidP="00591FB8">
            <w:pPr>
              <w:spacing w:before="20" w:after="20"/>
              <w:jc w:val="both"/>
              <w:rPr>
                <w:rFonts w:cstheme="minorHAnsi"/>
                <w:bCs/>
                <w:iCs/>
                <w:sz w:val="20"/>
                <w:szCs w:val="20"/>
              </w:rPr>
            </w:pPr>
            <w:r w:rsidRPr="00061DD4">
              <w:rPr>
                <w:rFonts w:cstheme="minorHAnsi"/>
                <w:bCs/>
                <w:iCs/>
                <w:sz w:val="20"/>
                <w:szCs w:val="20"/>
              </w:rPr>
              <w:t>III Q 2022</w:t>
            </w:r>
          </w:p>
        </w:tc>
        <w:tc>
          <w:tcPr>
            <w:tcW w:w="1680" w:type="dxa"/>
            <w:gridSpan w:val="2"/>
          </w:tcPr>
          <w:p w14:paraId="7E7EE283" w14:textId="77777777" w:rsidR="0020161C" w:rsidRPr="00061DD4" w:rsidRDefault="0020161C" w:rsidP="00591FB8">
            <w:pPr>
              <w:spacing w:before="20" w:after="20"/>
              <w:jc w:val="both"/>
              <w:rPr>
                <w:rFonts w:cstheme="minorHAnsi"/>
                <w:bCs/>
                <w:iCs/>
                <w:sz w:val="20"/>
                <w:szCs w:val="20"/>
              </w:rPr>
            </w:pPr>
            <w:r w:rsidRPr="00061DD4">
              <w:rPr>
                <w:rFonts w:cstheme="minorHAnsi"/>
                <w:bCs/>
                <w:iCs/>
                <w:sz w:val="20"/>
                <w:szCs w:val="20"/>
              </w:rPr>
              <w:t>Za utvrđivanje procjene uticaja propisa će biti urađena RIA.</w:t>
            </w:r>
          </w:p>
          <w:p w14:paraId="64C4BA4B" w14:textId="77777777" w:rsidR="0020161C" w:rsidRPr="00061DD4" w:rsidRDefault="0020161C" w:rsidP="00591FB8">
            <w:pPr>
              <w:spacing w:before="20" w:after="20"/>
              <w:jc w:val="both"/>
              <w:rPr>
                <w:rFonts w:cstheme="minorHAnsi"/>
                <w:bCs/>
                <w:iCs/>
                <w:sz w:val="20"/>
                <w:szCs w:val="20"/>
              </w:rPr>
            </w:pPr>
          </w:p>
          <w:p w14:paraId="6A2BAF14" w14:textId="77777777" w:rsidR="0020161C" w:rsidRPr="00061DD4" w:rsidRDefault="0020161C" w:rsidP="00591FB8">
            <w:pPr>
              <w:spacing w:before="20" w:after="20"/>
              <w:jc w:val="both"/>
              <w:rPr>
                <w:bCs/>
                <w:iCs/>
                <w:sz w:val="20"/>
                <w:szCs w:val="20"/>
              </w:rPr>
            </w:pPr>
          </w:p>
        </w:tc>
        <w:tc>
          <w:tcPr>
            <w:tcW w:w="2045" w:type="dxa"/>
          </w:tcPr>
          <w:p w14:paraId="28E87852" w14:textId="77777777" w:rsidR="0020161C" w:rsidRDefault="0020161C" w:rsidP="00591FB8">
            <w:pPr>
              <w:spacing w:before="20" w:after="20"/>
              <w:jc w:val="both"/>
              <w:rPr>
                <w:rFonts w:cstheme="minorHAnsi"/>
                <w:sz w:val="20"/>
                <w:szCs w:val="20"/>
              </w:rPr>
            </w:pPr>
            <w:r>
              <w:rPr>
                <w:rFonts w:cstheme="minorHAnsi"/>
                <w:sz w:val="20"/>
                <w:szCs w:val="20"/>
              </w:rPr>
              <w:t>Budžet</w:t>
            </w:r>
          </w:p>
        </w:tc>
        <w:tc>
          <w:tcPr>
            <w:tcW w:w="2775" w:type="dxa"/>
          </w:tcPr>
          <w:p w14:paraId="795CA466" w14:textId="77777777" w:rsidR="0020161C" w:rsidRPr="00B453D0" w:rsidRDefault="0020161C" w:rsidP="00591FB8">
            <w:pPr>
              <w:spacing w:before="20" w:after="20"/>
              <w:jc w:val="both"/>
              <w:rPr>
                <w:rFonts w:cstheme="minorHAnsi"/>
                <w:sz w:val="20"/>
                <w:szCs w:val="20"/>
              </w:rPr>
            </w:pPr>
            <w:r w:rsidRPr="00E9185C">
              <w:rPr>
                <w:rFonts w:cstheme="minorHAnsi"/>
                <w:sz w:val="20"/>
                <w:szCs w:val="20"/>
              </w:rPr>
              <w:t>Usklađivanje sa EU pravilima</w:t>
            </w:r>
          </w:p>
        </w:tc>
      </w:tr>
    </w:tbl>
    <w:tbl>
      <w:tblPr>
        <w:tblStyle w:val="TableGrid30"/>
        <w:tblW w:w="14886" w:type="dxa"/>
        <w:tblInd w:w="-856" w:type="dxa"/>
        <w:tblLook w:val="04A0" w:firstRow="1" w:lastRow="0" w:firstColumn="1" w:lastColumn="0" w:noHBand="0" w:noVBand="1"/>
      </w:tblPr>
      <w:tblGrid>
        <w:gridCol w:w="836"/>
        <w:gridCol w:w="3042"/>
        <w:gridCol w:w="2554"/>
        <w:gridCol w:w="1359"/>
        <w:gridCol w:w="1282"/>
        <w:gridCol w:w="1737"/>
        <w:gridCol w:w="1919"/>
        <w:gridCol w:w="2157"/>
      </w:tblGrid>
      <w:tr w:rsidR="0072464B" w:rsidRPr="0072464B" w14:paraId="1D24CB4B" w14:textId="77777777" w:rsidTr="0072464B">
        <w:tc>
          <w:tcPr>
            <w:tcW w:w="3878" w:type="dxa"/>
            <w:gridSpan w:val="2"/>
            <w:tcBorders>
              <w:top w:val="single" w:sz="4" w:space="0" w:color="auto"/>
              <w:left w:val="single" w:sz="4" w:space="0" w:color="auto"/>
              <w:bottom w:val="single" w:sz="4" w:space="0" w:color="auto"/>
              <w:right w:val="single" w:sz="4" w:space="0" w:color="auto"/>
            </w:tcBorders>
            <w:shd w:val="clear" w:color="auto" w:fill="D9E2F3"/>
          </w:tcPr>
          <w:p w14:paraId="2F04812E" w14:textId="77777777" w:rsidR="0072464B" w:rsidRPr="0072464B" w:rsidRDefault="0072464B" w:rsidP="00591FB8">
            <w:pPr>
              <w:spacing w:before="40" w:after="40"/>
              <w:jc w:val="both"/>
              <w:rPr>
                <w:rFonts w:cs="Calibri"/>
                <w:b/>
                <w:sz w:val="20"/>
                <w:szCs w:val="20"/>
              </w:rPr>
            </w:pPr>
            <w:bookmarkStart w:id="41" w:name="_Hlk87966704"/>
            <w:bookmarkStart w:id="42" w:name="_Hlk89634001"/>
            <w:bookmarkStart w:id="43" w:name="_Hlk89614645"/>
          </w:p>
          <w:p w14:paraId="5ADC8EF6" w14:textId="77777777" w:rsidR="0072464B" w:rsidRPr="0072464B" w:rsidRDefault="0072464B" w:rsidP="00591FB8">
            <w:pPr>
              <w:spacing w:before="40" w:after="40"/>
              <w:jc w:val="both"/>
              <w:rPr>
                <w:rFonts w:cs="Calibri"/>
                <w:b/>
                <w:sz w:val="20"/>
                <w:szCs w:val="20"/>
              </w:rPr>
            </w:pPr>
            <w:r w:rsidRPr="0072464B">
              <w:rPr>
                <w:rFonts w:cs="Calibri"/>
                <w:b/>
                <w:sz w:val="20"/>
                <w:szCs w:val="20"/>
              </w:rPr>
              <w:t>CILJ 4</w:t>
            </w:r>
            <w:r w:rsidR="000A08C8">
              <w:rPr>
                <w:rFonts w:cs="Calibri"/>
                <w:b/>
                <w:sz w:val="20"/>
                <w:szCs w:val="20"/>
              </w:rPr>
              <w:t>.</w:t>
            </w:r>
            <w:r w:rsidR="00A26476">
              <w:rPr>
                <w:rFonts w:cs="Calibri"/>
                <w:b/>
                <w:sz w:val="20"/>
                <w:szCs w:val="20"/>
              </w:rPr>
              <w:t>3</w:t>
            </w:r>
          </w:p>
        </w:tc>
        <w:tc>
          <w:tcPr>
            <w:tcW w:w="11008" w:type="dxa"/>
            <w:gridSpan w:val="6"/>
            <w:tcBorders>
              <w:top w:val="single" w:sz="4" w:space="0" w:color="auto"/>
              <w:left w:val="single" w:sz="4" w:space="0" w:color="auto"/>
              <w:bottom w:val="single" w:sz="4" w:space="0" w:color="auto"/>
              <w:right w:val="single" w:sz="4" w:space="0" w:color="auto"/>
            </w:tcBorders>
            <w:shd w:val="clear" w:color="auto" w:fill="D9E2F3"/>
          </w:tcPr>
          <w:p w14:paraId="5A65579F" w14:textId="77777777" w:rsidR="0072464B" w:rsidRPr="0072464B" w:rsidRDefault="0072464B" w:rsidP="00591FB8">
            <w:pPr>
              <w:spacing w:before="40" w:after="40"/>
              <w:jc w:val="both"/>
              <w:rPr>
                <w:rFonts w:cs="Calibri"/>
                <w:b/>
                <w:sz w:val="20"/>
                <w:szCs w:val="20"/>
              </w:rPr>
            </w:pPr>
          </w:p>
          <w:p w14:paraId="7CDF49F2" w14:textId="77777777" w:rsidR="0072464B" w:rsidRPr="00AE274D" w:rsidRDefault="0072464B" w:rsidP="00591FB8">
            <w:pPr>
              <w:spacing w:before="40" w:after="40"/>
              <w:jc w:val="both"/>
              <w:rPr>
                <w:rFonts w:cs="Calibri"/>
                <w:b/>
                <w:iCs/>
                <w:sz w:val="20"/>
                <w:szCs w:val="20"/>
                <w:lang w:val="sr-Latn-RS"/>
              </w:rPr>
            </w:pPr>
            <w:r w:rsidRPr="00AE274D">
              <w:rPr>
                <w:rFonts w:cs="Calibri"/>
                <w:b/>
                <w:iCs/>
                <w:sz w:val="20"/>
                <w:szCs w:val="20"/>
                <w:lang w:val="sr-Latn-RS"/>
              </w:rPr>
              <w:t>Unapređenje kvaliteta usluga za mlade i njihovo učešće u kreiranju javnih politika</w:t>
            </w:r>
          </w:p>
        </w:tc>
      </w:tr>
      <w:tr w:rsidR="0072464B" w:rsidRPr="000A08C8" w14:paraId="3F7C0CEA" w14:textId="77777777" w:rsidTr="0072464B">
        <w:tc>
          <w:tcPr>
            <w:tcW w:w="3878" w:type="dxa"/>
            <w:gridSpan w:val="2"/>
            <w:tcBorders>
              <w:top w:val="single" w:sz="4" w:space="0" w:color="auto"/>
              <w:left w:val="single" w:sz="4" w:space="0" w:color="auto"/>
              <w:bottom w:val="single" w:sz="4" w:space="0" w:color="auto"/>
              <w:right w:val="single" w:sz="4" w:space="0" w:color="auto"/>
            </w:tcBorders>
            <w:shd w:val="clear" w:color="auto" w:fill="DAF2F6"/>
            <w:hideMark/>
          </w:tcPr>
          <w:p w14:paraId="2797B1D2" w14:textId="77777777" w:rsidR="0072464B" w:rsidRPr="0072464B" w:rsidRDefault="0072464B" w:rsidP="00591FB8">
            <w:pPr>
              <w:spacing w:before="40" w:after="40"/>
              <w:jc w:val="both"/>
              <w:rPr>
                <w:rFonts w:cs="Calibri"/>
                <w:b/>
                <w:sz w:val="20"/>
                <w:szCs w:val="20"/>
              </w:rPr>
            </w:pPr>
            <w:r w:rsidRPr="0072464B">
              <w:rPr>
                <w:rFonts w:cs="Calibri"/>
                <w:b/>
                <w:sz w:val="20"/>
                <w:szCs w:val="20"/>
              </w:rPr>
              <w:t>Indikator učinka</w:t>
            </w:r>
          </w:p>
        </w:tc>
        <w:tc>
          <w:tcPr>
            <w:tcW w:w="2554" w:type="dxa"/>
            <w:tcBorders>
              <w:top w:val="single" w:sz="4" w:space="0" w:color="auto"/>
              <w:left w:val="single" w:sz="4" w:space="0" w:color="auto"/>
              <w:bottom w:val="single" w:sz="4" w:space="0" w:color="auto"/>
              <w:right w:val="single" w:sz="4" w:space="0" w:color="auto"/>
            </w:tcBorders>
            <w:shd w:val="clear" w:color="auto" w:fill="DAF2F6"/>
            <w:hideMark/>
          </w:tcPr>
          <w:p w14:paraId="018D9A43" w14:textId="77777777" w:rsidR="0072464B" w:rsidRPr="0072464B" w:rsidRDefault="0072464B" w:rsidP="00591FB8">
            <w:pPr>
              <w:spacing w:before="40" w:after="40"/>
              <w:jc w:val="both"/>
              <w:rPr>
                <w:rFonts w:cs="Calibri"/>
                <w:b/>
                <w:sz w:val="20"/>
                <w:szCs w:val="20"/>
              </w:rPr>
            </w:pPr>
            <w:r w:rsidRPr="0072464B">
              <w:rPr>
                <w:rFonts w:cs="Calibri"/>
                <w:b/>
                <w:sz w:val="20"/>
                <w:szCs w:val="20"/>
              </w:rPr>
              <w:t>Polazna vrijednost – 2021.g</w:t>
            </w:r>
          </w:p>
        </w:tc>
        <w:tc>
          <w:tcPr>
            <w:tcW w:w="2641" w:type="dxa"/>
            <w:gridSpan w:val="2"/>
            <w:tcBorders>
              <w:top w:val="single" w:sz="4" w:space="0" w:color="auto"/>
              <w:left w:val="single" w:sz="4" w:space="0" w:color="auto"/>
              <w:bottom w:val="single" w:sz="4" w:space="0" w:color="auto"/>
              <w:right w:val="single" w:sz="4" w:space="0" w:color="auto"/>
            </w:tcBorders>
            <w:shd w:val="clear" w:color="auto" w:fill="DAF2F6"/>
            <w:vAlign w:val="center"/>
            <w:hideMark/>
          </w:tcPr>
          <w:p w14:paraId="3063AF11" w14:textId="77777777" w:rsidR="0072464B" w:rsidRPr="0072464B" w:rsidRDefault="0072464B" w:rsidP="00591FB8">
            <w:pPr>
              <w:spacing w:before="40" w:after="40"/>
              <w:jc w:val="both"/>
              <w:rPr>
                <w:rFonts w:cs="Calibri"/>
                <w:b/>
                <w:sz w:val="20"/>
                <w:szCs w:val="20"/>
              </w:rPr>
            </w:pPr>
            <w:r w:rsidRPr="0072464B">
              <w:rPr>
                <w:rFonts w:cs="Calibri"/>
                <w:b/>
                <w:sz w:val="20"/>
                <w:szCs w:val="20"/>
              </w:rPr>
              <w:t>Prelazna vrijednost – 2022.g</w:t>
            </w:r>
          </w:p>
        </w:tc>
        <w:tc>
          <w:tcPr>
            <w:tcW w:w="3656" w:type="dxa"/>
            <w:gridSpan w:val="2"/>
            <w:tcBorders>
              <w:top w:val="single" w:sz="4" w:space="0" w:color="auto"/>
              <w:left w:val="single" w:sz="4" w:space="0" w:color="auto"/>
              <w:bottom w:val="single" w:sz="4" w:space="0" w:color="FFFFFF"/>
              <w:right w:val="single" w:sz="4" w:space="0" w:color="auto"/>
            </w:tcBorders>
            <w:shd w:val="clear" w:color="auto" w:fill="DAF2F6"/>
            <w:vAlign w:val="center"/>
            <w:hideMark/>
          </w:tcPr>
          <w:p w14:paraId="7B3FF7E4" w14:textId="77777777" w:rsidR="0072464B" w:rsidRPr="0072464B" w:rsidRDefault="0072464B" w:rsidP="00591FB8">
            <w:pPr>
              <w:spacing w:before="40" w:after="40"/>
              <w:jc w:val="both"/>
              <w:rPr>
                <w:rFonts w:cs="Calibri"/>
                <w:b/>
                <w:sz w:val="20"/>
                <w:szCs w:val="20"/>
              </w:rPr>
            </w:pPr>
            <w:r w:rsidRPr="0072464B">
              <w:rPr>
                <w:rFonts w:cs="Calibri"/>
                <w:b/>
                <w:sz w:val="20"/>
                <w:szCs w:val="20"/>
              </w:rPr>
              <w:t>Prelazna vrijednost – 2023.g</w:t>
            </w:r>
          </w:p>
        </w:tc>
        <w:tc>
          <w:tcPr>
            <w:tcW w:w="2157" w:type="dxa"/>
            <w:tcBorders>
              <w:top w:val="single" w:sz="4" w:space="0" w:color="auto"/>
              <w:left w:val="single" w:sz="4" w:space="0" w:color="auto"/>
              <w:bottom w:val="single" w:sz="4" w:space="0" w:color="FFFFFF"/>
              <w:right w:val="single" w:sz="4" w:space="0" w:color="auto"/>
            </w:tcBorders>
            <w:shd w:val="clear" w:color="auto" w:fill="DAF2F6"/>
            <w:vAlign w:val="center"/>
            <w:hideMark/>
          </w:tcPr>
          <w:p w14:paraId="6015CD91" w14:textId="77777777" w:rsidR="0072464B" w:rsidRPr="0072464B" w:rsidRDefault="0072464B" w:rsidP="00591FB8">
            <w:pPr>
              <w:spacing w:before="40" w:after="40"/>
              <w:jc w:val="both"/>
              <w:rPr>
                <w:rFonts w:cs="Calibri"/>
                <w:b/>
                <w:sz w:val="20"/>
                <w:szCs w:val="20"/>
              </w:rPr>
            </w:pPr>
            <w:r w:rsidRPr="0072464B">
              <w:rPr>
                <w:rFonts w:cs="Calibri"/>
                <w:b/>
                <w:sz w:val="20"/>
                <w:szCs w:val="20"/>
              </w:rPr>
              <w:t>Ciljna vrijednost - 2024.g</w:t>
            </w:r>
          </w:p>
        </w:tc>
      </w:tr>
      <w:tr w:rsidR="0072464B" w:rsidRPr="0072464B" w14:paraId="64D15D97" w14:textId="77777777" w:rsidTr="00AE274D">
        <w:trPr>
          <w:trHeight w:val="620"/>
        </w:trPr>
        <w:tc>
          <w:tcPr>
            <w:tcW w:w="3878"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7B7E4E63" w14:textId="77777777" w:rsidR="0072464B" w:rsidRPr="00AE274D" w:rsidRDefault="0072464B" w:rsidP="00591FB8">
            <w:pPr>
              <w:spacing w:before="20" w:after="20"/>
              <w:jc w:val="both"/>
              <w:rPr>
                <w:rFonts w:cs="Calibri"/>
                <w:sz w:val="20"/>
                <w:szCs w:val="20"/>
              </w:rPr>
            </w:pPr>
            <w:r w:rsidRPr="00AE274D">
              <w:rPr>
                <w:rFonts w:cs="Calibri"/>
                <w:sz w:val="20"/>
                <w:szCs w:val="20"/>
              </w:rPr>
              <w:t>Broj otvorenih omladinskih servisa</w:t>
            </w:r>
          </w:p>
        </w:tc>
        <w:tc>
          <w:tcPr>
            <w:tcW w:w="2554"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37921D8F" w14:textId="77777777" w:rsidR="0072464B" w:rsidRPr="00AE274D" w:rsidRDefault="0072464B" w:rsidP="00591FB8">
            <w:pPr>
              <w:spacing w:before="20" w:after="20"/>
              <w:jc w:val="center"/>
              <w:rPr>
                <w:rFonts w:cs="Calibri"/>
                <w:sz w:val="20"/>
                <w:szCs w:val="20"/>
              </w:rPr>
            </w:pPr>
            <w:r w:rsidRPr="00AE274D">
              <w:rPr>
                <w:rFonts w:cs="Calibri"/>
                <w:sz w:val="20"/>
                <w:szCs w:val="20"/>
              </w:rPr>
              <w:t>11</w:t>
            </w:r>
          </w:p>
        </w:tc>
        <w:tc>
          <w:tcPr>
            <w:tcW w:w="2641"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7B84B882" w14:textId="77777777" w:rsidR="0072464B" w:rsidRPr="00AE274D" w:rsidRDefault="0072464B" w:rsidP="00591FB8">
            <w:pPr>
              <w:spacing w:before="20" w:after="20"/>
              <w:jc w:val="center"/>
              <w:rPr>
                <w:rFonts w:cs="Calibri"/>
                <w:sz w:val="20"/>
                <w:szCs w:val="20"/>
              </w:rPr>
            </w:pPr>
            <w:r w:rsidRPr="00AE274D">
              <w:rPr>
                <w:rFonts w:cs="Calibri"/>
                <w:sz w:val="20"/>
                <w:szCs w:val="20"/>
              </w:rPr>
              <w:t>15</w:t>
            </w:r>
          </w:p>
        </w:tc>
        <w:tc>
          <w:tcPr>
            <w:tcW w:w="3656"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2DA750F5" w14:textId="77777777" w:rsidR="0072464B" w:rsidRPr="00AE274D" w:rsidRDefault="0072464B" w:rsidP="00591FB8">
            <w:pPr>
              <w:spacing w:before="20" w:after="20"/>
              <w:jc w:val="center"/>
              <w:rPr>
                <w:rFonts w:cs="Calibri"/>
                <w:sz w:val="20"/>
                <w:szCs w:val="20"/>
              </w:rPr>
            </w:pPr>
            <w:r w:rsidRPr="00AE274D">
              <w:rPr>
                <w:rFonts w:cs="Calibri"/>
                <w:sz w:val="20"/>
                <w:szCs w:val="20"/>
              </w:rPr>
              <w:t>19</w:t>
            </w:r>
          </w:p>
        </w:tc>
        <w:tc>
          <w:tcPr>
            <w:tcW w:w="2157"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06D9990E" w14:textId="77777777" w:rsidR="0072464B" w:rsidRPr="00AE274D" w:rsidRDefault="0072464B" w:rsidP="00591FB8">
            <w:pPr>
              <w:spacing w:before="20" w:after="20"/>
              <w:jc w:val="center"/>
              <w:rPr>
                <w:rFonts w:cs="Calibri"/>
                <w:sz w:val="20"/>
                <w:szCs w:val="20"/>
              </w:rPr>
            </w:pPr>
            <w:r w:rsidRPr="00AE274D">
              <w:rPr>
                <w:rFonts w:cs="Calibri"/>
                <w:sz w:val="20"/>
                <w:szCs w:val="20"/>
              </w:rPr>
              <w:t>24</w:t>
            </w:r>
          </w:p>
        </w:tc>
      </w:tr>
      <w:tr w:rsidR="0072464B" w:rsidRPr="0072464B" w14:paraId="09F9D14C" w14:textId="77777777" w:rsidTr="00AE274D">
        <w:trPr>
          <w:trHeight w:val="710"/>
        </w:trPr>
        <w:tc>
          <w:tcPr>
            <w:tcW w:w="3878"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591D8ABB" w14:textId="77777777" w:rsidR="0072464B" w:rsidRPr="00AE274D" w:rsidRDefault="0072464B" w:rsidP="00591FB8">
            <w:pPr>
              <w:spacing w:before="20" w:after="20"/>
              <w:jc w:val="both"/>
              <w:rPr>
                <w:rFonts w:cs="Calibri"/>
                <w:sz w:val="20"/>
                <w:szCs w:val="20"/>
              </w:rPr>
            </w:pPr>
            <w:r w:rsidRPr="00AE274D">
              <w:rPr>
                <w:rFonts w:cs="Calibri"/>
                <w:sz w:val="20"/>
                <w:szCs w:val="20"/>
              </w:rPr>
              <w:t>Broj angažovanih omladinskih administratora</w:t>
            </w:r>
          </w:p>
        </w:tc>
        <w:tc>
          <w:tcPr>
            <w:tcW w:w="2554"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5D6008AA" w14:textId="77777777" w:rsidR="0072464B" w:rsidRPr="00AE274D" w:rsidRDefault="0072464B" w:rsidP="00591FB8">
            <w:pPr>
              <w:spacing w:before="20" w:after="20"/>
              <w:jc w:val="center"/>
              <w:rPr>
                <w:rFonts w:cs="Calibri"/>
                <w:sz w:val="20"/>
                <w:szCs w:val="20"/>
              </w:rPr>
            </w:pPr>
            <w:r w:rsidRPr="00AE274D">
              <w:rPr>
                <w:rFonts w:cs="Calibri"/>
                <w:sz w:val="20"/>
                <w:szCs w:val="20"/>
              </w:rPr>
              <w:t>14</w:t>
            </w:r>
          </w:p>
        </w:tc>
        <w:tc>
          <w:tcPr>
            <w:tcW w:w="2641"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48394EB4" w14:textId="77777777" w:rsidR="0072464B" w:rsidRPr="00AE274D" w:rsidRDefault="0072464B" w:rsidP="00591FB8">
            <w:pPr>
              <w:spacing w:before="20" w:after="20"/>
              <w:jc w:val="center"/>
              <w:rPr>
                <w:rFonts w:cs="Calibri"/>
                <w:sz w:val="20"/>
                <w:szCs w:val="20"/>
              </w:rPr>
            </w:pPr>
            <w:r w:rsidRPr="00AE274D">
              <w:rPr>
                <w:rFonts w:cs="Calibri"/>
                <w:sz w:val="20"/>
                <w:szCs w:val="20"/>
              </w:rPr>
              <w:t>20</w:t>
            </w:r>
          </w:p>
        </w:tc>
        <w:tc>
          <w:tcPr>
            <w:tcW w:w="3656"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598D2D46" w14:textId="77777777" w:rsidR="0072464B" w:rsidRPr="00AE274D" w:rsidRDefault="0072464B" w:rsidP="00591FB8">
            <w:pPr>
              <w:spacing w:before="20" w:after="20"/>
              <w:jc w:val="center"/>
              <w:rPr>
                <w:rFonts w:cs="Calibri"/>
                <w:sz w:val="20"/>
                <w:szCs w:val="20"/>
              </w:rPr>
            </w:pPr>
            <w:r w:rsidRPr="00AE274D">
              <w:rPr>
                <w:rFonts w:cs="Calibri"/>
                <w:sz w:val="20"/>
                <w:szCs w:val="20"/>
              </w:rPr>
              <w:t>25</w:t>
            </w:r>
          </w:p>
        </w:tc>
        <w:tc>
          <w:tcPr>
            <w:tcW w:w="2157"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180EC720" w14:textId="77777777" w:rsidR="0072464B" w:rsidRPr="00AE274D" w:rsidRDefault="0072464B" w:rsidP="00591FB8">
            <w:pPr>
              <w:spacing w:before="20" w:after="20"/>
              <w:jc w:val="center"/>
              <w:rPr>
                <w:rFonts w:cs="Calibri"/>
                <w:sz w:val="20"/>
                <w:szCs w:val="20"/>
              </w:rPr>
            </w:pPr>
            <w:r w:rsidRPr="00AE274D">
              <w:rPr>
                <w:rFonts w:cs="Calibri"/>
                <w:sz w:val="20"/>
                <w:szCs w:val="20"/>
              </w:rPr>
              <w:t>30</w:t>
            </w:r>
          </w:p>
        </w:tc>
      </w:tr>
      <w:tr w:rsidR="0072464B" w:rsidRPr="0072464B" w14:paraId="78B6F39D" w14:textId="77777777" w:rsidTr="00AE274D">
        <w:trPr>
          <w:trHeight w:val="710"/>
        </w:trPr>
        <w:tc>
          <w:tcPr>
            <w:tcW w:w="3878"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4FDF0CB4" w14:textId="491764C5" w:rsidR="0072464B" w:rsidRPr="00AE274D" w:rsidRDefault="00924831" w:rsidP="00591FB8">
            <w:pPr>
              <w:spacing w:before="20" w:after="20"/>
              <w:jc w:val="both"/>
              <w:rPr>
                <w:rFonts w:cs="Calibri"/>
                <w:sz w:val="20"/>
                <w:szCs w:val="20"/>
              </w:rPr>
            </w:pPr>
            <w:r>
              <w:rPr>
                <w:rFonts w:cs="Calibri"/>
                <w:sz w:val="20"/>
                <w:szCs w:val="20"/>
              </w:rPr>
              <w:t>B</w:t>
            </w:r>
            <w:r w:rsidR="0072464B" w:rsidRPr="00AE274D">
              <w:rPr>
                <w:rFonts w:cs="Calibri"/>
                <w:sz w:val="20"/>
                <w:szCs w:val="20"/>
              </w:rPr>
              <w:t>roj organizovanih događaja za mlade u okviru omladinskih servisa</w:t>
            </w:r>
          </w:p>
        </w:tc>
        <w:tc>
          <w:tcPr>
            <w:tcW w:w="2554"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3AF722CB" w14:textId="77777777" w:rsidR="0072464B" w:rsidRPr="00AE274D" w:rsidRDefault="0072464B" w:rsidP="00591FB8">
            <w:pPr>
              <w:spacing w:before="20" w:after="20"/>
              <w:jc w:val="center"/>
              <w:rPr>
                <w:rFonts w:cs="Calibri"/>
                <w:sz w:val="20"/>
                <w:szCs w:val="20"/>
              </w:rPr>
            </w:pPr>
            <w:r w:rsidRPr="00AE274D">
              <w:rPr>
                <w:rFonts w:cs="Calibri"/>
                <w:sz w:val="20"/>
                <w:szCs w:val="20"/>
              </w:rPr>
              <w:t>65</w:t>
            </w:r>
          </w:p>
        </w:tc>
        <w:tc>
          <w:tcPr>
            <w:tcW w:w="2641"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35FE9193" w14:textId="77777777" w:rsidR="0072464B" w:rsidRPr="00AE274D" w:rsidRDefault="0072464B" w:rsidP="00591FB8">
            <w:pPr>
              <w:spacing w:before="20" w:after="20"/>
              <w:jc w:val="center"/>
              <w:rPr>
                <w:rFonts w:cs="Calibri"/>
                <w:sz w:val="20"/>
                <w:szCs w:val="20"/>
              </w:rPr>
            </w:pPr>
            <w:r w:rsidRPr="00AE274D">
              <w:rPr>
                <w:rFonts w:cs="Calibri"/>
                <w:sz w:val="20"/>
                <w:szCs w:val="20"/>
              </w:rPr>
              <w:t>150</w:t>
            </w:r>
          </w:p>
        </w:tc>
        <w:tc>
          <w:tcPr>
            <w:tcW w:w="3656"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0223875A" w14:textId="77777777" w:rsidR="0072464B" w:rsidRPr="00AE274D" w:rsidRDefault="0072464B" w:rsidP="00591FB8">
            <w:pPr>
              <w:spacing w:before="20" w:after="20"/>
              <w:jc w:val="center"/>
              <w:rPr>
                <w:rFonts w:cs="Calibri"/>
                <w:sz w:val="20"/>
                <w:szCs w:val="20"/>
              </w:rPr>
            </w:pPr>
            <w:r w:rsidRPr="00AE274D">
              <w:rPr>
                <w:rFonts w:cs="Calibri"/>
                <w:sz w:val="20"/>
                <w:szCs w:val="20"/>
              </w:rPr>
              <w:t>200</w:t>
            </w:r>
          </w:p>
        </w:tc>
        <w:tc>
          <w:tcPr>
            <w:tcW w:w="2157"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280C3E18" w14:textId="77777777" w:rsidR="0072464B" w:rsidRPr="00AE274D" w:rsidRDefault="0072464B" w:rsidP="00591FB8">
            <w:pPr>
              <w:spacing w:before="20" w:after="20"/>
              <w:jc w:val="center"/>
              <w:rPr>
                <w:rFonts w:cs="Calibri"/>
                <w:sz w:val="20"/>
                <w:szCs w:val="20"/>
              </w:rPr>
            </w:pPr>
            <w:r w:rsidRPr="00AE274D">
              <w:rPr>
                <w:rFonts w:cs="Calibri"/>
                <w:sz w:val="20"/>
                <w:szCs w:val="20"/>
              </w:rPr>
              <w:t>270</w:t>
            </w:r>
          </w:p>
        </w:tc>
      </w:tr>
      <w:tr w:rsidR="0072464B" w:rsidRPr="0072464B" w14:paraId="53DA07A9" w14:textId="77777777" w:rsidTr="00AE274D">
        <w:trPr>
          <w:trHeight w:val="710"/>
        </w:trPr>
        <w:tc>
          <w:tcPr>
            <w:tcW w:w="3878"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1DACB729" w14:textId="1B8256C8" w:rsidR="0072464B" w:rsidRPr="00AE274D" w:rsidRDefault="00924831" w:rsidP="00591FB8">
            <w:pPr>
              <w:spacing w:before="20" w:after="20"/>
              <w:jc w:val="both"/>
              <w:rPr>
                <w:rFonts w:cs="Calibri"/>
                <w:sz w:val="20"/>
                <w:szCs w:val="20"/>
              </w:rPr>
            </w:pPr>
            <w:r>
              <w:rPr>
                <w:rFonts w:cs="Calibri"/>
                <w:sz w:val="20"/>
                <w:szCs w:val="20"/>
              </w:rPr>
              <w:t>B</w:t>
            </w:r>
            <w:r w:rsidR="0072464B" w:rsidRPr="00AE274D">
              <w:rPr>
                <w:rFonts w:cs="Calibri"/>
                <w:sz w:val="20"/>
                <w:szCs w:val="20"/>
              </w:rPr>
              <w:t>roj mladih koji su aktivno učestvovali u događajima u pravcu kreiranja javnih politika</w:t>
            </w:r>
          </w:p>
        </w:tc>
        <w:tc>
          <w:tcPr>
            <w:tcW w:w="2554"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05FB73BE" w14:textId="77777777" w:rsidR="0072464B" w:rsidRPr="00AE274D" w:rsidRDefault="0072464B" w:rsidP="00591FB8">
            <w:pPr>
              <w:spacing w:before="20" w:after="20"/>
              <w:jc w:val="center"/>
              <w:rPr>
                <w:rFonts w:cs="Calibri"/>
                <w:sz w:val="20"/>
                <w:szCs w:val="20"/>
              </w:rPr>
            </w:pPr>
            <w:r w:rsidRPr="00AE274D">
              <w:rPr>
                <w:rFonts w:cs="Calibri"/>
                <w:sz w:val="20"/>
                <w:szCs w:val="20"/>
              </w:rPr>
              <w:t>976</w:t>
            </w:r>
          </w:p>
        </w:tc>
        <w:tc>
          <w:tcPr>
            <w:tcW w:w="2641"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1A93FD51" w14:textId="77777777" w:rsidR="0072464B" w:rsidRPr="00AE274D" w:rsidRDefault="0072464B" w:rsidP="00591FB8">
            <w:pPr>
              <w:spacing w:before="20" w:after="20"/>
              <w:jc w:val="center"/>
              <w:rPr>
                <w:rFonts w:cs="Calibri"/>
                <w:sz w:val="20"/>
                <w:szCs w:val="20"/>
              </w:rPr>
            </w:pPr>
            <w:r w:rsidRPr="00AE274D">
              <w:rPr>
                <w:rFonts w:cs="Calibri"/>
                <w:sz w:val="20"/>
                <w:szCs w:val="20"/>
              </w:rPr>
              <w:t>1900</w:t>
            </w:r>
          </w:p>
        </w:tc>
        <w:tc>
          <w:tcPr>
            <w:tcW w:w="3656"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3A69D63B" w14:textId="77777777" w:rsidR="0072464B" w:rsidRPr="00AE274D" w:rsidRDefault="0072464B" w:rsidP="00591FB8">
            <w:pPr>
              <w:spacing w:before="20" w:after="20"/>
              <w:jc w:val="center"/>
              <w:rPr>
                <w:rFonts w:cs="Calibri"/>
                <w:sz w:val="20"/>
                <w:szCs w:val="20"/>
              </w:rPr>
            </w:pPr>
            <w:r w:rsidRPr="00AE274D">
              <w:rPr>
                <w:rFonts w:cs="Calibri"/>
                <w:sz w:val="20"/>
                <w:szCs w:val="20"/>
              </w:rPr>
              <w:t>2800</w:t>
            </w:r>
          </w:p>
        </w:tc>
        <w:tc>
          <w:tcPr>
            <w:tcW w:w="2157"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094C6C0E" w14:textId="77777777" w:rsidR="0072464B" w:rsidRPr="00AE274D" w:rsidRDefault="0072464B" w:rsidP="00591FB8">
            <w:pPr>
              <w:spacing w:before="20" w:after="20"/>
              <w:jc w:val="center"/>
              <w:rPr>
                <w:rFonts w:cs="Calibri"/>
                <w:sz w:val="20"/>
                <w:szCs w:val="20"/>
              </w:rPr>
            </w:pPr>
            <w:r w:rsidRPr="00AE274D">
              <w:rPr>
                <w:rFonts w:cs="Calibri"/>
                <w:sz w:val="20"/>
                <w:szCs w:val="20"/>
              </w:rPr>
              <w:t>3600</w:t>
            </w:r>
          </w:p>
        </w:tc>
      </w:tr>
      <w:tr w:rsidR="0072464B" w:rsidRPr="0072464B" w14:paraId="74362CA8" w14:textId="77777777" w:rsidTr="00AE274D">
        <w:trPr>
          <w:trHeight w:val="872"/>
        </w:trPr>
        <w:tc>
          <w:tcPr>
            <w:tcW w:w="3878"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6E64CF89" w14:textId="67B2E0D9" w:rsidR="0072464B" w:rsidRPr="00AE274D" w:rsidRDefault="00924831" w:rsidP="00AE274D">
            <w:pPr>
              <w:spacing w:before="20" w:after="20"/>
              <w:jc w:val="both"/>
              <w:rPr>
                <w:rFonts w:cs="Calibri"/>
                <w:sz w:val="20"/>
                <w:szCs w:val="20"/>
              </w:rPr>
            </w:pPr>
            <w:r>
              <w:rPr>
                <w:rFonts w:cs="Calibri"/>
                <w:sz w:val="20"/>
                <w:szCs w:val="20"/>
              </w:rPr>
              <w:t>B</w:t>
            </w:r>
            <w:r w:rsidR="0072464B" w:rsidRPr="00AE274D">
              <w:rPr>
                <w:rFonts w:cs="Calibri"/>
                <w:sz w:val="20"/>
                <w:szCs w:val="20"/>
              </w:rPr>
              <w:t>roj korisnika  besplatne Evropske omladinske kartice koja pruža benefite za mlade</w:t>
            </w:r>
          </w:p>
        </w:tc>
        <w:tc>
          <w:tcPr>
            <w:tcW w:w="2554"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2C7A9F40" w14:textId="77777777" w:rsidR="0072464B" w:rsidRPr="00AE274D" w:rsidRDefault="0072464B" w:rsidP="0072464B">
            <w:pPr>
              <w:spacing w:before="20" w:after="20"/>
              <w:jc w:val="center"/>
              <w:rPr>
                <w:rFonts w:cs="Calibri"/>
                <w:sz w:val="20"/>
                <w:szCs w:val="20"/>
              </w:rPr>
            </w:pPr>
            <w:r w:rsidRPr="00AE274D">
              <w:rPr>
                <w:rFonts w:cs="Calibri"/>
                <w:sz w:val="20"/>
                <w:szCs w:val="20"/>
              </w:rPr>
              <w:t>19 344</w:t>
            </w:r>
          </w:p>
        </w:tc>
        <w:tc>
          <w:tcPr>
            <w:tcW w:w="2641"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773C240D" w14:textId="77777777" w:rsidR="0072464B" w:rsidRPr="00AE274D" w:rsidRDefault="0072464B" w:rsidP="0072464B">
            <w:pPr>
              <w:spacing w:before="20" w:after="20"/>
              <w:jc w:val="center"/>
              <w:rPr>
                <w:rFonts w:cs="Calibri"/>
                <w:sz w:val="20"/>
                <w:szCs w:val="20"/>
              </w:rPr>
            </w:pPr>
            <w:r w:rsidRPr="00AE274D">
              <w:rPr>
                <w:rFonts w:cs="Calibri"/>
                <w:sz w:val="20"/>
                <w:szCs w:val="20"/>
              </w:rPr>
              <w:t>31 000</w:t>
            </w:r>
          </w:p>
        </w:tc>
        <w:tc>
          <w:tcPr>
            <w:tcW w:w="3656"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594003B4" w14:textId="77777777" w:rsidR="0072464B" w:rsidRPr="00AE274D" w:rsidRDefault="0072464B" w:rsidP="0072464B">
            <w:pPr>
              <w:spacing w:before="20" w:after="20"/>
              <w:jc w:val="center"/>
              <w:rPr>
                <w:rFonts w:cs="Calibri"/>
                <w:sz w:val="20"/>
                <w:szCs w:val="20"/>
              </w:rPr>
            </w:pPr>
            <w:r w:rsidRPr="00AE274D">
              <w:rPr>
                <w:rFonts w:cs="Calibri"/>
                <w:sz w:val="20"/>
                <w:szCs w:val="20"/>
              </w:rPr>
              <w:t>46 000</w:t>
            </w:r>
          </w:p>
        </w:tc>
        <w:tc>
          <w:tcPr>
            <w:tcW w:w="2157"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07DAE956" w14:textId="77777777" w:rsidR="0072464B" w:rsidRPr="00AE274D" w:rsidRDefault="0072464B" w:rsidP="0072464B">
            <w:pPr>
              <w:spacing w:before="20" w:after="20"/>
              <w:jc w:val="center"/>
              <w:rPr>
                <w:rFonts w:cs="Calibri"/>
                <w:sz w:val="20"/>
                <w:szCs w:val="20"/>
              </w:rPr>
            </w:pPr>
            <w:r w:rsidRPr="00AE274D">
              <w:rPr>
                <w:rFonts w:cs="Calibri"/>
                <w:sz w:val="20"/>
                <w:szCs w:val="20"/>
              </w:rPr>
              <w:t>66 000</w:t>
            </w:r>
          </w:p>
        </w:tc>
        <w:bookmarkEnd w:id="41"/>
      </w:tr>
      <w:bookmarkEnd w:id="42"/>
      <w:tr w:rsidR="0072464B" w:rsidRPr="000A08C8" w14:paraId="1672DEE3" w14:textId="77777777" w:rsidTr="0072464B">
        <w:tc>
          <w:tcPr>
            <w:tcW w:w="3878"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5D5C0D82" w14:textId="77777777" w:rsidR="0072464B" w:rsidRPr="0072464B" w:rsidRDefault="0072464B" w:rsidP="0072464B">
            <w:pPr>
              <w:spacing w:before="20" w:after="20"/>
              <w:jc w:val="center"/>
              <w:rPr>
                <w:rFonts w:cs="Calibri"/>
                <w:b/>
                <w:sz w:val="20"/>
                <w:szCs w:val="20"/>
              </w:rPr>
            </w:pPr>
            <w:r w:rsidRPr="0072464B">
              <w:rPr>
                <w:rFonts w:cs="Calibri"/>
                <w:b/>
                <w:sz w:val="20"/>
                <w:szCs w:val="20"/>
              </w:rPr>
              <w:t>Aktivnosti</w:t>
            </w:r>
          </w:p>
        </w:tc>
        <w:tc>
          <w:tcPr>
            <w:tcW w:w="2554"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2F7F2465" w14:textId="77777777" w:rsidR="0072464B" w:rsidRPr="0072464B" w:rsidRDefault="0072464B" w:rsidP="0072464B">
            <w:pPr>
              <w:spacing w:before="20" w:after="20"/>
              <w:jc w:val="center"/>
              <w:rPr>
                <w:rFonts w:cs="Calibri"/>
                <w:b/>
                <w:sz w:val="20"/>
                <w:szCs w:val="20"/>
              </w:rPr>
            </w:pPr>
            <w:r w:rsidRPr="0072464B">
              <w:rPr>
                <w:rFonts w:cs="Calibri"/>
                <w:b/>
                <w:sz w:val="20"/>
                <w:szCs w:val="20"/>
              </w:rPr>
              <w:t>Indikator rezultata</w:t>
            </w:r>
          </w:p>
        </w:tc>
        <w:tc>
          <w:tcPr>
            <w:tcW w:w="1359"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3BA40D4F" w14:textId="77777777" w:rsidR="0072464B" w:rsidRPr="0072464B" w:rsidRDefault="0072464B" w:rsidP="0072464B">
            <w:pPr>
              <w:spacing w:before="20" w:after="20"/>
              <w:jc w:val="center"/>
              <w:rPr>
                <w:rFonts w:cs="Calibri"/>
                <w:b/>
                <w:sz w:val="20"/>
                <w:szCs w:val="20"/>
              </w:rPr>
            </w:pPr>
            <w:r w:rsidRPr="0072464B">
              <w:rPr>
                <w:rFonts w:cs="Calibri"/>
                <w:b/>
                <w:sz w:val="20"/>
                <w:szCs w:val="20"/>
              </w:rPr>
              <w:t>Nadležne institucije i nadležna komisija</w:t>
            </w:r>
          </w:p>
        </w:tc>
        <w:tc>
          <w:tcPr>
            <w:tcW w:w="1282"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1F9F68A4" w14:textId="77777777" w:rsidR="0072464B" w:rsidRPr="0072464B" w:rsidRDefault="0072464B" w:rsidP="0072464B">
            <w:pPr>
              <w:spacing w:before="20" w:after="20"/>
              <w:jc w:val="center"/>
              <w:rPr>
                <w:rFonts w:cs="Calibri"/>
                <w:b/>
                <w:sz w:val="20"/>
                <w:szCs w:val="20"/>
              </w:rPr>
            </w:pPr>
            <w:r w:rsidRPr="0072464B">
              <w:rPr>
                <w:rFonts w:cs="Calibri"/>
                <w:b/>
                <w:sz w:val="20"/>
                <w:szCs w:val="20"/>
              </w:rPr>
              <w:t>Planirani početak i završetak aktivnosti</w:t>
            </w:r>
          </w:p>
        </w:tc>
        <w:tc>
          <w:tcPr>
            <w:tcW w:w="1737"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417E265B" w14:textId="77777777" w:rsidR="0072464B" w:rsidRPr="0072464B" w:rsidRDefault="0072464B" w:rsidP="0072464B">
            <w:pPr>
              <w:spacing w:before="20" w:after="20"/>
              <w:jc w:val="center"/>
              <w:rPr>
                <w:rFonts w:cs="Calibri"/>
                <w:b/>
                <w:sz w:val="20"/>
                <w:szCs w:val="20"/>
              </w:rPr>
            </w:pPr>
            <w:r w:rsidRPr="0072464B">
              <w:rPr>
                <w:rFonts w:cs="Calibri"/>
                <w:b/>
                <w:sz w:val="20"/>
                <w:szCs w:val="20"/>
              </w:rPr>
              <w:t>Sredstva za realizaciju  i informacija o izradi RIA</w:t>
            </w:r>
          </w:p>
        </w:tc>
        <w:tc>
          <w:tcPr>
            <w:tcW w:w="1919"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1F92558A" w14:textId="77777777" w:rsidR="0072464B" w:rsidRPr="0072464B" w:rsidRDefault="0072464B" w:rsidP="0072464B">
            <w:pPr>
              <w:spacing w:before="20" w:after="20"/>
              <w:jc w:val="center"/>
              <w:rPr>
                <w:rFonts w:cs="Calibri"/>
                <w:b/>
                <w:sz w:val="20"/>
                <w:szCs w:val="20"/>
              </w:rPr>
            </w:pPr>
            <w:r w:rsidRPr="0072464B">
              <w:rPr>
                <w:rFonts w:cs="Calibri"/>
                <w:b/>
                <w:sz w:val="20"/>
                <w:szCs w:val="20"/>
              </w:rPr>
              <w:t xml:space="preserve"> Izvor finansiranja</w:t>
            </w:r>
          </w:p>
        </w:tc>
        <w:tc>
          <w:tcPr>
            <w:tcW w:w="2157" w:type="dxa"/>
            <w:tcBorders>
              <w:top w:val="single" w:sz="4" w:space="0" w:color="auto"/>
              <w:left w:val="single" w:sz="4" w:space="0" w:color="auto"/>
              <w:bottom w:val="single" w:sz="4" w:space="0" w:color="auto"/>
              <w:right w:val="single" w:sz="4" w:space="0" w:color="auto"/>
            </w:tcBorders>
            <w:shd w:val="clear" w:color="auto" w:fill="FFF2CC"/>
            <w:vAlign w:val="center"/>
          </w:tcPr>
          <w:p w14:paraId="4BE858DD" w14:textId="77777777" w:rsidR="0072464B" w:rsidRPr="0072464B" w:rsidRDefault="0072464B" w:rsidP="0072464B">
            <w:pPr>
              <w:spacing w:before="20" w:after="20"/>
              <w:jc w:val="center"/>
              <w:rPr>
                <w:rFonts w:cs="Calibri"/>
                <w:b/>
                <w:sz w:val="20"/>
                <w:szCs w:val="20"/>
              </w:rPr>
            </w:pPr>
          </w:p>
          <w:p w14:paraId="2BA5E5EF" w14:textId="77777777" w:rsidR="0072464B" w:rsidRPr="0072464B" w:rsidRDefault="0072464B" w:rsidP="0072464B">
            <w:pPr>
              <w:spacing w:before="20" w:after="20"/>
              <w:jc w:val="center"/>
              <w:rPr>
                <w:rFonts w:cs="Calibri"/>
                <w:b/>
                <w:sz w:val="20"/>
                <w:szCs w:val="20"/>
              </w:rPr>
            </w:pPr>
            <w:r w:rsidRPr="0072464B">
              <w:rPr>
                <w:rFonts w:cs="Calibri"/>
                <w:b/>
                <w:sz w:val="20"/>
                <w:szCs w:val="20"/>
              </w:rPr>
              <w:t>Obrazloženje</w:t>
            </w:r>
          </w:p>
        </w:tc>
      </w:tr>
      <w:tr w:rsidR="0072464B" w:rsidRPr="0072464B" w14:paraId="11E56B47" w14:textId="77777777" w:rsidTr="0072464B">
        <w:tc>
          <w:tcPr>
            <w:tcW w:w="836" w:type="dxa"/>
            <w:tcBorders>
              <w:top w:val="single" w:sz="4" w:space="0" w:color="auto"/>
              <w:left w:val="single" w:sz="4" w:space="0" w:color="auto"/>
              <w:bottom w:val="single" w:sz="4" w:space="0" w:color="auto"/>
              <w:right w:val="single" w:sz="4" w:space="0" w:color="auto"/>
            </w:tcBorders>
            <w:hideMark/>
          </w:tcPr>
          <w:p w14:paraId="4FDD74DE" w14:textId="77777777" w:rsidR="0072464B" w:rsidRPr="0072464B" w:rsidRDefault="00AE274D" w:rsidP="0072464B">
            <w:pPr>
              <w:spacing w:before="20" w:after="20"/>
              <w:rPr>
                <w:rFonts w:cs="Calibri"/>
                <w:sz w:val="20"/>
                <w:szCs w:val="20"/>
              </w:rPr>
            </w:pPr>
            <w:r>
              <w:rPr>
                <w:rFonts w:cs="Calibri"/>
                <w:sz w:val="20"/>
                <w:szCs w:val="20"/>
              </w:rPr>
              <w:lastRenderedPageBreak/>
              <w:t>1.</w:t>
            </w:r>
          </w:p>
        </w:tc>
        <w:tc>
          <w:tcPr>
            <w:tcW w:w="3042" w:type="dxa"/>
            <w:tcBorders>
              <w:top w:val="single" w:sz="4" w:space="0" w:color="auto"/>
              <w:left w:val="single" w:sz="4" w:space="0" w:color="auto"/>
              <w:bottom w:val="single" w:sz="4" w:space="0" w:color="auto"/>
              <w:right w:val="single" w:sz="4" w:space="0" w:color="auto"/>
            </w:tcBorders>
            <w:hideMark/>
          </w:tcPr>
          <w:p w14:paraId="7DD950A5" w14:textId="77777777" w:rsidR="0072464B" w:rsidRPr="0072464B" w:rsidRDefault="0072464B" w:rsidP="00591FB8">
            <w:pPr>
              <w:spacing w:before="20" w:after="20"/>
              <w:jc w:val="both"/>
              <w:rPr>
                <w:rFonts w:cs="Calibri"/>
                <w:sz w:val="20"/>
                <w:szCs w:val="20"/>
              </w:rPr>
            </w:pPr>
            <w:r w:rsidRPr="0072464B">
              <w:rPr>
                <w:rFonts w:cs="Calibri"/>
                <w:sz w:val="20"/>
                <w:szCs w:val="20"/>
              </w:rPr>
              <w:t>Utvrditi Strategiju o mladima</w:t>
            </w:r>
            <w:r w:rsidRPr="0072464B">
              <w:rPr>
                <w:rFonts w:cs="Calibri"/>
                <w:sz w:val="20"/>
                <w:szCs w:val="20"/>
              </w:rPr>
              <w:tab/>
            </w:r>
          </w:p>
        </w:tc>
        <w:tc>
          <w:tcPr>
            <w:tcW w:w="2554" w:type="dxa"/>
            <w:tcBorders>
              <w:top w:val="single" w:sz="4" w:space="0" w:color="auto"/>
              <w:left w:val="single" w:sz="4" w:space="0" w:color="auto"/>
              <w:bottom w:val="single" w:sz="4" w:space="0" w:color="auto"/>
              <w:right w:val="single" w:sz="4" w:space="0" w:color="auto"/>
            </w:tcBorders>
            <w:hideMark/>
          </w:tcPr>
          <w:p w14:paraId="14F7CEA4" w14:textId="77777777" w:rsidR="0072464B" w:rsidRPr="0072464B" w:rsidRDefault="0072464B" w:rsidP="00591FB8">
            <w:pPr>
              <w:spacing w:before="20" w:after="20"/>
              <w:jc w:val="both"/>
              <w:rPr>
                <w:rFonts w:cs="Calibri"/>
                <w:sz w:val="20"/>
                <w:szCs w:val="20"/>
              </w:rPr>
            </w:pPr>
            <w:r w:rsidRPr="0072464B">
              <w:rPr>
                <w:rFonts w:cs="Calibri"/>
                <w:sz w:val="20"/>
                <w:szCs w:val="20"/>
              </w:rPr>
              <w:t>Utvrditi Strategiju o mladima da definiše ključne prioritete koji izlaze iz istraživanja</w:t>
            </w:r>
          </w:p>
        </w:tc>
        <w:tc>
          <w:tcPr>
            <w:tcW w:w="1359" w:type="dxa"/>
            <w:tcBorders>
              <w:top w:val="single" w:sz="4" w:space="0" w:color="auto"/>
              <w:left w:val="single" w:sz="4" w:space="0" w:color="auto"/>
              <w:bottom w:val="single" w:sz="4" w:space="0" w:color="auto"/>
              <w:right w:val="single" w:sz="4" w:space="0" w:color="auto"/>
            </w:tcBorders>
          </w:tcPr>
          <w:p w14:paraId="01BF376F" w14:textId="77777777" w:rsidR="0072464B" w:rsidRPr="0072464B" w:rsidRDefault="0072464B" w:rsidP="00591FB8">
            <w:pPr>
              <w:spacing w:before="20" w:after="20"/>
              <w:jc w:val="both"/>
              <w:rPr>
                <w:rFonts w:cs="Calibri"/>
                <w:sz w:val="20"/>
                <w:szCs w:val="20"/>
              </w:rPr>
            </w:pPr>
            <w:r w:rsidRPr="0072464B">
              <w:rPr>
                <w:rFonts w:cs="Calibri"/>
                <w:sz w:val="20"/>
                <w:szCs w:val="20"/>
              </w:rPr>
              <w:t>NI: MPNKS</w:t>
            </w:r>
          </w:p>
          <w:p w14:paraId="1FBE463D" w14:textId="77777777" w:rsidR="0072464B" w:rsidRPr="0072464B" w:rsidRDefault="0072464B" w:rsidP="00591FB8">
            <w:pPr>
              <w:spacing w:before="20" w:after="20"/>
              <w:jc w:val="both"/>
              <w:rPr>
                <w:rFonts w:cs="Calibri"/>
                <w:sz w:val="20"/>
                <w:szCs w:val="20"/>
              </w:rPr>
            </w:pPr>
          </w:p>
          <w:p w14:paraId="61994C61" w14:textId="77777777" w:rsidR="0072464B" w:rsidRPr="0072464B" w:rsidRDefault="0072464B" w:rsidP="00591FB8">
            <w:pPr>
              <w:spacing w:before="20" w:after="20"/>
              <w:jc w:val="both"/>
              <w:rPr>
                <w:rFonts w:cs="Calibri"/>
                <w:sz w:val="20"/>
                <w:szCs w:val="20"/>
              </w:rPr>
            </w:pPr>
            <w:r w:rsidRPr="0072464B">
              <w:rPr>
                <w:rFonts w:cs="Calibri"/>
                <w:sz w:val="20"/>
                <w:szCs w:val="20"/>
              </w:rPr>
              <w:t>NK: KPS, KEPIF</w:t>
            </w:r>
          </w:p>
        </w:tc>
        <w:tc>
          <w:tcPr>
            <w:tcW w:w="1282" w:type="dxa"/>
            <w:tcBorders>
              <w:top w:val="single" w:sz="4" w:space="0" w:color="auto"/>
              <w:left w:val="single" w:sz="4" w:space="0" w:color="auto"/>
              <w:bottom w:val="single" w:sz="4" w:space="0" w:color="auto"/>
              <w:right w:val="single" w:sz="4" w:space="0" w:color="auto"/>
            </w:tcBorders>
          </w:tcPr>
          <w:p w14:paraId="51141B40" w14:textId="77777777" w:rsidR="0072464B" w:rsidRPr="0072464B" w:rsidRDefault="0072464B" w:rsidP="00591FB8">
            <w:pPr>
              <w:spacing w:before="20" w:after="20"/>
              <w:jc w:val="both"/>
              <w:rPr>
                <w:rFonts w:cs="Calibri"/>
                <w:sz w:val="20"/>
                <w:szCs w:val="20"/>
              </w:rPr>
            </w:pPr>
          </w:p>
          <w:p w14:paraId="0B664351" w14:textId="77777777" w:rsidR="0072464B" w:rsidRPr="0072464B" w:rsidRDefault="0072464B" w:rsidP="00591FB8">
            <w:pPr>
              <w:spacing w:before="20" w:after="20"/>
              <w:jc w:val="both"/>
              <w:rPr>
                <w:rFonts w:cs="Calibri"/>
                <w:sz w:val="20"/>
                <w:szCs w:val="20"/>
              </w:rPr>
            </w:pPr>
            <w:r w:rsidRPr="0072464B">
              <w:rPr>
                <w:rFonts w:cs="Calibri"/>
                <w:sz w:val="20"/>
                <w:szCs w:val="20"/>
              </w:rPr>
              <w:t>II Q 2022</w:t>
            </w:r>
          </w:p>
        </w:tc>
        <w:tc>
          <w:tcPr>
            <w:tcW w:w="1737" w:type="dxa"/>
            <w:tcBorders>
              <w:top w:val="single" w:sz="4" w:space="0" w:color="auto"/>
              <w:left w:val="single" w:sz="4" w:space="0" w:color="auto"/>
              <w:bottom w:val="single" w:sz="4" w:space="0" w:color="auto"/>
              <w:right w:val="single" w:sz="4" w:space="0" w:color="auto"/>
            </w:tcBorders>
            <w:hideMark/>
          </w:tcPr>
          <w:p w14:paraId="6D311E77" w14:textId="77777777" w:rsidR="0072464B" w:rsidRPr="0072464B" w:rsidRDefault="0072464B" w:rsidP="00591FB8">
            <w:pPr>
              <w:spacing w:before="20" w:after="20"/>
              <w:jc w:val="both"/>
              <w:rPr>
                <w:rFonts w:cs="Calibri"/>
                <w:sz w:val="20"/>
                <w:szCs w:val="20"/>
              </w:rPr>
            </w:pPr>
            <w:r w:rsidRPr="0072464B">
              <w:rPr>
                <w:rFonts w:cs="Calibri"/>
                <w:sz w:val="20"/>
                <w:szCs w:val="20"/>
              </w:rPr>
              <w:t>Za utvrđivanje procjene uticaja propisa će biti urađena RIA.</w:t>
            </w:r>
          </w:p>
          <w:p w14:paraId="106AA33C" w14:textId="77777777" w:rsidR="0072464B" w:rsidRPr="0072464B" w:rsidRDefault="0072464B" w:rsidP="00591FB8">
            <w:pPr>
              <w:spacing w:before="20" w:after="20"/>
              <w:jc w:val="both"/>
              <w:rPr>
                <w:rFonts w:cs="Calibri"/>
                <w:sz w:val="20"/>
                <w:szCs w:val="20"/>
              </w:rPr>
            </w:pPr>
            <w:r w:rsidRPr="0072464B">
              <w:rPr>
                <w:rFonts w:cs="Calibri"/>
                <w:sz w:val="20"/>
                <w:szCs w:val="20"/>
              </w:rPr>
              <w:t>5.000 eura za stranog eksperta</w:t>
            </w:r>
          </w:p>
        </w:tc>
        <w:tc>
          <w:tcPr>
            <w:tcW w:w="1919" w:type="dxa"/>
            <w:tcBorders>
              <w:top w:val="single" w:sz="4" w:space="0" w:color="auto"/>
              <w:left w:val="single" w:sz="4" w:space="0" w:color="auto"/>
              <w:bottom w:val="single" w:sz="4" w:space="0" w:color="auto"/>
              <w:right w:val="single" w:sz="4" w:space="0" w:color="auto"/>
            </w:tcBorders>
            <w:hideMark/>
          </w:tcPr>
          <w:p w14:paraId="6604ECC4" w14:textId="77777777" w:rsidR="0072464B" w:rsidRPr="0072464B" w:rsidRDefault="0072464B" w:rsidP="00591FB8">
            <w:pPr>
              <w:spacing w:before="20" w:after="20"/>
              <w:jc w:val="both"/>
              <w:rPr>
                <w:rFonts w:cs="Calibri"/>
                <w:sz w:val="20"/>
                <w:szCs w:val="20"/>
              </w:rPr>
            </w:pPr>
            <w:r w:rsidRPr="0072464B">
              <w:rPr>
                <w:rFonts w:cs="Calibri"/>
                <w:sz w:val="20"/>
                <w:szCs w:val="20"/>
              </w:rPr>
              <w:t>MPNKS-Budžet CG</w:t>
            </w:r>
          </w:p>
        </w:tc>
        <w:tc>
          <w:tcPr>
            <w:tcW w:w="2157" w:type="dxa"/>
            <w:tcBorders>
              <w:top w:val="single" w:sz="4" w:space="0" w:color="auto"/>
              <w:left w:val="single" w:sz="4" w:space="0" w:color="auto"/>
              <w:bottom w:val="single" w:sz="4" w:space="0" w:color="auto"/>
              <w:right w:val="single" w:sz="4" w:space="0" w:color="auto"/>
            </w:tcBorders>
          </w:tcPr>
          <w:p w14:paraId="65FC0F57" w14:textId="77777777" w:rsidR="0072464B" w:rsidRPr="0072464B" w:rsidRDefault="0072464B" w:rsidP="00591FB8">
            <w:pPr>
              <w:spacing w:before="20" w:after="20"/>
              <w:jc w:val="both"/>
              <w:rPr>
                <w:rFonts w:cs="Calibri"/>
                <w:sz w:val="20"/>
                <w:szCs w:val="20"/>
              </w:rPr>
            </w:pPr>
          </w:p>
        </w:tc>
      </w:tr>
      <w:tr w:rsidR="0072464B" w:rsidRPr="0072464B" w14:paraId="0EAA5380" w14:textId="77777777" w:rsidTr="0072464B">
        <w:tc>
          <w:tcPr>
            <w:tcW w:w="836" w:type="dxa"/>
            <w:tcBorders>
              <w:top w:val="single" w:sz="4" w:space="0" w:color="auto"/>
              <w:left w:val="single" w:sz="4" w:space="0" w:color="auto"/>
              <w:bottom w:val="single" w:sz="4" w:space="0" w:color="auto"/>
              <w:right w:val="single" w:sz="4" w:space="0" w:color="auto"/>
            </w:tcBorders>
            <w:hideMark/>
          </w:tcPr>
          <w:p w14:paraId="29514123" w14:textId="77777777" w:rsidR="0072464B" w:rsidRPr="0072464B" w:rsidRDefault="00AE274D" w:rsidP="0072464B">
            <w:pPr>
              <w:spacing w:before="20" w:after="20"/>
              <w:rPr>
                <w:rFonts w:cs="Calibri"/>
                <w:sz w:val="20"/>
                <w:szCs w:val="20"/>
              </w:rPr>
            </w:pPr>
            <w:r>
              <w:rPr>
                <w:rFonts w:cs="Calibri"/>
                <w:sz w:val="20"/>
                <w:szCs w:val="20"/>
              </w:rPr>
              <w:t>2.</w:t>
            </w:r>
          </w:p>
        </w:tc>
        <w:tc>
          <w:tcPr>
            <w:tcW w:w="3042" w:type="dxa"/>
            <w:tcBorders>
              <w:top w:val="single" w:sz="4" w:space="0" w:color="auto"/>
              <w:left w:val="single" w:sz="4" w:space="0" w:color="auto"/>
              <w:bottom w:val="single" w:sz="4" w:space="0" w:color="auto"/>
              <w:right w:val="single" w:sz="4" w:space="0" w:color="auto"/>
            </w:tcBorders>
          </w:tcPr>
          <w:p w14:paraId="2D3C93FD" w14:textId="77777777" w:rsidR="0072464B" w:rsidRPr="0072464B" w:rsidRDefault="0072464B" w:rsidP="00591FB8">
            <w:pPr>
              <w:spacing w:before="20" w:after="20"/>
              <w:jc w:val="both"/>
              <w:rPr>
                <w:rFonts w:cs="Calibri"/>
                <w:sz w:val="20"/>
                <w:szCs w:val="20"/>
              </w:rPr>
            </w:pPr>
            <w:r w:rsidRPr="0072464B">
              <w:rPr>
                <w:rFonts w:cs="Calibri"/>
                <w:sz w:val="20"/>
                <w:szCs w:val="20"/>
              </w:rPr>
              <w:t xml:space="preserve"> Utvrditi Zakon o mladima</w:t>
            </w:r>
          </w:p>
          <w:p w14:paraId="08061433" w14:textId="77777777" w:rsidR="0072464B" w:rsidRPr="0072464B" w:rsidRDefault="0072464B" w:rsidP="00591FB8">
            <w:pPr>
              <w:spacing w:before="20" w:after="20"/>
              <w:jc w:val="both"/>
              <w:rPr>
                <w:rFonts w:cs="Calibri"/>
                <w:b/>
                <w:i/>
                <w:sz w:val="20"/>
                <w:szCs w:val="20"/>
                <w:highlight w:val="yellow"/>
              </w:rPr>
            </w:pPr>
          </w:p>
        </w:tc>
        <w:tc>
          <w:tcPr>
            <w:tcW w:w="2554" w:type="dxa"/>
            <w:tcBorders>
              <w:top w:val="single" w:sz="4" w:space="0" w:color="auto"/>
              <w:left w:val="single" w:sz="4" w:space="0" w:color="auto"/>
              <w:bottom w:val="single" w:sz="4" w:space="0" w:color="auto"/>
              <w:right w:val="single" w:sz="4" w:space="0" w:color="auto"/>
            </w:tcBorders>
            <w:hideMark/>
          </w:tcPr>
          <w:p w14:paraId="6C41A059" w14:textId="77777777" w:rsidR="0072464B" w:rsidRPr="0072464B" w:rsidRDefault="0072464B" w:rsidP="00591FB8">
            <w:pPr>
              <w:spacing w:before="20" w:after="20"/>
              <w:jc w:val="both"/>
              <w:rPr>
                <w:rFonts w:cs="Calibri"/>
                <w:sz w:val="20"/>
                <w:szCs w:val="20"/>
              </w:rPr>
            </w:pPr>
            <w:r w:rsidRPr="0072464B">
              <w:rPr>
                <w:rFonts w:cs="Calibri"/>
                <w:sz w:val="20"/>
                <w:szCs w:val="20"/>
              </w:rPr>
              <w:t>Utvrditi Zakon o mladima</w:t>
            </w:r>
          </w:p>
          <w:p w14:paraId="2CB15C89" w14:textId="77777777" w:rsidR="0072464B" w:rsidRPr="0072464B" w:rsidRDefault="0072464B" w:rsidP="00591FB8">
            <w:pPr>
              <w:spacing w:before="20" w:after="20"/>
              <w:jc w:val="both"/>
              <w:rPr>
                <w:rFonts w:cs="Calibri"/>
                <w:b/>
                <w:i/>
                <w:sz w:val="20"/>
                <w:szCs w:val="20"/>
                <w:highlight w:val="yellow"/>
              </w:rPr>
            </w:pPr>
            <w:r w:rsidRPr="0072464B">
              <w:rPr>
                <w:rFonts w:cs="Calibri"/>
                <w:sz w:val="20"/>
                <w:szCs w:val="20"/>
              </w:rPr>
              <w:t>Izmjene i dopune zakona o mladima, Prepoznavanje omladinskog rada</w:t>
            </w:r>
          </w:p>
        </w:tc>
        <w:tc>
          <w:tcPr>
            <w:tcW w:w="1359" w:type="dxa"/>
            <w:tcBorders>
              <w:top w:val="single" w:sz="4" w:space="0" w:color="auto"/>
              <w:left w:val="single" w:sz="4" w:space="0" w:color="auto"/>
              <w:bottom w:val="single" w:sz="4" w:space="0" w:color="auto"/>
              <w:right w:val="single" w:sz="4" w:space="0" w:color="auto"/>
            </w:tcBorders>
          </w:tcPr>
          <w:p w14:paraId="2B37C452" w14:textId="77777777" w:rsidR="0072464B" w:rsidRPr="0072464B" w:rsidRDefault="0072464B" w:rsidP="00591FB8">
            <w:pPr>
              <w:spacing w:before="20" w:after="20"/>
              <w:jc w:val="both"/>
              <w:rPr>
                <w:rFonts w:cs="Calibri"/>
                <w:sz w:val="20"/>
                <w:szCs w:val="20"/>
              </w:rPr>
            </w:pPr>
            <w:r w:rsidRPr="0072464B">
              <w:rPr>
                <w:rFonts w:cs="Calibri"/>
                <w:sz w:val="20"/>
                <w:szCs w:val="20"/>
              </w:rPr>
              <w:t>NI: MPNKS</w:t>
            </w:r>
          </w:p>
          <w:p w14:paraId="15733B62" w14:textId="77777777" w:rsidR="0072464B" w:rsidRPr="0072464B" w:rsidRDefault="0072464B" w:rsidP="00591FB8">
            <w:pPr>
              <w:spacing w:before="20" w:after="20"/>
              <w:jc w:val="both"/>
              <w:rPr>
                <w:rFonts w:cs="Calibri"/>
                <w:sz w:val="20"/>
                <w:szCs w:val="20"/>
              </w:rPr>
            </w:pPr>
            <w:r w:rsidRPr="0072464B">
              <w:rPr>
                <w:rFonts w:cs="Calibri"/>
                <w:sz w:val="20"/>
                <w:szCs w:val="20"/>
              </w:rPr>
              <w:t>NK: KPS, KEPIF</w:t>
            </w:r>
          </w:p>
          <w:p w14:paraId="00B9DDEC" w14:textId="77777777" w:rsidR="0072464B" w:rsidRPr="0072464B" w:rsidRDefault="0072464B" w:rsidP="00591FB8">
            <w:pPr>
              <w:spacing w:before="20" w:after="20"/>
              <w:jc w:val="both"/>
              <w:rPr>
                <w:rFonts w:cs="Calibri"/>
                <w:sz w:val="20"/>
                <w:szCs w:val="20"/>
              </w:rPr>
            </w:pPr>
          </w:p>
          <w:p w14:paraId="75834680" w14:textId="77777777" w:rsidR="0072464B" w:rsidRPr="0072464B" w:rsidRDefault="0072464B" w:rsidP="00591FB8">
            <w:pPr>
              <w:spacing w:before="20" w:after="20"/>
              <w:jc w:val="both"/>
              <w:rPr>
                <w:rFonts w:cs="Calibri"/>
                <w:sz w:val="20"/>
                <w:szCs w:val="20"/>
              </w:rPr>
            </w:pPr>
          </w:p>
          <w:p w14:paraId="48349D4E" w14:textId="77777777" w:rsidR="0072464B" w:rsidRPr="0072464B" w:rsidRDefault="0072464B" w:rsidP="00591FB8">
            <w:pPr>
              <w:spacing w:before="20" w:after="20"/>
              <w:jc w:val="both"/>
              <w:rPr>
                <w:rFonts w:cs="Calibri"/>
                <w:b/>
                <w:i/>
                <w:sz w:val="20"/>
                <w:szCs w:val="20"/>
                <w:highlight w:val="yellow"/>
              </w:rPr>
            </w:pPr>
            <w:r w:rsidRPr="0072464B">
              <w:rPr>
                <w:rFonts w:cs="Calibri"/>
                <w:sz w:val="20"/>
                <w:szCs w:val="20"/>
              </w:rPr>
              <w:t>MPNKS</w:t>
            </w:r>
          </w:p>
        </w:tc>
        <w:tc>
          <w:tcPr>
            <w:tcW w:w="1282" w:type="dxa"/>
            <w:tcBorders>
              <w:top w:val="single" w:sz="4" w:space="0" w:color="auto"/>
              <w:left w:val="single" w:sz="4" w:space="0" w:color="auto"/>
              <w:bottom w:val="single" w:sz="4" w:space="0" w:color="auto"/>
              <w:right w:val="single" w:sz="4" w:space="0" w:color="auto"/>
            </w:tcBorders>
          </w:tcPr>
          <w:p w14:paraId="258381A5" w14:textId="77777777" w:rsidR="0072464B" w:rsidRPr="0072464B" w:rsidRDefault="0072464B" w:rsidP="00591FB8">
            <w:pPr>
              <w:jc w:val="both"/>
              <w:rPr>
                <w:rFonts w:cs="Calibri"/>
                <w:sz w:val="20"/>
                <w:szCs w:val="20"/>
              </w:rPr>
            </w:pPr>
            <w:r w:rsidRPr="0072464B">
              <w:rPr>
                <w:rFonts w:cs="Calibri"/>
                <w:sz w:val="20"/>
                <w:szCs w:val="20"/>
              </w:rPr>
              <w:t>II Q 2022.</w:t>
            </w:r>
          </w:p>
          <w:p w14:paraId="41115548" w14:textId="77777777" w:rsidR="0072464B" w:rsidRPr="0072464B" w:rsidRDefault="0072464B" w:rsidP="00591FB8">
            <w:pPr>
              <w:spacing w:before="20" w:after="20"/>
              <w:jc w:val="both"/>
              <w:rPr>
                <w:rFonts w:cs="Calibri"/>
                <w:b/>
                <w: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14:paraId="510189CA" w14:textId="77777777" w:rsidR="0072464B" w:rsidRPr="0072464B" w:rsidRDefault="0072464B" w:rsidP="00591FB8">
            <w:pPr>
              <w:spacing w:before="20" w:after="20"/>
              <w:jc w:val="both"/>
              <w:rPr>
                <w:rFonts w:cs="Calibri"/>
                <w:sz w:val="20"/>
                <w:szCs w:val="20"/>
              </w:rPr>
            </w:pPr>
            <w:r w:rsidRPr="0072464B">
              <w:rPr>
                <w:rFonts w:cs="Calibri"/>
                <w:sz w:val="20"/>
                <w:szCs w:val="20"/>
              </w:rPr>
              <w:t>Za utvrđivanje procjene uticaja propisa će biti urađena RIA.</w:t>
            </w:r>
          </w:p>
          <w:p w14:paraId="430FF408" w14:textId="77777777" w:rsidR="0072464B" w:rsidRPr="0072464B" w:rsidRDefault="0072464B" w:rsidP="00591FB8">
            <w:pPr>
              <w:spacing w:before="20" w:after="20"/>
              <w:jc w:val="both"/>
              <w:rPr>
                <w:rFonts w:cs="Calibri"/>
                <w:i/>
                <w:sz w:val="20"/>
                <w:szCs w:val="20"/>
                <w:highlight w:val="yellow"/>
              </w:rPr>
            </w:pPr>
            <w:r w:rsidRPr="0072464B">
              <w:rPr>
                <w:rFonts w:cs="Calibri"/>
                <w:sz w:val="20"/>
                <w:szCs w:val="20"/>
              </w:rPr>
              <w:t>5.000 eura za stranog eksperta</w:t>
            </w:r>
          </w:p>
        </w:tc>
        <w:tc>
          <w:tcPr>
            <w:tcW w:w="1919" w:type="dxa"/>
            <w:tcBorders>
              <w:top w:val="single" w:sz="4" w:space="0" w:color="auto"/>
              <w:left w:val="single" w:sz="4" w:space="0" w:color="auto"/>
              <w:bottom w:val="single" w:sz="4" w:space="0" w:color="auto"/>
              <w:right w:val="single" w:sz="4" w:space="0" w:color="auto"/>
            </w:tcBorders>
            <w:hideMark/>
          </w:tcPr>
          <w:p w14:paraId="5611B517" w14:textId="77777777" w:rsidR="0072464B" w:rsidRPr="0072464B" w:rsidRDefault="0072464B" w:rsidP="00591FB8">
            <w:pPr>
              <w:spacing w:before="20" w:after="20"/>
              <w:jc w:val="both"/>
              <w:rPr>
                <w:rFonts w:cs="Calibri"/>
                <w:sz w:val="20"/>
                <w:szCs w:val="20"/>
              </w:rPr>
            </w:pPr>
            <w:r w:rsidRPr="0072464B">
              <w:rPr>
                <w:rFonts w:cs="Calibri"/>
                <w:sz w:val="20"/>
                <w:szCs w:val="20"/>
              </w:rPr>
              <w:t>MPNKS-Budžet CG</w:t>
            </w:r>
          </w:p>
        </w:tc>
        <w:tc>
          <w:tcPr>
            <w:tcW w:w="2157" w:type="dxa"/>
            <w:tcBorders>
              <w:top w:val="single" w:sz="4" w:space="0" w:color="auto"/>
              <w:left w:val="single" w:sz="4" w:space="0" w:color="auto"/>
              <w:bottom w:val="single" w:sz="4" w:space="0" w:color="auto"/>
              <w:right w:val="single" w:sz="4" w:space="0" w:color="auto"/>
            </w:tcBorders>
            <w:hideMark/>
          </w:tcPr>
          <w:p w14:paraId="005D1990" w14:textId="77777777" w:rsidR="0072464B" w:rsidRPr="0072464B" w:rsidRDefault="0072464B" w:rsidP="00591FB8">
            <w:pPr>
              <w:spacing w:before="20" w:after="20"/>
              <w:jc w:val="both"/>
              <w:rPr>
                <w:rFonts w:cs="Calibri"/>
                <w:sz w:val="20"/>
                <w:szCs w:val="20"/>
              </w:rPr>
            </w:pPr>
            <w:r w:rsidRPr="0072464B">
              <w:rPr>
                <w:rFonts w:cs="Calibri"/>
                <w:sz w:val="20"/>
                <w:szCs w:val="20"/>
              </w:rPr>
              <w:t>Zakonom o mladima, olakšano funkcionisanje oml.centara i njihovo osnivanje, decentralizacija lokalnih akcionih strategija u odnosu na nacionalnu koja je zasnovana na potrebama mladih iz lok.zajednica, omogućavanje i olakšavanje učešća mladih na svim nivoima i u svim oblastima koje ih interesuju, manje normiranja a više da zakon pruži okvir i olakša svima da rade na poboljšanju položaja mladih</w:t>
            </w:r>
          </w:p>
        </w:tc>
      </w:tr>
      <w:tr w:rsidR="0072464B" w:rsidRPr="0072464B" w14:paraId="6A23E52E" w14:textId="77777777" w:rsidTr="0072464B">
        <w:tc>
          <w:tcPr>
            <w:tcW w:w="3878" w:type="dxa"/>
            <w:gridSpan w:val="2"/>
            <w:tcBorders>
              <w:top w:val="single" w:sz="4" w:space="0" w:color="auto"/>
              <w:left w:val="single" w:sz="4" w:space="0" w:color="auto"/>
              <w:bottom w:val="single" w:sz="4" w:space="0" w:color="auto"/>
              <w:right w:val="single" w:sz="4" w:space="0" w:color="auto"/>
            </w:tcBorders>
            <w:shd w:val="clear" w:color="auto" w:fill="D9E2F3"/>
          </w:tcPr>
          <w:p w14:paraId="38529BFB" w14:textId="77777777" w:rsidR="0072464B" w:rsidRPr="0072464B" w:rsidRDefault="0072464B" w:rsidP="00AE274D">
            <w:pPr>
              <w:spacing w:before="40" w:after="40"/>
              <w:jc w:val="center"/>
              <w:rPr>
                <w:rFonts w:cs="Calibri"/>
                <w:b/>
                <w:sz w:val="20"/>
                <w:szCs w:val="20"/>
              </w:rPr>
            </w:pPr>
            <w:bookmarkStart w:id="44" w:name="_Hlk87967305"/>
            <w:bookmarkStart w:id="45" w:name="_Hlk89634019"/>
            <w:r w:rsidRPr="0072464B">
              <w:rPr>
                <w:rFonts w:cs="Calibri"/>
                <w:b/>
                <w:sz w:val="20"/>
                <w:szCs w:val="20"/>
              </w:rPr>
              <w:t xml:space="preserve">Cilj </w:t>
            </w:r>
            <w:r w:rsidR="000A08C8">
              <w:rPr>
                <w:rFonts w:cs="Calibri"/>
                <w:b/>
                <w:sz w:val="20"/>
                <w:szCs w:val="20"/>
              </w:rPr>
              <w:t>4.3.</w:t>
            </w:r>
          </w:p>
          <w:p w14:paraId="5436ACB2" w14:textId="77777777" w:rsidR="0072464B" w:rsidRPr="0072464B" w:rsidRDefault="0072464B" w:rsidP="0072464B">
            <w:pPr>
              <w:spacing w:before="40" w:after="40"/>
              <w:jc w:val="center"/>
              <w:rPr>
                <w:rFonts w:cs="Calibri"/>
                <w:b/>
                <w:sz w:val="20"/>
                <w:szCs w:val="20"/>
              </w:rPr>
            </w:pPr>
          </w:p>
        </w:tc>
        <w:tc>
          <w:tcPr>
            <w:tcW w:w="11008" w:type="dxa"/>
            <w:gridSpan w:val="6"/>
            <w:tcBorders>
              <w:top w:val="single" w:sz="4" w:space="0" w:color="auto"/>
              <w:left w:val="single" w:sz="4" w:space="0" w:color="auto"/>
              <w:bottom w:val="single" w:sz="4" w:space="0" w:color="auto"/>
              <w:right w:val="single" w:sz="4" w:space="0" w:color="auto"/>
            </w:tcBorders>
            <w:shd w:val="clear" w:color="auto" w:fill="D9E2F3"/>
          </w:tcPr>
          <w:p w14:paraId="508C1190" w14:textId="77777777" w:rsidR="0072464B" w:rsidRPr="00AE274D" w:rsidRDefault="0072464B" w:rsidP="00AE274D">
            <w:pPr>
              <w:spacing w:before="40" w:after="40"/>
              <w:rPr>
                <w:rFonts w:cs="Calibri"/>
                <w:b/>
                <w:sz w:val="20"/>
                <w:szCs w:val="20"/>
              </w:rPr>
            </w:pPr>
          </w:p>
          <w:p w14:paraId="288AA68B" w14:textId="77777777" w:rsidR="0072464B" w:rsidRPr="0072464B" w:rsidRDefault="0072464B" w:rsidP="00AE274D">
            <w:pPr>
              <w:spacing w:before="40" w:after="40"/>
              <w:rPr>
                <w:rFonts w:cs="Calibri"/>
                <w:b/>
                <w:sz w:val="20"/>
                <w:szCs w:val="20"/>
                <w:lang w:val="sr-Latn-RS"/>
              </w:rPr>
            </w:pPr>
            <w:r w:rsidRPr="00AE274D">
              <w:rPr>
                <w:rFonts w:cs="Calibri"/>
                <w:b/>
                <w:iCs/>
                <w:sz w:val="20"/>
                <w:szCs w:val="20"/>
                <w:lang w:val="sr-Latn-RS"/>
              </w:rPr>
              <w:t>Podsticanje razvoja i povećanje dostupnosti sporta</w:t>
            </w:r>
          </w:p>
        </w:tc>
      </w:tr>
      <w:tr w:rsidR="0072464B" w:rsidRPr="000A08C8" w14:paraId="56FE9CEA" w14:textId="77777777" w:rsidTr="0072464B">
        <w:tc>
          <w:tcPr>
            <w:tcW w:w="3878" w:type="dxa"/>
            <w:gridSpan w:val="2"/>
            <w:tcBorders>
              <w:top w:val="single" w:sz="4" w:space="0" w:color="auto"/>
              <w:left w:val="single" w:sz="4" w:space="0" w:color="auto"/>
              <w:bottom w:val="single" w:sz="4" w:space="0" w:color="auto"/>
              <w:right w:val="single" w:sz="4" w:space="0" w:color="auto"/>
            </w:tcBorders>
            <w:shd w:val="clear" w:color="auto" w:fill="DAF2F6"/>
            <w:hideMark/>
          </w:tcPr>
          <w:p w14:paraId="7E1C08DF" w14:textId="77777777" w:rsidR="0072464B" w:rsidRPr="0072464B" w:rsidRDefault="0072464B" w:rsidP="0072464B">
            <w:pPr>
              <w:spacing w:before="40" w:after="40"/>
              <w:jc w:val="center"/>
              <w:rPr>
                <w:rFonts w:cs="Calibri"/>
                <w:b/>
                <w:sz w:val="20"/>
                <w:szCs w:val="20"/>
              </w:rPr>
            </w:pPr>
            <w:r w:rsidRPr="0072464B">
              <w:rPr>
                <w:rFonts w:cs="Calibri"/>
                <w:b/>
                <w:sz w:val="20"/>
                <w:szCs w:val="20"/>
              </w:rPr>
              <w:t>Indikator učinka</w:t>
            </w:r>
          </w:p>
        </w:tc>
        <w:tc>
          <w:tcPr>
            <w:tcW w:w="2554" w:type="dxa"/>
            <w:tcBorders>
              <w:top w:val="single" w:sz="4" w:space="0" w:color="auto"/>
              <w:left w:val="single" w:sz="4" w:space="0" w:color="auto"/>
              <w:bottom w:val="single" w:sz="4" w:space="0" w:color="auto"/>
              <w:right w:val="single" w:sz="4" w:space="0" w:color="auto"/>
            </w:tcBorders>
            <w:shd w:val="clear" w:color="auto" w:fill="DAF2F6"/>
            <w:hideMark/>
          </w:tcPr>
          <w:p w14:paraId="148D5A2F" w14:textId="77777777" w:rsidR="0072464B" w:rsidRPr="0072464B" w:rsidRDefault="0072464B" w:rsidP="0072464B">
            <w:pPr>
              <w:spacing w:before="40" w:after="40"/>
              <w:jc w:val="center"/>
              <w:rPr>
                <w:rFonts w:cs="Calibri"/>
                <w:b/>
                <w:sz w:val="20"/>
                <w:szCs w:val="20"/>
              </w:rPr>
            </w:pPr>
            <w:r w:rsidRPr="0072464B">
              <w:rPr>
                <w:rFonts w:cs="Calibri"/>
                <w:b/>
                <w:sz w:val="20"/>
                <w:szCs w:val="20"/>
              </w:rPr>
              <w:t>Polazna vrijednost – 2021.g</w:t>
            </w:r>
          </w:p>
        </w:tc>
        <w:tc>
          <w:tcPr>
            <w:tcW w:w="2641" w:type="dxa"/>
            <w:gridSpan w:val="2"/>
            <w:tcBorders>
              <w:top w:val="single" w:sz="4" w:space="0" w:color="auto"/>
              <w:left w:val="single" w:sz="4" w:space="0" w:color="auto"/>
              <w:bottom w:val="single" w:sz="4" w:space="0" w:color="auto"/>
              <w:right w:val="single" w:sz="4" w:space="0" w:color="auto"/>
            </w:tcBorders>
            <w:shd w:val="clear" w:color="auto" w:fill="DAF2F6"/>
            <w:vAlign w:val="center"/>
            <w:hideMark/>
          </w:tcPr>
          <w:p w14:paraId="0DC98AA1" w14:textId="77777777" w:rsidR="0072464B" w:rsidRPr="0072464B" w:rsidRDefault="0072464B" w:rsidP="0072464B">
            <w:pPr>
              <w:spacing w:before="40" w:after="40"/>
              <w:jc w:val="center"/>
              <w:rPr>
                <w:rFonts w:cs="Calibri"/>
                <w:b/>
                <w:sz w:val="20"/>
                <w:szCs w:val="20"/>
              </w:rPr>
            </w:pPr>
            <w:r w:rsidRPr="0072464B">
              <w:rPr>
                <w:rFonts w:cs="Calibri"/>
                <w:b/>
                <w:sz w:val="20"/>
                <w:szCs w:val="20"/>
              </w:rPr>
              <w:t>Prelazna vrijednost – 2022.g</w:t>
            </w:r>
          </w:p>
        </w:tc>
        <w:tc>
          <w:tcPr>
            <w:tcW w:w="3656" w:type="dxa"/>
            <w:gridSpan w:val="2"/>
            <w:tcBorders>
              <w:top w:val="single" w:sz="4" w:space="0" w:color="auto"/>
              <w:left w:val="single" w:sz="4" w:space="0" w:color="auto"/>
              <w:bottom w:val="single" w:sz="4" w:space="0" w:color="FFFFFF"/>
              <w:right w:val="single" w:sz="4" w:space="0" w:color="auto"/>
            </w:tcBorders>
            <w:shd w:val="clear" w:color="auto" w:fill="DAF2F6"/>
            <w:vAlign w:val="center"/>
            <w:hideMark/>
          </w:tcPr>
          <w:p w14:paraId="07D7F5E5" w14:textId="77777777" w:rsidR="0072464B" w:rsidRPr="0072464B" w:rsidRDefault="0072464B" w:rsidP="0072464B">
            <w:pPr>
              <w:spacing w:before="40" w:after="40"/>
              <w:jc w:val="center"/>
              <w:rPr>
                <w:rFonts w:cs="Calibri"/>
                <w:b/>
                <w:sz w:val="20"/>
                <w:szCs w:val="20"/>
              </w:rPr>
            </w:pPr>
            <w:r w:rsidRPr="0072464B">
              <w:rPr>
                <w:rFonts w:cs="Calibri"/>
                <w:b/>
                <w:sz w:val="20"/>
                <w:szCs w:val="20"/>
              </w:rPr>
              <w:t>Prelazna vrijednost – 2023.g</w:t>
            </w:r>
          </w:p>
        </w:tc>
        <w:tc>
          <w:tcPr>
            <w:tcW w:w="2157" w:type="dxa"/>
            <w:tcBorders>
              <w:top w:val="single" w:sz="4" w:space="0" w:color="auto"/>
              <w:left w:val="single" w:sz="4" w:space="0" w:color="auto"/>
              <w:bottom w:val="single" w:sz="4" w:space="0" w:color="FFFFFF"/>
              <w:right w:val="single" w:sz="4" w:space="0" w:color="auto"/>
            </w:tcBorders>
            <w:shd w:val="clear" w:color="auto" w:fill="DAF2F6"/>
            <w:vAlign w:val="center"/>
            <w:hideMark/>
          </w:tcPr>
          <w:p w14:paraId="0300F689" w14:textId="77777777" w:rsidR="0072464B" w:rsidRPr="0072464B" w:rsidRDefault="0072464B" w:rsidP="0072464B">
            <w:pPr>
              <w:spacing w:before="40" w:after="40"/>
              <w:jc w:val="center"/>
              <w:rPr>
                <w:rFonts w:cs="Calibri"/>
                <w:b/>
                <w:sz w:val="20"/>
                <w:szCs w:val="20"/>
              </w:rPr>
            </w:pPr>
            <w:r w:rsidRPr="0072464B">
              <w:rPr>
                <w:rFonts w:cs="Calibri"/>
                <w:b/>
                <w:sz w:val="20"/>
                <w:szCs w:val="20"/>
              </w:rPr>
              <w:t>Ciljna vrijednost - 2024.g</w:t>
            </w:r>
          </w:p>
        </w:tc>
      </w:tr>
      <w:tr w:rsidR="0072464B" w:rsidRPr="0072464B" w14:paraId="6DDB751B" w14:textId="77777777" w:rsidTr="0072464B">
        <w:trPr>
          <w:trHeight w:val="667"/>
        </w:trPr>
        <w:tc>
          <w:tcPr>
            <w:tcW w:w="3878" w:type="dxa"/>
            <w:gridSpan w:val="2"/>
            <w:tcBorders>
              <w:top w:val="single" w:sz="4" w:space="0" w:color="auto"/>
              <w:left w:val="single" w:sz="4" w:space="0" w:color="auto"/>
              <w:bottom w:val="single" w:sz="4" w:space="0" w:color="auto"/>
              <w:right w:val="single" w:sz="4" w:space="0" w:color="auto"/>
            </w:tcBorders>
            <w:shd w:val="clear" w:color="auto" w:fill="D2F8FA"/>
            <w:vAlign w:val="center"/>
          </w:tcPr>
          <w:p w14:paraId="00D6B13A" w14:textId="5468E5DC" w:rsidR="0072464B" w:rsidRPr="00AE274D" w:rsidRDefault="0072464B" w:rsidP="0072464B">
            <w:pPr>
              <w:spacing w:before="20" w:after="20"/>
              <w:rPr>
                <w:rFonts w:cs="Calibri"/>
                <w:sz w:val="20"/>
                <w:szCs w:val="20"/>
                <w:highlight w:val="yellow"/>
                <w:lang w:val="sr-Latn-RS"/>
              </w:rPr>
            </w:pPr>
            <w:r w:rsidRPr="00AE274D">
              <w:rPr>
                <w:rFonts w:cs="Calibri"/>
                <w:sz w:val="20"/>
                <w:szCs w:val="20"/>
                <w:lang w:val="sr-Latn-RS"/>
              </w:rPr>
              <w:t>Broj registrovanih i aktivnih sportskih klubova</w:t>
            </w:r>
          </w:p>
          <w:p w14:paraId="4759BDFC" w14:textId="77777777" w:rsidR="0072464B" w:rsidRPr="00AE274D" w:rsidRDefault="0072464B" w:rsidP="0072464B">
            <w:pPr>
              <w:spacing w:before="20" w:after="20"/>
              <w:jc w:val="center"/>
              <w:rPr>
                <w:rFonts w:cs="Calibri"/>
                <w:sz w:val="20"/>
                <w:szCs w:val="20"/>
              </w:rPr>
            </w:pPr>
          </w:p>
        </w:tc>
        <w:tc>
          <w:tcPr>
            <w:tcW w:w="2554"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58DA4410" w14:textId="77777777" w:rsidR="0072464B" w:rsidRPr="00AE274D" w:rsidRDefault="0072464B" w:rsidP="0072464B">
            <w:pPr>
              <w:spacing w:before="20" w:after="20"/>
              <w:jc w:val="center"/>
              <w:rPr>
                <w:rFonts w:cs="Calibri"/>
                <w:sz w:val="20"/>
                <w:szCs w:val="20"/>
              </w:rPr>
            </w:pPr>
            <w:r w:rsidRPr="00AE274D">
              <w:rPr>
                <w:rFonts w:cs="Calibri"/>
                <w:sz w:val="20"/>
                <w:szCs w:val="20"/>
              </w:rPr>
              <w:t>907</w:t>
            </w:r>
          </w:p>
        </w:tc>
        <w:tc>
          <w:tcPr>
            <w:tcW w:w="2641"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4872051C" w14:textId="77777777" w:rsidR="0072464B" w:rsidRPr="00AE274D" w:rsidRDefault="0072464B" w:rsidP="0072464B">
            <w:pPr>
              <w:spacing w:before="20" w:after="20"/>
              <w:jc w:val="center"/>
              <w:rPr>
                <w:rFonts w:cs="Calibri"/>
                <w:sz w:val="20"/>
                <w:szCs w:val="20"/>
              </w:rPr>
            </w:pPr>
            <w:r w:rsidRPr="00AE274D">
              <w:rPr>
                <w:rFonts w:cs="Calibri"/>
                <w:sz w:val="20"/>
                <w:szCs w:val="20"/>
              </w:rPr>
              <w:t>930</w:t>
            </w:r>
          </w:p>
        </w:tc>
        <w:tc>
          <w:tcPr>
            <w:tcW w:w="3656"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593AE135" w14:textId="77777777" w:rsidR="0072464B" w:rsidRPr="00AE274D" w:rsidRDefault="0072464B" w:rsidP="0072464B">
            <w:pPr>
              <w:spacing w:before="20" w:after="20"/>
              <w:jc w:val="center"/>
              <w:rPr>
                <w:rFonts w:cs="Calibri"/>
                <w:sz w:val="20"/>
                <w:szCs w:val="20"/>
              </w:rPr>
            </w:pPr>
            <w:r w:rsidRPr="00AE274D">
              <w:rPr>
                <w:rFonts w:cs="Calibri"/>
                <w:sz w:val="20"/>
                <w:szCs w:val="20"/>
              </w:rPr>
              <w:t>960</w:t>
            </w:r>
          </w:p>
        </w:tc>
        <w:tc>
          <w:tcPr>
            <w:tcW w:w="2157"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42DE8685" w14:textId="77777777" w:rsidR="0072464B" w:rsidRPr="00AE274D" w:rsidRDefault="0072464B" w:rsidP="0072464B">
            <w:pPr>
              <w:spacing w:before="20" w:after="20"/>
              <w:jc w:val="center"/>
              <w:rPr>
                <w:rFonts w:cs="Calibri"/>
                <w:sz w:val="20"/>
                <w:szCs w:val="20"/>
              </w:rPr>
            </w:pPr>
            <w:r w:rsidRPr="00AE274D">
              <w:rPr>
                <w:rFonts w:cs="Calibri"/>
                <w:sz w:val="20"/>
                <w:szCs w:val="20"/>
              </w:rPr>
              <w:t>1000</w:t>
            </w:r>
          </w:p>
        </w:tc>
      </w:tr>
      <w:tr w:rsidR="0072464B" w:rsidRPr="0072464B" w14:paraId="3DE78FFD" w14:textId="77777777" w:rsidTr="0072464B">
        <w:trPr>
          <w:trHeight w:val="577"/>
        </w:trPr>
        <w:tc>
          <w:tcPr>
            <w:tcW w:w="3878"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17287004" w14:textId="5746FA85" w:rsidR="0072464B" w:rsidRPr="00AE274D" w:rsidRDefault="0072464B" w:rsidP="0072464B">
            <w:pPr>
              <w:spacing w:before="20" w:after="20"/>
              <w:rPr>
                <w:rFonts w:cs="Calibri"/>
                <w:sz w:val="20"/>
                <w:szCs w:val="20"/>
                <w:highlight w:val="yellow"/>
                <w:lang w:val="sr-Latn-RS"/>
              </w:rPr>
            </w:pPr>
            <w:r w:rsidRPr="00AE274D">
              <w:rPr>
                <w:rFonts w:cs="Calibri"/>
                <w:sz w:val="20"/>
                <w:szCs w:val="20"/>
                <w:lang w:val="sr-Latn-RS"/>
              </w:rPr>
              <w:t>Broj izgrađenih, rekonstruisanih, adaptiranih i opremljenih sportskih objekata</w:t>
            </w:r>
          </w:p>
        </w:tc>
        <w:tc>
          <w:tcPr>
            <w:tcW w:w="2554"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055E0FD1" w14:textId="77777777" w:rsidR="0072464B" w:rsidRPr="00AE274D" w:rsidRDefault="0072464B" w:rsidP="0072464B">
            <w:pPr>
              <w:spacing w:before="20" w:after="20"/>
              <w:jc w:val="center"/>
              <w:rPr>
                <w:rFonts w:cs="Calibri"/>
                <w:sz w:val="20"/>
                <w:szCs w:val="20"/>
              </w:rPr>
            </w:pPr>
            <w:r w:rsidRPr="00AE274D">
              <w:rPr>
                <w:rFonts w:cs="Calibri"/>
                <w:sz w:val="20"/>
                <w:szCs w:val="20"/>
              </w:rPr>
              <w:t>0</w:t>
            </w:r>
          </w:p>
        </w:tc>
        <w:tc>
          <w:tcPr>
            <w:tcW w:w="2641"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0491678C" w14:textId="77777777" w:rsidR="0072464B" w:rsidRPr="00AE274D" w:rsidRDefault="0072464B" w:rsidP="0072464B">
            <w:pPr>
              <w:spacing w:before="20" w:after="20"/>
              <w:jc w:val="center"/>
              <w:rPr>
                <w:rFonts w:cs="Calibri"/>
                <w:sz w:val="20"/>
                <w:szCs w:val="20"/>
              </w:rPr>
            </w:pPr>
            <w:r w:rsidRPr="00AE274D">
              <w:rPr>
                <w:rFonts w:cs="Calibri"/>
                <w:sz w:val="20"/>
                <w:szCs w:val="20"/>
              </w:rPr>
              <w:t>10</w:t>
            </w:r>
          </w:p>
        </w:tc>
        <w:tc>
          <w:tcPr>
            <w:tcW w:w="3656"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593E1630" w14:textId="77777777" w:rsidR="0072464B" w:rsidRPr="00AE274D" w:rsidRDefault="0072464B" w:rsidP="0072464B">
            <w:pPr>
              <w:spacing w:before="20" w:after="20"/>
              <w:jc w:val="center"/>
              <w:rPr>
                <w:rFonts w:cs="Calibri"/>
                <w:sz w:val="20"/>
                <w:szCs w:val="20"/>
              </w:rPr>
            </w:pPr>
            <w:r w:rsidRPr="00AE274D">
              <w:rPr>
                <w:rFonts w:cs="Calibri"/>
                <w:sz w:val="20"/>
                <w:szCs w:val="20"/>
              </w:rPr>
              <w:t>20</w:t>
            </w:r>
          </w:p>
        </w:tc>
        <w:tc>
          <w:tcPr>
            <w:tcW w:w="2157"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3DE60F59" w14:textId="77777777" w:rsidR="0072464B" w:rsidRPr="00AE274D" w:rsidRDefault="0072464B" w:rsidP="0072464B">
            <w:pPr>
              <w:spacing w:before="20" w:after="20"/>
              <w:jc w:val="center"/>
              <w:rPr>
                <w:rFonts w:cs="Calibri"/>
                <w:sz w:val="20"/>
                <w:szCs w:val="20"/>
              </w:rPr>
            </w:pPr>
            <w:r w:rsidRPr="00AE274D">
              <w:rPr>
                <w:rFonts w:cs="Calibri"/>
                <w:sz w:val="20"/>
                <w:szCs w:val="20"/>
              </w:rPr>
              <w:t>30</w:t>
            </w:r>
          </w:p>
        </w:tc>
      </w:tr>
      <w:tr w:rsidR="0072464B" w:rsidRPr="0072464B" w14:paraId="306DE035" w14:textId="77777777" w:rsidTr="0072464B">
        <w:trPr>
          <w:trHeight w:val="577"/>
        </w:trPr>
        <w:tc>
          <w:tcPr>
            <w:tcW w:w="3878"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778BC1C3" w14:textId="590592BC" w:rsidR="0072464B" w:rsidRPr="00AE274D" w:rsidRDefault="0072464B" w:rsidP="0072464B">
            <w:pPr>
              <w:spacing w:before="20" w:after="20"/>
              <w:rPr>
                <w:rFonts w:cs="Calibri"/>
                <w:sz w:val="20"/>
                <w:szCs w:val="20"/>
                <w:lang w:val="sr-Latn-RS"/>
              </w:rPr>
            </w:pPr>
            <w:r w:rsidRPr="00AE274D">
              <w:rPr>
                <w:rFonts w:cs="Calibri"/>
                <w:sz w:val="20"/>
                <w:szCs w:val="20"/>
                <w:lang w:val="sr-Latn-RS"/>
              </w:rPr>
              <w:t>Broj sportista do 18 godina uključenih u organizovanu sportsku aktivnost koje sprovode sportske organizacije</w:t>
            </w:r>
          </w:p>
        </w:tc>
        <w:tc>
          <w:tcPr>
            <w:tcW w:w="2554"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47954269" w14:textId="77777777" w:rsidR="0072464B" w:rsidRPr="00AE274D" w:rsidRDefault="0072464B" w:rsidP="0072464B">
            <w:pPr>
              <w:spacing w:before="20" w:after="20"/>
              <w:jc w:val="center"/>
              <w:rPr>
                <w:rFonts w:cs="Calibri"/>
                <w:sz w:val="20"/>
                <w:szCs w:val="20"/>
              </w:rPr>
            </w:pPr>
            <w:r w:rsidRPr="00AE274D">
              <w:rPr>
                <w:rFonts w:cs="Calibri"/>
                <w:sz w:val="20"/>
                <w:szCs w:val="20"/>
              </w:rPr>
              <w:t>14.389</w:t>
            </w:r>
          </w:p>
        </w:tc>
        <w:tc>
          <w:tcPr>
            <w:tcW w:w="2641"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442197A0" w14:textId="77777777" w:rsidR="0072464B" w:rsidRPr="00AE274D" w:rsidRDefault="0072464B" w:rsidP="0072464B">
            <w:pPr>
              <w:spacing w:before="20" w:after="20"/>
              <w:jc w:val="center"/>
              <w:rPr>
                <w:rFonts w:cs="Calibri"/>
                <w:sz w:val="20"/>
                <w:szCs w:val="20"/>
              </w:rPr>
            </w:pPr>
            <w:r w:rsidRPr="00AE274D">
              <w:rPr>
                <w:rFonts w:cs="Calibri"/>
                <w:sz w:val="20"/>
                <w:szCs w:val="20"/>
              </w:rPr>
              <w:t>14.489</w:t>
            </w:r>
          </w:p>
        </w:tc>
        <w:tc>
          <w:tcPr>
            <w:tcW w:w="3656" w:type="dxa"/>
            <w:gridSpan w:val="2"/>
            <w:tcBorders>
              <w:top w:val="single" w:sz="4" w:space="0" w:color="auto"/>
              <w:left w:val="single" w:sz="4" w:space="0" w:color="auto"/>
              <w:bottom w:val="single" w:sz="4" w:space="0" w:color="auto"/>
              <w:right w:val="single" w:sz="4" w:space="0" w:color="auto"/>
            </w:tcBorders>
            <w:shd w:val="clear" w:color="auto" w:fill="D2F8FA"/>
            <w:vAlign w:val="center"/>
            <w:hideMark/>
          </w:tcPr>
          <w:p w14:paraId="57C2BB07" w14:textId="77777777" w:rsidR="0072464B" w:rsidRPr="00AE274D" w:rsidRDefault="0072464B" w:rsidP="0072464B">
            <w:pPr>
              <w:spacing w:before="20" w:after="20"/>
              <w:jc w:val="center"/>
              <w:rPr>
                <w:rFonts w:cs="Calibri"/>
                <w:sz w:val="20"/>
                <w:szCs w:val="20"/>
              </w:rPr>
            </w:pPr>
            <w:r w:rsidRPr="00AE274D">
              <w:rPr>
                <w:rFonts w:cs="Calibri"/>
                <w:sz w:val="20"/>
                <w:szCs w:val="20"/>
              </w:rPr>
              <w:t>14.589</w:t>
            </w:r>
          </w:p>
        </w:tc>
        <w:tc>
          <w:tcPr>
            <w:tcW w:w="2157" w:type="dxa"/>
            <w:tcBorders>
              <w:top w:val="single" w:sz="4" w:space="0" w:color="auto"/>
              <w:left w:val="single" w:sz="4" w:space="0" w:color="auto"/>
              <w:bottom w:val="single" w:sz="4" w:space="0" w:color="auto"/>
              <w:right w:val="single" w:sz="4" w:space="0" w:color="auto"/>
            </w:tcBorders>
            <w:shd w:val="clear" w:color="auto" w:fill="D2F8FA"/>
            <w:vAlign w:val="center"/>
            <w:hideMark/>
          </w:tcPr>
          <w:p w14:paraId="648DD694" w14:textId="77777777" w:rsidR="0072464B" w:rsidRPr="00AE274D" w:rsidRDefault="0072464B" w:rsidP="0072464B">
            <w:pPr>
              <w:spacing w:before="20" w:after="20"/>
              <w:jc w:val="center"/>
              <w:rPr>
                <w:rFonts w:cs="Calibri"/>
                <w:sz w:val="20"/>
                <w:szCs w:val="20"/>
              </w:rPr>
            </w:pPr>
            <w:r w:rsidRPr="00AE274D">
              <w:rPr>
                <w:rFonts w:cs="Calibri"/>
                <w:sz w:val="20"/>
                <w:szCs w:val="20"/>
              </w:rPr>
              <w:t>14.689</w:t>
            </w:r>
          </w:p>
        </w:tc>
        <w:bookmarkEnd w:id="44"/>
      </w:tr>
      <w:bookmarkEnd w:id="45"/>
      <w:tr w:rsidR="0072464B" w:rsidRPr="000A08C8" w14:paraId="4263A268" w14:textId="77777777" w:rsidTr="0072464B">
        <w:tc>
          <w:tcPr>
            <w:tcW w:w="3878"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023F0F13" w14:textId="77777777" w:rsidR="0072464B" w:rsidRPr="0072464B" w:rsidRDefault="0072464B" w:rsidP="0072464B">
            <w:pPr>
              <w:spacing w:before="20" w:after="20"/>
              <w:jc w:val="center"/>
              <w:rPr>
                <w:rFonts w:cs="Calibri"/>
                <w:b/>
                <w:sz w:val="20"/>
                <w:szCs w:val="20"/>
              </w:rPr>
            </w:pPr>
            <w:r w:rsidRPr="0072464B">
              <w:rPr>
                <w:rFonts w:cs="Calibri"/>
                <w:b/>
                <w:sz w:val="20"/>
                <w:szCs w:val="20"/>
              </w:rPr>
              <w:t>Aktivnosti</w:t>
            </w:r>
          </w:p>
        </w:tc>
        <w:tc>
          <w:tcPr>
            <w:tcW w:w="2554"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4831F9C2" w14:textId="77777777" w:rsidR="0072464B" w:rsidRPr="0072464B" w:rsidRDefault="0072464B" w:rsidP="0072464B">
            <w:pPr>
              <w:spacing w:before="20" w:after="20"/>
              <w:jc w:val="center"/>
              <w:rPr>
                <w:rFonts w:cs="Calibri"/>
                <w:b/>
                <w:sz w:val="20"/>
                <w:szCs w:val="20"/>
              </w:rPr>
            </w:pPr>
            <w:r w:rsidRPr="0072464B">
              <w:rPr>
                <w:rFonts w:cs="Calibri"/>
                <w:b/>
                <w:sz w:val="20"/>
                <w:szCs w:val="20"/>
              </w:rPr>
              <w:t>Indikator rezultata</w:t>
            </w:r>
          </w:p>
        </w:tc>
        <w:tc>
          <w:tcPr>
            <w:tcW w:w="1359"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4047679D" w14:textId="77777777" w:rsidR="0072464B" w:rsidRPr="0072464B" w:rsidRDefault="0072464B" w:rsidP="0072464B">
            <w:pPr>
              <w:spacing w:before="20" w:after="20"/>
              <w:jc w:val="center"/>
              <w:rPr>
                <w:rFonts w:cs="Calibri"/>
                <w:b/>
                <w:sz w:val="20"/>
                <w:szCs w:val="20"/>
              </w:rPr>
            </w:pPr>
            <w:r w:rsidRPr="0072464B">
              <w:rPr>
                <w:rFonts w:cs="Calibri"/>
                <w:b/>
                <w:sz w:val="20"/>
                <w:szCs w:val="20"/>
              </w:rPr>
              <w:t xml:space="preserve">Nadležne institucije i </w:t>
            </w:r>
            <w:r w:rsidRPr="0072464B">
              <w:rPr>
                <w:rFonts w:cs="Calibri"/>
                <w:b/>
                <w:sz w:val="20"/>
                <w:szCs w:val="20"/>
              </w:rPr>
              <w:lastRenderedPageBreak/>
              <w:t>nadležna komisija</w:t>
            </w:r>
          </w:p>
        </w:tc>
        <w:tc>
          <w:tcPr>
            <w:tcW w:w="1282"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0E5EBE3E" w14:textId="77777777" w:rsidR="0072464B" w:rsidRPr="0072464B" w:rsidRDefault="0072464B" w:rsidP="0072464B">
            <w:pPr>
              <w:spacing w:before="20" w:after="20"/>
              <w:jc w:val="center"/>
              <w:rPr>
                <w:rFonts w:cs="Calibri"/>
                <w:b/>
                <w:sz w:val="20"/>
                <w:szCs w:val="20"/>
              </w:rPr>
            </w:pPr>
            <w:r w:rsidRPr="0072464B">
              <w:rPr>
                <w:rFonts w:cs="Calibri"/>
                <w:b/>
                <w:sz w:val="20"/>
                <w:szCs w:val="20"/>
              </w:rPr>
              <w:lastRenderedPageBreak/>
              <w:t xml:space="preserve">Planirani početak i </w:t>
            </w:r>
            <w:r w:rsidRPr="0072464B">
              <w:rPr>
                <w:rFonts w:cs="Calibri"/>
                <w:b/>
                <w:sz w:val="20"/>
                <w:szCs w:val="20"/>
              </w:rPr>
              <w:lastRenderedPageBreak/>
              <w:t>završetak aktivnosti</w:t>
            </w:r>
          </w:p>
        </w:tc>
        <w:tc>
          <w:tcPr>
            <w:tcW w:w="1737"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63B4F995" w14:textId="77777777" w:rsidR="0072464B" w:rsidRPr="0072464B" w:rsidRDefault="0072464B" w:rsidP="0072464B">
            <w:pPr>
              <w:spacing w:before="20" w:after="20"/>
              <w:jc w:val="center"/>
              <w:rPr>
                <w:rFonts w:cs="Calibri"/>
                <w:b/>
                <w:sz w:val="20"/>
                <w:szCs w:val="20"/>
              </w:rPr>
            </w:pPr>
            <w:r w:rsidRPr="0072464B">
              <w:rPr>
                <w:rFonts w:cs="Calibri"/>
                <w:b/>
                <w:sz w:val="20"/>
                <w:szCs w:val="20"/>
              </w:rPr>
              <w:lastRenderedPageBreak/>
              <w:t xml:space="preserve">Sredstva za realizaciju  i </w:t>
            </w:r>
            <w:r w:rsidRPr="0072464B">
              <w:rPr>
                <w:rFonts w:cs="Calibri"/>
                <w:b/>
                <w:sz w:val="20"/>
                <w:szCs w:val="20"/>
              </w:rPr>
              <w:lastRenderedPageBreak/>
              <w:t>informacija o izradi RIA</w:t>
            </w:r>
          </w:p>
        </w:tc>
        <w:tc>
          <w:tcPr>
            <w:tcW w:w="1919"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30D7B7A6" w14:textId="77777777" w:rsidR="0072464B" w:rsidRPr="0072464B" w:rsidRDefault="0072464B" w:rsidP="0072464B">
            <w:pPr>
              <w:spacing w:before="20" w:after="20"/>
              <w:jc w:val="center"/>
              <w:rPr>
                <w:rFonts w:cs="Calibri"/>
                <w:b/>
                <w:sz w:val="20"/>
                <w:szCs w:val="20"/>
              </w:rPr>
            </w:pPr>
            <w:r w:rsidRPr="0072464B">
              <w:rPr>
                <w:rFonts w:cs="Calibri"/>
                <w:b/>
                <w:sz w:val="20"/>
                <w:szCs w:val="20"/>
              </w:rPr>
              <w:lastRenderedPageBreak/>
              <w:t xml:space="preserve"> Izvor finansiranja</w:t>
            </w:r>
          </w:p>
        </w:tc>
        <w:tc>
          <w:tcPr>
            <w:tcW w:w="2157" w:type="dxa"/>
            <w:tcBorders>
              <w:top w:val="single" w:sz="4" w:space="0" w:color="auto"/>
              <w:left w:val="single" w:sz="4" w:space="0" w:color="auto"/>
              <w:bottom w:val="single" w:sz="4" w:space="0" w:color="auto"/>
              <w:right w:val="single" w:sz="4" w:space="0" w:color="auto"/>
            </w:tcBorders>
            <w:shd w:val="clear" w:color="auto" w:fill="FFF2CC"/>
            <w:vAlign w:val="center"/>
          </w:tcPr>
          <w:p w14:paraId="5EAD3212" w14:textId="77777777" w:rsidR="0072464B" w:rsidRPr="0072464B" w:rsidRDefault="0072464B" w:rsidP="0072464B">
            <w:pPr>
              <w:spacing w:before="20" w:after="20"/>
              <w:jc w:val="center"/>
              <w:rPr>
                <w:rFonts w:cs="Calibri"/>
                <w:b/>
                <w:sz w:val="20"/>
                <w:szCs w:val="20"/>
              </w:rPr>
            </w:pPr>
          </w:p>
          <w:p w14:paraId="3566C36B" w14:textId="77777777" w:rsidR="0072464B" w:rsidRPr="0072464B" w:rsidRDefault="0072464B" w:rsidP="0072464B">
            <w:pPr>
              <w:spacing w:before="20" w:after="20"/>
              <w:jc w:val="center"/>
              <w:rPr>
                <w:rFonts w:cs="Calibri"/>
                <w:b/>
                <w:sz w:val="20"/>
                <w:szCs w:val="20"/>
              </w:rPr>
            </w:pPr>
            <w:r w:rsidRPr="0072464B">
              <w:rPr>
                <w:rFonts w:cs="Calibri"/>
                <w:b/>
                <w:sz w:val="20"/>
                <w:szCs w:val="20"/>
              </w:rPr>
              <w:t>Obrazloženje</w:t>
            </w:r>
          </w:p>
        </w:tc>
      </w:tr>
      <w:tr w:rsidR="0072464B" w:rsidRPr="0072464B" w14:paraId="34139F5A" w14:textId="77777777" w:rsidTr="0072464B">
        <w:tc>
          <w:tcPr>
            <w:tcW w:w="3878" w:type="dxa"/>
            <w:gridSpan w:val="2"/>
            <w:tcBorders>
              <w:top w:val="single" w:sz="4" w:space="0" w:color="auto"/>
              <w:left w:val="single" w:sz="4" w:space="0" w:color="auto"/>
              <w:bottom w:val="single" w:sz="4" w:space="0" w:color="auto"/>
              <w:right w:val="single" w:sz="4" w:space="0" w:color="auto"/>
            </w:tcBorders>
          </w:tcPr>
          <w:p w14:paraId="035A5503" w14:textId="77777777" w:rsidR="0072464B" w:rsidRPr="00591FB8" w:rsidRDefault="00AE274D" w:rsidP="00591FB8">
            <w:pPr>
              <w:spacing w:before="20" w:after="20"/>
              <w:jc w:val="both"/>
              <w:rPr>
                <w:rFonts w:cs="Calibri"/>
                <w:sz w:val="20"/>
                <w:szCs w:val="20"/>
              </w:rPr>
            </w:pPr>
            <w:r w:rsidRPr="00591FB8">
              <w:rPr>
                <w:rFonts w:cs="Calibri"/>
                <w:sz w:val="20"/>
                <w:szCs w:val="20"/>
              </w:rPr>
              <w:t>1.</w:t>
            </w:r>
            <w:r w:rsidR="0072464B" w:rsidRPr="00591FB8">
              <w:rPr>
                <w:rFonts w:cs="Calibri"/>
                <w:sz w:val="20"/>
                <w:szCs w:val="20"/>
              </w:rPr>
              <w:t>Utvrditi Zakon o sportu</w:t>
            </w:r>
          </w:p>
          <w:p w14:paraId="3B7C16C7" w14:textId="77777777" w:rsidR="0072464B" w:rsidRPr="00591FB8" w:rsidRDefault="0072464B" w:rsidP="00591FB8">
            <w:pPr>
              <w:spacing w:before="20" w:after="20"/>
              <w:jc w:val="both"/>
              <w:rPr>
                <w:rFonts w:cs="Calibri"/>
                <w:b/>
                <w:sz w:val="20"/>
                <w:szCs w:val="20"/>
              </w:rPr>
            </w:pPr>
          </w:p>
        </w:tc>
        <w:tc>
          <w:tcPr>
            <w:tcW w:w="2554" w:type="dxa"/>
            <w:tcBorders>
              <w:top w:val="single" w:sz="4" w:space="0" w:color="auto"/>
              <w:left w:val="single" w:sz="4" w:space="0" w:color="auto"/>
              <w:bottom w:val="single" w:sz="4" w:space="0" w:color="auto"/>
              <w:right w:val="single" w:sz="4" w:space="0" w:color="auto"/>
            </w:tcBorders>
          </w:tcPr>
          <w:p w14:paraId="22829D19" w14:textId="77777777" w:rsidR="0072464B" w:rsidRPr="00591FB8" w:rsidRDefault="0072464B" w:rsidP="00591FB8">
            <w:pPr>
              <w:spacing w:before="20" w:after="20"/>
              <w:jc w:val="both"/>
              <w:rPr>
                <w:rFonts w:cs="Calibri"/>
                <w:sz w:val="20"/>
                <w:szCs w:val="20"/>
              </w:rPr>
            </w:pPr>
            <w:r w:rsidRPr="00591FB8">
              <w:rPr>
                <w:rFonts w:cs="Calibri"/>
                <w:sz w:val="20"/>
                <w:szCs w:val="20"/>
              </w:rPr>
              <w:t>Utvrditi Zakon o sportu</w:t>
            </w:r>
          </w:p>
          <w:p w14:paraId="07D18288" w14:textId="77777777" w:rsidR="0072464B" w:rsidRPr="00591FB8" w:rsidRDefault="0072464B" w:rsidP="00591FB8">
            <w:pPr>
              <w:spacing w:before="20" w:after="20"/>
              <w:jc w:val="both"/>
              <w:rPr>
                <w:rFonts w:cs="Calibri"/>
                <w:sz w:val="20"/>
                <w:szCs w:val="20"/>
              </w:rPr>
            </w:pPr>
          </w:p>
          <w:p w14:paraId="0B894299" w14:textId="77777777" w:rsidR="0072464B" w:rsidRPr="00591FB8" w:rsidRDefault="0072464B" w:rsidP="00591FB8">
            <w:pPr>
              <w:spacing w:before="20" w:after="20"/>
              <w:jc w:val="both"/>
              <w:rPr>
                <w:rFonts w:cs="Calibri"/>
                <w:sz w:val="20"/>
                <w:szCs w:val="20"/>
              </w:rPr>
            </w:pPr>
            <w:r w:rsidRPr="00591FB8">
              <w:rPr>
                <w:rFonts w:cs="Calibri"/>
                <w:sz w:val="20"/>
                <w:szCs w:val="20"/>
              </w:rPr>
              <w:t>Izmjena dijela koji se odnosi na antidoping, Depolitizacija sporta</w:t>
            </w:r>
          </w:p>
          <w:p w14:paraId="2BCC9AFC" w14:textId="77777777" w:rsidR="0072464B" w:rsidRPr="00591FB8" w:rsidRDefault="0072464B" w:rsidP="00591FB8">
            <w:pPr>
              <w:spacing w:before="20" w:after="20"/>
              <w:jc w:val="both"/>
              <w:rPr>
                <w:rFonts w:cs="Calibri"/>
                <w:sz w:val="20"/>
                <w:szCs w:val="20"/>
              </w:rPr>
            </w:pPr>
            <w:r w:rsidRPr="00591FB8">
              <w:rPr>
                <w:rFonts w:cs="Calibri"/>
                <w:sz w:val="20"/>
                <w:szCs w:val="20"/>
              </w:rPr>
              <w:t>Uslovi za naknadu najboljim sportistima, ukidanje polaganja ispita kod UMS za trenere kako bi trener mogao da radi u Crnoj Gori, ukidanje diskriminatorne odredbe da najbliži srodnici ne mogu osnovati dva sportska kluba, decentralizacija, decentralizacija zbog autonoije koju ima lokalna samouprava</w:t>
            </w:r>
          </w:p>
        </w:tc>
        <w:tc>
          <w:tcPr>
            <w:tcW w:w="1359" w:type="dxa"/>
            <w:tcBorders>
              <w:top w:val="single" w:sz="4" w:space="0" w:color="auto"/>
              <w:left w:val="single" w:sz="4" w:space="0" w:color="auto"/>
              <w:bottom w:val="single" w:sz="4" w:space="0" w:color="auto"/>
              <w:right w:val="single" w:sz="4" w:space="0" w:color="auto"/>
            </w:tcBorders>
            <w:hideMark/>
          </w:tcPr>
          <w:p w14:paraId="63628040" w14:textId="77777777" w:rsidR="0072464B" w:rsidRPr="00591FB8" w:rsidRDefault="0072464B" w:rsidP="00591FB8">
            <w:pPr>
              <w:spacing w:before="20" w:after="20"/>
              <w:jc w:val="both"/>
              <w:rPr>
                <w:rFonts w:cs="Calibri"/>
                <w:sz w:val="20"/>
                <w:szCs w:val="20"/>
              </w:rPr>
            </w:pPr>
            <w:r w:rsidRPr="00591FB8">
              <w:rPr>
                <w:rFonts w:cs="Calibri"/>
                <w:sz w:val="20"/>
                <w:szCs w:val="20"/>
              </w:rPr>
              <w:t>NI: MPNKS</w:t>
            </w:r>
          </w:p>
          <w:p w14:paraId="54DEF4C2" w14:textId="77777777" w:rsidR="0072464B" w:rsidRPr="00591FB8" w:rsidRDefault="00591FB8" w:rsidP="00591FB8">
            <w:pPr>
              <w:spacing w:before="20" w:after="20"/>
              <w:jc w:val="both"/>
              <w:rPr>
                <w:rFonts w:cs="Calibri"/>
                <w:sz w:val="20"/>
                <w:szCs w:val="20"/>
              </w:rPr>
            </w:pPr>
            <w:r>
              <w:rPr>
                <w:rFonts w:cs="Calibri"/>
                <w:sz w:val="20"/>
                <w:szCs w:val="20"/>
              </w:rPr>
              <w:t>NK:</w:t>
            </w:r>
            <w:r w:rsidR="0072464B" w:rsidRPr="00591FB8">
              <w:rPr>
                <w:rFonts w:cs="Calibri"/>
                <w:sz w:val="20"/>
                <w:szCs w:val="20"/>
              </w:rPr>
              <w:t>KPS, KEPIF</w:t>
            </w:r>
          </w:p>
          <w:p w14:paraId="0860AAB2" w14:textId="77777777" w:rsidR="0072464B" w:rsidRPr="00591FB8" w:rsidRDefault="0072464B" w:rsidP="00591FB8">
            <w:pPr>
              <w:spacing w:before="20" w:after="20"/>
              <w:jc w:val="both"/>
              <w:rPr>
                <w:rFonts w:cs="Calibri"/>
                <w:sz w:val="20"/>
                <w:szCs w:val="20"/>
              </w:rPr>
            </w:pPr>
            <w:r w:rsidRPr="00591FB8">
              <w:rPr>
                <w:rFonts w:cs="Calibri"/>
                <w:sz w:val="20"/>
                <w:szCs w:val="20"/>
              </w:rPr>
              <w:t>MPNKS, UMS</w:t>
            </w:r>
          </w:p>
        </w:tc>
        <w:tc>
          <w:tcPr>
            <w:tcW w:w="1282" w:type="dxa"/>
            <w:tcBorders>
              <w:top w:val="single" w:sz="4" w:space="0" w:color="auto"/>
              <w:left w:val="single" w:sz="4" w:space="0" w:color="auto"/>
              <w:bottom w:val="single" w:sz="4" w:space="0" w:color="auto"/>
              <w:right w:val="single" w:sz="4" w:space="0" w:color="auto"/>
            </w:tcBorders>
            <w:hideMark/>
          </w:tcPr>
          <w:p w14:paraId="7F811792" w14:textId="77777777" w:rsidR="0072464B" w:rsidRPr="00591FB8" w:rsidRDefault="0072464B" w:rsidP="00591FB8">
            <w:pPr>
              <w:spacing w:before="20" w:after="20"/>
              <w:jc w:val="both"/>
              <w:rPr>
                <w:rFonts w:cs="Calibri"/>
                <w:sz w:val="20"/>
                <w:szCs w:val="20"/>
              </w:rPr>
            </w:pPr>
            <w:r w:rsidRPr="00591FB8">
              <w:rPr>
                <w:rFonts w:cs="Calibri"/>
                <w:sz w:val="20"/>
                <w:szCs w:val="20"/>
              </w:rPr>
              <w:t>III Q 2022.</w:t>
            </w:r>
          </w:p>
          <w:p w14:paraId="167242FD" w14:textId="77777777" w:rsidR="0072464B" w:rsidRPr="00591FB8" w:rsidRDefault="0072464B" w:rsidP="00591FB8">
            <w:pPr>
              <w:spacing w:before="20" w:after="20"/>
              <w:jc w:val="both"/>
              <w:rPr>
                <w:rFonts w:cs="Calibri"/>
                <w:sz w:val="20"/>
                <w:szCs w:val="20"/>
              </w:rPr>
            </w:pPr>
            <w:r w:rsidRPr="00591FB8">
              <w:rPr>
                <w:rFonts w:cs="Calibri"/>
                <w:sz w:val="20"/>
                <w:szCs w:val="20"/>
              </w:rPr>
              <w:t>IV Q 2022</w:t>
            </w:r>
          </w:p>
        </w:tc>
        <w:tc>
          <w:tcPr>
            <w:tcW w:w="1737" w:type="dxa"/>
            <w:tcBorders>
              <w:top w:val="single" w:sz="4" w:space="0" w:color="auto"/>
              <w:left w:val="single" w:sz="4" w:space="0" w:color="auto"/>
              <w:bottom w:val="single" w:sz="4" w:space="0" w:color="auto"/>
              <w:right w:val="single" w:sz="4" w:space="0" w:color="auto"/>
            </w:tcBorders>
            <w:hideMark/>
          </w:tcPr>
          <w:p w14:paraId="38809CA2" w14:textId="77777777" w:rsidR="0072464B" w:rsidRPr="00591FB8" w:rsidRDefault="0072464B" w:rsidP="00591FB8">
            <w:pPr>
              <w:spacing w:before="20" w:after="20"/>
              <w:jc w:val="both"/>
              <w:rPr>
                <w:rFonts w:cs="Calibri"/>
                <w:sz w:val="20"/>
                <w:szCs w:val="20"/>
              </w:rPr>
            </w:pPr>
            <w:r w:rsidRPr="00591FB8">
              <w:rPr>
                <w:rFonts w:cs="Calibri"/>
                <w:sz w:val="20"/>
                <w:szCs w:val="20"/>
              </w:rPr>
              <w:t>Za utvrđivanje procjene uticaja propisa će biti urađena RIA.</w:t>
            </w:r>
          </w:p>
          <w:p w14:paraId="3905B996" w14:textId="77777777" w:rsidR="0072464B" w:rsidRPr="00591FB8" w:rsidRDefault="0072464B" w:rsidP="00591FB8">
            <w:pPr>
              <w:spacing w:before="20" w:after="20"/>
              <w:jc w:val="both"/>
              <w:rPr>
                <w:rFonts w:cs="Calibri"/>
                <w:sz w:val="20"/>
                <w:szCs w:val="20"/>
              </w:rPr>
            </w:pPr>
            <w:r w:rsidRPr="00591FB8">
              <w:rPr>
                <w:rFonts w:cs="Calibri"/>
                <w:sz w:val="20"/>
                <w:szCs w:val="20"/>
              </w:rPr>
              <w:t>5000 e za stranog eksperta, 1500e za domaćeg eksperta</w:t>
            </w:r>
          </w:p>
        </w:tc>
        <w:tc>
          <w:tcPr>
            <w:tcW w:w="1919" w:type="dxa"/>
            <w:tcBorders>
              <w:top w:val="single" w:sz="4" w:space="0" w:color="auto"/>
              <w:left w:val="single" w:sz="4" w:space="0" w:color="auto"/>
              <w:bottom w:val="single" w:sz="4" w:space="0" w:color="auto"/>
              <w:right w:val="single" w:sz="4" w:space="0" w:color="auto"/>
            </w:tcBorders>
          </w:tcPr>
          <w:p w14:paraId="2BAD74F4" w14:textId="77777777" w:rsidR="0072464B" w:rsidRPr="00591FB8" w:rsidRDefault="0072464B" w:rsidP="00591FB8">
            <w:pPr>
              <w:spacing w:before="20" w:after="20"/>
              <w:jc w:val="both"/>
              <w:rPr>
                <w:rFonts w:cs="Calibri"/>
                <w:sz w:val="20"/>
                <w:szCs w:val="20"/>
              </w:rPr>
            </w:pPr>
          </w:p>
        </w:tc>
        <w:tc>
          <w:tcPr>
            <w:tcW w:w="2157" w:type="dxa"/>
            <w:tcBorders>
              <w:top w:val="single" w:sz="4" w:space="0" w:color="auto"/>
              <w:left w:val="single" w:sz="4" w:space="0" w:color="auto"/>
              <w:bottom w:val="single" w:sz="4" w:space="0" w:color="auto"/>
              <w:right w:val="single" w:sz="4" w:space="0" w:color="auto"/>
            </w:tcBorders>
            <w:hideMark/>
          </w:tcPr>
          <w:p w14:paraId="386C76BA" w14:textId="77777777" w:rsidR="0072464B" w:rsidRPr="00591FB8" w:rsidRDefault="0072464B" w:rsidP="00591FB8">
            <w:pPr>
              <w:spacing w:before="20" w:after="20"/>
              <w:jc w:val="both"/>
              <w:rPr>
                <w:rFonts w:cs="Calibri"/>
                <w:sz w:val="20"/>
                <w:szCs w:val="20"/>
              </w:rPr>
            </w:pPr>
            <w:r w:rsidRPr="00591FB8">
              <w:rPr>
                <w:rFonts w:cs="Calibri"/>
                <w:sz w:val="20"/>
                <w:szCs w:val="20"/>
              </w:rPr>
              <w:t>Izmjenama i dopunama zakona o sportu, jedne od najproduktvnijih oblasti u Crnoj Gori će se omogućiti mladim sportistima jednakost i motivacija za ostvarivanje boljih rezultata, Licence za trenere inače izdaje nacionalni savez, potrebno je i podići granicu za primanje nacionalnih nadoknada (35 godina)</w:t>
            </w:r>
          </w:p>
        </w:tc>
      </w:tr>
      <w:tr w:rsidR="0072464B" w:rsidRPr="0072464B" w14:paraId="6F676BAD" w14:textId="77777777" w:rsidTr="0072464B">
        <w:tc>
          <w:tcPr>
            <w:tcW w:w="3878" w:type="dxa"/>
            <w:gridSpan w:val="2"/>
            <w:tcBorders>
              <w:top w:val="single" w:sz="4" w:space="0" w:color="auto"/>
              <w:left w:val="single" w:sz="4" w:space="0" w:color="auto"/>
              <w:bottom w:val="single" w:sz="4" w:space="0" w:color="auto"/>
              <w:right w:val="single" w:sz="4" w:space="0" w:color="auto"/>
            </w:tcBorders>
            <w:hideMark/>
          </w:tcPr>
          <w:p w14:paraId="6FD51B1B" w14:textId="77777777" w:rsidR="0072464B" w:rsidRPr="0072464B" w:rsidRDefault="00AE274D" w:rsidP="0072464B">
            <w:pPr>
              <w:spacing w:before="20" w:after="20"/>
              <w:rPr>
                <w:rFonts w:cs="Calibri"/>
                <w:sz w:val="20"/>
                <w:szCs w:val="20"/>
              </w:rPr>
            </w:pPr>
            <w:r>
              <w:rPr>
                <w:rFonts w:cs="Calibri"/>
                <w:sz w:val="20"/>
                <w:szCs w:val="20"/>
              </w:rPr>
              <w:t>2.</w:t>
            </w:r>
            <w:r w:rsidR="0072464B" w:rsidRPr="0072464B">
              <w:rPr>
                <w:rFonts w:cs="Calibri"/>
                <w:sz w:val="20"/>
                <w:szCs w:val="20"/>
              </w:rPr>
              <w:t>Utvrditi Strategiju o sportu</w:t>
            </w:r>
          </w:p>
        </w:tc>
        <w:tc>
          <w:tcPr>
            <w:tcW w:w="2554" w:type="dxa"/>
            <w:tcBorders>
              <w:top w:val="single" w:sz="4" w:space="0" w:color="auto"/>
              <w:left w:val="single" w:sz="4" w:space="0" w:color="auto"/>
              <w:bottom w:val="single" w:sz="4" w:space="0" w:color="auto"/>
              <w:right w:val="single" w:sz="4" w:space="0" w:color="auto"/>
            </w:tcBorders>
            <w:hideMark/>
          </w:tcPr>
          <w:p w14:paraId="5D7DCBB9" w14:textId="77777777" w:rsidR="0072464B" w:rsidRPr="0072464B" w:rsidRDefault="0072464B" w:rsidP="00AE274D">
            <w:pPr>
              <w:spacing w:before="20" w:after="20"/>
              <w:jc w:val="both"/>
              <w:rPr>
                <w:rFonts w:cs="Calibri"/>
                <w:sz w:val="20"/>
                <w:szCs w:val="20"/>
              </w:rPr>
            </w:pPr>
            <w:r w:rsidRPr="0072464B">
              <w:rPr>
                <w:rFonts w:cs="Calibri"/>
                <w:sz w:val="20"/>
                <w:szCs w:val="20"/>
              </w:rPr>
              <w:t>Utvrditi Strategiju o sportu</w:t>
            </w:r>
          </w:p>
          <w:p w14:paraId="3DFD6E38" w14:textId="77777777" w:rsidR="0072464B" w:rsidRPr="0072464B" w:rsidRDefault="0072464B" w:rsidP="00AE274D">
            <w:pPr>
              <w:spacing w:before="20" w:after="20"/>
              <w:jc w:val="both"/>
              <w:rPr>
                <w:rFonts w:cs="Calibri"/>
                <w:sz w:val="20"/>
                <w:szCs w:val="20"/>
              </w:rPr>
            </w:pPr>
            <w:r w:rsidRPr="0072464B">
              <w:rPr>
                <w:rFonts w:cs="Calibri"/>
                <w:sz w:val="20"/>
                <w:szCs w:val="20"/>
              </w:rPr>
              <w:t>Baziranje na potrebama stanovnika Crne Gore, sportista amatera i sportista profesionalaca, Razvoj školskog sporta</w:t>
            </w:r>
          </w:p>
        </w:tc>
        <w:tc>
          <w:tcPr>
            <w:tcW w:w="1359" w:type="dxa"/>
            <w:tcBorders>
              <w:top w:val="single" w:sz="4" w:space="0" w:color="auto"/>
              <w:left w:val="single" w:sz="4" w:space="0" w:color="auto"/>
              <w:bottom w:val="single" w:sz="4" w:space="0" w:color="auto"/>
              <w:right w:val="single" w:sz="4" w:space="0" w:color="auto"/>
            </w:tcBorders>
          </w:tcPr>
          <w:p w14:paraId="3E7A3768" w14:textId="77777777" w:rsidR="0072464B" w:rsidRPr="0072464B" w:rsidRDefault="0072464B" w:rsidP="00AE274D">
            <w:pPr>
              <w:spacing w:before="20" w:after="20"/>
              <w:jc w:val="both"/>
              <w:rPr>
                <w:rFonts w:cs="Calibri"/>
                <w:sz w:val="20"/>
                <w:szCs w:val="20"/>
              </w:rPr>
            </w:pPr>
            <w:r w:rsidRPr="0072464B">
              <w:rPr>
                <w:rFonts w:cs="Calibri"/>
                <w:sz w:val="20"/>
                <w:szCs w:val="20"/>
              </w:rPr>
              <w:t>NI: MPNKS</w:t>
            </w:r>
          </w:p>
          <w:p w14:paraId="71AC5B2F" w14:textId="77777777" w:rsidR="0072464B" w:rsidRPr="0072464B" w:rsidRDefault="0072464B" w:rsidP="00AE274D">
            <w:pPr>
              <w:spacing w:before="20" w:after="20"/>
              <w:jc w:val="both"/>
              <w:rPr>
                <w:rFonts w:cs="Calibri"/>
                <w:sz w:val="20"/>
                <w:szCs w:val="20"/>
              </w:rPr>
            </w:pPr>
          </w:p>
          <w:p w14:paraId="7C330212" w14:textId="77777777" w:rsidR="0072464B" w:rsidRPr="0072464B" w:rsidRDefault="0072464B" w:rsidP="00AE274D">
            <w:pPr>
              <w:spacing w:before="20" w:after="20"/>
              <w:jc w:val="both"/>
              <w:rPr>
                <w:rFonts w:cs="Calibri"/>
                <w:sz w:val="20"/>
                <w:szCs w:val="20"/>
              </w:rPr>
            </w:pPr>
            <w:r w:rsidRPr="0072464B">
              <w:rPr>
                <w:rFonts w:cs="Calibri"/>
                <w:sz w:val="20"/>
                <w:szCs w:val="20"/>
              </w:rPr>
              <w:t>NK: KPS, KEPIF</w:t>
            </w:r>
          </w:p>
        </w:tc>
        <w:tc>
          <w:tcPr>
            <w:tcW w:w="1282" w:type="dxa"/>
            <w:tcBorders>
              <w:top w:val="single" w:sz="4" w:space="0" w:color="auto"/>
              <w:left w:val="single" w:sz="4" w:space="0" w:color="auto"/>
              <w:bottom w:val="single" w:sz="4" w:space="0" w:color="auto"/>
              <w:right w:val="single" w:sz="4" w:space="0" w:color="auto"/>
            </w:tcBorders>
            <w:hideMark/>
          </w:tcPr>
          <w:p w14:paraId="4BE3713D" w14:textId="77777777" w:rsidR="0072464B" w:rsidRPr="0072464B" w:rsidRDefault="0072464B" w:rsidP="00AE274D">
            <w:pPr>
              <w:spacing w:before="20" w:after="20"/>
              <w:jc w:val="both"/>
              <w:rPr>
                <w:rFonts w:cs="Calibri"/>
                <w:sz w:val="20"/>
                <w:szCs w:val="20"/>
              </w:rPr>
            </w:pPr>
            <w:r w:rsidRPr="0072464B">
              <w:rPr>
                <w:rFonts w:cs="Calibri"/>
                <w:sz w:val="20"/>
                <w:szCs w:val="20"/>
              </w:rPr>
              <w:t>III Q 2022.</w:t>
            </w:r>
          </w:p>
          <w:p w14:paraId="6F7BFF02" w14:textId="77777777" w:rsidR="0072464B" w:rsidRPr="0072464B" w:rsidRDefault="0072464B" w:rsidP="00AE274D">
            <w:pPr>
              <w:spacing w:before="20" w:after="20"/>
              <w:jc w:val="both"/>
              <w:rPr>
                <w:rFonts w:cs="Calibri"/>
                <w:sz w:val="20"/>
                <w:szCs w:val="20"/>
              </w:rPr>
            </w:pPr>
            <w:r w:rsidRPr="0072464B">
              <w:rPr>
                <w:rFonts w:cs="Calibri"/>
                <w:sz w:val="20"/>
                <w:szCs w:val="20"/>
              </w:rPr>
              <w:t>IV Q 2022</w:t>
            </w:r>
          </w:p>
        </w:tc>
        <w:tc>
          <w:tcPr>
            <w:tcW w:w="1737" w:type="dxa"/>
            <w:tcBorders>
              <w:top w:val="single" w:sz="4" w:space="0" w:color="auto"/>
              <w:left w:val="single" w:sz="4" w:space="0" w:color="auto"/>
              <w:bottom w:val="single" w:sz="4" w:space="0" w:color="auto"/>
              <w:right w:val="single" w:sz="4" w:space="0" w:color="auto"/>
            </w:tcBorders>
            <w:hideMark/>
          </w:tcPr>
          <w:p w14:paraId="02F2E55E" w14:textId="77777777" w:rsidR="0072464B" w:rsidRPr="0072464B" w:rsidRDefault="0072464B" w:rsidP="00AE274D">
            <w:pPr>
              <w:spacing w:before="20" w:after="20"/>
              <w:jc w:val="both"/>
              <w:rPr>
                <w:rFonts w:cs="Calibri"/>
                <w:sz w:val="20"/>
                <w:szCs w:val="20"/>
              </w:rPr>
            </w:pPr>
            <w:r w:rsidRPr="0072464B">
              <w:rPr>
                <w:rFonts w:cs="Calibri"/>
                <w:sz w:val="20"/>
                <w:szCs w:val="20"/>
              </w:rPr>
              <w:t>Za utvrđivanje procjene uticaja propisa će biti urađena RIA.</w:t>
            </w:r>
          </w:p>
          <w:p w14:paraId="3B560185" w14:textId="77777777" w:rsidR="0072464B" w:rsidRPr="0072464B" w:rsidRDefault="0072464B" w:rsidP="00AE274D">
            <w:pPr>
              <w:spacing w:before="20" w:after="20"/>
              <w:jc w:val="both"/>
              <w:rPr>
                <w:rFonts w:cs="Calibri"/>
                <w:sz w:val="20"/>
                <w:szCs w:val="20"/>
              </w:rPr>
            </w:pPr>
            <w:r w:rsidRPr="0072464B">
              <w:rPr>
                <w:rFonts w:cs="Calibri"/>
                <w:sz w:val="20"/>
                <w:szCs w:val="20"/>
              </w:rPr>
              <w:t>5.000 eura za stranog eksperta</w:t>
            </w:r>
          </w:p>
        </w:tc>
        <w:tc>
          <w:tcPr>
            <w:tcW w:w="1919" w:type="dxa"/>
            <w:tcBorders>
              <w:top w:val="single" w:sz="4" w:space="0" w:color="auto"/>
              <w:left w:val="single" w:sz="4" w:space="0" w:color="auto"/>
              <w:bottom w:val="single" w:sz="4" w:space="0" w:color="auto"/>
              <w:right w:val="single" w:sz="4" w:space="0" w:color="auto"/>
            </w:tcBorders>
          </w:tcPr>
          <w:p w14:paraId="6D8511E6" w14:textId="77777777" w:rsidR="0072464B" w:rsidRPr="0072464B" w:rsidRDefault="0072464B" w:rsidP="00AE274D">
            <w:pPr>
              <w:spacing w:before="20" w:after="20"/>
              <w:jc w:val="both"/>
              <w:rPr>
                <w:rFonts w:cs="Calibri"/>
                <w:sz w:val="20"/>
                <w:szCs w:val="20"/>
              </w:rPr>
            </w:pPr>
          </w:p>
        </w:tc>
        <w:tc>
          <w:tcPr>
            <w:tcW w:w="2157" w:type="dxa"/>
            <w:tcBorders>
              <w:top w:val="single" w:sz="4" w:space="0" w:color="auto"/>
              <w:left w:val="single" w:sz="4" w:space="0" w:color="auto"/>
              <w:bottom w:val="single" w:sz="4" w:space="0" w:color="auto"/>
              <w:right w:val="single" w:sz="4" w:space="0" w:color="auto"/>
            </w:tcBorders>
            <w:hideMark/>
          </w:tcPr>
          <w:p w14:paraId="250C9972" w14:textId="77777777" w:rsidR="0072464B" w:rsidRPr="0072464B" w:rsidRDefault="0072464B" w:rsidP="00AE274D">
            <w:pPr>
              <w:spacing w:before="20" w:after="20"/>
              <w:jc w:val="both"/>
              <w:rPr>
                <w:rFonts w:cs="Calibri"/>
                <w:sz w:val="20"/>
                <w:szCs w:val="20"/>
              </w:rPr>
            </w:pPr>
            <w:r w:rsidRPr="0072464B">
              <w:rPr>
                <w:rFonts w:cs="Calibri"/>
                <w:sz w:val="20"/>
                <w:szCs w:val="20"/>
              </w:rPr>
              <w:t>Strategija treba da je zasnovana na sopstvenim  potrebama</w:t>
            </w:r>
          </w:p>
        </w:tc>
      </w:tr>
    </w:tbl>
    <w:tbl>
      <w:tblPr>
        <w:tblStyle w:val="TableGrid92"/>
        <w:tblW w:w="14886" w:type="dxa"/>
        <w:tblInd w:w="-856" w:type="dxa"/>
        <w:tblLook w:val="04A0" w:firstRow="1" w:lastRow="0" w:firstColumn="1" w:lastColumn="0" w:noHBand="0" w:noVBand="1"/>
      </w:tblPr>
      <w:tblGrid>
        <w:gridCol w:w="2964"/>
        <w:gridCol w:w="3201"/>
        <w:gridCol w:w="3015"/>
        <w:gridCol w:w="2715"/>
        <w:gridCol w:w="2991"/>
      </w:tblGrid>
      <w:tr w:rsidR="0072464B" w:rsidRPr="0072464B" w14:paraId="6415E424" w14:textId="77777777" w:rsidTr="00AE274D">
        <w:trPr>
          <w:trHeight w:val="620"/>
        </w:trPr>
        <w:tc>
          <w:tcPr>
            <w:tcW w:w="2964" w:type="dxa"/>
            <w:tcBorders>
              <w:top w:val="single" w:sz="4" w:space="0" w:color="auto"/>
              <w:left w:val="single" w:sz="4" w:space="0" w:color="auto"/>
              <w:bottom w:val="single" w:sz="4" w:space="0" w:color="auto"/>
              <w:right w:val="single" w:sz="4" w:space="0" w:color="auto"/>
            </w:tcBorders>
            <w:shd w:val="clear" w:color="auto" w:fill="DEEAF6"/>
          </w:tcPr>
          <w:p w14:paraId="6D9AADB4" w14:textId="77777777" w:rsidR="00AE274D" w:rsidRDefault="00AE274D" w:rsidP="00AE274D">
            <w:pPr>
              <w:spacing w:before="40" w:after="40"/>
              <w:rPr>
                <w:rFonts w:cs="Calibri"/>
                <w:b/>
                <w:sz w:val="20"/>
                <w:szCs w:val="20"/>
              </w:rPr>
            </w:pPr>
            <w:bookmarkStart w:id="46" w:name="_Hlk89634038"/>
          </w:p>
          <w:p w14:paraId="6206B4EB" w14:textId="77777777" w:rsidR="0072464B" w:rsidRPr="0072464B" w:rsidRDefault="0072464B" w:rsidP="00AE274D">
            <w:pPr>
              <w:spacing w:before="40" w:after="40"/>
              <w:jc w:val="center"/>
              <w:rPr>
                <w:rFonts w:cs="Calibri"/>
                <w:b/>
                <w:sz w:val="20"/>
                <w:szCs w:val="20"/>
              </w:rPr>
            </w:pPr>
            <w:r w:rsidRPr="0072464B">
              <w:rPr>
                <w:rFonts w:cs="Calibri"/>
                <w:b/>
                <w:sz w:val="20"/>
                <w:szCs w:val="20"/>
              </w:rPr>
              <w:t xml:space="preserve">Cilj </w:t>
            </w:r>
            <w:r w:rsidR="000A08C8">
              <w:rPr>
                <w:rFonts w:cs="Calibri"/>
                <w:b/>
                <w:sz w:val="20"/>
                <w:szCs w:val="20"/>
              </w:rPr>
              <w:t>4.4.</w:t>
            </w:r>
          </w:p>
          <w:p w14:paraId="3657962E" w14:textId="77777777" w:rsidR="0072464B" w:rsidRPr="0072464B" w:rsidRDefault="0072464B" w:rsidP="0072464B">
            <w:pPr>
              <w:spacing w:before="40" w:after="40"/>
              <w:jc w:val="center"/>
              <w:rPr>
                <w:rFonts w:cs="Calibri"/>
                <w:b/>
                <w:sz w:val="20"/>
                <w:szCs w:val="20"/>
              </w:rPr>
            </w:pPr>
          </w:p>
        </w:tc>
        <w:tc>
          <w:tcPr>
            <w:tcW w:w="11922" w:type="dxa"/>
            <w:gridSpan w:val="4"/>
            <w:tcBorders>
              <w:top w:val="single" w:sz="4" w:space="0" w:color="auto"/>
              <w:left w:val="single" w:sz="4" w:space="0" w:color="auto"/>
              <w:bottom w:val="single" w:sz="4" w:space="0" w:color="auto"/>
              <w:right w:val="single" w:sz="4" w:space="0" w:color="auto"/>
            </w:tcBorders>
            <w:shd w:val="clear" w:color="auto" w:fill="DEEAF6"/>
          </w:tcPr>
          <w:p w14:paraId="59293162" w14:textId="77777777" w:rsidR="0072464B" w:rsidRPr="0072464B" w:rsidRDefault="0072464B" w:rsidP="00AE274D">
            <w:pPr>
              <w:rPr>
                <w:rFonts w:cs="Calibri"/>
                <w:b/>
                <w:sz w:val="20"/>
                <w:szCs w:val="20"/>
              </w:rPr>
            </w:pPr>
          </w:p>
          <w:p w14:paraId="1C58722B" w14:textId="77777777" w:rsidR="0072464B" w:rsidRPr="0072464B" w:rsidRDefault="0072464B" w:rsidP="00AE274D">
            <w:pPr>
              <w:rPr>
                <w:rFonts w:cs="Calibri"/>
                <w:b/>
                <w:sz w:val="20"/>
                <w:szCs w:val="20"/>
              </w:rPr>
            </w:pPr>
            <w:r w:rsidRPr="0072464B">
              <w:rPr>
                <w:rFonts w:cs="Calibri"/>
                <w:b/>
                <w:sz w:val="20"/>
                <w:szCs w:val="20"/>
              </w:rPr>
              <w:t>Jačanje nacionaln</w:t>
            </w:r>
            <w:r w:rsidR="000A08C8">
              <w:rPr>
                <w:rFonts w:cs="Calibri"/>
                <w:b/>
                <w:sz w:val="20"/>
                <w:szCs w:val="20"/>
              </w:rPr>
              <w:t>e naučne, istraživačke i</w:t>
            </w:r>
            <w:r w:rsidRPr="0072464B">
              <w:rPr>
                <w:rFonts w:cs="Calibri"/>
                <w:b/>
                <w:sz w:val="20"/>
                <w:szCs w:val="20"/>
              </w:rPr>
              <w:t xml:space="preserve"> inovacion</w:t>
            </w:r>
            <w:r w:rsidR="000A08C8">
              <w:rPr>
                <w:rFonts w:cs="Calibri"/>
                <w:b/>
                <w:sz w:val="20"/>
                <w:szCs w:val="20"/>
              </w:rPr>
              <w:t>e</w:t>
            </w:r>
            <w:r w:rsidRPr="0072464B">
              <w:rPr>
                <w:rFonts w:cs="Calibri"/>
                <w:b/>
                <w:sz w:val="20"/>
                <w:szCs w:val="20"/>
              </w:rPr>
              <w:t xml:space="preserve"> </w:t>
            </w:r>
            <w:r w:rsidR="000A08C8">
              <w:rPr>
                <w:rFonts w:cs="Calibri"/>
                <w:b/>
                <w:sz w:val="20"/>
                <w:szCs w:val="20"/>
              </w:rPr>
              <w:t>infrastrukture</w:t>
            </w:r>
          </w:p>
          <w:p w14:paraId="08208EE0" w14:textId="77777777" w:rsidR="0072464B" w:rsidRPr="0072464B" w:rsidRDefault="0072464B" w:rsidP="0072464B">
            <w:pPr>
              <w:jc w:val="both"/>
              <w:rPr>
                <w:rFonts w:cs="Calibri"/>
                <w:b/>
                <w:sz w:val="20"/>
                <w:szCs w:val="20"/>
              </w:rPr>
            </w:pPr>
          </w:p>
        </w:tc>
      </w:tr>
      <w:tr w:rsidR="0072464B" w:rsidRPr="000A08C8" w14:paraId="408812FC" w14:textId="77777777" w:rsidTr="00C1191C">
        <w:tc>
          <w:tcPr>
            <w:tcW w:w="2964" w:type="dxa"/>
            <w:tcBorders>
              <w:top w:val="single" w:sz="4" w:space="0" w:color="auto"/>
              <w:left w:val="single" w:sz="4" w:space="0" w:color="auto"/>
              <w:bottom w:val="single" w:sz="4" w:space="0" w:color="auto"/>
              <w:right w:val="single" w:sz="4" w:space="0" w:color="auto"/>
            </w:tcBorders>
            <w:shd w:val="clear" w:color="auto" w:fill="DAF2F6"/>
            <w:hideMark/>
          </w:tcPr>
          <w:p w14:paraId="36DE1ED5" w14:textId="77777777" w:rsidR="0072464B" w:rsidRPr="0072464B" w:rsidRDefault="0072464B" w:rsidP="0072464B">
            <w:pPr>
              <w:spacing w:before="40" w:after="40"/>
              <w:jc w:val="center"/>
              <w:rPr>
                <w:rFonts w:cs="Calibri"/>
                <w:b/>
                <w:sz w:val="20"/>
                <w:szCs w:val="20"/>
              </w:rPr>
            </w:pPr>
            <w:r w:rsidRPr="0072464B">
              <w:rPr>
                <w:rFonts w:cs="Calibri"/>
                <w:b/>
                <w:sz w:val="20"/>
                <w:szCs w:val="20"/>
              </w:rPr>
              <w:t>Indikator učinka</w:t>
            </w:r>
          </w:p>
        </w:tc>
        <w:tc>
          <w:tcPr>
            <w:tcW w:w="3201" w:type="dxa"/>
            <w:tcBorders>
              <w:top w:val="single" w:sz="4" w:space="0" w:color="auto"/>
              <w:left w:val="single" w:sz="4" w:space="0" w:color="auto"/>
              <w:bottom w:val="single" w:sz="4" w:space="0" w:color="auto"/>
              <w:right w:val="single" w:sz="4" w:space="0" w:color="auto"/>
            </w:tcBorders>
            <w:shd w:val="clear" w:color="auto" w:fill="DAF2F6"/>
            <w:hideMark/>
          </w:tcPr>
          <w:p w14:paraId="02519E7C" w14:textId="77777777" w:rsidR="0072464B" w:rsidRPr="0072464B" w:rsidRDefault="0072464B" w:rsidP="0072464B">
            <w:pPr>
              <w:spacing w:before="40" w:after="40"/>
              <w:jc w:val="center"/>
              <w:rPr>
                <w:rFonts w:cs="Calibri"/>
                <w:b/>
                <w:sz w:val="20"/>
                <w:szCs w:val="20"/>
              </w:rPr>
            </w:pPr>
            <w:r w:rsidRPr="0072464B">
              <w:rPr>
                <w:rFonts w:cs="Calibri"/>
                <w:b/>
                <w:sz w:val="20"/>
                <w:szCs w:val="20"/>
              </w:rPr>
              <w:t>Polazna vrijednost – 2021.g</w:t>
            </w:r>
          </w:p>
        </w:tc>
        <w:tc>
          <w:tcPr>
            <w:tcW w:w="3015" w:type="dxa"/>
            <w:tcBorders>
              <w:top w:val="single" w:sz="4" w:space="0" w:color="auto"/>
              <w:left w:val="single" w:sz="4" w:space="0" w:color="auto"/>
              <w:bottom w:val="single" w:sz="4" w:space="0" w:color="auto"/>
              <w:right w:val="single" w:sz="4" w:space="0" w:color="auto"/>
            </w:tcBorders>
            <w:shd w:val="clear" w:color="auto" w:fill="DAF2F6"/>
            <w:vAlign w:val="center"/>
            <w:hideMark/>
          </w:tcPr>
          <w:p w14:paraId="1039AB01" w14:textId="77777777" w:rsidR="0072464B" w:rsidRPr="0072464B" w:rsidRDefault="0072464B" w:rsidP="0072464B">
            <w:pPr>
              <w:spacing w:before="40" w:after="40"/>
              <w:rPr>
                <w:rFonts w:cs="Calibri"/>
                <w:b/>
                <w:sz w:val="20"/>
                <w:szCs w:val="20"/>
              </w:rPr>
            </w:pPr>
            <w:r w:rsidRPr="0072464B">
              <w:rPr>
                <w:rFonts w:cs="Calibri"/>
                <w:b/>
                <w:sz w:val="20"/>
                <w:szCs w:val="20"/>
              </w:rPr>
              <w:t xml:space="preserve">  Prelazna vrijednost – 2022.g</w:t>
            </w:r>
          </w:p>
        </w:tc>
        <w:tc>
          <w:tcPr>
            <w:tcW w:w="2715" w:type="dxa"/>
            <w:tcBorders>
              <w:top w:val="single" w:sz="4" w:space="0" w:color="auto"/>
              <w:left w:val="single" w:sz="4" w:space="0" w:color="auto"/>
              <w:bottom w:val="single" w:sz="4" w:space="0" w:color="FFFFFF"/>
              <w:right w:val="single" w:sz="4" w:space="0" w:color="auto"/>
            </w:tcBorders>
            <w:shd w:val="clear" w:color="auto" w:fill="DAF2F6"/>
            <w:vAlign w:val="center"/>
            <w:hideMark/>
          </w:tcPr>
          <w:p w14:paraId="0F62026F" w14:textId="77777777" w:rsidR="0072464B" w:rsidRPr="0072464B" w:rsidRDefault="0072464B" w:rsidP="0072464B">
            <w:pPr>
              <w:spacing w:before="40" w:after="40"/>
              <w:jc w:val="center"/>
              <w:rPr>
                <w:rFonts w:cs="Calibri"/>
                <w:b/>
                <w:sz w:val="20"/>
                <w:szCs w:val="20"/>
              </w:rPr>
            </w:pPr>
            <w:r w:rsidRPr="0072464B">
              <w:rPr>
                <w:rFonts w:cs="Calibri"/>
                <w:b/>
                <w:sz w:val="20"/>
                <w:szCs w:val="20"/>
              </w:rPr>
              <w:t>Prelazna vrijednost – 2023.g</w:t>
            </w:r>
          </w:p>
        </w:tc>
        <w:tc>
          <w:tcPr>
            <w:tcW w:w="2991" w:type="dxa"/>
            <w:tcBorders>
              <w:top w:val="single" w:sz="4" w:space="0" w:color="auto"/>
              <w:left w:val="single" w:sz="4" w:space="0" w:color="auto"/>
              <w:bottom w:val="single" w:sz="4" w:space="0" w:color="FFFFFF"/>
              <w:right w:val="single" w:sz="4" w:space="0" w:color="auto"/>
            </w:tcBorders>
            <w:shd w:val="clear" w:color="auto" w:fill="DAF2F6"/>
            <w:vAlign w:val="center"/>
            <w:hideMark/>
          </w:tcPr>
          <w:p w14:paraId="3E04283A" w14:textId="77777777" w:rsidR="0072464B" w:rsidRPr="0072464B" w:rsidRDefault="0072464B" w:rsidP="0072464B">
            <w:pPr>
              <w:spacing w:before="40" w:after="40"/>
              <w:jc w:val="center"/>
              <w:rPr>
                <w:rFonts w:cs="Calibri"/>
                <w:b/>
                <w:sz w:val="20"/>
                <w:szCs w:val="20"/>
              </w:rPr>
            </w:pPr>
            <w:r w:rsidRPr="0072464B">
              <w:rPr>
                <w:rFonts w:cs="Calibri"/>
                <w:b/>
                <w:sz w:val="20"/>
                <w:szCs w:val="20"/>
              </w:rPr>
              <w:t>Ciljna vrijednost - 2024.g</w:t>
            </w:r>
          </w:p>
        </w:tc>
      </w:tr>
      <w:tr w:rsidR="0072464B" w:rsidRPr="0072464B" w14:paraId="15EFB250" w14:textId="77777777" w:rsidTr="00C1191C">
        <w:tc>
          <w:tcPr>
            <w:tcW w:w="2964" w:type="dxa"/>
            <w:tcBorders>
              <w:top w:val="single" w:sz="4" w:space="0" w:color="auto"/>
              <w:left w:val="single" w:sz="4" w:space="0" w:color="auto"/>
              <w:bottom w:val="single" w:sz="4" w:space="0" w:color="auto"/>
              <w:right w:val="single" w:sz="4" w:space="0" w:color="auto"/>
            </w:tcBorders>
            <w:shd w:val="clear" w:color="auto" w:fill="DAF2F6"/>
          </w:tcPr>
          <w:p w14:paraId="3F4D2630" w14:textId="77777777" w:rsidR="0072464B" w:rsidRPr="0072464B" w:rsidRDefault="0072464B" w:rsidP="0072464B">
            <w:pPr>
              <w:spacing w:before="40" w:after="40"/>
              <w:rPr>
                <w:rFonts w:cs="Calibri"/>
                <w:color w:val="FF0000"/>
                <w:sz w:val="20"/>
                <w:szCs w:val="20"/>
              </w:rPr>
            </w:pPr>
          </w:p>
          <w:p w14:paraId="0DBED4B6" w14:textId="77777777" w:rsidR="0072464B" w:rsidRPr="0072464B" w:rsidRDefault="000A08C8" w:rsidP="0072464B">
            <w:pPr>
              <w:spacing w:before="40" w:after="40"/>
              <w:rPr>
                <w:rFonts w:cs="Calibri"/>
                <w:sz w:val="20"/>
                <w:szCs w:val="20"/>
              </w:rPr>
            </w:pPr>
            <w:r w:rsidRPr="000A08C8">
              <w:rPr>
                <w:rFonts w:cs="Calibri"/>
                <w:sz w:val="20"/>
                <w:szCs w:val="20"/>
              </w:rPr>
              <w:t>Globalni indeks inovativnosti (GII) - Komponenta – Infrastruktura</w:t>
            </w:r>
          </w:p>
        </w:tc>
        <w:tc>
          <w:tcPr>
            <w:tcW w:w="3201" w:type="dxa"/>
            <w:tcBorders>
              <w:top w:val="single" w:sz="4" w:space="0" w:color="auto"/>
              <w:left w:val="single" w:sz="4" w:space="0" w:color="auto"/>
              <w:bottom w:val="single" w:sz="4" w:space="0" w:color="auto"/>
              <w:right w:val="single" w:sz="4" w:space="0" w:color="auto"/>
            </w:tcBorders>
            <w:shd w:val="clear" w:color="auto" w:fill="DAF2F6"/>
          </w:tcPr>
          <w:p w14:paraId="6CF2F25A" w14:textId="77777777" w:rsidR="0072464B" w:rsidRPr="0072464B" w:rsidRDefault="0072464B" w:rsidP="0072464B">
            <w:pPr>
              <w:spacing w:before="40" w:after="40"/>
              <w:jc w:val="both"/>
              <w:rPr>
                <w:rFonts w:cs="Calibri"/>
                <w:sz w:val="20"/>
                <w:szCs w:val="20"/>
              </w:rPr>
            </w:pPr>
            <w:r w:rsidRPr="0072464B">
              <w:rPr>
                <w:rFonts w:cs="Calibri"/>
                <w:sz w:val="20"/>
                <w:szCs w:val="20"/>
              </w:rPr>
              <w:t xml:space="preserve">                     </w:t>
            </w:r>
          </w:p>
          <w:p w14:paraId="3F48554A" w14:textId="77777777" w:rsidR="0072464B" w:rsidRPr="0072464B" w:rsidRDefault="0072464B" w:rsidP="0072464B">
            <w:pPr>
              <w:spacing w:before="40" w:after="40"/>
              <w:jc w:val="center"/>
              <w:rPr>
                <w:rFonts w:cs="Calibri"/>
                <w:sz w:val="20"/>
                <w:szCs w:val="20"/>
              </w:rPr>
            </w:pPr>
          </w:p>
          <w:p w14:paraId="54FCD59E" w14:textId="77777777" w:rsidR="0072464B" w:rsidRPr="0072464B" w:rsidRDefault="000A08C8" w:rsidP="000A08C8">
            <w:pPr>
              <w:spacing w:before="40" w:after="40"/>
              <w:jc w:val="center"/>
              <w:rPr>
                <w:rFonts w:cs="Calibri"/>
                <w:sz w:val="20"/>
                <w:szCs w:val="20"/>
              </w:rPr>
            </w:pPr>
            <w:r w:rsidRPr="000A08C8">
              <w:rPr>
                <w:rFonts w:cs="Calibri"/>
                <w:sz w:val="20"/>
                <w:szCs w:val="20"/>
              </w:rPr>
              <w:t xml:space="preserve">60 </w:t>
            </w:r>
          </w:p>
        </w:tc>
        <w:tc>
          <w:tcPr>
            <w:tcW w:w="3015" w:type="dxa"/>
            <w:tcBorders>
              <w:top w:val="single" w:sz="4" w:space="0" w:color="auto"/>
              <w:left w:val="single" w:sz="4" w:space="0" w:color="auto"/>
              <w:bottom w:val="single" w:sz="4" w:space="0" w:color="auto"/>
              <w:right w:val="single" w:sz="4" w:space="0" w:color="auto"/>
            </w:tcBorders>
            <w:shd w:val="clear" w:color="auto" w:fill="DAF2F6"/>
          </w:tcPr>
          <w:p w14:paraId="029BF128" w14:textId="77777777" w:rsidR="0072464B" w:rsidRPr="0072464B" w:rsidRDefault="0072464B" w:rsidP="0072464B">
            <w:pPr>
              <w:spacing w:before="40" w:after="40"/>
              <w:jc w:val="center"/>
              <w:rPr>
                <w:rFonts w:cs="Calibri"/>
                <w:sz w:val="20"/>
                <w:szCs w:val="20"/>
              </w:rPr>
            </w:pPr>
          </w:p>
          <w:p w14:paraId="337F4E71" w14:textId="77777777" w:rsidR="0072464B" w:rsidRPr="0072464B" w:rsidRDefault="0072464B" w:rsidP="0072464B">
            <w:pPr>
              <w:spacing w:before="40" w:after="40"/>
              <w:jc w:val="center"/>
              <w:rPr>
                <w:rFonts w:cs="Calibri"/>
                <w:sz w:val="20"/>
                <w:szCs w:val="20"/>
              </w:rPr>
            </w:pPr>
          </w:p>
          <w:p w14:paraId="35F126C3" w14:textId="77777777" w:rsidR="0072464B" w:rsidRPr="0072464B" w:rsidRDefault="000A08C8" w:rsidP="0072464B">
            <w:pPr>
              <w:spacing w:before="40" w:after="40"/>
              <w:jc w:val="center"/>
              <w:rPr>
                <w:rFonts w:cs="Calibri"/>
                <w:sz w:val="20"/>
                <w:szCs w:val="20"/>
              </w:rPr>
            </w:pPr>
            <w:r w:rsidRPr="000A08C8">
              <w:rPr>
                <w:rFonts w:cs="Calibri"/>
                <w:sz w:val="20"/>
                <w:szCs w:val="20"/>
              </w:rPr>
              <w:t>57</w:t>
            </w:r>
          </w:p>
        </w:tc>
        <w:tc>
          <w:tcPr>
            <w:tcW w:w="2715" w:type="dxa"/>
            <w:tcBorders>
              <w:top w:val="single" w:sz="4" w:space="0" w:color="auto"/>
              <w:left w:val="single" w:sz="4" w:space="0" w:color="auto"/>
              <w:bottom w:val="single" w:sz="4" w:space="0" w:color="auto"/>
              <w:right w:val="single" w:sz="4" w:space="0" w:color="auto"/>
            </w:tcBorders>
            <w:shd w:val="clear" w:color="auto" w:fill="DAF2F6"/>
          </w:tcPr>
          <w:p w14:paraId="7F68CBEC" w14:textId="77777777" w:rsidR="0072464B" w:rsidRPr="0072464B" w:rsidRDefault="0072464B" w:rsidP="0072464B">
            <w:pPr>
              <w:spacing w:before="40" w:after="40"/>
              <w:jc w:val="center"/>
              <w:rPr>
                <w:rFonts w:cs="Calibri"/>
                <w:sz w:val="20"/>
                <w:szCs w:val="20"/>
              </w:rPr>
            </w:pPr>
          </w:p>
          <w:p w14:paraId="726408B4" w14:textId="77777777" w:rsidR="0072464B" w:rsidRPr="0072464B" w:rsidRDefault="0072464B" w:rsidP="0072464B">
            <w:pPr>
              <w:spacing w:before="40" w:after="40"/>
              <w:jc w:val="center"/>
              <w:rPr>
                <w:rFonts w:cs="Calibri"/>
                <w:sz w:val="20"/>
                <w:szCs w:val="20"/>
              </w:rPr>
            </w:pPr>
          </w:p>
          <w:p w14:paraId="02AED7DB" w14:textId="77777777" w:rsidR="0072464B" w:rsidRPr="0072464B" w:rsidRDefault="000A08C8" w:rsidP="0072464B">
            <w:pPr>
              <w:spacing w:before="40" w:after="40"/>
              <w:jc w:val="center"/>
              <w:rPr>
                <w:rFonts w:cs="Calibri"/>
                <w:sz w:val="20"/>
                <w:szCs w:val="20"/>
              </w:rPr>
            </w:pPr>
            <w:r w:rsidRPr="000A08C8">
              <w:rPr>
                <w:rFonts w:cs="Calibri"/>
                <w:sz w:val="20"/>
                <w:szCs w:val="20"/>
              </w:rPr>
              <w:t>55</w:t>
            </w:r>
          </w:p>
        </w:tc>
        <w:tc>
          <w:tcPr>
            <w:tcW w:w="2991" w:type="dxa"/>
            <w:tcBorders>
              <w:top w:val="single" w:sz="4" w:space="0" w:color="auto"/>
              <w:left w:val="single" w:sz="4" w:space="0" w:color="auto"/>
              <w:bottom w:val="single" w:sz="4" w:space="0" w:color="auto"/>
              <w:right w:val="single" w:sz="4" w:space="0" w:color="auto"/>
            </w:tcBorders>
            <w:shd w:val="clear" w:color="auto" w:fill="DAF2F6"/>
          </w:tcPr>
          <w:p w14:paraId="089BA6C8" w14:textId="77777777" w:rsidR="0072464B" w:rsidRPr="0072464B" w:rsidRDefault="0072464B" w:rsidP="0072464B">
            <w:pPr>
              <w:spacing w:before="40" w:after="40"/>
              <w:jc w:val="center"/>
              <w:rPr>
                <w:rFonts w:cs="Calibri"/>
                <w:sz w:val="20"/>
                <w:szCs w:val="20"/>
              </w:rPr>
            </w:pPr>
          </w:p>
          <w:p w14:paraId="5659FF4E" w14:textId="77777777" w:rsidR="0072464B" w:rsidRPr="0072464B" w:rsidRDefault="0072464B" w:rsidP="0072464B">
            <w:pPr>
              <w:spacing w:before="40" w:after="40"/>
              <w:jc w:val="center"/>
              <w:rPr>
                <w:rFonts w:cs="Calibri"/>
                <w:sz w:val="20"/>
                <w:szCs w:val="20"/>
              </w:rPr>
            </w:pPr>
          </w:p>
          <w:p w14:paraId="55A42A18" w14:textId="77777777" w:rsidR="0072464B" w:rsidRPr="0072464B" w:rsidRDefault="000A08C8" w:rsidP="0072464B">
            <w:pPr>
              <w:spacing w:before="40" w:after="40"/>
              <w:jc w:val="center"/>
              <w:rPr>
                <w:rFonts w:cs="Calibri"/>
                <w:sz w:val="20"/>
                <w:szCs w:val="20"/>
              </w:rPr>
            </w:pPr>
            <w:r w:rsidRPr="000A08C8">
              <w:rPr>
                <w:rFonts w:cs="Calibri"/>
                <w:sz w:val="20"/>
                <w:szCs w:val="20"/>
              </w:rPr>
              <w:t>53</w:t>
            </w:r>
          </w:p>
        </w:tc>
      </w:tr>
      <w:tr w:rsidR="00C1191C" w:rsidRPr="0072464B" w14:paraId="68CC5593" w14:textId="77777777" w:rsidTr="00C1191C">
        <w:tc>
          <w:tcPr>
            <w:tcW w:w="2964" w:type="dxa"/>
            <w:tcBorders>
              <w:top w:val="single" w:sz="4" w:space="0" w:color="auto"/>
              <w:left w:val="single" w:sz="4" w:space="0" w:color="auto"/>
              <w:bottom w:val="single" w:sz="4" w:space="0" w:color="auto"/>
              <w:right w:val="single" w:sz="4" w:space="0" w:color="auto"/>
            </w:tcBorders>
            <w:shd w:val="clear" w:color="auto" w:fill="DAF2F6"/>
          </w:tcPr>
          <w:p w14:paraId="27986781" w14:textId="282811A3" w:rsidR="00C1191C" w:rsidRPr="00AE274D" w:rsidRDefault="00C1191C" w:rsidP="00C1191C">
            <w:pPr>
              <w:spacing w:before="40" w:after="40"/>
              <w:rPr>
                <w:rFonts w:cs="Calibri"/>
                <w:color w:val="FF0000"/>
                <w:sz w:val="20"/>
                <w:szCs w:val="20"/>
              </w:rPr>
            </w:pPr>
            <w:r w:rsidRPr="00AE274D">
              <w:rPr>
                <w:rFonts w:cstheme="minorHAnsi"/>
                <w:sz w:val="20"/>
                <w:szCs w:val="20"/>
              </w:rPr>
              <w:t>Broj ukupno registrovanih istraživača u Crnoj Gori (izvještaj Uprave za statistiku</w:t>
            </w:r>
            <w:r w:rsidR="00924831">
              <w:rPr>
                <w:rFonts w:cstheme="minorHAnsi"/>
                <w:sz w:val="20"/>
                <w:szCs w:val="20"/>
              </w:rPr>
              <w:t xml:space="preserve"> - Monstat</w:t>
            </w:r>
            <w:r w:rsidRPr="00AE274D">
              <w:rPr>
                <w:rFonts w:cstheme="minorHAnsi"/>
                <w:sz w:val="20"/>
                <w:szCs w:val="20"/>
              </w:rPr>
              <w:t>)</w:t>
            </w:r>
          </w:p>
        </w:tc>
        <w:tc>
          <w:tcPr>
            <w:tcW w:w="3201" w:type="dxa"/>
            <w:tcBorders>
              <w:top w:val="single" w:sz="4" w:space="0" w:color="auto"/>
              <w:left w:val="single" w:sz="4" w:space="0" w:color="auto"/>
              <w:bottom w:val="single" w:sz="4" w:space="0" w:color="auto"/>
              <w:right w:val="single" w:sz="4" w:space="0" w:color="auto"/>
            </w:tcBorders>
            <w:shd w:val="clear" w:color="auto" w:fill="DAF2F6"/>
          </w:tcPr>
          <w:p w14:paraId="1CC77B6F" w14:textId="77777777" w:rsidR="00C1191C" w:rsidRPr="00AE274D" w:rsidRDefault="00C1191C" w:rsidP="00C1191C">
            <w:pPr>
              <w:spacing w:before="40" w:after="40"/>
              <w:jc w:val="center"/>
              <w:rPr>
                <w:rFonts w:cs="Calibri"/>
                <w:sz w:val="20"/>
                <w:szCs w:val="20"/>
              </w:rPr>
            </w:pPr>
            <w:r w:rsidRPr="00AE274D">
              <w:rPr>
                <w:rFonts w:cstheme="minorHAnsi"/>
                <w:sz w:val="20"/>
                <w:szCs w:val="20"/>
              </w:rPr>
              <w:t>1,528</w:t>
            </w:r>
          </w:p>
        </w:tc>
        <w:tc>
          <w:tcPr>
            <w:tcW w:w="3015" w:type="dxa"/>
            <w:tcBorders>
              <w:top w:val="single" w:sz="4" w:space="0" w:color="auto"/>
              <w:left w:val="single" w:sz="4" w:space="0" w:color="auto"/>
              <w:bottom w:val="single" w:sz="4" w:space="0" w:color="auto"/>
              <w:right w:val="single" w:sz="4" w:space="0" w:color="auto"/>
            </w:tcBorders>
            <w:shd w:val="clear" w:color="auto" w:fill="DAF2F6"/>
          </w:tcPr>
          <w:p w14:paraId="2BD71450" w14:textId="77777777" w:rsidR="00C1191C" w:rsidRPr="00AE274D" w:rsidRDefault="00C1191C" w:rsidP="00C1191C">
            <w:pPr>
              <w:spacing w:before="40" w:after="40"/>
              <w:jc w:val="center"/>
              <w:rPr>
                <w:rFonts w:cs="Calibri"/>
                <w:sz w:val="20"/>
                <w:szCs w:val="20"/>
              </w:rPr>
            </w:pPr>
            <w:r w:rsidRPr="00AE274D">
              <w:rPr>
                <w:rFonts w:cstheme="minorHAnsi"/>
                <w:sz w:val="20"/>
                <w:szCs w:val="20"/>
              </w:rPr>
              <w:t>1550</w:t>
            </w:r>
          </w:p>
        </w:tc>
        <w:tc>
          <w:tcPr>
            <w:tcW w:w="2715" w:type="dxa"/>
            <w:tcBorders>
              <w:top w:val="single" w:sz="4" w:space="0" w:color="auto"/>
              <w:left w:val="single" w:sz="4" w:space="0" w:color="auto"/>
              <w:bottom w:val="single" w:sz="4" w:space="0" w:color="auto"/>
              <w:right w:val="single" w:sz="4" w:space="0" w:color="auto"/>
            </w:tcBorders>
            <w:shd w:val="clear" w:color="auto" w:fill="DAF2F6"/>
          </w:tcPr>
          <w:p w14:paraId="7533035F" w14:textId="77777777" w:rsidR="00C1191C" w:rsidRPr="00AE274D" w:rsidRDefault="00C1191C" w:rsidP="00C1191C">
            <w:pPr>
              <w:spacing w:before="40" w:after="40"/>
              <w:jc w:val="center"/>
              <w:rPr>
                <w:rFonts w:cs="Calibri"/>
                <w:sz w:val="20"/>
                <w:szCs w:val="20"/>
              </w:rPr>
            </w:pPr>
            <w:r w:rsidRPr="00AE274D">
              <w:rPr>
                <w:rFonts w:cstheme="minorHAnsi"/>
                <w:sz w:val="20"/>
                <w:szCs w:val="20"/>
              </w:rPr>
              <w:t>1575</w:t>
            </w:r>
          </w:p>
        </w:tc>
        <w:tc>
          <w:tcPr>
            <w:tcW w:w="2991" w:type="dxa"/>
            <w:tcBorders>
              <w:top w:val="single" w:sz="4" w:space="0" w:color="auto"/>
              <w:left w:val="single" w:sz="4" w:space="0" w:color="auto"/>
              <w:bottom w:val="single" w:sz="4" w:space="0" w:color="auto"/>
              <w:right w:val="single" w:sz="4" w:space="0" w:color="auto"/>
            </w:tcBorders>
            <w:shd w:val="clear" w:color="auto" w:fill="DAF2F6"/>
          </w:tcPr>
          <w:p w14:paraId="41154A33" w14:textId="77777777" w:rsidR="00C1191C" w:rsidRPr="00AE274D" w:rsidRDefault="00C1191C" w:rsidP="00C1191C">
            <w:pPr>
              <w:spacing w:before="40" w:after="40"/>
              <w:jc w:val="center"/>
              <w:rPr>
                <w:rFonts w:cs="Calibri"/>
                <w:sz w:val="20"/>
                <w:szCs w:val="20"/>
              </w:rPr>
            </w:pPr>
            <w:r w:rsidRPr="00AE274D">
              <w:rPr>
                <w:rFonts w:cstheme="minorHAnsi"/>
                <w:sz w:val="20"/>
                <w:szCs w:val="20"/>
              </w:rPr>
              <w:t>1600</w:t>
            </w:r>
          </w:p>
        </w:tc>
      </w:tr>
      <w:tr w:rsidR="00C1191C" w:rsidRPr="0072464B" w14:paraId="71AFB79D" w14:textId="77777777" w:rsidTr="00FD6B98">
        <w:tc>
          <w:tcPr>
            <w:tcW w:w="2964" w:type="dxa"/>
            <w:tcBorders>
              <w:top w:val="single" w:sz="4" w:space="0" w:color="auto"/>
              <w:left w:val="single" w:sz="4" w:space="0" w:color="auto"/>
              <w:bottom w:val="single" w:sz="4" w:space="0" w:color="auto"/>
              <w:right w:val="single" w:sz="4" w:space="0" w:color="auto"/>
            </w:tcBorders>
            <w:shd w:val="clear" w:color="auto" w:fill="DAF2F6"/>
            <w:vAlign w:val="center"/>
          </w:tcPr>
          <w:p w14:paraId="01FBDA73" w14:textId="77777777" w:rsidR="00C1191C" w:rsidRPr="00AE274D" w:rsidRDefault="00C1191C" w:rsidP="00C1191C">
            <w:pPr>
              <w:spacing w:before="40" w:after="40"/>
              <w:rPr>
                <w:rFonts w:cstheme="minorHAnsi"/>
                <w:sz w:val="20"/>
                <w:szCs w:val="20"/>
              </w:rPr>
            </w:pPr>
            <w:r w:rsidRPr="00AE274D">
              <w:rPr>
                <w:rFonts w:cstheme="minorHAnsi"/>
                <w:sz w:val="20"/>
                <w:szCs w:val="20"/>
              </w:rPr>
              <w:t>% bruto društvenog proizvoda-BDP, koji se odvaja za istraživanje i razvoj</w:t>
            </w:r>
          </w:p>
        </w:tc>
        <w:tc>
          <w:tcPr>
            <w:tcW w:w="3201" w:type="dxa"/>
            <w:tcBorders>
              <w:top w:val="single" w:sz="4" w:space="0" w:color="auto"/>
              <w:left w:val="single" w:sz="4" w:space="0" w:color="auto"/>
              <w:bottom w:val="single" w:sz="4" w:space="0" w:color="auto"/>
              <w:right w:val="single" w:sz="4" w:space="0" w:color="auto"/>
            </w:tcBorders>
            <w:shd w:val="clear" w:color="auto" w:fill="DAF2F6"/>
            <w:vAlign w:val="center"/>
          </w:tcPr>
          <w:p w14:paraId="35F80C6D" w14:textId="77777777" w:rsidR="00C1191C" w:rsidRPr="00AE274D" w:rsidRDefault="00C1191C" w:rsidP="00C1191C">
            <w:pPr>
              <w:spacing w:before="40" w:after="40"/>
              <w:jc w:val="center"/>
              <w:rPr>
                <w:rFonts w:cstheme="minorHAnsi"/>
                <w:sz w:val="20"/>
                <w:szCs w:val="20"/>
              </w:rPr>
            </w:pPr>
            <w:r w:rsidRPr="00AE274D">
              <w:rPr>
                <w:rFonts w:cstheme="minorHAnsi"/>
                <w:sz w:val="20"/>
                <w:szCs w:val="20"/>
              </w:rPr>
              <w:t>0.38%</w:t>
            </w:r>
          </w:p>
        </w:tc>
        <w:tc>
          <w:tcPr>
            <w:tcW w:w="3015" w:type="dxa"/>
            <w:tcBorders>
              <w:top w:val="single" w:sz="4" w:space="0" w:color="auto"/>
              <w:left w:val="single" w:sz="4" w:space="0" w:color="auto"/>
              <w:bottom w:val="single" w:sz="4" w:space="0" w:color="auto"/>
              <w:right w:val="single" w:sz="4" w:space="0" w:color="auto"/>
            </w:tcBorders>
            <w:shd w:val="clear" w:color="auto" w:fill="DAF2F6"/>
            <w:vAlign w:val="center"/>
          </w:tcPr>
          <w:p w14:paraId="0801703E" w14:textId="77777777" w:rsidR="00C1191C" w:rsidRPr="00AE274D" w:rsidRDefault="00C1191C" w:rsidP="00C1191C">
            <w:pPr>
              <w:spacing w:before="40" w:after="40"/>
              <w:jc w:val="center"/>
              <w:rPr>
                <w:rFonts w:cstheme="minorHAnsi"/>
                <w:sz w:val="20"/>
                <w:szCs w:val="20"/>
              </w:rPr>
            </w:pPr>
            <w:r w:rsidRPr="00AE274D">
              <w:rPr>
                <w:rFonts w:cstheme="minorHAnsi"/>
                <w:sz w:val="20"/>
                <w:szCs w:val="20"/>
              </w:rPr>
              <w:t>0,45 %</w:t>
            </w:r>
          </w:p>
        </w:tc>
        <w:tc>
          <w:tcPr>
            <w:tcW w:w="2715" w:type="dxa"/>
            <w:tcBorders>
              <w:top w:val="single" w:sz="4" w:space="0" w:color="auto"/>
              <w:left w:val="single" w:sz="4" w:space="0" w:color="auto"/>
              <w:bottom w:val="single" w:sz="4" w:space="0" w:color="auto"/>
              <w:right w:val="single" w:sz="4" w:space="0" w:color="auto"/>
            </w:tcBorders>
            <w:shd w:val="clear" w:color="auto" w:fill="DAF2F6"/>
            <w:vAlign w:val="center"/>
          </w:tcPr>
          <w:p w14:paraId="3A3BBF4F" w14:textId="77777777" w:rsidR="00C1191C" w:rsidRPr="00AE274D" w:rsidRDefault="00C1191C" w:rsidP="00C1191C">
            <w:pPr>
              <w:spacing w:before="40" w:after="40"/>
              <w:jc w:val="center"/>
              <w:rPr>
                <w:rFonts w:cstheme="minorHAnsi"/>
                <w:sz w:val="20"/>
                <w:szCs w:val="20"/>
              </w:rPr>
            </w:pPr>
            <w:r w:rsidRPr="00AE274D">
              <w:rPr>
                <w:rFonts w:cstheme="minorHAnsi"/>
                <w:sz w:val="20"/>
                <w:szCs w:val="20"/>
              </w:rPr>
              <w:t>0,48 %</w:t>
            </w:r>
          </w:p>
        </w:tc>
        <w:tc>
          <w:tcPr>
            <w:tcW w:w="2991" w:type="dxa"/>
            <w:tcBorders>
              <w:top w:val="single" w:sz="4" w:space="0" w:color="auto"/>
              <w:left w:val="single" w:sz="4" w:space="0" w:color="auto"/>
              <w:bottom w:val="single" w:sz="4" w:space="0" w:color="auto"/>
              <w:right w:val="single" w:sz="4" w:space="0" w:color="auto"/>
            </w:tcBorders>
            <w:shd w:val="clear" w:color="auto" w:fill="DAF2F6"/>
            <w:vAlign w:val="center"/>
          </w:tcPr>
          <w:p w14:paraId="212709CD" w14:textId="77777777" w:rsidR="00C1191C" w:rsidRPr="00AE274D" w:rsidRDefault="00C1191C" w:rsidP="00C1191C">
            <w:pPr>
              <w:spacing w:before="40" w:after="40"/>
              <w:jc w:val="center"/>
              <w:rPr>
                <w:rFonts w:cstheme="minorHAnsi"/>
                <w:sz w:val="20"/>
                <w:szCs w:val="20"/>
              </w:rPr>
            </w:pPr>
            <w:r w:rsidRPr="00AE274D">
              <w:rPr>
                <w:rFonts w:cstheme="minorHAnsi"/>
                <w:sz w:val="20"/>
                <w:szCs w:val="20"/>
              </w:rPr>
              <w:t>0,50 %</w:t>
            </w:r>
          </w:p>
        </w:tc>
      </w:tr>
    </w:tbl>
    <w:tbl>
      <w:tblPr>
        <w:tblStyle w:val="TableGrid911"/>
        <w:tblW w:w="14886" w:type="dxa"/>
        <w:tblInd w:w="-856" w:type="dxa"/>
        <w:tblLook w:val="04A0" w:firstRow="1" w:lastRow="0" w:firstColumn="1" w:lastColumn="0" w:noHBand="0" w:noVBand="1"/>
      </w:tblPr>
      <w:tblGrid>
        <w:gridCol w:w="401"/>
        <w:gridCol w:w="2563"/>
        <w:gridCol w:w="2680"/>
        <w:gridCol w:w="1836"/>
        <w:gridCol w:w="1700"/>
        <w:gridCol w:w="2085"/>
        <w:gridCol w:w="1214"/>
        <w:gridCol w:w="2407"/>
      </w:tblGrid>
      <w:tr w:rsidR="0072464B" w:rsidRPr="0072464B" w14:paraId="5817FC64" w14:textId="77777777" w:rsidTr="0072464B">
        <w:tc>
          <w:tcPr>
            <w:tcW w:w="2964"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bookmarkEnd w:id="46"/>
          <w:p w14:paraId="7D240070" w14:textId="77777777" w:rsidR="0072464B" w:rsidRPr="0072464B" w:rsidRDefault="0072464B" w:rsidP="0072464B">
            <w:pPr>
              <w:spacing w:before="20" w:after="20"/>
              <w:jc w:val="center"/>
              <w:rPr>
                <w:rFonts w:cs="Calibri"/>
                <w:b/>
                <w:sz w:val="20"/>
                <w:szCs w:val="20"/>
              </w:rPr>
            </w:pPr>
            <w:r w:rsidRPr="0072464B">
              <w:rPr>
                <w:rFonts w:cs="Calibri"/>
                <w:b/>
                <w:sz w:val="20"/>
                <w:szCs w:val="20"/>
              </w:rPr>
              <w:lastRenderedPageBreak/>
              <w:t>Aktivnosti</w:t>
            </w:r>
          </w:p>
        </w:tc>
        <w:tc>
          <w:tcPr>
            <w:tcW w:w="2680"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6931B302" w14:textId="77777777" w:rsidR="0072464B" w:rsidRPr="0072464B" w:rsidRDefault="0072464B" w:rsidP="0072464B">
            <w:pPr>
              <w:spacing w:before="20" w:after="20"/>
              <w:jc w:val="center"/>
              <w:rPr>
                <w:rFonts w:cs="Calibri"/>
                <w:b/>
                <w:sz w:val="20"/>
                <w:szCs w:val="20"/>
              </w:rPr>
            </w:pPr>
            <w:r w:rsidRPr="0072464B">
              <w:rPr>
                <w:rFonts w:cs="Calibri"/>
                <w:b/>
                <w:sz w:val="20"/>
                <w:szCs w:val="20"/>
              </w:rPr>
              <w:t>Indikator rezultata</w:t>
            </w:r>
          </w:p>
        </w:tc>
        <w:tc>
          <w:tcPr>
            <w:tcW w:w="1836"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32AD4A57" w14:textId="77777777" w:rsidR="0072464B" w:rsidRPr="0072464B" w:rsidRDefault="0072464B" w:rsidP="0072464B">
            <w:pPr>
              <w:spacing w:before="20" w:after="20"/>
              <w:jc w:val="center"/>
              <w:rPr>
                <w:rFonts w:cs="Calibri"/>
                <w:b/>
                <w:sz w:val="20"/>
                <w:szCs w:val="20"/>
              </w:rPr>
            </w:pPr>
            <w:r w:rsidRPr="0072464B">
              <w:rPr>
                <w:rFonts w:cs="Calibri"/>
                <w:b/>
                <w:sz w:val="20"/>
                <w:szCs w:val="20"/>
              </w:rPr>
              <w:t>Nadležne institucije i nadležna komisija</w:t>
            </w:r>
          </w:p>
        </w:tc>
        <w:tc>
          <w:tcPr>
            <w:tcW w:w="1700"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3D09B3B0" w14:textId="77777777" w:rsidR="0072464B" w:rsidRPr="0072464B" w:rsidRDefault="0072464B" w:rsidP="0072464B">
            <w:pPr>
              <w:spacing w:before="20" w:after="20"/>
              <w:jc w:val="center"/>
              <w:rPr>
                <w:rFonts w:cs="Calibri"/>
                <w:b/>
                <w:sz w:val="20"/>
                <w:szCs w:val="20"/>
              </w:rPr>
            </w:pPr>
            <w:r w:rsidRPr="0072464B">
              <w:rPr>
                <w:rFonts w:cs="Calibri"/>
                <w:b/>
                <w:sz w:val="20"/>
                <w:szCs w:val="20"/>
              </w:rPr>
              <w:t>Planirani početak i završetak aktivnosti</w:t>
            </w:r>
          </w:p>
        </w:tc>
        <w:tc>
          <w:tcPr>
            <w:tcW w:w="2085"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383F36BD" w14:textId="77777777" w:rsidR="0072464B" w:rsidRPr="0072464B" w:rsidRDefault="0072464B" w:rsidP="0072464B">
            <w:pPr>
              <w:spacing w:before="20" w:after="20"/>
              <w:jc w:val="center"/>
              <w:rPr>
                <w:rFonts w:cs="Calibri"/>
                <w:b/>
                <w:sz w:val="20"/>
                <w:szCs w:val="20"/>
              </w:rPr>
            </w:pPr>
            <w:r w:rsidRPr="0072464B">
              <w:rPr>
                <w:rFonts w:cs="Calibri"/>
                <w:b/>
                <w:sz w:val="20"/>
                <w:szCs w:val="20"/>
              </w:rPr>
              <w:t>Sredstva za realizaciju  i informacija o izradi RIA</w:t>
            </w:r>
          </w:p>
        </w:tc>
        <w:tc>
          <w:tcPr>
            <w:tcW w:w="1214"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6C23B54B" w14:textId="77777777" w:rsidR="0072464B" w:rsidRPr="0072464B" w:rsidRDefault="0072464B" w:rsidP="0072464B">
            <w:pPr>
              <w:spacing w:before="20" w:after="20"/>
              <w:jc w:val="center"/>
              <w:rPr>
                <w:rFonts w:cs="Calibri"/>
                <w:b/>
                <w:sz w:val="20"/>
                <w:szCs w:val="20"/>
              </w:rPr>
            </w:pPr>
            <w:r w:rsidRPr="0072464B">
              <w:rPr>
                <w:rFonts w:cs="Calibri"/>
                <w:b/>
                <w:sz w:val="20"/>
                <w:szCs w:val="20"/>
              </w:rPr>
              <w:t xml:space="preserve"> Izvor finansiranja</w:t>
            </w:r>
          </w:p>
        </w:tc>
        <w:tc>
          <w:tcPr>
            <w:tcW w:w="2407"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30EEE6C6" w14:textId="77777777" w:rsidR="0072464B" w:rsidRPr="0072464B" w:rsidRDefault="0072464B" w:rsidP="0072464B">
            <w:pPr>
              <w:spacing w:before="20" w:after="20"/>
              <w:jc w:val="center"/>
              <w:rPr>
                <w:rFonts w:cs="Calibri"/>
                <w:b/>
                <w:sz w:val="20"/>
                <w:szCs w:val="20"/>
              </w:rPr>
            </w:pPr>
            <w:r w:rsidRPr="0072464B">
              <w:rPr>
                <w:rFonts w:cs="Calibri"/>
                <w:b/>
                <w:sz w:val="20"/>
                <w:szCs w:val="20"/>
              </w:rPr>
              <w:t>Obrazloženje</w:t>
            </w:r>
          </w:p>
        </w:tc>
      </w:tr>
      <w:tr w:rsidR="0072464B" w:rsidRPr="0072464B" w14:paraId="2FEF7A55" w14:textId="77777777" w:rsidTr="0072464B">
        <w:tc>
          <w:tcPr>
            <w:tcW w:w="401" w:type="dxa"/>
            <w:tcBorders>
              <w:top w:val="single" w:sz="4" w:space="0" w:color="auto"/>
              <w:left w:val="single" w:sz="4" w:space="0" w:color="auto"/>
              <w:bottom w:val="single" w:sz="4" w:space="0" w:color="auto"/>
              <w:right w:val="single" w:sz="4" w:space="0" w:color="auto"/>
            </w:tcBorders>
            <w:hideMark/>
          </w:tcPr>
          <w:p w14:paraId="2B3A6697" w14:textId="77777777" w:rsidR="0072464B" w:rsidRPr="0072464B" w:rsidRDefault="0072464B" w:rsidP="0072464B">
            <w:pPr>
              <w:spacing w:before="20" w:after="20"/>
              <w:rPr>
                <w:rFonts w:cs="Calibri"/>
                <w:sz w:val="20"/>
                <w:szCs w:val="20"/>
              </w:rPr>
            </w:pPr>
            <w:r w:rsidRPr="0072464B">
              <w:rPr>
                <w:rFonts w:cs="Calibri"/>
                <w:sz w:val="20"/>
                <w:szCs w:val="20"/>
              </w:rPr>
              <w:t>1</w:t>
            </w:r>
            <w:r w:rsidR="00FF0B4A">
              <w:rPr>
                <w:rFonts w:cs="Calibri"/>
                <w:sz w:val="20"/>
                <w:szCs w:val="20"/>
              </w:rPr>
              <w:t>.</w:t>
            </w:r>
          </w:p>
        </w:tc>
        <w:tc>
          <w:tcPr>
            <w:tcW w:w="2563" w:type="dxa"/>
            <w:tcBorders>
              <w:top w:val="single" w:sz="4" w:space="0" w:color="auto"/>
              <w:left w:val="single" w:sz="4" w:space="0" w:color="auto"/>
              <w:bottom w:val="single" w:sz="4" w:space="0" w:color="auto"/>
              <w:right w:val="single" w:sz="4" w:space="0" w:color="auto"/>
            </w:tcBorders>
            <w:hideMark/>
          </w:tcPr>
          <w:p w14:paraId="7A7E75A9" w14:textId="77777777" w:rsidR="0072464B" w:rsidRPr="0072464B" w:rsidRDefault="0072464B" w:rsidP="0072464B">
            <w:pPr>
              <w:spacing w:before="20" w:after="20"/>
              <w:jc w:val="both"/>
              <w:rPr>
                <w:rFonts w:cs="Calibri"/>
                <w:sz w:val="20"/>
                <w:szCs w:val="20"/>
              </w:rPr>
            </w:pPr>
            <w:r w:rsidRPr="0072464B">
              <w:rPr>
                <w:rFonts w:cs="Calibri"/>
                <w:sz w:val="20"/>
                <w:szCs w:val="20"/>
              </w:rPr>
              <w:t>Informacija o Izvještaju o radu Društva sa ograničenom odgovornošću Inovaciono-preduzetnički centar "Tehnopolis" Nikšić za 2021. i Programu rada za 2022. godinu</w:t>
            </w:r>
          </w:p>
        </w:tc>
        <w:tc>
          <w:tcPr>
            <w:tcW w:w="2680" w:type="dxa"/>
            <w:tcBorders>
              <w:top w:val="single" w:sz="4" w:space="0" w:color="auto"/>
              <w:left w:val="single" w:sz="4" w:space="0" w:color="auto"/>
              <w:bottom w:val="single" w:sz="4" w:space="0" w:color="auto"/>
              <w:right w:val="single" w:sz="4" w:space="0" w:color="auto"/>
            </w:tcBorders>
            <w:hideMark/>
          </w:tcPr>
          <w:p w14:paraId="6074C72F" w14:textId="77777777" w:rsidR="0072464B" w:rsidRPr="0072464B" w:rsidRDefault="0072464B" w:rsidP="0072464B">
            <w:pPr>
              <w:spacing w:before="20" w:after="20"/>
              <w:jc w:val="both"/>
              <w:rPr>
                <w:rFonts w:cs="Calibri"/>
                <w:sz w:val="20"/>
                <w:szCs w:val="20"/>
              </w:rPr>
            </w:pPr>
            <w:r w:rsidRPr="0072464B">
              <w:rPr>
                <w:rFonts w:cs="Calibri"/>
                <w:sz w:val="20"/>
                <w:szCs w:val="20"/>
              </w:rPr>
              <w:t>usvojen Izvještaj o radu IPC Tehnopolis za 2021. i Plan rada za 2022.; Broj projekata u kojima učestvuje Tehnopolis; Broj podržanih korisnika; Broj organizoanih događaja podrške</w:t>
            </w:r>
          </w:p>
        </w:tc>
        <w:tc>
          <w:tcPr>
            <w:tcW w:w="1836" w:type="dxa"/>
            <w:tcBorders>
              <w:top w:val="single" w:sz="4" w:space="0" w:color="auto"/>
              <w:left w:val="single" w:sz="4" w:space="0" w:color="auto"/>
              <w:bottom w:val="single" w:sz="4" w:space="0" w:color="auto"/>
              <w:right w:val="single" w:sz="4" w:space="0" w:color="auto"/>
            </w:tcBorders>
          </w:tcPr>
          <w:p w14:paraId="7B0A3A66" w14:textId="77777777" w:rsidR="0072464B" w:rsidRPr="0072464B" w:rsidRDefault="0072464B" w:rsidP="0072464B">
            <w:pPr>
              <w:spacing w:before="20" w:after="20"/>
              <w:jc w:val="both"/>
              <w:rPr>
                <w:rFonts w:cs="Calibri"/>
                <w:sz w:val="20"/>
                <w:szCs w:val="20"/>
              </w:rPr>
            </w:pPr>
          </w:p>
          <w:p w14:paraId="526F6393" w14:textId="77777777" w:rsidR="0072464B" w:rsidRPr="0072464B" w:rsidRDefault="0072464B" w:rsidP="0072464B">
            <w:pPr>
              <w:spacing w:before="20" w:after="20"/>
              <w:jc w:val="both"/>
              <w:rPr>
                <w:rFonts w:cs="Calibri"/>
                <w:sz w:val="20"/>
                <w:szCs w:val="20"/>
              </w:rPr>
            </w:pPr>
            <w:r w:rsidRPr="0072464B">
              <w:rPr>
                <w:rFonts w:cs="Calibri"/>
                <w:sz w:val="20"/>
                <w:szCs w:val="20"/>
              </w:rPr>
              <w:t>NI:MER                                                                  NK: KEPIF</w:t>
            </w:r>
          </w:p>
        </w:tc>
        <w:tc>
          <w:tcPr>
            <w:tcW w:w="1700" w:type="dxa"/>
            <w:tcBorders>
              <w:top w:val="single" w:sz="4" w:space="0" w:color="auto"/>
              <w:left w:val="single" w:sz="4" w:space="0" w:color="auto"/>
              <w:bottom w:val="single" w:sz="4" w:space="0" w:color="auto"/>
              <w:right w:val="single" w:sz="4" w:space="0" w:color="auto"/>
            </w:tcBorders>
            <w:hideMark/>
          </w:tcPr>
          <w:p w14:paraId="164BD672" w14:textId="77777777" w:rsidR="0072464B" w:rsidRPr="0072464B" w:rsidRDefault="0072464B" w:rsidP="0072464B">
            <w:pPr>
              <w:spacing w:before="20" w:after="20"/>
              <w:jc w:val="both"/>
              <w:rPr>
                <w:rFonts w:cs="Calibri"/>
                <w:sz w:val="20"/>
                <w:szCs w:val="20"/>
              </w:rPr>
            </w:pPr>
            <w:r w:rsidRPr="0072464B">
              <w:rPr>
                <w:rFonts w:cs="Calibri"/>
                <w:sz w:val="20"/>
                <w:szCs w:val="20"/>
              </w:rPr>
              <w:t>II  kvartal 2022</w:t>
            </w:r>
          </w:p>
        </w:tc>
        <w:tc>
          <w:tcPr>
            <w:tcW w:w="2085" w:type="dxa"/>
            <w:tcBorders>
              <w:top w:val="single" w:sz="4" w:space="0" w:color="auto"/>
              <w:left w:val="single" w:sz="4" w:space="0" w:color="auto"/>
              <w:bottom w:val="single" w:sz="4" w:space="0" w:color="auto"/>
              <w:right w:val="single" w:sz="4" w:space="0" w:color="auto"/>
            </w:tcBorders>
            <w:hideMark/>
          </w:tcPr>
          <w:p w14:paraId="766E974C" w14:textId="77777777" w:rsidR="0072464B" w:rsidRPr="0072464B" w:rsidRDefault="0072464B" w:rsidP="0072464B">
            <w:pPr>
              <w:spacing w:before="20" w:after="20"/>
              <w:jc w:val="both"/>
              <w:rPr>
                <w:rFonts w:cs="Calibri"/>
                <w:sz w:val="20"/>
                <w:szCs w:val="20"/>
              </w:rPr>
            </w:pPr>
            <w:r w:rsidRPr="0072464B">
              <w:rPr>
                <w:rFonts w:cs="Calibri"/>
                <w:sz w:val="20"/>
                <w:szCs w:val="20"/>
              </w:rPr>
              <w:t>90.000,00 za operativne troškove</w:t>
            </w:r>
          </w:p>
        </w:tc>
        <w:tc>
          <w:tcPr>
            <w:tcW w:w="1214" w:type="dxa"/>
            <w:tcBorders>
              <w:top w:val="single" w:sz="4" w:space="0" w:color="auto"/>
              <w:left w:val="single" w:sz="4" w:space="0" w:color="auto"/>
              <w:bottom w:val="single" w:sz="4" w:space="0" w:color="auto"/>
              <w:right w:val="single" w:sz="4" w:space="0" w:color="auto"/>
            </w:tcBorders>
            <w:hideMark/>
          </w:tcPr>
          <w:p w14:paraId="0BAF2E2E" w14:textId="77777777" w:rsidR="0072464B" w:rsidRPr="0072464B" w:rsidRDefault="0072464B" w:rsidP="0072464B">
            <w:pPr>
              <w:spacing w:before="20" w:after="20"/>
              <w:jc w:val="both"/>
              <w:rPr>
                <w:rFonts w:cs="Calibri"/>
                <w:sz w:val="20"/>
                <w:szCs w:val="20"/>
              </w:rPr>
            </w:pPr>
            <w:r w:rsidRPr="0072464B">
              <w:rPr>
                <w:rFonts w:cs="Calibri"/>
                <w:sz w:val="20"/>
                <w:szCs w:val="20"/>
              </w:rPr>
              <w:t>Budžet</w:t>
            </w:r>
          </w:p>
        </w:tc>
        <w:tc>
          <w:tcPr>
            <w:tcW w:w="2407" w:type="dxa"/>
            <w:tcBorders>
              <w:top w:val="single" w:sz="4" w:space="0" w:color="auto"/>
              <w:left w:val="single" w:sz="4" w:space="0" w:color="auto"/>
              <w:bottom w:val="single" w:sz="4" w:space="0" w:color="auto"/>
              <w:right w:val="single" w:sz="4" w:space="0" w:color="auto"/>
            </w:tcBorders>
            <w:hideMark/>
          </w:tcPr>
          <w:p w14:paraId="5A8B6005" w14:textId="77777777" w:rsidR="0072464B" w:rsidRPr="0072464B" w:rsidRDefault="0072464B" w:rsidP="0072464B">
            <w:pPr>
              <w:spacing w:before="20" w:after="20"/>
              <w:jc w:val="both"/>
              <w:rPr>
                <w:rFonts w:cs="Calibri"/>
                <w:sz w:val="20"/>
                <w:szCs w:val="20"/>
              </w:rPr>
            </w:pPr>
            <w:r w:rsidRPr="0072464B">
              <w:rPr>
                <w:rFonts w:cs="Calibri"/>
                <w:sz w:val="20"/>
                <w:szCs w:val="20"/>
              </w:rPr>
              <w:t>Redovno praćenje rada institucije u nadležnosti Ministarstva od strane Vlade i usvajanje programa radi odobravanja godišnjih budžetskih sredstava namijenjenih za operativne troškove.</w:t>
            </w:r>
          </w:p>
        </w:tc>
      </w:tr>
      <w:tr w:rsidR="0072464B" w:rsidRPr="0072464B" w14:paraId="6DF0D623" w14:textId="77777777" w:rsidTr="0072464B">
        <w:tc>
          <w:tcPr>
            <w:tcW w:w="401" w:type="dxa"/>
            <w:tcBorders>
              <w:top w:val="single" w:sz="4" w:space="0" w:color="auto"/>
              <w:left w:val="single" w:sz="4" w:space="0" w:color="auto"/>
              <w:bottom w:val="single" w:sz="4" w:space="0" w:color="auto"/>
              <w:right w:val="single" w:sz="4" w:space="0" w:color="auto"/>
            </w:tcBorders>
            <w:hideMark/>
          </w:tcPr>
          <w:p w14:paraId="1134D28B" w14:textId="77777777" w:rsidR="0072464B" w:rsidRPr="0072464B" w:rsidRDefault="0072464B" w:rsidP="0072464B">
            <w:pPr>
              <w:spacing w:before="20" w:after="20"/>
              <w:rPr>
                <w:rFonts w:cs="Calibri"/>
                <w:sz w:val="20"/>
                <w:szCs w:val="20"/>
              </w:rPr>
            </w:pPr>
            <w:r w:rsidRPr="0072464B">
              <w:rPr>
                <w:rFonts w:cs="Calibri"/>
                <w:sz w:val="20"/>
                <w:szCs w:val="20"/>
              </w:rPr>
              <w:t>2</w:t>
            </w:r>
            <w:r w:rsidR="00FF0B4A">
              <w:rPr>
                <w:rFonts w:cs="Calibri"/>
                <w:sz w:val="20"/>
                <w:szCs w:val="20"/>
              </w:rPr>
              <w:t>.</w:t>
            </w:r>
          </w:p>
        </w:tc>
        <w:tc>
          <w:tcPr>
            <w:tcW w:w="2563" w:type="dxa"/>
            <w:tcBorders>
              <w:top w:val="single" w:sz="4" w:space="0" w:color="auto"/>
              <w:left w:val="single" w:sz="4" w:space="0" w:color="auto"/>
              <w:bottom w:val="single" w:sz="4" w:space="0" w:color="auto"/>
              <w:right w:val="single" w:sz="4" w:space="0" w:color="auto"/>
            </w:tcBorders>
            <w:hideMark/>
          </w:tcPr>
          <w:p w14:paraId="327DD2CC" w14:textId="77777777" w:rsidR="0072464B" w:rsidRPr="0072464B" w:rsidRDefault="0072464B" w:rsidP="0072464B">
            <w:pPr>
              <w:spacing w:before="20" w:after="20"/>
              <w:jc w:val="both"/>
              <w:rPr>
                <w:rFonts w:cs="Calibri"/>
                <w:sz w:val="20"/>
                <w:szCs w:val="20"/>
              </w:rPr>
            </w:pPr>
            <w:r w:rsidRPr="0072464B">
              <w:rPr>
                <w:rFonts w:cs="Calibri"/>
                <w:sz w:val="20"/>
                <w:szCs w:val="20"/>
              </w:rPr>
              <w:t>Informacija o Izvještaju o radu</w:t>
            </w:r>
          </w:p>
          <w:p w14:paraId="200CADB5" w14:textId="77777777" w:rsidR="0072464B" w:rsidRPr="0072464B" w:rsidRDefault="0072464B" w:rsidP="0072464B">
            <w:pPr>
              <w:spacing w:before="20" w:after="20"/>
              <w:jc w:val="both"/>
              <w:rPr>
                <w:rFonts w:cs="Calibri"/>
                <w:sz w:val="20"/>
                <w:szCs w:val="20"/>
              </w:rPr>
            </w:pPr>
            <w:r w:rsidRPr="0072464B">
              <w:rPr>
                <w:rFonts w:cs="Calibri"/>
                <w:sz w:val="20"/>
                <w:szCs w:val="20"/>
              </w:rPr>
              <w:t>na prioritetnom razvojnom</w:t>
            </w:r>
          </w:p>
          <w:p w14:paraId="2170CB2D" w14:textId="77777777" w:rsidR="0072464B" w:rsidRPr="0072464B" w:rsidRDefault="0072464B" w:rsidP="0072464B">
            <w:pPr>
              <w:spacing w:before="20" w:after="20"/>
              <w:jc w:val="both"/>
              <w:rPr>
                <w:rFonts w:cs="Calibri"/>
                <w:sz w:val="20"/>
                <w:szCs w:val="20"/>
              </w:rPr>
            </w:pPr>
            <w:r w:rsidRPr="0072464B">
              <w:rPr>
                <w:rFonts w:cs="Calibri"/>
                <w:sz w:val="20"/>
                <w:szCs w:val="20"/>
              </w:rPr>
              <w:t>projektu Naučno-tehnološki park Crne Gore za 2021. s</w:t>
            </w:r>
          </w:p>
          <w:p w14:paraId="7F2F4FB1" w14:textId="77777777" w:rsidR="0072464B" w:rsidRPr="0072464B" w:rsidRDefault="0072464B" w:rsidP="0072464B">
            <w:pPr>
              <w:spacing w:before="20" w:after="20"/>
              <w:jc w:val="both"/>
              <w:rPr>
                <w:rFonts w:cs="Calibri"/>
                <w:sz w:val="20"/>
                <w:szCs w:val="20"/>
              </w:rPr>
            </w:pPr>
            <w:r w:rsidRPr="0072464B">
              <w:rPr>
                <w:rFonts w:cs="Calibri"/>
                <w:sz w:val="20"/>
                <w:szCs w:val="20"/>
              </w:rPr>
              <w:t>Programom rada za 2022.</w:t>
            </w:r>
          </w:p>
          <w:p w14:paraId="55112B0A" w14:textId="77777777" w:rsidR="0072464B" w:rsidRPr="0072464B" w:rsidRDefault="0072464B" w:rsidP="0072464B">
            <w:pPr>
              <w:spacing w:before="20" w:after="20"/>
              <w:jc w:val="both"/>
              <w:rPr>
                <w:rFonts w:cs="Calibri"/>
                <w:sz w:val="20"/>
                <w:szCs w:val="20"/>
              </w:rPr>
            </w:pPr>
            <w:r w:rsidRPr="0072464B">
              <w:rPr>
                <w:rFonts w:cs="Calibri"/>
                <w:sz w:val="20"/>
                <w:szCs w:val="20"/>
              </w:rPr>
              <w:t>godinu.</w:t>
            </w:r>
          </w:p>
        </w:tc>
        <w:tc>
          <w:tcPr>
            <w:tcW w:w="2680" w:type="dxa"/>
            <w:tcBorders>
              <w:top w:val="single" w:sz="4" w:space="0" w:color="auto"/>
              <w:left w:val="single" w:sz="4" w:space="0" w:color="auto"/>
              <w:bottom w:val="single" w:sz="4" w:space="0" w:color="auto"/>
              <w:right w:val="single" w:sz="4" w:space="0" w:color="auto"/>
            </w:tcBorders>
            <w:hideMark/>
          </w:tcPr>
          <w:p w14:paraId="0EAD14A6" w14:textId="77777777" w:rsidR="0072464B" w:rsidRPr="0072464B" w:rsidRDefault="0072464B" w:rsidP="0072464B">
            <w:pPr>
              <w:spacing w:before="20" w:after="20"/>
              <w:jc w:val="both"/>
              <w:rPr>
                <w:rFonts w:cs="Calibri"/>
                <w:sz w:val="20"/>
                <w:szCs w:val="20"/>
              </w:rPr>
            </w:pPr>
            <w:r w:rsidRPr="0072464B">
              <w:rPr>
                <w:rFonts w:cs="Calibri"/>
                <w:sz w:val="20"/>
                <w:szCs w:val="20"/>
              </w:rPr>
              <w:t>Usvojen Izvještaj o radu NTP CG za 2021. i Plan rada za 2022.; Broj projekata u kojima učestvuje NTP;Broj organizoanih događaja podrške; Realizovan tender za dodatne radove na objektu</w:t>
            </w:r>
          </w:p>
        </w:tc>
        <w:tc>
          <w:tcPr>
            <w:tcW w:w="1836" w:type="dxa"/>
            <w:tcBorders>
              <w:top w:val="single" w:sz="4" w:space="0" w:color="auto"/>
              <w:left w:val="single" w:sz="4" w:space="0" w:color="auto"/>
              <w:bottom w:val="single" w:sz="4" w:space="0" w:color="auto"/>
              <w:right w:val="single" w:sz="4" w:space="0" w:color="auto"/>
            </w:tcBorders>
            <w:hideMark/>
          </w:tcPr>
          <w:p w14:paraId="20FDDB01" w14:textId="77777777" w:rsidR="0072464B" w:rsidRPr="0072464B" w:rsidRDefault="0072464B" w:rsidP="0072464B">
            <w:pPr>
              <w:spacing w:before="20" w:after="20"/>
              <w:jc w:val="both"/>
              <w:rPr>
                <w:rFonts w:cs="Calibri"/>
                <w:sz w:val="20"/>
                <w:szCs w:val="20"/>
              </w:rPr>
            </w:pPr>
            <w:r w:rsidRPr="0072464B">
              <w:rPr>
                <w:rFonts w:cs="Calibri"/>
                <w:sz w:val="20"/>
                <w:szCs w:val="20"/>
              </w:rPr>
              <w:t>NI:MER                                                                  NK: KEPIF</w:t>
            </w:r>
          </w:p>
        </w:tc>
        <w:tc>
          <w:tcPr>
            <w:tcW w:w="1700" w:type="dxa"/>
            <w:tcBorders>
              <w:top w:val="single" w:sz="4" w:space="0" w:color="auto"/>
              <w:left w:val="single" w:sz="4" w:space="0" w:color="auto"/>
              <w:bottom w:val="single" w:sz="4" w:space="0" w:color="auto"/>
              <w:right w:val="single" w:sz="4" w:space="0" w:color="auto"/>
            </w:tcBorders>
            <w:hideMark/>
          </w:tcPr>
          <w:p w14:paraId="45C77FC4" w14:textId="77777777" w:rsidR="0072464B" w:rsidRPr="0072464B" w:rsidRDefault="0072464B" w:rsidP="0072464B">
            <w:pPr>
              <w:spacing w:before="20" w:after="20"/>
              <w:jc w:val="both"/>
              <w:rPr>
                <w:rFonts w:cs="Calibri"/>
                <w:sz w:val="20"/>
                <w:szCs w:val="20"/>
              </w:rPr>
            </w:pPr>
            <w:r w:rsidRPr="0072464B">
              <w:rPr>
                <w:rFonts w:cs="Calibri"/>
                <w:sz w:val="20"/>
                <w:szCs w:val="20"/>
              </w:rPr>
              <w:t>II  kvartal 2022</w:t>
            </w:r>
          </w:p>
        </w:tc>
        <w:tc>
          <w:tcPr>
            <w:tcW w:w="2085" w:type="dxa"/>
            <w:tcBorders>
              <w:top w:val="single" w:sz="4" w:space="0" w:color="auto"/>
              <w:left w:val="single" w:sz="4" w:space="0" w:color="auto"/>
              <w:bottom w:val="single" w:sz="4" w:space="0" w:color="auto"/>
              <w:right w:val="single" w:sz="4" w:space="0" w:color="auto"/>
            </w:tcBorders>
            <w:hideMark/>
          </w:tcPr>
          <w:p w14:paraId="117D6A35" w14:textId="77777777" w:rsidR="0072464B" w:rsidRPr="0072464B" w:rsidRDefault="0072464B" w:rsidP="0072464B">
            <w:pPr>
              <w:spacing w:before="20" w:after="20"/>
              <w:jc w:val="both"/>
              <w:rPr>
                <w:rFonts w:cs="Calibri"/>
                <w:sz w:val="20"/>
                <w:szCs w:val="20"/>
              </w:rPr>
            </w:pPr>
            <w:r w:rsidRPr="0072464B">
              <w:rPr>
                <w:rFonts w:cs="Calibri"/>
                <w:sz w:val="20"/>
                <w:szCs w:val="20"/>
              </w:rPr>
              <w:t>100.000,00 za operativne troškove</w:t>
            </w:r>
          </w:p>
        </w:tc>
        <w:tc>
          <w:tcPr>
            <w:tcW w:w="1214" w:type="dxa"/>
            <w:tcBorders>
              <w:top w:val="single" w:sz="4" w:space="0" w:color="auto"/>
              <w:left w:val="single" w:sz="4" w:space="0" w:color="auto"/>
              <w:bottom w:val="single" w:sz="4" w:space="0" w:color="auto"/>
              <w:right w:val="single" w:sz="4" w:space="0" w:color="auto"/>
            </w:tcBorders>
            <w:hideMark/>
          </w:tcPr>
          <w:p w14:paraId="13602B3A" w14:textId="77777777" w:rsidR="0072464B" w:rsidRPr="0072464B" w:rsidRDefault="0072464B" w:rsidP="0072464B">
            <w:pPr>
              <w:spacing w:before="20" w:after="20"/>
              <w:jc w:val="both"/>
              <w:rPr>
                <w:rFonts w:cs="Calibri"/>
                <w:sz w:val="20"/>
                <w:szCs w:val="20"/>
              </w:rPr>
            </w:pPr>
            <w:r w:rsidRPr="0072464B">
              <w:rPr>
                <w:rFonts w:cs="Calibri"/>
                <w:sz w:val="20"/>
                <w:szCs w:val="20"/>
              </w:rPr>
              <w:t>Budžet 100.000,00; Donori (Druga faza projekta "Norveška za vas") - planirana podrška jačanju kapaciteta NTP-a - tbd</w:t>
            </w:r>
          </w:p>
        </w:tc>
        <w:tc>
          <w:tcPr>
            <w:tcW w:w="2407" w:type="dxa"/>
            <w:tcBorders>
              <w:top w:val="single" w:sz="4" w:space="0" w:color="auto"/>
              <w:left w:val="single" w:sz="4" w:space="0" w:color="auto"/>
              <w:bottom w:val="single" w:sz="4" w:space="0" w:color="auto"/>
              <w:right w:val="single" w:sz="4" w:space="0" w:color="auto"/>
            </w:tcBorders>
            <w:hideMark/>
          </w:tcPr>
          <w:p w14:paraId="6B671DD8" w14:textId="77777777" w:rsidR="0072464B" w:rsidRPr="0072464B" w:rsidRDefault="0072464B" w:rsidP="0072464B">
            <w:pPr>
              <w:spacing w:before="20" w:after="20"/>
              <w:jc w:val="both"/>
              <w:rPr>
                <w:rFonts w:cs="Calibri"/>
                <w:sz w:val="20"/>
                <w:szCs w:val="20"/>
              </w:rPr>
            </w:pPr>
            <w:r w:rsidRPr="0072464B">
              <w:rPr>
                <w:rFonts w:cs="Calibri"/>
                <w:sz w:val="20"/>
                <w:szCs w:val="20"/>
              </w:rPr>
              <w:t>Redovno praćenje realizacije prioritenog infrastrukturnog projekta i rada institucije u nadležnosti Ministarstva od strane Vlade i usvajanje programa radi odobravanja godišnjih budžetskih sredstava namijenjenih za operativne troškove. Kroz drugu fazu projekta Unapređenje sistemske podrške inovacijama i razvoju MMSP “Norveška za vas” planira se jačanje kapaciteta NTP CG. Ukupna planirana podrška sektoru inovacija kroz ovaj projekat  iznosi 479,170.00 eura , za period implementacije 1 novembar 2021. – 30 septembar 2023.</w:t>
            </w:r>
          </w:p>
        </w:tc>
      </w:tr>
      <w:tr w:rsidR="0072464B" w:rsidRPr="0072464B" w14:paraId="3E68B934" w14:textId="77777777" w:rsidTr="0072464B">
        <w:tc>
          <w:tcPr>
            <w:tcW w:w="401" w:type="dxa"/>
            <w:tcBorders>
              <w:top w:val="single" w:sz="4" w:space="0" w:color="auto"/>
              <w:left w:val="single" w:sz="4" w:space="0" w:color="auto"/>
              <w:bottom w:val="single" w:sz="4" w:space="0" w:color="auto"/>
              <w:right w:val="single" w:sz="4" w:space="0" w:color="auto"/>
            </w:tcBorders>
          </w:tcPr>
          <w:p w14:paraId="4B53E17E" w14:textId="77777777" w:rsidR="0072464B" w:rsidRPr="0072464B" w:rsidRDefault="00AE274D" w:rsidP="0072464B">
            <w:pPr>
              <w:spacing w:before="20" w:after="20"/>
              <w:rPr>
                <w:rFonts w:cs="Calibri"/>
                <w:sz w:val="20"/>
                <w:szCs w:val="20"/>
              </w:rPr>
            </w:pPr>
            <w:r>
              <w:rPr>
                <w:rFonts w:cs="Calibri"/>
                <w:sz w:val="20"/>
                <w:szCs w:val="20"/>
              </w:rPr>
              <w:t>3.</w:t>
            </w:r>
          </w:p>
        </w:tc>
        <w:tc>
          <w:tcPr>
            <w:tcW w:w="2563" w:type="dxa"/>
            <w:tcBorders>
              <w:top w:val="single" w:sz="4" w:space="0" w:color="auto"/>
              <w:left w:val="single" w:sz="4" w:space="0" w:color="auto"/>
              <w:bottom w:val="single" w:sz="4" w:space="0" w:color="auto"/>
              <w:right w:val="single" w:sz="4" w:space="0" w:color="auto"/>
            </w:tcBorders>
            <w:hideMark/>
          </w:tcPr>
          <w:p w14:paraId="6BFE8473" w14:textId="77777777" w:rsidR="0072464B" w:rsidRPr="0072464B" w:rsidRDefault="0072464B" w:rsidP="0072464B">
            <w:pPr>
              <w:spacing w:before="20" w:after="20"/>
              <w:jc w:val="both"/>
              <w:rPr>
                <w:rFonts w:cs="Calibri"/>
                <w:sz w:val="20"/>
                <w:szCs w:val="20"/>
              </w:rPr>
            </w:pPr>
            <w:r w:rsidRPr="0072464B">
              <w:rPr>
                <w:rFonts w:cs="Calibri"/>
                <w:sz w:val="20"/>
                <w:szCs w:val="20"/>
              </w:rPr>
              <w:t>Informacija o Izvještaju o radu</w:t>
            </w:r>
          </w:p>
          <w:p w14:paraId="1E2C1C47" w14:textId="77777777" w:rsidR="0072464B" w:rsidRPr="0072464B" w:rsidRDefault="0072464B" w:rsidP="0072464B">
            <w:pPr>
              <w:spacing w:before="20" w:after="20"/>
              <w:jc w:val="both"/>
              <w:rPr>
                <w:rFonts w:cs="Calibri"/>
                <w:sz w:val="20"/>
                <w:szCs w:val="20"/>
              </w:rPr>
            </w:pPr>
            <w:r w:rsidRPr="0072464B">
              <w:rPr>
                <w:rFonts w:cs="Calibri"/>
                <w:sz w:val="20"/>
                <w:szCs w:val="20"/>
              </w:rPr>
              <w:t>Društva sa ograničenom odgovornošću Fond za inovacije Crne Gore  za 2021. s</w:t>
            </w:r>
          </w:p>
          <w:p w14:paraId="1D4583DF" w14:textId="77777777" w:rsidR="0072464B" w:rsidRPr="0072464B" w:rsidRDefault="0072464B" w:rsidP="0072464B">
            <w:pPr>
              <w:spacing w:before="20" w:after="20"/>
              <w:jc w:val="both"/>
              <w:rPr>
                <w:rFonts w:cs="Calibri"/>
                <w:sz w:val="20"/>
                <w:szCs w:val="20"/>
              </w:rPr>
            </w:pPr>
            <w:r w:rsidRPr="0072464B">
              <w:rPr>
                <w:rFonts w:cs="Calibri"/>
                <w:sz w:val="20"/>
                <w:szCs w:val="20"/>
              </w:rPr>
              <w:t>Programom rada za 2022.</w:t>
            </w:r>
          </w:p>
          <w:p w14:paraId="0EE0BEB5" w14:textId="77777777" w:rsidR="0072464B" w:rsidRPr="0072464B" w:rsidRDefault="0072464B" w:rsidP="0072464B">
            <w:pPr>
              <w:spacing w:before="20" w:after="20"/>
              <w:jc w:val="both"/>
              <w:rPr>
                <w:rFonts w:cs="Calibri"/>
                <w:sz w:val="20"/>
                <w:szCs w:val="20"/>
              </w:rPr>
            </w:pPr>
            <w:r w:rsidRPr="0072464B">
              <w:rPr>
                <w:rFonts w:cs="Calibri"/>
                <w:sz w:val="20"/>
                <w:szCs w:val="20"/>
              </w:rPr>
              <w:t>godinu.</w:t>
            </w:r>
          </w:p>
        </w:tc>
        <w:tc>
          <w:tcPr>
            <w:tcW w:w="2680" w:type="dxa"/>
            <w:tcBorders>
              <w:top w:val="single" w:sz="4" w:space="0" w:color="auto"/>
              <w:left w:val="single" w:sz="4" w:space="0" w:color="auto"/>
              <w:bottom w:val="single" w:sz="4" w:space="0" w:color="auto"/>
              <w:right w:val="single" w:sz="4" w:space="0" w:color="auto"/>
            </w:tcBorders>
            <w:hideMark/>
          </w:tcPr>
          <w:p w14:paraId="5F00DE2C" w14:textId="77777777" w:rsidR="0072464B" w:rsidRPr="0072464B" w:rsidRDefault="0072464B" w:rsidP="0072464B">
            <w:pPr>
              <w:spacing w:before="20" w:after="20"/>
              <w:jc w:val="both"/>
              <w:rPr>
                <w:rFonts w:cs="Calibri"/>
                <w:sz w:val="20"/>
                <w:szCs w:val="20"/>
              </w:rPr>
            </w:pPr>
            <w:r w:rsidRPr="0072464B">
              <w:rPr>
                <w:rFonts w:cs="Calibri"/>
                <w:sz w:val="20"/>
                <w:szCs w:val="20"/>
              </w:rPr>
              <w:t>Usvojen Izvještaj o radu Fonda za inovacije CG za 2021. i Plan rada za 2022.; Broj zaposlenih; Broj projekata i aktivnosti podrške jačanju kapaciteta Fonda</w:t>
            </w:r>
          </w:p>
        </w:tc>
        <w:tc>
          <w:tcPr>
            <w:tcW w:w="1836" w:type="dxa"/>
            <w:tcBorders>
              <w:top w:val="single" w:sz="4" w:space="0" w:color="auto"/>
              <w:left w:val="single" w:sz="4" w:space="0" w:color="auto"/>
              <w:bottom w:val="single" w:sz="4" w:space="0" w:color="auto"/>
              <w:right w:val="single" w:sz="4" w:space="0" w:color="auto"/>
            </w:tcBorders>
            <w:hideMark/>
          </w:tcPr>
          <w:p w14:paraId="3F583592" w14:textId="77777777" w:rsidR="0072464B" w:rsidRPr="0072464B" w:rsidRDefault="0072464B" w:rsidP="0072464B">
            <w:pPr>
              <w:spacing w:before="20" w:after="20"/>
              <w:jc w:val="both"/>
              <w:rPr>
                <w:rFonts w:cs="Calibri"/>
                <w:sz w:val="20"/>
                <w:szCs w:val="20"/>
              </w:rPr>
            </w:pPr>
            <w:r w:rsidRPr="0072464B">
              <w:rPr>
                <w:rFonts w:cs="Calibri"/>
                <w:sz w:val="20"/>
                <w:szCs w:val="20"/>
              </w:rPr>
              <w:t>NI:MER                                                                  NK: KEPIF</w:t>
            </w:r>
          </w:p>
        </w:tc>
        <w:tc>
          <w:tcPr>
            <w:tcW w:w="1700" w:type="dxa"/>
            <w:tcBorders>
              <w:top w:val="single" w:sz="4" w:space="0" w:color="auto"/>
              <w:left w:val="single" w:sz="4" w:space="0" w:color="auto"/>
              <w:bottom w:val="single" w:sz="4" w:space="0" w:color="auto"/>
              <w:right w:val="single" w:sz="4" w:space="0" w:color="auto"/>
            </w:tcBorders>
            <w:hideMark/>
          </w:tcPr>
          <w:p w14:paraId="360BF7FC" w14:textId="77777777" w:rsidR="0072464B" w:rsidRPr="0072464B" w:rsidRDefault="0072464B" w:rsidP="0072464B">
            <w:pPr>
              <w:spacing w:before="20" w:after="20"/>
              <w:jc w:val="both"/>
              <w:rPr>
                <w:rFonts w:cs="Calibri"/>
                <w:sz w:val="20"/>
                <w:szCs w:val="20"/>
              </w:rPr>
            </w:pPr>
            <w:r w:rsidRPr="0072464B">
              <w:rPr>
                <w:rFonts w:cs="Calibri"/>
                <w:sz w:val="20"/>
                <w:szCs w:val="20"/>
              </w:rPr>
              <w:t>II  kvartal 2022</w:t>
            </w:r>
          </w:p>
        </w:tc>
        <w:tc>
          <w:tcPr>
            <w:tcW w:w="2085" w:type="dxa"/>
            <w:tcBorders>
              <w:top w:val="single" w:sz="4" w:space="0" w:color="auto"/>
              <w:left w:val="single" w:sz="4" w:space="0" w:color="auto"/>
              <w:bottom w:val="single" w:sz="4" w:space="0" w:color="auto"/>
              <w:right w:val="single" w:sz="4" w:space="0" w:color="auto"/>
            </w:tcBorders>
            <w:hideMark/>
          </w:tcPr>
          <w:p w14:paraId="04353F24" w14:textId="77777777" w:rsidR="0072464B" w:rsidRPr="0072464B" w:rsidRDefault="0072464B" w:rsidP="0072464B">
            <w:pPr>
              <w:spacing w:before="20" w:after="20"/>
              <w:jc w:val="both"/>
              <w:rPr>
                <w:rFonts w:cs="Calibri"/>
                <w:sz w:val="20"/>
                <w:szCs w:val="20"/>
              </w:rPr>
            </w:pPr>
            <w:r w:rsidRPr="0072464B">
              <w:rPr>
                <w:rFonts w:cs="Calibri"/>
                <w:sz w:val="20"/>
                <w:szCs w:val="20"/>
              </w:rPr>
              <w:t>1.000.000,00 za operativne troškove i programske linije podrške inovacijama</w:t>
            </w:r>
          </w:p>
        </w:tc>
        <w:tc>
          <w:tcPr>
            <w:tcW w:w="1214" w:type="dxa"/>
            <w:tcBorders>
              <w:top w:val="single" w:sz="4" w:space="0" w:color="auto"/>
              <w:left w:val="single" w:sz="4" w:space="0" w:color="auto"/>
              <w:bottom w:val="single" w:sz="4" w:space="0" w:color="auto"/>
              <w:right w:val="single" w:sz="4" w:space="0" w:color="auto"/>
            </w:tcBorders>
            <w:hideMark/>
          </w:tcPr>
          <w:p w14:paraId="09C3EB39" w14:textId="77777777" w:rsidR="0072464B" w:rsidRPr="0072464B" w:rsidRDefault="0072464B" w:rsidP="0072464B">
            <w:pPr>
              <w:spacing w:before="20" w:after="20"/>
              <w:jc w:val="both"/>
              <w:rPr>
                <w:rFonts w:cs="Calibri"/>
                <w:sz w:val="20"/>
                <w:szCs w:val="20"/>
              </w:rPr>
            </w:pPr>
            <w:r w:rsidRPr="0072464B">
              <w:rPr>
                <w:rFonts w:cs="Calibri"/>
                <w:sz w:val="20"/>
                <w:szCs w:val="20"/>
              </w:rPr>
              <w:t xml:space="preserve">1.000.000,00 Budžet; IPA 2020 TA (tbd - evaluacija u toku); Donori (Druga faza projekta "Norveška za </w:t>
            </w:r>
            <w:r w:rsidRPr="0072464B">
              <w:rPr>
                <w:rFonts w:cs="Calibri"/>
                <w:sz w:val="20"/>
                <w:szCs w:val="20"/>
              </w:rPr>
              <w:lastRenderedPageBreak/>
              <w:t>vas") - planirana podrška jačanju kapacitet Fonda za inovacije CG</w:t>
            </w:r>
          </w:p>
        </w:tc>
        <w:tc>
          <w:tcPr>
            <w:tcW w:w="2407" w:type="dxa"/>
            <w:tcBorders>
              <w:top w:val="single" w:sz="4" w:space="0" w:color="auto"/>
              <w:left w:val="single" w:sz="4" w:space="0" w:color="auto"/>
              <w:bottom w:val="single" w:sz="4" w:space="0" w:color="auto"/>
              <w:right w:val="single" w:sz="4" w:space="0" w:color="auto"/>
            </w:tcBorders>
            <w:hideMark/>
          </w:tcPr>
          <w:p w14:paraId="3C23A474" w14:textId="77777777" w:rsidR="0072464B" w:rsidRPr="0072464B" w:rsidRDefault="0072464B" w:rsidP="0072464B">
            <w:pPr>
              <w:spacing w:before="20" w:after="20"/>
              <w:jc w:val="both"/>
              <w:rPr>
                <w:rFonts w:cs="Calibri"/>
                <w:sz w:val="20"/>
                <w:szCs w:val="20"/>
              </w:rPr>
            </w:pPr>
            <w:r w:rsidRPr="0072464B">
              <w:rPr>
                <w:rFonts w:cs="Calibri"/>
                <w:sz w:val="20"/>
                <w:szCs w:val="20"/>
              </w:rPr>
              <w:lastRenderedPageBreak/>
              <w:t xml:space="preserve">Redovno praćenje realizacije  rada institucije u nadležnosti Ministarstva od strane Vlade i usvajanje programa radi odobravanja godišnjih budžetskih sredstava namijenjenih za operativne troškove. Kroz drugu fazu </w:t>
            </w:r>
            <w:r w:rsidRPr="0072464B">
              <w:rPr>
                <w:rFonts w:cs="Calibri"/>
                <w:sz w:val="20"/>
                <w:szCs w:val="20"/>
              </w:rPr>
              <w:lastRenderedPageBreak/>
              <w:t>projekta Unapređenje sistemske podrške inovacijama i razvoju MMSP “Norveška za vas” planira se jačanje kapaciteta Fonda za inovacije CG. Ukupna planirana podrška sektoru inovacija kroz ovaj projekat iznosi 479,170.00 eura , za period implementacije 1 novembar 2021. – 30 septembar 2023.</w:t>
            </w:r>
          </w:p>
        </w:tc>
      </w:tr>
      <w:tr w:rsidR="0072464B" w:rsidRPr="0072464B" w14:paraId="1CCF19B6" w14:textId="77777777" w:rsidTr="0072464B">
        <w:tc>
          <w:tcPr>
            <w:tcW w:w="401" w:type="dxa"/>
            <w:tcBorders>
              <w:top w:val="single" w:sz="4" w:space="0" w:color="auto"/>
              <w:left w:val="single" w:sz="4" w:space="0" w:color="auto"/>
              <w:bottom w:val="single" w:sz="4" w:space="0" w:color="auto"/>
              <w:right w:val="single" w:sz="4" w:space="0" w:color="auto"/>
            </w:tcBorders>
          </w:tcPr>
          <w:p w14:paraId="5295C92B" w14:textId="77777777" w:rsidR="0072464B" w:rsidRPr="0072464B" w:rsidRDefault="00AE274D" w:rsidP="0072464B">
            <w:pPr>
              <w:spacing w:before="20" w:after="20"/>
              <w:rPr>
                <w:rFonts w:cs="Calibri"/>
                <w:sz w:val="20"/>
                <w:szCs w:val="20"/>
              </w:rPr>
            </w:pPr>
            <w:r>
              <w:rPr>
                <w:rFonts w:cs="Calibri"/>
                <w:sz w:val="20"/>
                <w:szCs w:val="20"/>
              </w:rPr>
              <w:lastRenderedPageBreak/>
              <w:t>4.</w:t>
            </w:r>
          </w:p>
        </w:tc>
        <w:tc>
          <w:tcPr>
            <w:tcW w:w="2563" w:type="dxa"/>
            <w:tcBorders>
              <w:top w:val="single" w:sz="4" w:space="0" w:color="auto"/>
              <w:left w:val="single" w:sz="4" w:space="0" w:color="auto"/>
              <w:bottom w:val="single" w:sz="4" w:space="0" w:color="auto"/>
              <w:right w:val="single" w:sz="4" w:space="0" w:color="auto"/>
            </w:tcBorders>
            <w:hideMark/>
          </w:tcPr>
          <w:p w14:paraId="5753692F" w14:textId="77777777" w:rsidR="0072464B" w:rsidRPr="0072464B" w:rsidRDefault="0072464B" w:rsidP="0072464B">
            <w:pPr>
              <w:spacing w:before="20" w:after="20"/>
              <w:jc w:val="both"/>
              <w:rPr>
                <w:rFonts w:cs="Calibri"/>
                <w:sz w:val="20"/>
                <w:szCs w:val="20"/>
              </w:rPr>
            </w:pPr>
            <w:r w:rsidRPr="0072464B">
              <w:rPr>
                <w:rFonts w:cs="Calibri"/>
                <w:sz w:val="20"/>
                <w:szCs w:val="20"/>
              </w:rPr>
              <w:t>Akcioni plan za implementaciju Operativnog programa za implementaciju Strategije pametne specijalizacije 2021-2024 za period 2023-2024</w:t>
            </w:r>
          </w:p>
        </w:tc>
        <w:tc>
          <w:tcPr>
            <w:tcW w:w="2680" w:type="dxa"/>
            <w:tcBorders>
              <w:top w:val="single" w:sz="4" w:space="0" w:color="auto"/>
              <w:left w:val="single" w:sz="4" w:space="0" w:color="auto"/>
              <w:bottom w:val="single" w:sz="4" w:space="0" w:color="auto"/>
              <w:right w:val="single" w:sz="4" w:space="0" w:color="auto"/>
            </w:tcBorders>
            <w:hideMark/>
          </w:tcPr>
          <w:p w14:paraId="35F725DD" w14:textId="77777777" w:rsidR="0072464B" w:rsidRPr="0072464B" w:rsidRDefault="0072464B" w:rsidP="0072464B">
            <w:pPr>
              <w:spacing w:before="20" w:after="20"/>
              <w:jc w:val="both"/>
              <w:rPr>
                <w:rFonts w:cs="Calibri"/>
                <w:sz w:val="20"/>
                <w:szCs w:val="20"/>
              </w:rPr>
            </w:pPr>
            <w:r w:rsidRPr="0072464B">
              <w:rPr>
                <w:rFonts w:cs="Calibri"/>
                <w:sz w:val="20"/>
                <w:szCs w:val="20"/>
              </w:rPr>
              <w:t>Usvojen Akcioni plan</w:t>
            </w:r>
          </w:p>
        </w:tc>
        <w:tc>
          <w:tcPr>
            <w:tcW w:w="1836" w:type="dxa"/>
            <w:tcBorders>
              <w:top w:val="single" w:sz="4" w:space="0" w:color="auto"/>
              <w:left w:val="single" w:sz="4" w:space="0" w:color="auto"/>
              <w:bottom w:val="single" w:sz="4" w:space="0" w:color="auto"/>
              <w:right w:val="single" w:sz="4" w:space="0" w:color="auto"/>
            </w:tcBorders>
            <w:hideMark/>
          </w:tcPr>
          <w:p w14:paraId="65745770" w14:textId="77777777" w:rsidR="0072464B" w:rsidRPr="0072464B" w:rsidRDefault="0072464B" w:rsidP="0072464B">
            <w:pPr>
              <w:spacing w:before="20" w:after="20"/>
              <w:jc w:val="both"/>
              <w:rPr>
                <w:rFonts w:cs="Calibri"/>
                <w:sz w:val="20"/>
                <w:szCs w:val="20"/>
              </w:rPr>
            </w:pPr>
            <w:r w:rsidRPr="0072464B">
              <w:rPr>
                <w:rFonts w:cs="Calibri"/>
                <w:sz w:val="20"/>
                <w:szCs w:val="20"/>
              </w:rPr>
              <w:t>NI:MER                                                                  NK: KEPIF</w:t>
            </w:r>
          </w:p>
        </w:tc>
        <w:tc>
          <w:tcPr>
            <w:tcW w:w="1700" w:type="dxa"/>
            <w:tcBorders>
              <w:top w:val="single" w:sz="4" w:space="0" w:color="auto"/>
              <w:left w:val="single" w:sz="4" w:space="0" w:color="auto"/>
              <w:bottom w:val="single" w:sz="4" w:space="0" w:color="auto"/>
              <w:right w:val="single" w:sz="4" w:space="0" w:color="auto"/>
            </w:tcBorders>
            <w:hideMark/>
          </w:tcPr>
          <w:p w14:paraId="3B4B60D1" w14:textId="77777777" w:rsidR="0072464B" w:rsidRPr="0072464B" w:rsidRDefault="0072464B" w:rsidP="0072464B">
            <w:pPr>
              <w:spacing w:before="20" w:after="20"/>
              <w:jc w:val="both"/>
              <w:rPr>
                <w:rFonts w:cs="Calibri"/>
                <w:sz w:val="20"/>
                <w:szCs w:val="20"/>
              </w:rPr>
            </w:pPr>
            <w:r w:rsidRPr="0072464B">
              <w:rPr>
                <w:rFonts w:cs="Calibri"/>
                <w:sz w:val="20"/>
                <w:szCs w:val="20"/>
              </w:rPr>
              <w:t>IV kvartal 2022</w:t>
            </w:r>
          </w:p>
        </w:tc>
        <w:tc>
          <w:tcPr>
            <w:tcW w:w="2085" w:type="dxa"/>
            <w:tcBorders>
              <w:top w:val="single" w:sz="4" w:space="0" w:color="auto"/>
              <w:left w:val="single" w:sz="4" w:space="0" w:color="auto"/>
              <w:bottom w:val="single" w:sz="4" w:space="0" w:color="auto"/>
              <w:right w:val="single" w:sz="4" w:space="0" w:color="auto"/>
            </w:tcBorders>
            <w:hideMark/>
          </w:tcPr>
          <w:p w14:paraId="55CE18CD" w14:textId="77777777" w:rsidR="0072464B" w:rsidRPr="0072464B" w:rsidRDefault="0072464B" w:rsidP="0072464B">
            <w:pPr>
              <w:spacing w:before="20" w:after="20"/>
              <w:jc w:val="both"/>
              <w:rPr>
                <w:rFonts w:cs="Calibri"/>
                <w:sz w:val="20"/>
                <w:szCs w:val="20"/>
              </w:rPr>
            </w:pPr>
            <w:r w:rsidRPr="0072464B">
              <w:rPr>
                <w:rFonts w:cs="Calibri"/>
                <w:sz w:val="20"/>
                <w:szCs w:val="20"/>
              </w:rPr>
              <w:t>AP treba da utvrdi</w:t>
            </w:r>
          </w:p>
        </w:tc>
        <w:tc>
          <w:tcPr>
            <w:tcW w:w="1214" w:type="dxa"/>
            <w:tcBorders>
              <w:top w:val="single" w:sz="4" w:space="0" w:color="auto"/>
              <w:left w:val="single" w:sz="4" w:space="0" w:color="auto"/>
              <w:bottom w:val="single" w:sz="4" w:space="0" w:color="auto"/>
              <w:right w:val="single" w:sz="4" w:space="0" w:color="auto"/>
            </w:tcBorders>
            <w:hideMark/>
          </w:tcPr>
          <w:p w14:paraId="5E9A595F" w14:textId="77777777" w:rsidR="0072464B" w:rsidRPr="0072464B" w:rsidRDefault="0072464B" w:rsidP="0072464B">
            <w:pPr>
              <w:spacing w:before="20" w:after="20"/>
              <w:jc w:val="both"/>
              <w:rPr>
                <w:rFonts w:cs="Calibri"/>
                <w:sz w:val="20"/>
                <w:szCs w:val="20"/>
              </w:rPr>
            </w:pPr>
            <w:r w:rsidRPr="0072464B">
              <w:rPr>
                <w:rFonts w:cs="Calibri"/>
                <w:sz w:val="20"/>
                <w:szCs w:val="20"/>
              </w:rPr>
              <w:t>TBD</w:t>
            </w:r>
          </w:p>
        </w:tc>
        <w:tc>
          <w:tcPr>
            <w:tcW w:w="2407" w:type="dxa"/>
            <w:tcBorders>
              <w:top w:val="single" w:sz="4" w:space="0" w:color="auto"/>
              <w:left w:val="single" w:sz="4" w:space="0" w:color="auto"/>
              <w:bottom w:val="single" w:sz="4" w:space="0" w:color="auto"/>
              <w:right w:val="single" w:sz="4" w:space="0" w:color="auto"/>
            </w:tcBorders>
            <w:hideMark/>
          </w:tcPr>
          <w:p w14:paraId="626376BD" w14:textId="77777777" w:rsidR="0072464B" w:rsidRPr="0072464B" w:rsidRDefault="0072464B" w:rsidP="0072464B">
            <w:pPr>
              <w:spacing w:before="20" w:after="20"/>
              <w:jc w:val="both"/>
              <w:rPr>
                <w:rFonts w:cs="Calibri"/>
                <w:sz w:val="20"/>
                <w:szCs w:val="20"/>
              </w:rPr>
            </w:pPr>
            <w:r w:rsidRPr="0072464B">
              <w:rPr>
                <w:rFonts w:cs="Calibri"/>
                <w:sz w:val="20"/>
                <w:szCs w:val="20"/>
              </w:rPr>
              <w:t xml:space="preserve">Vlada Crne Gore treba da do kraja IV kvartala 2021. usvoji Operativni program za implementaciju S3 2021-2024. Imajući u vidu činjenicu da se krajem 2021. uspostavio revidirani implementacioni okvir za S3, ta da je Savjet za inovacije i pametnu specijalizaciju, kojim predsjedava predsjednik Vlade, počeo sa radom krajem novembra 2021. godine, njegova ključna uloga u koordinaciji inovacione politike sa fokusom na S3 biće realizovana tokom 2022., uz podršku rada inovacionih radnih grupa po prioritetima i podrški implemetaciji od strane Fonda za inovacije Crne Gore , čime će se steći uslovi za bolje programiranje mjera i koordinaciju investicionih prioriteta, kao efikasniju implementaciju istih, zbog čega je odlučemo da se </w:t>
            </w:r>
            <w:r w:rsidRPr="0072464B">
              <w:rPr>
                <w:rFonts w:cs="Calibri"/>
                <w:sz w:val="20"/>
                <w:szCs w:val="20"/>
              </w:rPr>
              <w:lastRenderedPageBreak/>
              <w:t>Akcioni plan za 2023-2024 donese naknadno</w:t>
            </w:r>
          </w:p>
        </w:tc>
      </w:tr>
      <w:tr w:rsidR="0072464B" w:rsidRPr="0072464B" w14:paraId="7D7F486B" w14:textId="77777777" w:rsidTr="0072464B">
        <w:tc>
          <w:tcPr>
            <w:tcW w:w="401" w:type="dxa"/>
            <w:tcBorders>
              <w:top w:val="single" w:sz="4" w:space="0" w:color="auto"/>
              <w:left w:val="single" w:sz="4" w:space="0" w:color="auto"/>
              <w:bottom w:val="single" w:sz="4" w:space="0" w:color="auto"/>
              <w:right w:val="single" w:sz="4" w:space="0" w:color="auto"/>
            </w:tcBorders>
          </w:tcPr>
          <w:p w14:paraId="501A27EB" w14:textId="77777777" w:rsidR="0072464B" w:rsidRPr="0072464B" w:rsidRDefault="00AE274D" w:rsidP="0072464B">
            <w:pPr>
              <w:spacing w:before="20" w:after="20"/>
              <w:rPr>
                <w:rFonts w:cs="Calibri"/>
                <w:sz w:val="20"/>
                <w:szCs w:val="20"/>
              </w:rPr>
            </w:pPr>
            <w:r>
              <w:rPr>
                <w:rFonts w:cs="Calibri"/>
                <w:sz w:val="20"/>
                <w:szCs w:val="20"/>
              </w:rPr>
              <w:lastRenderedPageBreak/>
              <w:t>5.</w:t>
            </w:r>
          </w:p>
        </w:tc>
        <w:tc>
          <w:tcPr>
            <w:tcW w:w="2563" w:type="dxa"/>
            <w:tcBorders>
              <w:top w:val="single" w:sz="4" w:space="0" w:color="auto"/>
              <w:left w:val="single" w:sz="4" w:space="0" w:color="auto"/>
              <w:bottom w:val="single" w:sz="4" w:space="0" w:color="auto"/>
              <w:right w:val="single" w:sz="4" w:space="0" w:color="auto"/>
            </w:tcBorders>
            <w:hideMark/>
          </w:tcPr>
          <w:p w14:paraId="167A432E" w14:textId="77777777" w:rsidR="0072464B" w:rsidRPr="0072464B" w:rsidRDefault="0072464B" w:rsidP="0072464B">
            <w:pPr>
              <w:spacing w:before="20" w:after="20"/>
              <w:jc w:val="both"/>
              <w:rPr>
                <w:rFonts w:cs="Calibri"/>
                <w:sz w:val="20"/>
                <w:szCs w:val="20"/>
              </w:rPr>
            </w:pPr>
            <w:r w:rsidRPr="0072464B">
              <w:rPr>
                <w:rFonts w:cs="Calibri"/>
                <w:sz w:val="20"/>
                <w:szCs w:val="20"/>
              </w:rPr>
              <w:t>Zakon o izmjenama i dopunama Zakona o inovacionoj djelatnosti</w:t>
            </w:r>
          </w:p>
        </w:tc>
        <w:tc>
          <w:tcPr>
            <w:tcW w:w="2680" w:type="dxa"/>
            <w:tcBorders>
              <w:top w:val="single" w:sz="4" w:space="0" w:color="auto"/>
              <w:left w:val="single" w:sz="4" w:space="0" w:color="auto"/>
              <w:bottom w:val="single" w:sz="4" w:space="0" w:color="auto"/>
              <w:right w:val="single" w:sz="4" w:space="0" w:color="auto"/>
            </w:tcBorders>
            <w:hideMark/>
          </w:tcPr>
          <w:p w14:paraId="6B700942" w14:textId="77777777" w:rsidR="0072464B" w:rsidRPr="0072464B" w:rsidRDefault="0072464B" w:rsidP="0072464B">
            <w:pPr>
              <w:spacing w:before="20" w:after="20"/>
              <w:jc w:val="both"/>
              <w:rPr>
                <w:rFonts w:cs="Calibri"/>
                <w:sz w:val="20"/>
                <w:szCs w:val="20"/>
              </w:rPr>
            </w:pPr>
            <w:r w:rsidRPr="0072464B">
              <w:rPr>
                <w:rFonts w:cs="Calibri"/>
                <w:sz w:val="20"/>
                <w:szCs w:val="20"/>
              </w:rPr>
              <w:t>Usvojen Zakon o izmjenama i dopunama Zakona o inovacionoj djelatnosti</w:t>
            </w:r>
          </w:p>
        </w:tc>
        <w:tc>
          <w:tcPr>
            <w:tcW w:w="1836" w:type="dxa"/>
            <w:tcBorders>
              <w:top w:val="single" w:sz="4" w:space="0" w:color="auto"/>
              <w:left w:val="single" w:sz="4" w:space="0" w:color="auto"/>
              <w:bottom w:val="single" w:sz="4" w:space="0" w:color="auto"/>
              <w:right w:val="single" w:sz="4" w:space="0" w:color="auto"/>
            </w:tcBorders>
            <w:hideMark/>
          </w:tcPr>
          <w:p w14:paraId="4420291B" w14:textId="77777777" w:rsidR="0072464B" w:rsidRPr="0072464B" w:rsidRDefault="0072464B" w:rsidP="0072464B">
            <w:pPr>
              <w:spacing w:before="20" w:after="20"/>
              <w:jc w:val="both"/>
              <w:rPr>
                <w:rFonts w:cs="Calibri"/>
                <w:sz w:val="20"/>
                <w:szCs w:val="20"/>
              </w:rPr>
            </w:pPr>
            <w:r w:rsidRPr="0072464B">
              <w:rPr>
                <w:rFonts w:cs="Calibri"/>
                <w:sz w:val="20"/>
                <w:szCs w:val="20"/>
              </w:rPr>
              <w:t>NI:MER                                                                  NK: KEPIF</w:t>
            </w:r>
          </w:p>
        </w:tc>
        <w:tc>
          <w:tcPr>
            <w:tcW w:w="1700" w:type="dxa"/>
            <w:tcBorders>
              <w:top w:val="single" w:sz="4" w:space="0" w:color="auto"/>
              <w:left w:val="single" w:sz="4" w:space="0" w:color="auto"/>
              <w:bottom w:val="single" w:sz="4" w:space="0" w:color="auto"/>
              <w:right w:val="single" w:sz="4" w:space="0" w:color="auto"/>
            </w:tcBorders>
            <w:hideMark/>
          </w:tcPr>
          <w:p w14:paraId="20D5BBAA" w14:textId="77777777" w:rsidR="0072464B" w:rsidRPr="0072464B" w:rsidRDefault="0072464B" w:rsidP="0072464B">
            <w:pPr>
              <w:spacing w:before="20" w:after="20"/>
              <w:jc w:val="both"/>
              <w:rPr>
                <w:rFonts w:cs="Calibri"/>
                <w:sz w:val="20"/>
                <w:szCs w:val="20"/>
              </w:rPr>
            </w:pPr>
            <w:r w:rsidRPr="0072464B">
              <w:rPr>
                <w:rFonts w:cs="Calibri"/>
                <w:sz w:val="20"/>
                <w:szCs w:val="20"/>
              </w:rPr>
              <w:t>IV kvartal 2022</w:t>
            </w:r>
          </w:p>
        </w:tc>
        <w:tc>
          <w:tcPr>
            <w:tcW w:w="2085" w:type="dxa"/>
            <w:tcBorders>
              <w:top w:val="single" w:sz="4" w:space="0" w:color="auto"/>
              <w:left w:val="single" w:sz="4" w:space="0" w:color="auto"/>
              <w:bottom w:val="single" w:sz="4" w:space="0" w:color="auto"/>
              <w:right w:val="single" w:sz="4" w:space="0" w:color="auto"/>
            </w:tcBorders>
            <w:hideMark/>
          </w:tcPr>
          <w:p w14:paraId="428D2DD8" w14:textId="77777777" w:rsidR="0072464B" w:rsidRPr="0072464B" w:rsidRDefault="0072464B" w:rsidP="0072464B">
            <w:pPr>
              <w:spacing w:before="20" w:after="20"/>
              <w:jc w:val="both"/>
              <w:rPr>
                <w:rFonts w:cs="Calibri"/>
                <w:sz w:val="20"/>
                <w:szCs w:val="20"/>
              </w:rPr>
            </w:pPr>
            <w:r w:rsidRPr="0072464B">
              <w:rPr>
                <w:rFonts w:cs="Calibri"/>
                <w:sz w:val="20"/>
                <w:szCs w:val="20"/>
              </w:rPr>
              <w:t>tbd</w:t>
            </w:r>
          </w:p>
        </w:tc>
        <w:tc>
          <w:tcPr>
            <w:tcW w:w="1214" w:type="dxa"/>
            <w:tcBorders>
              <w:top w:val="single" w:sz="4" w:space="0" w:color="auto"/>
              <w:left w:val="single" w:sz="4" w:space="0" w:color="auto"/>
              <w:bottom w:val="single" w:sz="4" w:space="0" w:color="auto"/>
              <w:right w:val="single" w:sz="4" w:space="0" w:color="auto"/>
            </w:tcBorders>
            <w:hideMark/>
          </w:tcPr>
          <w:p w14:paraId="3D247D14" w14:textId="77777777" w:rsidR="0072464B" w:rsidRPr="0072464B" w:rsidRDefault="0072464B" w:rsidP="0072464B">
            <w:pPr>
              <w:spacing w:before="20" w:after="20"/>
              <w:jc w:val="both"/>
              <w:rPr>
                <w:rFonts w:cs="Calibri"/>
                <w:sz w:val="20"/>
                <w:szCs w:val="20"/>
              </w:rPr>
            </w:pPr>
            <w:r w:rsidRPr="0072464B">
              <w:rPr>
                <w:rFonts w:cs="Calibri"/>
                <w:sz w:val="20"/>
                <w:szCs w:val="20"/>
              </w:rPr>
              <w:t>Budžet</w:t>
            </w:r>
          </w:p>
        </w:tc>
        <w:tc>
          <w:tcPr>
            <w:tcW w:w="2407" w:type="dxa"/>
            <w:tcBorders>
              <w:top w:val="single" w:sz="4" w:space="0" w:color="auto"/>
              <w:left w:val="single" w:sz="4" w:space="0" w:color="auto"/>
              <w:bottom w:val="single" w:sz="4" w:space="0" w:color="auto"/>
              <w:right w:val="single" w:sz="4" w:space="0" w:color="auto"/>
            </w:tcBorders>
            <w:hideMark/>
          </w:tcPr>
          <w:p w14:paraId="3BDF384A" w14:textId="77777777" w:rsidR="0072464B" w:rsidRPr="0072464B" w:rsidRDefault="0072464B" w:rsidP="0072464B">
            <w:pPr>
              <w:spacing w:before="20" w:after="20"/>
              <w:jc w:val="both"/>
              <w:rPr>
                <w:rFonts w:cs="Calibri"/>
                <w:sz w:val="20"/>
                <w:szCs w:val="20"/>
              </w:rPr>
            </w:pPr>
            <w:r w:rsidRPr="0072464B">
              <w:rPr>
                <w:rFonts w:cs="Calibri"/>
                <w:sz w:val="20"/>
                <w:szCs w:val="20"/>
              </w:rPr>
              <w:t>Potpuna implementacija Zakona o inovacionoj djelatnosti omogućena je u septembru 2021. godine, kada  su utvrđena podzakonska akta. Tokom kreiranja podzakonskih akata, ali i nakon prvih mjeseci implementacije, uočeno je da mogu uslijediti unapređenja zakonskog okvira u dijelu Fonda za inovacije, evaluacije inovativnih programa i projekata i njihove implementacije.</w:t>
            </w:r>
          </w:p>
        </w:tc>
      </w:tr>
      <w:tr w:rsidR="0072464B" w:rsidRPr="0072464B" w14:paraId="7BA25CC3" w14:textId="77777777" w:rsidTr="0072464B">
        <w:tc>
          <w:tcPr>
            <w:tcW w:w="401" w:type="dxa"/>
            <w:tcBorders>
              <w:top w:val="single" w:sz="4" w:space="0" w:color="auto"/>
              <w:left w:val="single" w:sz="4" w:space="0" w:color="auto"/>
              <w:bottom w:val="single" w:sz="4" w:space="0" w:color="auto"/>
              <w:right w:val="single" w:sz="4" w:space="0" w:color="auto"/>
            </w:tcBorders>
          </w:tcPr>
          <w:p w14:paraId="170A3366" w14:textId="77777777" w:rsidR="0072464B" w:rsidRPr="0072464B" w:rsidRDefault="00AE274D" w:rsidP="0072464B">
            <w:pPr>
              <w:spacing w:before="20" w:after="20"/>
              <w:rPr>
                <w:rFonts w:cs="Calibri"/>
                <w:sz w:val="20"/>
                <w:szCs w:val="20"/>
              </w:rPr>
            </w:pPr>
            <w:r>
              <w:rPr>
                <w:rFonts w:cs="Calibri"/>
                <w:sz w:val="20"/>
                <w:szCs w:val="20"/>
              </w:rPr>
              <w:t>6.</w:t>
            </w:r>
          </w:p>
        </w:tc>
        <w:tc>
          <w:tcPr>
            <w:tcW w:w="2563" w:type="dxa"/>
            <w:tcBorders>
              <w:top w:val="single" w:sz="4" w:space="0" w:color="auto"/>
              <w:left w:val="single" w:sz="4" w:space="0" w:color="auto"/>
              <w:bottom w:val="single" w:sz="4" w:space="0" w:color="auto"/>
              <w:right w:val="single" w:sz="4" w:space="0" w:color="auto"/>
            </w:tcBorders>
            <w:hideMark/>
          </w:tcPr>
          <w:p w14:paraId="7D6293B6" w14:textId="77777777" w:rsidR="0072464B" w:rsidRPr="0072464B" w:rsidRDefault="0072464B" w:rsidP="0072464B">
            <w:pPr>
              <w:spacing w:before="20" w:after="20"/>
              <w:jc w:val="both"/>
              <w:rPr>
                <w:rFonts w:cs="Calibri"/>
                <w:sz w:val="20"/>
                <w:szCs w:val="20"/>
              </w:rPr>
            </w:pPr>
            <w:r w:rsidRPr="0072464B">
              <w:rPr>
                <w:rFonts w:cs="Calibri"/>
                <w:sz w:val="20"/>
                <w:szCs w:val="20"/>
              </w:rPr>
              <w:t>Zakon o izmjenama i dopunama Zakona o podsticajnim mjerama za razvoj istraživanja i inovacija</w:t>
            </w:r>
          </w:p>
        </w:tc>
        <w:tc>
          <w:tcPr>
            <w:tcW w:w="2680" w:type="dxa"/>
            <w:tcBorders>
              <w:top w:val="single" w:sz="4" w:space="0" w:color="auto"/>
              <w:left w:val="single" w:sz="4" w:space="0" w:color="auto"/>
              <w:bottom w:val="single" w:sz="4" w:space="0" w:color="auto"/>
              <w:right w:val="single" w:sz="4" w:space="0" w:color="auto"/>
            </w:tcBorders>
            <w:hideMark/>
          </w:tcPr>
          <w:p w14:paraId="49C9AE25" w14:textId="77777777" w:rsidR="0072464B" w:rsidRPr="0072464B" w:rsidRDefault="0072464B" w:rsidP="0072464B">
            <w:pPr>
              <w:spacing w:before="20" w:after="20"/>
              <w:jc w:val="both"/>
              <w:rPr>
                <w:rFonts w:cs="Calibri"/>
                <w:sz w:val="20"/>
                <w:szCs w:val="20"/>
              </w:rPr>
            </w:pPr>
            <w:r w:rsidRPr="0072464B">
              <w:rPr>
                <w:rFonts w:cs="Calibri"/>
                <w:sz w:val="20"/>
                <w:szCs w:val="20"/>
              </w:rPr>
              <w:t>Usvojen Zakon o izmjenama i dopunama Zakona o o podsticajnim mjerama za razvoj istraživanja i inovacija</w:t>
            </w:r>
          </w:p>
        </w:tc>
        <w:tc>
          <w:tcPr>
            <w:tcW w:w="1836" w:type="dxa"/>
            <w:tcBorders>
              <w:top w:val="single" w:sz="4" w:space="0" w:color="auto"/>
              <w:left w:val="single" w:sz="4" w:space="0" w:color="auto"/>
              <w:bottom w:val="single" w:sz="4" w:space="0" w:color="auto"/>
              <w:right w:val="single" w:sz="4" w:space="0" w:color="auto"/>
            </w:tcBorders>
            <w:hideMark/>
          </w:tcPr>
          <w:p w14:paraId="592A9330" w14:textId="77777777" w:rsidR="0072464B" w:rsidRPr="0072464B" w:rsidRDefault="0072464B" w:rsidP="0072464B">
            <w:pPr>
              <w:spacing w:before="20" w:after="20"/>
              <w:jc w:val="both"/>
              <w:rPr>
                <w:rFonts w:cs="Calibri"/>
                <w:sz w:val="20"/>
                <w:szCs w:val="20"/>
              </w:rPr>
            </w:pPr>
            <w:r w:rsidRPr="0072464B">
              <w:rPr>
                <w:rFonts w:cs="Calibri"/>
                <w:sz w:val="20"/>
                <w:szCs w:val="20"/>
              </w:rPr>
              <w:t>NI:MER                                                                  NK: KEPIF</w:t>
            </w:r>
          </w:p>
        </w:tc>
        <w:tc>
          <w:tcPr>
            <w:tcW w:w="1700" w:type="dxa"/>
            <w:tcBorders>
              <w:top w:val="single" w:sz="4" w:space="0" w:color="auto"/>
              <w:left w:val="single" w:sz="4" w:space="0" w:color="auto"/>
              <w:bottom w:val="single" w:sz="4" w:space="0" w:color="auto"/>
              <w:right w:val="single" w:sz="4" w:space="0" w:color="auto"/>
            </w:tcBorders>
            <w:hideMark/>
          </w:tcPr>
          <w:p w14:paraId="515D78CB" w14:textId="77777777" w:rsidR="0072464B" w:rsidRPr="0072464B" w:rsidRDefault="0072464B" w:rsidP="0072464B">
            <w:pPr>
              <w:spacing w:before="20" w:after="20"/>
              <w:jc w:val="both"/>
              <w:rPr>
                <w:rFonts w:cs="Calibri"/>
                <w:sz w:val="20"/>
                <w:szCs w:val="20"/>
              </w:rPr>
            </w:pPr>
            <w:r w:rsidRPr="0072464B">
              <w:rPr>
                <w:rFonts w:cs="Calibri"/>
                <w:sz w:val="20"/>
                <w:szCs w:val="20"/>
              </w:rPr>
              <w:t>IV kvartal 2022</w:t>
            </w:r>
          </w:p>
        </w:tc>
        <w:tc>
          <w:tcPr>
            <w:tcW w:w="2085" w:type="dxa"/>
            <w:tcBorders>
              <w:top w:val="single" w:sz="4" w:space="0" w:color="auto"/>
              <w:left w:val="single" w:sz="4" w:space="0" w:color="auto"/>
              <w:bottom w:val="single" w:sz="4" w:space="0" w:color="auto"/>
              <w:right w:val="single" w:sz="4" w:space="0" w:color="auto"/>
            </w:tcBorders>
            <w:hideMark/>
          </w:tcPr>
          <w:p w14:paraId="09EFF438" w14:textId="77777777" w:rsidR="0072464B" w:rsidRPr="0072464B" w:rsidRDefault="0072464B" w:rsidP="0072464B">
            <w:pPr>
              <w:spacing w:before="20" w:after="20"/>
              <w:jc w:val="both"/>
              <w:rPr>
                <w:rFonts w:cs="Calibri"/>
                <w:sz w:val="20"/>
                <w:szCs w:val="20"/>
              </w:rPr>
            </w:pPr>
            <w:r w:rsidRPr="0072464B">
              <w:rPr>
                <w:rFonts w:cs="Calibri"/>
                <w:sz w:val="20"/>
                <w:szCs w:val="20"/>
              </w:rPr>
              <w:t>tbd</w:t>
            </w:r>
          </w:p>
        </w:tc>
        <w:tc>
          <w:tcPr>
            <w:tcW w:w="1214" w:type="dxa"/>
            <w:tcBorders>
              <w:top w:val="single" w:sz="4" w:space="0" w:color="auto"/>
              <w:left w:val="single" w:sz="4" w:space="0" w:color="auto"/>
              <w:bottom w:val="single" w:sz="4" w:space="0" w:color="auto"/>
              <w:right w:val="single" w:sz="4" w:space="0" w:color="auto"/>
            </w:tcBorders>
            <w:hideMark/>
          </w:tcPr>
          <w:p w14:paraId="5578AE1B" w14:textId="77777777" w:rsidR="0072464B" w:rsidRPr="0072464B" w:rsidRDefault="0072464B" w:rsidP="0072464B">
            <w:pPr>
              <w:spacing w:before="20" w:after="20"/>
              <w:jc w:val="both"/>
              <w:rPr>
                <w:rFonts w:cs="Calibri"/>
                <w:sz w:val="20"/>
                <w:szCs w:val="20"/>
              </w:rPr>
            </w:pPr>
            <w:r w:rsidRPr="0072464B">
              <w:rPr>
                <w:rFonts w:cs="Calibri"/>
                <w:sz w:val="20"/>
                <w:szCs w:val="20"/>
              </w:rPr>
              <w:t>Budžet</w:t>
            </w:r>
          </w:p>
        </w:tc>
        <w:tc>
          <w:tcPr>
            <w:tcW w:w="2407" w:type="dxa"/>
            <w:tcBorders>
              <w:top w:val="single" w:sz="4" w:space="0" w:color="auto"/>
              <w:left w:val="single" w:sz="4" w:space="0" w:color="auto"/>
              <w:bottom w:val="single" w:sz="4" w:space="0" w:color="auto"/>
              <w:right w:val="single" w:sz="4" w:space="0" w:color="auto"/>
            </w:tcBorders>
            <w:hideMark/>
          </w:tcPr>
          <w:p w14:paraId="11BC30A1" w14:textId="77777777" w:rsidR="0072464B" w:rsidRPr="0072464B" w:rsidRDefault="0072464B" w:rsidP="0072464B">
            <w:pPr>
              <w:spacing w:before="20" w:after="20"/>
              <w:jc w:val="both"/>
              <w:rPr>
                <w:rFonts w:cs="Calibri"/>
                <w:sz w:val="20"/>
                <w:szCs w:val="20"/>
              </w:rPr>
            </w:pPr>
            <w:r w:rsidRPr="0072464B">
              <w:rPr>
                <w:rFonts w:cs="Calibri"/>
                <w:sz w:val="20"/>
                <w:szCs w:val="20"/>
              </w:rPr>
              <w:t>Potpuna implementacija Zakona o podsticajnim mjerama za razvoj istraživanja i inovacija omogućena je u septembru 2021. godine, a od početka oktobra otvorena je mogućnost prijava za sticanje statusa korisnika mjera. Tokom kreiranja podzakonskih akata, ali i nakon prvih mjeseci implementacije, uočeno je da treba preispitati set podsticajnih mjera, njihovu efektivnost, iskorišćenost, ali i da postoji niz zakonskih rješenja koje je potrebno prethodno  uskladiti sa ovim lex specialis-om, zbog čega su predložene izmjene neophodne u 2022.</w:t>
            </w:r>
          </w:p>
        </w:tc>
      </w:tr>
      <w:tr w:rsidR="00C1191C" w:rsidRPr="0072464B" w14:paraId="25E50B31" w14:textId="77777777" w:rsidTr="0072464B">
        <w:tc>
          <w:tcPr>
            <w:tcW w:w="401" w:type="dxa"/>
            <w:tcBorders>
              <w:top w:val="single" w:sz="4" w:space="0" w:color="auto"/>
              <w:left w:val="single" w:sz="4" w:space="0" w:color="auto"/>
              <w:bottom w:val="single" w:sz="4" w:space="0" w:color="auto"/>
              <w:right w:val="single" w:sz="4" w:space="0" w:color="auto"/>
            </w:tcBorders>
          </w:tcPr>
          <w:p w14:paraId="1ECDA199" w14:textId="77777777" w:rsidR="00C1191C" w:rsidRPr="0072464B" w:rsidRDefault="00AE274D" w:rsidP="0072464B">
            <w:pPr>
              <w:spacing w:before="20" w:after="20"/>
              <w:rPr>
                <w:rFonts w:cs="Calibri"/>
                <w:sz w:val="20"/>
                <w:szCs w:val="20"/>
              </w:rPr>
            </w:pPr>
            <w:r>
              <w:rPr>
                <w:rFonts w:cs="Calibri"/>
                <w:sz w:val="20"/>
                <w:szCs w:val="20"/>
              </w:rPr>
              <w:lastRenderedPageBreak/>
              <w:t>7.</w:t>
            </w:r>
          </w:p>
        </w:tc>
        <w:tc>
          <w:tcPr>
            <w:tcW w:w="2563" w:type="dxa"/>
            <w:tcBorders>
              <w:top w:val="single" w:sz="4" w:space="0" w:color="auto"/>
              <w:left w:val="single" w:sz="4" w:space="0" w:color="auto"/>
              <w:bottom w:val="single" w:sz="4" w:space="0" w:color="auto"/>
              <w:right w:val="single" w:sz="4" w:space="0" w:color="auto"/>
            </w:tcBorders>
          </w:tcPr>
          <w:p w14:paraId="51BD2EB1" w14:textId="77777777" w:rsidR="00C1191C" w:rsidRPr="0072464B" w:rsidRDefault="00C1191C" w:rsidP="0072464B">
            <w:pPr>
              <w:spacing w:before="20" w:after="20"/>
              <w:jc w:val="both"/>
              <w:rPr>
                <w:rFonts w:cs="Calibri"/>
                <w:sz w:val="20"/>
                <w:szCs w:val="20"/>
              </w:rPr>
            </w:pPr>
            <w:r>
              <w:rPr>
                <w:rFonts w:cstheme="minorHAnsi"/>
                <w:sz w:val="20"/>
                <w:szCs w:val="20"/>
              </w:rPr>
              <w:t>Utvrditi izmjene i dopune Zakona o Naučnoistraživačkoe djelatnosti</w:t>
            </w:r>
          </w:p>
        </w:tc>
        <w:tc>
          <w:tcPr>
            <w:tcW w:w="2680" w:type="dxa"/>
            <w:tcBorders>
              <w:top w:val="single" w:sz="4" w:space="0" w:color="auto"/>
              <w:left w:val="single" w:sz="4" w:space="0" w:color="auto"/>
              <w:bottom w:val="single" w:sz="4" w:space="0" w:color="auto"/>
              <w:right w:val="single" w:sz="4" w:space="0" w:color="auto"/>
            </w:tcBorders>
          </w:tcPr>
          <w:p w14:paraId="61B51A69" w14:textId="77777777" w:rsidR="00C1191C" w:rsidRDefault="00C1191C" w:rsidP="00C1191C">
            <w:pPr>
              <w:spacing w:before="20" w:after="20"/>
              <w:rPr>
                <w:rFonts w:cstheme="minorHAnsi"/>
                <w:sz w:val="20"/>
                <w:szCs w:val="20"/>
              </w:rPr>
            </w:pPr>
            <w:r>
              <w:rPr>
                <w:rFonts w:cstheme="minorHAnsi"/>
                <w:sz w:val="20"/>
                <w:szCs w:val="20"/>
              </w:rPr>
              <w:t xml:space="preserve">Utvrditi izmjene i dopune Zakona o naučno-istraživačkoj djelatnosti </w:t>
            </w:r>
          </w:p>
          <w:p w14:paraId="7BC30D60" w14:textId="77777777" w:rsidR="00C1191C" w:rsidRPr="0072464B" w:rsidRDefault="00C1191C" w:rsidP="00C1191C">
            <w:pPr>
              <w:spacing w:before="20" w:after="20"/>
              <w:jc w:val="both"/>
              <w:rPr>
                <w:rFonts w:cs="Calibri"/>
                <w:sz w:val="20"/>
                <w:szCs w:val="20"/>
              </w:rPr>
            </w:pPr>
            <w:r>
              <w:rPr>
                <w:rFonts w:cstheme="minorHAnsi"/>
                <w:sz w:val="20"/>
                <w:szCs w:val="20"/>
              </w:rPr>
              <w:t>Precizno definisati institucionalni okvir za realizaciju projekata u oblasti NID djelatnosti</w:t>
            </w:r>
          </w:p>
        </w:tc>
        <w:tc>
          <w:tcPr>
            <w:tcW w:w="1836" w:type="dxa"/>
            <w:tcBorders>
              <w:top w:val="single" w:sz="4" w:space="0" w:color="auto"/>
              <w:left w:val="single" w:sz="4" w:space="0" w:color="auto"/>
              <w:bottom w:val="single" w:sz="4" w:space="0" w:color="auto"/>
              <w:right w:val="single" w:sz="4" w:space="0" w:color="auto"/>
            </w:tcBorders>
          </w:tcPr>
          <w:p w14:paraId="04E516E9" w14:textId="77777777" w:rsidR="00C1191C" w:rsidRPr="0072464B" w:rsidRDefault="00C1191C" w:rsidP="0072464B">
            <w:pPr>
              <w:spacing w:before="20" w:after="20"/>
              <w:jc w:val="both"/>
              <w:rPr>
                <w:rFonts w:cs="Calibri"/>
                <w:sz w:val="20"/>
                <w:szCs w:val="20"/>
              </w:rPr>
            </w:pPr>
            <w:r>
              <w:rPr>
                <w:rFonts w:cstheme="minorHAnsi"/>
                <w:sz w:val="20"/>
                <w:szCs w:val="20"/>
              </w:rPr>
              <w:t>MPNKS</w:t>
            </w:r>
          </w:p>
        </w:tc>
        <w:tc>
          <w:tcPr>
            <w:tcW w:w="1700" w:type="dxa"/>
            <w:tcBorders>
              <w:top w:val="single" w:sz="4" w:space="0" w:color="auto"/>
              <w:left w:val="single" w:sz="4" w:space="0" w:color="auto"/>
              <w:bottom w:val="single" w:sz="4" w:space="0" w:color="auto"/>
              <w:right w:val="single" w:sz="4" w:space="0" w:color="auto"/>
            </w:tcBorders>
          </w:tcPr>
          <w:p w14:paraId="63ACA602" w14:textId="77777777" w:rsidR="00C1191C" w:rsidRPr="0072464B" w:rsidRDefault="00C1191C" w:rsidP="0072464B">
            <w:pPr>
              <w:spacing w:before="20" w:after="20"/>
              <w:jc w:val="both"/>
              <w:rPr>
                <w:rFonts w:cs="Calibri"/>
                <w:sz w:val="20"/>
                <w:szCs w:val="20"/>
              </w:rPr>
            </w:pPr>
            <w:r>
              <w:rPr>
                <w:rFonts w:cstheme="minorHAnsi"/>
                <w:sz w:val="20"/>
                <w:szCs w:val="20"/>
              </w:rPr>
              <w:t>III Q 2022.</w:t>
            </w:r>
          </w:p>
        </w:tc>
        <w:tc>
          <w:tcPr>
            <w:tcW w:w="2085" w:type="dxa"/>
            <w:tcBorders>
              <w:top w:val="single" w:sz="4" w:space="0" w:color="auto"/>
              <w:left w:val="single" w:sz="4" w:space="0" w:color="auto"/>
              <w:bottom w:val="single" w:sz="4" w:space="0" w:color="auto"/>
              <w:right w:val="single" w:sz="4" w:space="0" w:color="auto"/>
            </w:tcBorders>
          </w:tcPr>
          <w:p w14:paraId="716991DC" w14:textId="77777777" w:rsidR="00C1191C" w:rsidRDefault="00C1191C" w:rsidP="00C1191C">
            <w:pPr>
              <w:spacing w:before="20" w:after="20"/>
              <w:rPr>
                <w:rFonts w:cstheme="minorHAnsi"/>
                <w:sz w:val="20"/>
                <w:szCs w:val="20"/>
              </w:rPr>
            </w:pPr>
            <w:r>
              <w:rPr>
                <w:rFonts w:cstheme="minorHAnsi"/>
                <w:sz w:val="20"/>
                <w:szCs w:val="20"/>
              </w:rPr>
              <w:t>Za utvrđivanje procjene uticaja propisa će biti urađena RIA.</w:t>
            </w:r>
          </w:p>
          <w:p w14:paraId="7A0D9DC7" w14:textId="77777777" w:rsidR="00C1191C" w:rsidRPr="0072464B" w:rsidRDefault="00C1191C" w:rsidP="00C1191C">
            <w:pPr>
              <w:spacing w:before="20" w:after="20"/>
              <w:jc w:val="both"/>
              <w:rPr>
                <w:rFonts w:cs="Calibri"/>
                <w:sz w:val="20"/>
                <w:szCs w:val="20"/>
              </w:rPr>
            </w:pPr>
            <w:r>
              <w:rPr>
                <w:rFonts w:cstheme="minorHAnsi"/>
                <w:sz w:val="20"/>
                <w:szCs w:val="20"/>
              </w:rPr>
              <w:t>1500 e za eksperta</w:t>
            </w:r>
          </w:p>
        </w:tc>
        <w:tc>
          <w:tcPr>
            <w:tcW w:w="1214" w:type="dxa"/>
            <w:tcBorders>
              <w:top w:val="single" w:sz="4" w:space="0" w:color="auto"/>
              <w:left w:val="single" w:sz="4" w:space="0" w:color="auto"/>
              <w:bottom w:val="single" w:sz="4" w:space="0" w:color="auto"/>
              <w:right w:val="single" w:sz="4" w:space="0" w:color="auto"/>
            </w:tcBorders>
          </w:tcPr>
          <w:p w14:paraId="776ADB0B" w14:textId="77777777" w:rsidR="00C1191C" w:rsidRPr="0072464B" w:rsidRDefault="00C1191C" w:rsidP="0072464B">
            <w:pPr>
              <w:spacing w:before="20" w:after="20"/>
              <w:jc w:val="both"/>
              <w:rPr>
                <w:rFonts w:cs="Calibri"/>
                <w:sz w:val="20"/>
                <w:szCs w:val="20"/>
              </w:rPr>
            </w:pPr>
            <w:r>
              <w:rPr>
                <w:rFonts w:cstheme="minorHAnsi"/>
                <w:sz w:val="20"/>
                <w:szCs w:val="20"/>
              </w:rPr>
              <w:t>Mpnks, Donatori,</w:t>
            </w:r>
          </w:p>
        </w:tc>
        <w:tc>
          <w:tcPr>
            <w:tcW w:w="2407" w:type="dxa"/>
            <w:tcBorders>
              <w:top w:val="single" w:sz="4" w:space="0" w:color="auto"/>
              <w:left w:val="single" w:sz="4" w:space="0" w:color="auto"/>
              <w:bottom w:val="single" w:sz="4" w:space="0" w:color="auto"/>
              <w:right w:val="single" w:sz="4" w:space="0" w:color="auto"/>
            </w:tcBorders>
          </w:tcPr>
          <w:p w14:paraId="596229A9" w14:textId="77777777" w:rsidR="00C1191C" w:rsidRPr="0072464B" w:rsidRDefault="00C1191C" w:rsidP="0072464B">
            <w:pPr>
              <w:spacing w:before="20" w:after="20"/>
              <w:jc w:val="both"/>
              <w:rPr>
                <w:rFonts w:cs="Calibri"/>
                <w:sz w:val="20"/>
                <w:szCs w:val="20"/>
              </w:rPr>
            </w:pPr>
            <w:r>
              <w:rPr>
                <w:rFonts w:cstheme="minorHAnsi"/>
                <w:sz w:val="20"/>
                <w:szCs w:val="20"/>
              </w:rPr>
              <w:t>Izmjenama i dopunama zakona će definisati razgraničenje ingerencija MPNKS i MER</w:t>
            </w:r>
          </w:p>
        </w:tc>
      </w:tr>
      <w:tr w:rsidR="00C1191C" w:rsidRPr="0072464B" w14:paraId="3B49280C" w14:textId="77777777" w:rsidTr="0072464B">
        <w:tc>
          <w:tcPr>
            <w:tcW w:w="401" w:type="dxa"/>
            <w:tcBorders>
              <w:top w:val="single" w:sz="4" w:space="0" w:color="auto"/>
              <w:left w:val="single" w:sz="4" w:space="0" w:color="auto"/>
              <w:bottom w:val="single" w:sz="4" w:space="0" w:color="auto"/>
              <w:right w:val="single" w:sz="4" w:space="0" w:color="auto"/>
            </w:tcBorders>
          </w:tcPr>
          <w:p w14:paraId="5EEB25A0" w14:textId="77777777" w:rsidR="00C1191C" w:rsidRPr="0072464B" w:rsidRDefault="00AE274D" w:rsidP="0072464B">
            <w:pPr>
              <w:spacing w:before="20" w:after="20"/>
              <w:rPr>
                <w:rFonts w:cs="Calibri"/>
                <w:sz w:val="20"/>
                <w:szCs w:val="20"/>
              </w:rPr>
            </w:pPr>
            <w:r>
              <w:rPr>
                <w:rFonts w:cs="Calibri"/>
                <w:sz w:val="20"/>
                <w:szCs w:val="20"/>
              </w:rPr>
              <w:t>8.</w:t>
            </w:r>
          </w:p>
        </w:tc>
        <w:tc>
          <w:tcPr>
            <w:tcW w:w="2563" w:type="dxa"/>
            <w:tcBorders>
              <w:top w:val="single" w:sz="4" w:space="0" w:color="auto"/>
              <w:left w:val="single" w:sz="4" w:space="0" w:color="auto"/>
              <w:bottom w:val="single" w:sz="4" w:space="0" w:color="auto"/>
              <w:right w:val="single" w:sz="4" w:space="0" w:color="auto"/>
            </w:tcBorders>
          </w:tcPr>
          <w:p w14:paraId="7E0F4842" w14:textId="77777777" w:rsidR="00C1191C" w:rsidRDefault="00C1191C" w:rsidP="0072464B">
            <w:pPr>
              <w:spacing w:before="20" w:after="20"/>
              <w:jc w:val="both"/>
              <w:rPr>
                <w:rFonts w:cstheme="minorHAnsi"/>
                <w:sz w:val="20"/>
                <w:szCs w:val="20"/>
              </w:rPr>
            </w:pPr>
            <w:r>
              <w:rPr>
                <w:rFonts w:cstheme="minorHAnsi"/>
                <w:sz w:val="20"/>
                <w:szCs w:val="20"/>
              </w:rPr>
              <w:t>Utvrditi Strategiju Naučnoistraživačko djelatnosti 2022-2027</w:t>
            </w:r>
          </w:p>
        </w:tc>
        <w:tc>
          <w:tcPr>
            <w:tcW w:w="2680" w:type="dxa"/>
            <w:tcBorders>
              <w:top w:val="single" w:sz="4" w:space="0" w:color="auto"/>
              <w:left w:val="single" w:sz="4" w:space="0" w:color="auto"/>
              <w:bottom w:val="single" w:sz="4" w:space="0" w:color="auto"/>
              <w:right w:val="single" w:sz="4" w:space="0" w:color="auto"/>
            </w:tcBorders>
          </w:tcPr>
          <w:p w14:paraId="2B5403B7" w14:textId="77777777" w:rsidR="00C1191C" w:rsidRDefault="00C1191C" w:rsidP="00C1191C">
            <w:pPr>
              <w:spacing w:before="20" w:after="20"/>
              <w:rPr>
                <w:rFonts w:cstheme="minorHAnsi"/>
                <w:sz w:val="20"/>
                <w:szCs w:val="20"/>
              </w:rPr>
            </w:pPr>
            <w:r>
              <w:rPr>
                <w:rFonts w:cstheme="minorHAnsi"/>
                <w:sz w:val="20"/>
                <w:szCs w:val="20"/>
              </w:rPr>
              <w:t xml:space="preserve">Utvrditi izmjene i dopune Zakona o naučno-istraživačkoj djelatnosti </w:t>
            </w:r>
          </w:p>
          <w:p w14:paraId="511F4125" w14:textId="77777777" w:rsidR="00C1191C" w:rsidRDefault="00C1191C" w:rsidP="00C1191C">
            <w:pPr>
              <w:spacing w:before="20" w:after="20"/>
              <w:rPr>
                <w:rFonts w:cstheme="minorHAnsi"/>
                <w:sz w:val="20"/>
                <w:szCs w:val="20"/>
              </w:rPr>
            </w:pPr>
            <w:r>
              <w:rPr>
                <w:rFonts w:cstheme="minorHAnsi"/>
                <w:sz w:val="20"/>
                <w:szCs w:val="20"/>
              </w:rPr>
              <w:t>Precizno definisati institucionalni okvir za realizaciju projekata u oblasti NID djelatnosti</w:t>
            </w:r>
          </w:p>
        </w:tc>
        <w:tc>
          <w:tcPr>
            <w:tcW w:w="1836" w:type="dxa"/>
            <w:tcBorders>
              <w:top w:val="single" w:sz="4" w:space="0" w:color="auto"/>
              <w:left w:val="single" w:sz="4" w:space="0" w:color="auto"/>
              <w:bottom w:val="single" w:sz="4" w:space="0" w:color="auto"/>
              <w:right w:val="single" w:sz="4" w:space="0" w:color="auto"/>
            </w:tcBorders>
          </w:tcPr>
          <w:p w14:paraId="37131517" w14:textId="77777777" w:rsidR="00C1191C" w:rsidRDefault="00C1191C" w:rsidP="0072464B">
            <w:pPr>
              <w:spacing w:before="20" w:after="20"/>
              <w:jc w:val="both"/>
              <w:rPr>
                <w:rFonts w:cstheme="minorHAnsi"/>
                <w:sz w:val="20"/>
                <w:szCs w:val="20"/>
              </w:rPr>
            </w:pPr>
            <w:r>
              <w:rPr>
                <w:rFonts w:cstheme="minorHAnsi"/>
                <w:sz w:val="20"/>
                <w:szCs w:val="20"/>
              </w:rPr>
              <w:t>MPNKS</w:t>
            </w:r>
          </w:p>
        </w:tc>
        <w:tc>
          <w:tcPr>
            <w:tcW w:w="1700" w:type="dxa"/>
            <w:tcBorders>
              <w:top w:val="single" w:sz="4" w:space="0" w:color="auto"/>
              <w:left w:val="single" w:sz="4" w:space="0" w:color="auto"/>
              <w:bottom w:val="single" w:sz="4" w:space="0" w:color="auto"/>
              <w:right w:val="single" w:sz="4" w:space="0" w:color="auto"/>
            </w:tcBorders>
          </w:tcPr>
          <w:p w14:paraId="721CD55D" w14:textId="77777777" w:rsidR="00C1191C" w:rsidRDefault="00C1191C" w:rsidP="0072464B">
            <w:pPr>
              <w:spacing w:before="20" w:after="20"/>
              <w:jc w:val="both"/>
              <w:rPr>
                <w:rFonts w:cstheme="minorHAnsi"/>
                <w:sz w:val="20"/>
                <w:szCs w:val="20"/>
              </w:rPr>
            </w:pPr>
            <w:r>
              <w:rPr>
                <w:rFonts w:cstheme="minorHAnsi"/>
                <w:sz w:val="20"/>
                <w:szCs w:val="20"/>
              </w:rPr>
              <w:t>III Q 2022.</w:t>
            </w:r>
          </w:p>
        </w:tc>
        <w:tc>
          <w:tcPr>
            <w:tcW w:w="2085" w:type="dxa"/>
            <w:tcBorders>
              <w:top w:val="single" w:sz="4" w:space="0" w:color="auto"/>
              <w:left w:val="single" w:sz="4" w:space="0" w:color="auto"/>
              <w:bottom w:val="single" w:sz="4" w:space="0" w:color="auto"/>
              <w:right w:val="single" w:sz="4" w:space="0" w:color="auto"/>
            </w:tcBorders>
          </w:tcPr>
          <w:p w14:paraId="573251F6" w14:textId="77777777" w:rsidR="00C1191C" w:rsidRDefault="00C1191C" w:rsidP="00C1191C">
            <w:pPr>
              <w:spacing w:before="20" w:after="20"/>
              <w:rPr>
                <w:rFonts w:cstheme="minorHAnsi"/>
                <w:sz w:val="20"/>
                <w:szCs w:val="20"/>
              </w:rPr>
            </w:pPr>
            <w:r>
              <w:rPr>
                <w:rFonts w:cstheme="minorHAnsi"/>
                <w:sz w:val="20"/>
                <w:szCs w:val="20"/>
              </w:rPr>
              <w:t>Za utvrđivanje procjene uticaja propisa će biti urađena RIA.</w:t>
            </w:r>
          </w:p>
          <w:p w14:paraId="407F29E7" w14:textId="77777777" w:rsidR="00C1191C" w:rsidRDefault="00C1191C" w:rsidP="00C1191C">
            <w:pPr>
              <w:spacing w:before="20" w:after="20"/>
              <w:rPr>
                <w:rFonts w:cstheme="minorHAnsi"/>
                <w:sz w:val="20"/>
                <w:szCs w:val="20"/>
              </w:rPr>
            </w:pPr>
            <w:r>
              <w:rPr>
                <w:rFonts w:cstheme="minorHAnsi"/>
                <w:sz w:val="20"/>
                <w:szCs w:val="20"/>
              </w:rPr>
              <w:t>1500 e za eksperta</w:t>
            </w:r>
          </w:p>
        </w:tc>
        <w:tc>
          <w:tcPr>
            <w:tcW w:w="1214" w:type="dxa"/>
            <w:tcBorders>
              <w:top w:val="single" w:sz="4" w:space="0" w:color="auto"/>
              <w:left w:val="single" w:sz="4" w:space="0" w:color="auto"/>
              <w:bottom w:val="single" w:sz="4" w:space="0" w:color="auto"/>
              <w:right w:val="single" w:sz="4" w:space="0" w:color="auto"/>
            </w:tcBorders>
          </w:tcPr>
          <w:p w14:paraId="69774D18" w14:textId="77777777" w:rsidR="00C1191C" w:rsidRDefault="00C1191C" w:rsidP="0072464B">
            <w:pPr>
              <w:spacing w:before="20" w:after="20"/>
              <w:jc w:val="both"/>
              <w:rPr>
                <w:rFonts w:cstheme="minorHAnsi"/>
                <w:sz w:val="20"/>
                <w:szCs w:val="20"/>
              </w:rPr>
            </w:pPr>
            <w:r>
              <w:rPr>
                <w:rFonts w:cstheme="minorHAnsi"/>
                <w:sz w:val="20"/>
                <w:szCs w:val="20"/>
              </w:rPr>
              <w:t>Mpnks</w:t>
            </w:r>
          </w:p>
        </w:tc>
        <w:tc>
          <w:tcPr>
            <w:tcW w:w="2407" w:type="dxa"/>
            <w:tcBorders>
              <w:top w:val="single" w:sz="4" w:space="0" w:color="auto"/>
              <w:left w:val="single" w:sz="4" w:space="0" w:color="auto"/>
              <w:bottom w:val="single" w:sz="4" w:space="0" w:color="auto"/>
              <w:right w:val="single" w:sz="4" w:space="0" w:color="auto"/>
            </w:tcBorders>
          </w:tcPr>
          <w:p w14:paraId="20D58B2E" w14:textId="77777777" w:rsidR="00C1191C" w:rsidRDefault="00C1191C" w:rsidP="0072464B">
            <w:pPr>
              <w:spacing w:before="20" w:after="20"/>
              <w:jc w:val="both"/>
              <w:rPr>
                <w:rFonts w:cstheme="minorHAnsi"/>
                <w:sz w:val="20"/>
                <w:szCs w:val="20"/>
              </w:rPr>
            </w:pPr>
            <w:r>
              <w:rPr>
                <w:rFonts w:cstheme="minorHAnsi"/>
                <w:sz w:val="20"/>
                <w:szCs w:val="20"/>
              </w:rPr>
              <w:t>Nova strategija će definisati  razgraničenje ingerencija MPNKS i MER</w:t>
            </w:r>
          </w:p>
        </w:tc>
      </w:tr>
      <w:bookmarkEnd w:id="43"/>
    </w:tbl>
    <w:tbl>
      <w:tblPr>
        <w:tblStyle w:val="TableGrid32"/>
        <w:tblW w:w="14886" w:type="dxa"/>
        <w:tblInd w:w="-856" w:type="dxa"/>
        <w:tblLook w:val="04A0" w:firstRow="1" w:lastRow="0" w:firstColumn="1" w:lastColumn="0" w:noHBand="0" w:noVBand="1"/>
      </w:tblPr>
      <w:tblGrid>
        <w:gridCol w:w="401"/>
        <w:gridCol w:w="2610"/>
        <w:gridCol w:w="2700"/>
        <w:gridCol w:w="1800"/>
        <w:gridCol w:w="1710"/>
        <w:gridCol w:w="1472"/>
        <w:gridCol w:w="1968"/>
        <w:gridCol w:w="2225"/>
      </w:tblGrid>
      <w:tr w:rsidR="008146A7" w14:paraId="1B0679CB" w14:textId="77777777" w:rsidTr="00C1191C">
        <w:tc>
          <w:tcPr>
            <w:tcW w:w="401" w:type="dxa"/>
            <w:tcBorders>
              <w:top w:val="single" w:sz="4" w:space="0" w:color="auto"/>
              <w:left w:val="single" w:sz="4" w:space="0" w:color="auto"/>
              <w:bottom w:val="single" w:sz="4" w:space="0" w:color="auto"/>
              <w:right w:val="single" w:sz="4" w:space="0" w:color="auto"/>
            </w:tcBorders>
            <w:hideMark/>
          </w:tcPr>
          <w:p w14:paraId="00922104" w14:textId="77777777" w:rsidR="008146A7" w:rsidRDefault="008146A7">
            <w:pPr>
              <w:spacing w:before="20" w:after="20"/>
              <w:rPr>
                <w:rFonts w:cstheme="minorHAnsi"/>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14:paraId="010942F7" w14:textId="77777777" w:rsidR="008146A7" w:rsidRDefault="008146A7">
            <w:pPr>
              <w:spacing w:before="20" w:after="20"/>
              <w:rPr>
                <w:rFonts w:cstheme="minorHAnsi"/>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14:paraId="5B5AAD29" w14:textId="77777777" w:rsidR="008146A7" w:rsidRDefault="008146A7">
            <w:pPr>
              <w:spacing w:before="20" w:after="20"/>
              <w:rPr>
                <w:rFonts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14:paraId="40B1E269" w14:textId="77777777" w:rsidR="008146A7" w:rsidRDefault="008146A7">
            <w:pPr>
              <w:spacing w:before="20" w:after="20"/>
              <w:rPr>
                <w:rFonts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03479F94" w14:textId="77777777" w:rsidR="008146A7" w:rsidRDefault="008146A7">
            <w:pPr>
              <w:spacing w:before="20" w:after="20"/>
              <w:rPr>
                <w:rFonts w:cstheme="minorHAnsi"/>
                <w:sz w:val="20"/>
                <w:szCs w:val="20"/>
              </w:rPr>
            </w:pPr>
          </w:p>
        </w:tc>
        <w:tc>
          <w:tcPr>
            <w:tcW w:w="1472" w:type="dxa"/>
            <w:tcBorders>
              <w:top w:val="single" w:sz="4" w:space="0" w:color="auto"/>
              <w:left w:val="single" w:sz="4" w:space="0" w:color="auto"/>
              <w:bottom w:val="single" w:sz="4" w:space="0" w:color="auto"/>
              <w:right w:val="single" w:sz="4" w:space="0" w:color="auto"/>
            </w:tcBorders>
            <w:hideMark/>
          </w:tcPr>
          <w:p w14:paraId="6DC1A48A" w14:textId="77777777" w:rsidR="008146A7" w:rsidRDefault="008146A7">
            <w:pPr>
              <w:spacing w:before="20" w:after="20"/>
              <w:rPr>
                <w:rFonts w:cstheme="minorHAnsi"/>
                <w:sz w:val="20"/>
                <w:szCs w:val="20"/>
                <w:highlight w:val="yellow"/>
              </w:rPr>
            </w:pPr>
          </w:p>
        </w:tc>
        <w:tc>
          <w:tcPr>
            <w:tcW w:w="1968" w:type="dxa"/>
            <w:tcBorders>
              <w:top w:val="single" w:sz="4" w:space="0" w:color="auto"/>
              <w:left w:val="single" w:sz="4" w:space="0" w:color="auto"/>
              <w:bottom w:val="single" w:sz="4" w:space="0" w:color="auto"/>
              <w:right w:val="single" w:sz="4" w:space="0" w:color="auto"/>
            </w:tcBorders>
            <w:hideMark/>
          </w:tcPr>
          <w:p w14:paraId="38D22FAE" w14:textId="77777777" w:rsidR="008146A7" w:rsidRDefault="008146A7">
            <w:pPr>
              <w:spacing w:before="20" w:after="20"/>
              <w:jc w:val="center"/>
              <w:rPr>
                <w:rFonts w:cstheme="minorHAnsi"/>
                <w:sz w:val="20"/>
                <w:szCs w:val="20"/>
              </w:rPr>
            </w:pPr>
          </w:p>
        </w:tc>
        <w:tc>
          <w:tcPr>
            <w:tcW w:w="2225" w:type="dxa"/>
            <w:tcBorders>
              <w:top w:val="single" w:sz="4" w:space="0" w:color="auto"/>
              <w:left w:val="single" w:sz="4" w:space="0" w:color="auto"/>
              <w:bottom w:val="single" w:sz="4" w:space="0" w:color="auto"/>
              <w:right w:val="single" w:sz="4" w:space="0" w:color="auto"/>
            </w:tcBorders>
            <w:hideMark/>
          </w:tcPr>
          <w:p w14:paraId="727C0631" w14:textId="77777777" w:rsidR="008146A7" w:rsidRDefault="008146A7">
            <w:pPr>
              <w:spacing w:before="20" w:after="20"/>
              <w:rPr>
                <w:rFonts w:cstheme="minorHAnsi"/>
                <w:sz w:val="20"/>
                <w:szCs w:val="20"/>
              </w:rPr>
            </w:pPr>
          </w:p>
        </w:tc>
      </w:tr>
    </w:tbl>
    <w:p w14:paraId="627B1B1D" w14:textId="77777777" w:rsidR="00EA56E8" w:rsidRDefault="00EA56E8">
      <w:pPr>
        <w:rPr>
          <w:rFonts w:ascii="Arial" w:eastAsia="Arial" w:hAnsi="Arial" w:cs="Arial"/>
          <w:color w:val="000000"/>
        </w:rPr>
      </w:pPr>
      <w:r>
        <w:rPr>
          <w:rFonts w:ascii="Arial" w:eastAsia="Arial" w:hAnsi="Arial" w:cs="Arial"/>
          <w:color w:val="000000"/>
        </w:rPr>
        <w:br w:type="page"/>
      </w:r>
    </w:p>
    <w:tbl>
      <w:tblPr>
        <w:tblW w:w="14892"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215"/>
        <w:gridCol w:w="32"/>
        <w:gridCol w:w="174"/>
        <w:gridCol w:w="2361"/>
        <w:gridCol w:w="118"/>
        <w:gridCol w:w="133"/>
        <w:gridCol w:w="237"/>
        <w:gridCol w:w="118"/>
        <w:gridCol w:w="163"/>
        <w:gridCol w:w="960"/>
        <w:gridCol w:w="133"/>
        <w:gridCol w:w="193"/>
        <w:gridCol w:w="1058"/>
        <w:gridCol w:w="22"/>
        <w:gridCol w:w="388"/>
        <w:gridCol w:w="955"/>
        <w:gridCol w:w="270"/>
        <w:gridCol w:w="360"/>
        <w:gridCol w:w="540"/>
        <w:gridCol w:w="270"/>
        <w:gridCol w:w="120"/>
        <w:gridCol w:w="129"/>
        <w:gridCol w:w="119"/>
        <w:gridCol w:w="82"/>
        <w:gridCol w:w="2177"/>
        <w:gridCol w:w="25"/>
      </w:tblGrid>
      <w:tr w:rsidR="00A164CA" w:rsidRPr="00A164CA" w14:paraId="6960262E" w14:textId="77777777" w:rsidTr="00AE274D">
        <w:tc>
          <w:tcPr>
            <w:tcW w:w="3961" w:type="dxa"/>
            <w:gridSpan w:val="4"/>
            <w:shd w:val="clear" w:color="auto" w:fill="D9E2F3"/>
          </w:tcPr>
          <w:p w14:paraId="27CC147C" w14:textId="77777777" w:rsidR="00A164CA" w:rsidRPr="00AE274D" w:rsidRDefault="00A164CA">
            <w:pPr>
              <w:spacing w:before="40" w:after="40"/>
              <w:jc w:val="center"/>
              <w:rPr>
                <w:rFonts w:ascii="Arial Narrow" w:hAnsi="Arial Narrow"/>
                <w:b/>
                <w:sz w:val="24"/>
                <w:szCs w:val="24"/>
              </w:rPr>
            </w:pPr>
            <w:r w:rsidRPr="00AE274D">
              <w:rPr>
                <w:rFonts w:ascii="Arial Narrow" w:hAnsi="Arial Narrow"/>
                <w:b/>
                <w:sz w:val="24"/>
                <w:szCs w:val="24"/>
              </w:rPr>
              <w:lastRenderedPageBreak/>
              <w:t>Prioritet 5</w:t>
            </w:r>
          </w:p>
        </w:tc>
        <w:tc>
          <w:tcPr>
            <w:tcW w:w="10931" w:type="dxa"/>
            <w:gridSpan w:val="23"/>
            <w:shd w:val="clear" w:color="auto" w:fill="D9E2F3"/>
          </w:tcPr>
          <w:p w14:paraId="5B3A9091" w14:textId="77777777" w:rsidR="00A164CA" w:rsidRDefault="00A164CA" w:rsidP="00AE274D">
            <w:pPr>
              <w:spacing w:before="40" w:after="40"/>
              <w:rPr>
                <w:rFonts w:ascii="Arial Narrow" w:hAnsi="Arial Narrow"/>
                <w:b/>
                <w:sz w:val="24"/>
                <w:szCs w:val="24"/>
              </w:rPr>
            </w:pPr>
            <w:r w:rsidRPr="00AE274D">
              <w:rPr>
                <w:rFonts w:ascii="Arial Narrow" w:hAnsi="Arial Narrow"/>
                <w:b/>
                <w:sz w:val="24"/>
                <w:szCs w:val="24"/>
              </w:rPr>
              <w:t>DIGITALNA TRANSFORMACIJA</w:t>
            </w:r>
          </w:p>
          <w:p w14:paraId="70C8FB5E" w14:textId="77777777" w:rsidR="00AE274D" w:rsidRPr="00AE274D" w:rsidRDefault="00AE274D" w:rsidP="00AE274D">
            <w:pPr>
              <w:spacing w:before="40" w:after="40"/>
              <w:rPr>
                <w:rFonts w:ascii="Arial Narrow" w:hAnsi="Arial Narrow"/>
                <w:b/>
                <w:sz w:val="24"/>
                <w:szCs w:val="24"/>
              </w:rPr>
            </w:pPr>
          </w:p>
        </w:tc>
      </w:tr>
      <w:tr w:rsidR="00A164CA" w:rsidRPr="00A164CA" w14:paraId="6A0279F3" w14:textId="77777777" w:rsidTr="00F43978">
        <w:trPr>
          <w:trHeight w:val="458"/>
        </w:trPr>
        <w:tc>
          <w:tcPr>
            <w:tcW w:w="3961" w:type="dxa"/>
            <w:gridSpan w:val="4"/>
            <w:shd w:val="clear" w:color="auto" w:fill="D9E2F3"/>
          </w:tcPr>
          <w:p w14:paraId="28A5953E" w14:textId="77777777" w:rsidR="00A164CA" w:rsidRPr="00A164CA" w:rsidRDefault="00A164CA" w:rsidP="00AE274D">
            <w:pPr>
              <w:spacing w:before="40" w:after="40"/>
              <w:jc w:val="center"/>
              <w:rPr>
                <w:rFonts w:ascii="Arial Narrow" w:hAnsi="Arial Narrow"/>
                <w:b/>
                <w:sz w:val="20"/>
                <w:szCs w:val="20"/>
              </w:rPr>
            </w:pPr>
            <w:bookmarkStart w:id="47" w:name="_Hlk89634063"/>
            <w:r w:rsidRPr="00A164CA">
              <w:rPr>
                <w:rFonts w:ascii="Arial Narrow" w:hAnsi="Arial Narrow"/>
                <w:b/>
                <w:sz w:val="20"/>
                <w:szCs w:val="20"/>
              </w:rPr>
              <w:t xml:space="preserve">Cilj </w:t>
            </w:r>
            <w:r>
              <w:rPr>
                <w:rFonts w:ascii="Arial Narrow" w:hAnsi="Arial Narrow"/>
                <w:b/>
                <w:sz w:val="20"/>
                <w:szCs w:val="20"/>
              </w:rPr>
              <w:t>5.1.</w:t>
            </w:r>
          </w:p>
          <w:p w14:paraId="735B3FE4" w14:textId="77777777" w:rsidR="00A164CA" w:rsidRPr="00A164CA" w:rsidRDefault="00A164CA">
            <w:pPr>
              <w:spacing w:before="40" w:after="40"/>
              <w:jc w:val="center"/>
              <w:rPr>
                <w:rFonts w:ascii="Arial Narrow" w:hAnsi="Arial Narrow"/>
                <w:b/>
                <w:sz w:val="20"/>
                <w:szCs w:val="20"/>
              </w:rPr>
            </w:pPr>
          </w:p>
        </w:tc>
        <w:tc>
          <w:tcPr>
            <w:tcW w:w="10931" w:type="dxa"/>
            <w:gridSpan w:val="23"/>
            <w:shd w:val="clear" w:color="auto" w:fill="D9E2F3"/>
          </w:tcPr>
          <w:p w14:paraId="0EAEFBE7" w14:textId="77777777" w:rsidR="00A164CA" w:rsidRPr="00F43978" w:rsidRDefault="00A164CA" w:rsidP="00F43978">
            <w:pPr>
              <w:spacing w:before="40" w:after="40"/>
              <w:rPr>
                <w:rFonts w:ascii="Arial Narrow" w:hAnsi="Arial Narrow"/>
                <w:b/>
                <w:sz w:val="20"/>
                <w:szCs w:val="20"/>
              </w:rPr>
            </w:pPr>
            <w:r w:rsidRPr="00A164CA">
              <w:rPr>
                <w:rFonts w:ascii="Arial Narrow" w:hAnsi="Arial Narrow"/>
                <w:b/>
                <w:sz w:val="20"/>
                <w:szCs w:val="20"/>
              </w:rPr>
              <w:t>Administracija bez papi</w:t>
            </w:r>
            <w:r w:rsidR="00F43978">
              <w:rPr>
                <w:rFonts w:ascii="Arial Narrow" w:hAnsi="Arial Narrow"/>
                <w:b/>
                <w:sz w:val="20"/>
                <w:szCs w:val="20"/>
              </w:rPr>
              <w:t>ra i razvoj elektronskih usluga</w:t>
            </w:r>
          </w:p>
        </w:tc>
      </w:tr>
      <w:tr w:rsidR="00A164CA" w:rsidRPr="00A164CA" w14:paraId="69306507" w14:textId="77777777" w:rsidTr="00AE274D">
        <w:tc>
          <w:tcPr>
            <w:tcW w:w="3961" w:type="dxa"/>
            <w:gridSpan w:val="4"/>
            <w:shd w:val="clear" w:color="auto" w:fill="DAF2F6"/>
          </w:tcPr>
          <w:p w14:paraId="7C0D3F7B"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Indikator učinka</w:t>
            </w:r>
          </w:p>
        </w:tc>
        <w:tc>
          <w:tcPr>
            <w:tcW w:w="3130" w:type="dxa"/>
            <w:gridSpan w:val="6"/>
            <w:shd w:val="clear" w:color="auto" w:fill="DAF2F6"/>
          </w:tcPr>
          <w:p w14:paraId="23495A94"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Polazna vrijednost – 2021.g</w:t>
            </w:r>
          </w:p>
        </w:tc>
        <w:tc>
          <w:tcPr>
            <w:tcW w:w="2754" w:type="dxa"/>
            <w:gridSpan w:val="6"/>
            <w:shd w:val="clear" w:color="auto" w:fill="DAF2F6"/>
            <w:vAlign w:val="center"/>
          </w:tcPr>
          <w:p w14:paraId="5024B436"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Prelazna vrijednost – 2022.g</w:t>
            </w:r>
          </w:p>
        </w:tc>
        <w:tc>
          <w:tcPr>
            <w:tcW w:w="2763" w:type="dxa"/>
            <w:gridSpan w:val="8"/>
            <w:tcBorders>
              <w:bottom w:val="single" w:sz="4" w:space="0" w:color="FFFFFF"/>
            </w:tcBorders>
            <w:shd w:val="clear" w:color="auto" w:fill="DAF2F6"/>
            <w:vAlign w:val="center"/>
          </w:tcPr>
          <w:p w14:paraId="2B224A4B"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Prelazna vrijednost – 2023.g</w:t>
            </w:r>
          </w:p>
        </w:tc>
        <w:tc>
          <w:tcPr>
            <w:tcW w:w="2284" w:type="dxa"/>
            <w:gridSpan w:val="3"/>
            <w:tcBorders>
              <w:bottom w:val="single" w:sz="4" w:space="0" w:color="FFFFFF"/>
            </w:tcBorders>
            <w:shd w:val="clear" w:color="auto" w:fill="DAF2F6"/>
            <w:vAlign w:val="center"/>
          </w:tcPr>
          <w:p w14:paraId="5D88EE72"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Ciljna vrijednost - 2024.g</w:t>
            </w:r>
          </w:p>
        </w:tc>
      </w:tr>
      <w:tr w:rsidR="00A164CA" w:rsidRPr="00A164CA" w14:paraId="5890F962" w14:textId="77777777" w:rsidTr="00AE274D">
        <w:tc>
          <w:tcPr>
            <w:tcW w:w="3961" w:type="dxa"/>
            <w:gridSpan w:val="4"/>
            <w:shd w:val="clear" w:color="auto" w:fill="DAF2F6"/>
          </w:tcPr>
          <w:p w14:paraId="00A0A0AD" w14:textId="6B1A4A13" w:rsidR="00A164CA" w:rsidRPr="00A164CA" w:rsidRDefault="00A164CA">
            <w:pPr>
              <w:spacing w:before="40" w:after="40"/>
              <w:rPr>
                <w:rFonts w:ascii="Arial Narrow" w:hAnsi="Arial Narrow"/>
                <w:sz w:val="20"/>
                <w:szCs w:val="20"/>
              </w:rPr>
            </w:pPr>
            <w:r w:rsidRPr="00A164CA">
              <w:rPr>
                <w:rFonts w:ascii="Arial Narrow" w:hAnsi="Arial Narrow"/>
                <w:sz w:val="20"/>
                <w:szCs w:val="20"/>
              </w:rPr>
              <w:t xml:space="preserve">% organa u javnoj upravi u kojima je uspostavljen elektronski sistem upravljanja dokumenata </w:t>
            </w:r>
          </w:p>
        </w:tc>
        <w:tc>
          <w:tcPr>
            <w:tcW w:w="3130" w:type="dxa"/>
            <w:gridSpan w:val="6"/>
            <w:shd w:val="clear" w:color="auto" w:fill="DAF2F6"/>
          </w:tcPr>
          <w:p w14:paraId="2D40CC3D"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38% (2020)</w:t>
            </w:r>
          </w:p>
        </w:tc>
        <w:tc>
          <w:tcPr>
            <w:tcW w:w="2754" w:type="dxa"/>
            <w:gridSpan w:val="6"/>
            <w:shd w:val="clear" w:color="auto" w:fill="DAF2F6"/>
          </w:tcPr>
          <w:p w14:paraId="29E80D44"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40%</w:t>
            </w:r>
          </w:p>
        </w:tc>
        <w:tc>
          <w:tcPr>
            <w:tcW w:w="2763" w:type="dxa"/>
            <w:gridSpan w:val="8"/>
            <w:shd w:val="clear" w:color="auto" w:fill="DAF2F6"/>
          </w:tcPr>
          <w:p w14:paraId="4651A529"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45%</w:t>
            </w:r>
          </w:p>
        </w:tc>
        <w:tc>
          <w:tcPr>
            <w:tcW w:w="2284" w:type="dxa"/>
            <w:gridSpan w:val="3"/>
            <w:shd w:val="clear" w:color="auto" w:fill="DAF2F6"/>
          </w:tcPr>
          <w:p w14:paraId="4539E19C"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50%</w:t>
            </w:r>
          </w:p>
        </w:tc>
      </w:tr>
      <w:tr w:rsidR="00A164CA" w:rsidRPr="00A164CA" w14:paraId="1B2B67E7" w14:textId="77777777" w:rsidTr="00AE274D">
        <w:tc>
          <w:tcPr>
            <w:tcW w:w="3961" w:type="dxa"/>
            <w:gridSpan w:val="4"/>
            <w:shd w:val="clear" w:color="auto" w:fill="DAF2F6"/>
          </w:tcPr>
          <w:p w14:paraId="4CBC0B07" w14:textId="1040FFD9" w:rsidR="00A164CA" w:rsidRPr="00A164CA" w:rsidRDefault="00A164CA">
            <w:pPr>
              <w:spacing w:before="40" w:after="40"/>
              <w:rPr>
                <w:rFonts w:ascii="Arial Narrow" w:hAnsi="Arial Narrow"/>
                <w:sz w:val="20"/>
                <w:szCs w:val="20"/>
              </w:rPr>
            </w:pPr>
            <w:r w:rsidRPr="00A164CA">
              <w:rPr>
                <w:rFonts w:ascii="Arial Narrow" w:hAnsi="Arial Narrow"/>
                <w:sz w:val="20"/>
                <w:szCs w:val="20"/>
              </w:rPr>
              <w:t>Broj elektronskih razmjena između registara</w:t>
            </w:r>
            <w:r w:rsidRPr="00A164CA">
              <w:rPr>
                <w:rFonts w:ascii="Arial Narrow" w:hAnsi="Arial Narrow"/>
                <w:sz w:val="20"/>
                <w:szCs w:val="20"/>
                <w:vertAlign w:val="superscript"/>
              </w:rPr>
              <w:footnoteReference w:id="29"/>
            </w:r>
          </w:p>
        </w:tc>
        <w:tc>
          <w:tcPr>
            <w:tcW w:w="3130" w:type="dxa"/>
            <w:gridSpan w:val="6"/>
            <w:shd w:val="clear" w:color="auto" w:fill="DAF2F6"/>
          </w:tcPr>
          <w:p w14:paraId="64FFF0FE"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8</w:t>
            </w:r>
          </w:p>
        </w:tc>
        <w:tc>
          <w:tcPr>
            <w:tcW w:w="2754" w:type="dxa"/>
            <w:gridSpan w:val="6"/>
            <w:shd w:val="clear" w:color="auto" w:fill="DAF2F6"/>
          </w:tcPr>
          <w:p w14:paraId="49CD3E3A"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15</w:t>
            </w:r>
          </w:p>
        </w:tc>
        <w:tc>
          <w:tcPr>
            <w:tcW w:w="2763" w:type="dxa"/>
            <w:gridSpan w:val="8"/>
            <w:shd w:val="clear" w:color="auto" w:fill="DAF2F6"/>
          </w:tcPr>
          <w:p w14:paraId="61D91DDF"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22</w:t>
            </w:r>
          </w:p>
        </w:tc>
        <w:tc>
          <w:tcPr>
            <w:tcW w:w="2284" w:type="dxa"/>
            <w:gridSpan w:val="3"/>
            <w:shd w:val="clear" w:color="auto" w:fill="DAF2F6"/>
          </w:tcPr>
          <w:p w14:paraId="615BD5F1"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30</w:t>
            </w:r>
          </w:p>
        </w:tc>
      </w:tr>
      <w:tr w:rsidR="00A164CA" w:rsidRPr="00A164CA" w14:paraId="2CA109BA" w14:textId="77777777" w:rsidTr="00AE274D">
        <w:tc>
          <w:tcPr>
            <w:tcW w:w="3961" w:type="dxa"/>
            <w:gridSpan w:val="4"/>
            <w:shd w:val="clear" w:color="auto" w:fill="DAF2F6"/>
          </w:tcPr>
          <w:p w14:paraId="6B3DCB3A" w14:textId="17257BE9" w:rsidR="00A164CA" w:rsidRPr="00A164CA" w:rsidRDefault="00A164CA">
            <w:pPr>
              <w:spacing w:before="40" w:after="40"/>
              <w:rPr>
                <w:rFonts w:ascii="Arial Narrow" w:hAnsi="Arial Narrow"/>
                <w:sz w:val="20"/>
                <w:szCs w:val="20"/>
              </w:rPr>
            </w:pPr>
            <w:r w:rsidRPr="00A164CA">
              <w:rPr>
                <w:rFonts w:ascii="Arial Narrow" w:hAnsi="Arial Narrow"/>
                <w:sz w:val="20"/>
                <w:szCs w:val="20"/>
              </w:rPr>
              <w:t>Broj novih e-usluga</w:t>
            </w:r>
            <w:r w:rsidRPr="00A164CA">
              <w:rPr>
                <w:rFonts w:ascii="Arial Narrow" w:hAnsi="Arial Narrow"/>
                <w:sz w:val="20"/>
                <w:szCs w:val="20"/>
                <w:vertAlign w:val="superscript"/>
              </w:rPr>
              <w:footnoteReference w:id="30"/>
            </w:r>
            <w:r w:rsidRPr="00A164CA">
              <w:rPr>
                <w:rFonts w:ascii="Arial Narrow" w:hAnsi="Arial Narrow"/>
                <w:sz w:val="20"/>
                <w:szCs w:val="20"/>
              </w:rPr>
              <w:t xml:space="preserve"> </w:t>
            </w:r>
          </w:p>
        </w:tc>
        <w:tc>
          <w:tcPr>
            <w:tcW w:w="3130" w:type="dxa"/>
            <w:gridSpan w:val="6"/>
            <w:shd w:val="clear" w:color="auto" w:fill="DAF2F6"/>
          </w:tcPr>
          <w:p w14:paraId="3CAA66C2"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0</w:t>
            </w:r>
          </w:p>
        </w:tc>
        <w:tc>
          <w:tcPr>
            <w:tcW w:w="2754" w:type="dxa"/>
            <w:gridSpan w:val="6"/>
            <w:shd w:val="clear" w:color="auto" w:fill="DAF2F6"/>
          </w:tcPr>
          <w:p w14:paraId="7034EF86"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5</w:t>
            </w:r>
          </w:p>
        </w:tc>
        <w:tc>
          <w:tcPr>
            <w:tcW w:w="2763" w:type="dxa"/>
            <w:gridSpan w:val="8"/>
            <w:shd w:val="clear" w:color="auto" w:fill="DAF2F6"/>
          </w:tcPr>
          <w:p w14:paraId="39D5D9B9"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10</w:t>
            </w:r>
          </w:p>
        </w:tc>
        <w:tc>
          <w:tcPr>
            <w:tcW w:w="2284" w:type="dxa"/>
            <w:gridSpan w:val="3"/>
            <w:shd w:val="clear" w:color="auto" w:fill="DAF2F6"/>
          </w:tcPr>
          <w:p w14:paraId="5C0E535D"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15</w:t>
            </w:r>
          </w:p>
        </w:tc>
      </w:tr>
      <w:bookmarkEnd w:id="47"/>
      <w:tr w:rsidR="00A164CA" w:rsidRPr="00A164CA" w14:paraId="63136610" w14:textId="77777777" w:rsidTr="003B14BB">
        <w:tc>
          <w:tcPr>
            <w:tcW w:w="3961" w:type="dxa"/>
            <w:gridSpan w:val="4"/>
            <w:shd w:val="clear" w:color="auto" w:fill="FFF2CC"/>
            <w:vAlign w:val="center"/>
          </w:tcPr>
          <w:p w14:paraId="38FEF079"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Aktivnosti</w:t>
            </w:r>
          </w:p>
        </w:tc>
        <w:tc>
          <w:tcPr>
            <w:tcW w:w="2612" w:type="dxa"/>
            <w:gridSpan w:val="3"/>
            <w:shd w:val="clear" w:color="auto" w:fill="FFF2CC"/>
            <w:vAlign w:val="center"/>
          </w:tcPr>
          <w:p w14:paraId="275C2BDF"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Indikator rezultata</w:t>
            </w:r>
          </w:p>
        </w:tc>
        <w:tc>
          <w:tcPr>
            <w:tcW w:w="1804" w:type="dxa"/>
            <w:gridSpan w:val="6"/>
            <w:shd w:val="clear" w:color="auto" w:fill="FFF2CC"/>
            <w:vAlign w:val="center"/>
          </w:tcPr>
          <w:p w14:paraId="160BE2A8"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Nadležne institucije i nadležna komisija</w:t>
            </w:r>
          </w:p>
        </w:tc>
        <w:tc>
          <w:tcPr>
            <w:tcW w:w="1468" w:type="dxa"/>
            <w:gridSpan w:val="3"/>
            <w:shd w:val="clear" w:color="auto" w:fill="FFF2CC"/>
            <w:vAlign w:val="center"/>
          </w:tcPr>
          <w:p w14:paraId="6102F5EF"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Planirani početak i završetak aktivnosti</w:t>
            </w:r>
          </w:p>
        </w:tc>
        <w:tc>
          <w:tcPr>
            <w:tcW w:w="1585" w:type="dxa"/>
            <w:gridSpan w:val="3"/>
            <w:shd w:val="clear" w:color="auto" w:fill="FFF2CC"/>
            <w:vAlign w:val="center"/>
          </w:tcPr>
          <w:p w14:paraId="49A1C6C9"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Sredstva za realizaciju  i informacija o izradi RIA</w:t>
            </w:r>
          </w:p>
        </w:tc>
        <w:tc>
          <w:tcPr>
            <w:tcW w:w="1260" w:type="dxa"/>
            <w:gridSpan w:val="6"/>
            <w:shd w:val="clear" w:color="auto" w:fill="FFF2CC"/>
            <w:vAlign w:val="center"/>
          </w:tcPr>
          <w:p w14:paraId="5E53FB9D"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 xml:space="preserve"> Izvor finansiranja</w:t>
            </w:r>
          </w:p>
        </w:tc>
        <w:tc>
          <w:tcPr>
            <w:tcW w:w="2202" w:type="dxa"/>
            <w:gridSpan w:val="2"/>
            <w:shd w:val="clear" w:color="auto" w:fill="FFF2CC"/>
            <w:vAlign w:val="center"/>
          </w:tcPr>
          <w:p w14:paraId="56E893C5" w14:textId="77777777" w:rsidR="00A164CA" w:rsidRPr="00A164CA" w:rsidRDefault="00A164CA">
            <w:pPr>
              <w:spacing w:before="20" w:after="20"/>
              <w:jc w:val="center"/>
              <w:rPr>
                <w:rFonts w:ascii="Arial Narrow" w:hAnsi="Arial Narrow"/>
                <w:sz w:val="20"/>
                <w:szCs w:val="20"/>
              </w:rPr>
            </w:pPr>
          </w:p>
          <w:p w14:paraId="3379CF53" w14:textId="77777777" w:rsidR="00A164CA" w:rsidRPr="00A164CA" w:rsidRDefault="00A164CA">
            <w:pPr>
              <w:spacing w:before="20" w:after="20"/>
              <w:jc w:val="center"/>
              <w:rPr>
                <w:rFonts w:ascii="Arial Narrow" w:hAnsi="Arial Narrow"/>
                <w:sz w:val="20"/>
                <w:szCs w:val="20"/>
              </w:rPr>
            </w:pPr>
            <w:r w:rsidRPr="00A164CA">
              <w:rPr>
                <w:rFonts w:ascii="Arial Narrow" w:hAnsi="Arial Narrow"/>
                <w:sz w:val="20"/>
                <w:szCs w:val="20"/>
              </w:rPr>
              <w:t>Obrazloženje</w:t>
            </w:r>
          </w:p>
        </w:tc>
      </w:tr>
      <w:tr w:rsidR="00A164CA" w:rsidRPr="00A164CA" w14:paraId="2E980C1F" w14:textId="77777777" w:rsidTr="003B14BB">
        <w:tc>
          <w:tcPr>
            <w:tcW w:w="540" w:type="dxa"/>
          </w:tcPr>
          <w:p w14:paraId="7A3F5584"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t>1.</w:t>
            </w:r>
          </w:p>
        </w:tc>
        <w:tc>
          <w:tcPr>
            <w:tcW w:w="3421" w:type="dxa"/>
            <w:gridSpan w:val="3"/>
          </w:tcPr>
          <w:p w14:paraId="6AC0A3C2"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Implementacija sistema za upravljanje dokumentima  u organima sa najvećom interakcijom sa građanima</w:t>
            </w:r>
          </w:p>
          <w:p w14:paraId="7B573E96" w14:textId="77777777" w:rsidR="00A164CA" w:rsidRPr="00A164CA" w:rsidRDefault="00A164CA" w:rsidP="00AE274D">
            <w:pPr>
              <w:spacing w:before="20" w:after="20"/>
              <w:jc w:val="both"/>
              <w:rPr>
                <w:rFonts w:ascii="Arial Narrow" w:hAnsi="Arial Narrow"/>
                <w:sz w:val="20"/>
                <w:szCs w:val="20"/>
              </w:rPr>
            </w:pPr>
          </w:p>
          <w:p w14:paraId="5D08FD06" w14:textId="77777777" w:rsidR="00A164CA" w:rsidRPr="00A164CA" w:rsidRDefault="00A164CA" w:rsidP="00AE274D">
            <w:pPr>
              <w:spacing w:before="20" w:after="20"/>
              <w:jc w:val="both"/>
              <w:rPr>
                <w:rFonts w:ascii="Arial Narrow" w:hAnsi="Arial Narrow"/>
                <w:sz w:val="20"/>
                <w:szCs w:val="20"/>
              </w:rPr>
            </w:pPr>
          </w:p>
        </w:tc>
        <w:tc>
          <w:tcPr>
            <w:tcW w:w="2612" w:type="dxa"/>
            <w:gridSpan w:val="3"/>
          </w:tcPr>
          <w:p w14:paraId="3CDFA4D3"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 xml:space="preserve">- Analiza administrativnih i tehničkih uslova za uspostavljanje eDMS </w:t>
            </w:r>
          </w:p>
          <w:p w14:paraId="6AC2FDBA"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b/>
                <w:sz w:val="20"/>
                <w:szCs w:val="20"/>
              </w:rPr>
              <w:t xml:space="preserve">- </w:t>
            </w:r>
            <w:r w:rsidRPr="00A164CA">
              <w:rPr>
                <w:rFonts w:ascii="Arial Narrow" w:hAnsi="Arial Narrow"/>
                <w:sz w:val="20"/>
                <w:szCs w:val="20"/>
              </w:rPr>
              <w:t xml:space="preserve">-Informacija o stepenu implementacije sistema (broj novih organa u kojima je sistem implementiran; mogućnosti za uvezivanje sistema sa eSV i portalom e-uprave, itd.) </w:t>
            </w:r>
          </w:p>
        </w:tc>
        <w:tc>
          <w:tcPr>
            <w:tcW w:w="1804" w:type="dxa"/>
            <w:gridSpan w:val="6"/>
          </w:tcPr>
          <w:p w14:paraId="558CC8EC"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MJUDDM</w:t>
            </w:r>
          </w:p>
          <w:p w14:paraId="1504E559"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Organi javne uprave u kojima se implementira sistem</w:t>
            </w:r>
          </w:p>
        </w:tc>
        <w:tc>
          <w:tcPr>
            <w:tcW w:w="1468" w:type="dxa"/>
            <w:gridSpan w:val="3"/>
          </w:tcPr>
          <w:p w14:paraId="77DF321D"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I Q 2022.</w:t>
            </w:r>
          </w:p>
          <w:p w14:paraId="489277DF"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IV Q 2022</w:t>
            </w:r>
          </w:p>
          <w:p w14:paraId="360D913C" w14:textId="77777777" w:rsidR="00A164CA" w:rsidRPr="00A164CA" w:rsidRDefault="00A164CA" w:rsidP="00AE274D">
            <w:pPr>
              <w:spacing w:before="20" w:after="20"/>
              <w:jc w:val="both"/>
              <w:rPr>
                <w:rFonts w:ascii="Arial Narrow" w:hAnsi="Arial Narrow"/>
                <w:color w:val="FF0000"/>
                <w:sz w:val="20"/>
                <w:szCs w:val="20"/>
              </w:rPr>
            </w:pPr>
          </w:p>
        </w:tc>
        <w:tc>
          <w:tcPr>
            <w:tcW w:w="1585" w:type="dxa"/>
            <w:gridSpan w:val="3"/>
          </w:tcPr>
          <w:p w14:paraId="418981DD" w14:textId="77777777" w:rsidR="00A164CA" w:rsidRPr="00A164CA" w:rsidRDefault="00A164CA" w:rsidP="00AE274D">
            <w:pPr>
              <w:spacing w:before="20" w:after="20"/>
              <w:jc w:val="both"/>
              <w:rPr>
                <w:rFonts w:ascii="Arial Narrow" w:hAnsi="Arial Narrow"/>
                <w:b/>
                <w:color w:val="FF0000"/>
                <w:sz w:val="20"/>
                <w:szCs w:val="20"/>
              </w:rPr>
            </w:pPr>
            <w:r w:rsidRPr="00A164CA">
              <w:rPr>
                <w:rFonts w:ascii="Arial Narrow" w:hAnsi="Arial Narrow"/>
                <w:sz w:val="20"/>
                <w:szCs w:val="20"/>
              </w:rPr>
              <w:t>300.000,00</w:t>
            </w:r>
          </w:p>
        </w:tc>
        <w:tc>
          <w:tcPr>
            <w:tcW w:w="1260" w:type="dxa"/>
            <w:gridSpan w:val="6"/>
          </w:tcPr>
          <w:p w14:paraId="5347D7AC" w14:textId="77777777" w:rsidR="00A164CA" w:rsidRPr="00A164CA" w:rsidRDefault="00A164CA" w:rsidP="00AE274D">
            <w:pPr>
              <w:spacing w:before="20" w:after="20"/>
              <w:jc w:val="both"/>
              <w:rPr>
                <w:rFonts w:ascii="Arial Narrow" w:hAnsi="Arial Narrow"/>
                <w:color w:val="FF0000"/>
                <w:sz w:val="20"/>
                <w:szCs w:val="20"/>
              </w:rPr>
            </w:pPr>
            <w:r w:rsidRPr="00A164CA">
              <w:rPr>
                <w:rFonts w:ascii="Arial Narrow" w:hAnsi="Arial Narrow"/>
                <w:sz w:val="20"/>
                <w:szCs w:val="20"/>
              </w:rPr>
              <w:t>Budzet (SBS)</w:t>
            </w:r>
          </w:p>
        </w:tc>
        <w:tc>
          <w:tcPr>
            <w:tcW w:w="2202" w:type="dxa"/>
            <w:gridSpan w:val="2"/>
          </w:tcPr>
          <w:p w14:paraId="0629B9E7"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eDMS u narednom periodu će se unaprijediti kroz redizajn sistema. U cilju razmjene dokumenata potrebno je proširiti sistem na ostale organe uprave, što podrazumijeva razmjenu dokumenata između Vlade i organa državne uprave. Neophodno je povezati sistem Portala e-uprave sa eDMS-om kako bi se u potpunosti pratio tok elektronski podnijetih zahtjeva u okviru e-usluga.</w:t>
            </w:r>
          </w:p>
          <w:p w14:paraId="09CD9349"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 xml:space="preserve">Da bi e-uprava i e-kancelarijsko poslovanje </w:t>
            </w:r>
            <w:r w:rsidRPr="00A164CA">
              <w:rPr>
                <w:rFonts w:ascii="Arial Narrow" w:hAnsi="Arial Narrow"/>
                <w:sz w:val="20"/>
                <w:szCs w:val="20"/>
              </w:rPr>
              <w:lastRenderedPageBreak/>
              <w:t>zaživjelo u praksi potrebno je, prije svega uticati na promjenu davno stečenih navika u kancelarijskom poslovanju te promjenu svijesti zaposlenih u javnoj administraciji. Upotreba i promet elektronskih dokumenata kroz informacione sisteme, odnosno eDMS iziskuje dodatne obuke i pojednostavljenje propisa koji uređuju elektronsko kancelarijsko poslovanje (Uredba o kancelarijskom poslovanju organa državne uprave) kao i veću primjenu elektronskog dokumenta propisanog Zakonom o elektronskom dokumentu, kao i upotrebu elektronskog potpisa i elektronskog pečata.</w:t>
            </w:r>
          </w:p>
        </w:tc>
      </w:tr>
      <w:tr w:rsidR="00A164CA" w:rsidRPr="00A164CA" w14:paraId="6243088B" w14:textId="77777777" w:rsidTr="003B14BB">
        <w:tc>
          <w:tcPr>
            <w:tcW w:w="540" w:type="dxa"/>
          </w:tcPr>
          <w:p w14:paraId="1A15C85F"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t>2.</w:t>
            </w:r>
          </w:p>
        </w:tc>
        <w:tc>
          <w:tcPr>
            <w:tcW w:w="3421" w:type="dxa"/>
            <w:gridSpan w:val="3"/>
          </w:tcPr>
          <w:p w14:paraId="50B4A673"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Unapređenje elektronske razmjene podataka između registara</w:t>
            </w:r>
            <w:r w:rsidRPr="00A164CA">
              <w:rPr>
                <w:rFonts w:ascii="Arial Narrow" w:hAnsi="Arial Narrow"/>
                <w:sz w:val="20"/>
                <w:szCs w:val="20"/>
                <w:vertAlign w:val="superscript"/>
              </w:rPr>
              <w:footnoteReference w:id="31"/>
            </w:r>
            <w:r w:rsidRPr="00A164CA">
              <w:rPr>
                <w:rFonts w:ascii="Arial Narrow" w:hAnsi="Arial Narrow"/>
                <w:sz w:val="20"/>
                <w:szCs w:val="20"/>
              </w:rPr>
              <w:t xml:space="preserve"> </w:t>
            </w:r>
          </w:p>
        </w:tc>
        <w:tc>
          <w:tcPr>
            <w:tcW w:w="2612" w:type="dxa"/>
            <w:gridSpan w:val="3"/>
          </w:tcPr>
          <w:p w14:paraId="3D625D9F"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Informacija o razmjeni podataka između registara (unapređenje platforme za razmjenu podataka; broj registrar koji razmjenjuju podatke; razvoj novih web-servisa za razmjenu podataka; itd)</w:t>
            </w:r>
          </w:p>
          <w:p w14:paraId="01AE806C" w14:textId="77777777" w:rsidR="00A164CA" w:rsidRPr="00A164CA" w:rsidRDefault="00A164CA" w:rsidP="00AE274D">
            <w:pPr>
              <w:spacing w:before="20" w:after="20"/>
              <w:jc w:val="both"/>
              <w:rPr>
                <w:rFonts w:ascii="Arial Narrow" w:hAnsi="Arial Narrow"/>
                <w:sz w:val="20"/>
                <w:szCs w:val="20"/>
              </w:rPr>
            </w:pPr>
          </w:p>
        </w:tc>
        <w:tc>
          <w:tcPr>
            <w:tcW w:w="1804" w:type="dxa"/>
            <w:gridSpan w:val="6"/>
          </w:tcPr>
          <w:p w14:paraId="1E8152AE"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MJUDDIM</w:t>
            </w:r>
          </w:p>
          <w:p w14:paraId="624D8D77"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MUP</w:t>
            </w:r>
          </w:p>
          <w:p w14:paraId="5438FE2C"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MPLJIMP</w:t>
            </w:r>
          </w:p>
          <w:p w14:paraId="297BC610"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Poreska uprava</w:t>
            </w:r>
          </w:p>
          <w:p w14:paraId="0C6A12C1"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ZOCG</w:t>
            </w:r>
          </w:p>
          <w:p w14:paraId="5C5E3FC4"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JLS</w:t>
            </w:r>
          </w:p>
          <w:p w14:paraId="26C13140"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Katastar i</w:t>
            </w:r>
          </w:p>
          <w:p w14:paraId="5C8B1F11"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Ostale .institucije vlasnici registara iz metaregistra</w:t>
            </w:r>
          </w:p>
        </w:tc>
        <w:tc>
          <w:tcPr>
            <w:tcW w:w="1468" w:type="dxa"/>
            <w:gridSpan w:val="3"/>
          </w:tcPr>
          <w:p w14:paraId="6033BF91"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I Q 2022</w:t>
            </w:r>
          </w:p>
          <w:p w14:paraId="3C490933" w14:textId="77777777" w:rsidR="00A164CA" w:rsidRPr="00A164CA" w:rsidRDefault="00A164CA" w:rsidP="00AE274D">
            <w:pPr>
              <w:spacing w:before="20" w:after="20"/>
              <w:jc w:val="both"/>
              <w:rPr>
                <w:rFonts w:ascii="Arial Narrow" w:hAnsi="Arial Narrow"/>
                <w:sz w:val="20"/>
                <w:szCs w:val="20"/>
              </w:rPr>
            </w:pPr>
            <w:r w:rsidRPr="00A164CA">
              <w:rPr>
                <w:rFonts w:ascii="Arial Narrow" w:hAnsi="Arial Narrow"/>
                <w:sz w:val="20"/>
                <w:szCs w:val="20"/>
              </w:rPr>
              <w:t>IV Q 2022</w:t>
            </w:r>
          </w:p>
        </w:tc>
        <w:tc>
          <w:tcPr>
            <w:tcW w:w="1585" w:type="dxa"/>
            <w:gridSpan w:val="3"/>
          </w:tcPr>
          <w:p w14:paraId="58F2B61A" w14:textId="77777777" w:rsidR="00A164CA" w:rsidRPr="00A164CA" w:rsidRDefault="00A164CA" w:rsidP="00AE274D">
            <w:pPr>
              <w:spacing w:before="20" w:after="20"/>
              <w:jc w:val="both"/>
              <w:rPr>
                <w:rFonts w:ascii="Arial Narrow" w:hAnsi="Arial Narrow"/>
                <w:sz w:val="20"/>
                <w:szCs w:val="20"/>
              </w:rPr>
            </w:pPr>
          </w:p>
        </w:tc>
        <w:tc>
          <w:tcPr>
            <w:tcW w:w="1260" w:type="dxa"/>
            <w:gridSpan w:val="6"/>
          </w:tcPr>
          <w:p w14:paraId="7240F5B5" w14:textId="77777777" w:rsidR="00A164CA" w:rsidRPr="00A164CA" w:rsidRDefault="00A164CA" w:rsidP="00AE274D">
            <w:pPr>
              <w:spacing w:before="20" w:after="20"/>
              <w:jc w:val="both"/>
              <w:rPr>
                <w:rFonts w:ascii="Arial Narrow" w:hAnsi="Arial Narrow"/>
                <w:sz w:val="20"/>
                <w:szCs w:val="20"/>
              </w:rPr>
            </w:pPr>
          </w:p>
        </w:tc>
        <w:tc>
          <w:tcPr>
            <w:tcW w:w="2202" w:type="dxa"/>
            <w:gridSpan w:val="2"/>
          </w:tcPr>
          <w:p w14:paraId="411F2108" w14:textId="77777777" w:rsidR="00A164CA" w:rsidRPr="00A164CA" w:rsidRDefault="00A164CA" w:rsidP="00AE274D">
            <w:pPr>
              <w:spacing w:before="20" w:after="20"/>
              <w:jc w:val="both"/>
              <w:rPr>
                <w:rFonts w:ascii="Arial Narrow" w:hAnsi="Arial Narrow"/>
                <w:sz w:val="20"/>
                <w:szCs w:val="20"/>
              </w:rPr>
            </w:pPr>
          </w:p>
        </w:tc>
      </w:tr>
      <w:tr w:rsidR="00A164CA" w:rsidRPr="00A164CA" w14:paraId="413071BD" w14:textId="77777777" w:rsidTr="003B14BB">
        <w:tc>
          <w:tcPr>
            <w:tcW w:w="540" w:type="dxa"/>
            <w:shd w:val="clear" w:color="auto" w:fill="auto"/>
          </w:tcPr>
          <w:p w14:paraId="40ABB821"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lastRenderedPageBreak/>
              <w:t>3.</w:t>
            </w:r>
          </w:p>
        </w:tc>
        <w:tc>
          <w:tcPr>
            <w:tcW w:w="3421" w:type="dxa"/>
            <w:gridSpan w:val="3"/>
            <w:shd w:val="clear" w:color="auto" w:fill="auto"/>
          </w:tcPr>
          <w:p w14:paraId="16C39897"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Uspostavljanje novog jedinstvenog portal E-uprave</w:t>
            </w:r>
          </w:p>
        </w:tc>
        <w:tc>
          <w:tcPr>
            <w:tcW w:w="2612" w:type="dxa"/>
            <w:gridSpan w:val="3"/>
            <w:shd w:val="clear" w:color="auto" w:fill="auto"/>
          </w:tcPr>
          <w:p w14:paraId="68C1A116" w14:textId="77777777" w:rsidR="00A164CA" w:rsidRPr="00A164CA" w:rsidRDefault="00A164CA">
            <w:pPr>
              <w:spacing w:line="276" w:lineRule="auto"/>
              <w:jc w:val="both"/>
              <w:rPr>
                <w:rFonts w:ascii="Arial Narrow" w:hAnsi="Arial Narrow"/>
                <w:sz w:val="20"/>
                <w:szCs w:val="20"/>
              </w:rPr>
            </w:pPr>
            <w:r w:rsidRPr="00A164CA">
              <w:rPr>
                <w:rFonts w:ascii="Arial Narrow" w:hAnsi="Arial Narrow"/>
                <w:sz w:val="20"/>
                <w:szCs w:val="20"/>
              </w:rPr>
              <w:t xml:space="preserve">Informacija uspostavljanju novog portala e-Uprave i ravoju novih elektronskih usluga </w:t>
            </w:r>
          </w:p>
        </w:tc>
        <w:tc>
          <w:tcPr>
            <w:tcW w:w="1804" w:type="dxa"/>
            <w:gridSpan w:val="6"/>
            <w:shd w:val="clear" w:color="auto" w:fill="auto"/>
          </w:tcPr>
          <w:p w14:paraId="674DA6BA"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 xml:space="preserve">MJUDDM </w:t>
            </w:r>
          </w:p>
          <w:p w14:paraId="29021054"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UNDP</w:t>
            </w:r>
          </w:p>
        </w:tc>
        <w:tc>
          <w:tcPr>
            <w:tcW w:w="1468" w:type="dxa"/>
            <w:gridSpan w:val="3"/>
            <w:shd w:val="clear" w:color="auto" w:fill="auto"/>
          </w:tcPr>
          <w:p w14:paraId="4F39296D"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I Q 2022.</w:t>
            </w:r>
          </w:p>
          <w:p w14:paraId="5EF71C4D"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IV Q 2022</w:t>
            </w:r>
          </w:p>
        </w:tc>
        <w:tc>
          <w:tcPr>
            <w:tcW w:w="1585" w:type="dxa"/>
            <w:gridSpan w:val="3"/>
            <w:shd w:val="clear" w:color="auto" w:fill="auto"/>
          </w:tcPr>
          <w:p w14:paraId="4905B0C8"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300.000,00</w:t>
            </w:r>
          </w:p>
        </w:tc>
        <w:tc>
          <w:tcPr>
            <w:tcW w:w="1260" w:type="dxa"/>
            <w:gridSpan w:val="6"/>
          </w:tcPr>
          <w:p w14:paraId="7A5BB754"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 xml:space="preserve">Donacija </w:t>
            </w:r>
          </w:p>
          <w:p w14:paraId="2B950714"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DEU – projekat UNDP</w:t>
            </w:r>
          </w:p>
        </w:tc>
        <w:tc>
          <w:tcPr>
            <w:tcW w:w="2202" w:type="dxa"/>
            <w:gridSpan w:val="2"/>
            <w:shd w:val="clear" w:color="auto" w:fill="auto"/>
          </w:tcPr>
          <w:p w14:paraId="0F3D63F5" w14:textId="77777777" w:rsidR="00A164CA" w:rsidRPr="00A164CA" w:rsidRDefault="00A164CA" w:rsidP="009E0228">
            <w:pPr>
              <w:spacing w:before="20" w:after="20"/>
              <w:jc w:val="both"/>
              <w:rPr>
                <w:rFonts w:ascii="Arial Narrow" w:hAnsi="Arial Narrow"/>
                <w:sz w:val="20"/>
                <w:szCs w:val="20"/>
              </w:rPr>
            </w:pPr>
            <w:r w:rsidRPr="00A164CA">
              <w:rPr>
                <w:rFonts w:ascii="Arial Narrow" w:hAnsi="Arial Narrow"/>
                <w:sz w:val="20"/>
                <w:szCs w:val="20"/>
              </w:rPr>
              <w:t>Uspostavljenje novog portal predviđa integracjiu sa dijeljenim sistemima elektronske uprave kao što su sistem za elektronsku identifikaciju, sistem za naplatu administrativnih taksi i naknada itd., kako bi se omogućilo zaokrušivanje elektronskih usluga i njihova sofisticiranost visokog nivoa</w:t>
            </w:r>
          </w:p>
        </w:tc>
      </w:tr>
      <w:tr w:rsidR="00A164CA" w:rsidRPr="00A164CA" w14:paraId="7027FE03" w14:textId="77777777" w:rsidTr="003B14BB">
        <w:trPr>
          <w:trHeight w:val="4350"/>
        </w:trPr>
        <w:tc>
          <w:tcPr>
            <w:tcW w:w="540" w:type="dxa"/>
            <w:shd w:val="clear" w:color="auto" w:fill="auto"/>
          </w:tcPr>
          <w:p w14:paraId="7A88414A"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t>4.</w:t>
            </w:r>
          </w:p>
        </w:tc>
        <w:tc>
          <w:tcPr>
            <w:tcW w:w="3421" w:type="dxa"/>
            <w:gridSpan w:val="3"/>
            <w:shd w:val="clear" w:color="auto" w:fill="auto"/>
          </w:tcPr>
          <w:p w14:paraId="583DA7B9" w14:textId="77777777" w:rsidR="00A164CA" w:rsidRPr="00A164CA" w:rsidRDefault="00A164CA">
            <w:pPr>
              <w:spacing w:before="100" w:line="249" w:lineRule="auto"/>
              <w:ind w:left="103"/>
              <w:rPr>
                <w:rFonts w:ascii="Arial Narrow" w:hAnsi="Arial Narrow"/>
                <w:sz w:val="20"/>
                <w:szCs w:val="20"/>
              </w:rPr>
            </w:pPr>
            <w:r w:rsidRPr="00A164CA">
              <w:rPr>
                <w:rFonts w:ascii="Arial Narrow" w:hAnsi="Arial Narrow"/>
                <w:sz w:val="20"/>
                <w:szCs w:val="20"/>
              </w:rPr>
              <w:t>Dizajniranje i realizacija promotivne kampanje ,,Crna Gora destinacija za digitalne nomade'' - Izvještaj o sprovedenim aktivnostima iz Programa za privlačenje digitalnih nomada u dijelu gdje  je MJUDDM nosilac</w:t>
            </w:r>
          </w:p>
          <w:p w14:paraId="50583727" w14:textId="77777777" w:rsidR="00A164CA" w:rsidRPr="00A164CA" w:rsidRDefault="00A164CA">
            <w:pPr>
              <w:spacing w:before="20" w:after="20"/>
              <w:rPr>
                <w:rFonts w:ascii="Arial Narrow" w:hAnsi="Arial Narrow"/>
                <w:sz w:val="20"/>
                <w:szCs w:val="20"/>
              </w:rPr>
            </w:pPr>
          </w:p>
        </w:tc>
        <w:tc>
          <w:tcPr>
            <w:tcW w:w="2612" w:type="dxa"/>
            <w:gridSpan w:val="3"/>
            <w:shd w:val="clear" w:color="auto" w:fill="auto"/>
          </w:tcPr>
          <w:p w14:paraId="6348AFED" w14:textId="77777777" w:rsidR="00A164CA" w:rsidRPr="00A164CA" w:rsidRDefault="00A164CA">
            <w:pPr>
              <w:spacing w:line="276" w:lineRule="auto"/>
              <w:jc w:val="both"/>
              <w:rPr>
                <w:rFonts w:ascii="Arial Narrow" w:hAnsi="Arial Narrow"/>
                <w:sz w:val="20"/>
                <w:szCs w:val="20"/>
              </w:rPr>
            </w:pPr>
            <w:r w:rsidRPr="00A164CA">
              <w:rPr>
                <w:rFonts w:ascii="Arial Narrow" w:hAnsi="Arial Narrow"/>
                <w:sz w:val="20"/>
                <w:szCs w:val="20"/>
              </w:rPr>
              <w:t xml:space="preserve">Informacija o sprovedenim aktivnostima iz Programa privlačenja digitalnih nomada u dijelu promotivnih aktivnosti gdje je nosilac aktivnosti MJUDDM </w:t>
            </w:r>
          </w:p>
        </w:tc>
        <w:tc>
          <w:tcPr>
            <w:tcW w:w="1804" w:type="dxa"/>
            <w:gridSpan w:val="6"/>
            <w:shd w:val="clear" w:color="auto" w:fill="auto"/>
          </w:tcPr>
          <w:p w14:paraId="7692125A"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NI: MJUDDM</w:t>
            </w:r>
          </w:p>
          <w:p w14:paraId="5CD6FF2E" w14:textId="77777777" w:rsidR="00A164CA" w:rsidRPr="00A164CA" w:rsidRDefault="00A164CA">
            <w:pPr>
              <w:spacing w:before="20" w:after="20"/>
              <w:rPr>
                <w:rFonts w:ascii="Arial Narrow" w:hAnsi="Arial Narrow"/>
                <w:sz w:val="20"/>
                <w:szCs w:val="20"/>
              </w:rPr>
            </w:pPr>
          </w:p>
          <w:p w14:paraId="3F08648C"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NK: KPS</w:t>
            </w:r>
          </w:p>
          <w:p w14:paraId="40062AB9"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KEPIF</w:t>
            </w:r>
          </w:p>
        </w:tc>
        <w:tc>
          <w:tcPr>
            <w:tcW w:w="1468" w:type="dxa"/>
            <w:gridSpan w:val="3"/>
            <w:shd w:val="clear" w:color="auto" w:fill="auto"/>
          </w:tcPr>
          <w:p w14:paraId="47A1C935"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I Q   2022</w:t>
            </w:r>
          </w:p>
          <w:p w14:paraId="24B0D377"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IV Q 2022</w:t>
            </w:r>
          </w:p>
        </w:tc>
        <w:tc>
          <w:tcPr>
            <w:tcW w:w="1585" w:type="dxa"/>
            <w:gridSpan w:val="3"/>
            <w:shd w:val="clear" w:color="auto" w:fill="auto"/>
          </w:tcPr>
          <w:p w14:paraId="2EAD5493"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85.000</w:t>
            </w:r>
          </w:p>
          <w:p w14:paraId="4A9244CC" w14:textId="77777777" w:rsidR="00A164CA" w:rsidRPr="00A164CA" w:rsidRDefault="00A164CA">
            <w:pPr>
              <w:spacing w:before="20" w:after="20"/>
              <w:rPr>
                <w:rFonts w:ascii="Arial Narrow" w:hAnsi="Arial Narrow"/>
                <w:sz w:val="20"/>
                <w:szCs w:val="20"/>
              </w:rPr>
            </w:pPr>
          </w:p>
        </w:tc>
        <w:tc>
          <w:tcPr>
            <w:tcW w:w="1260" w:type="dxa"/>
            <w:gridSpan w:val="6"/>
            <w:shd w:val="clear" w:color="auto" w:fill="auto"/>
          </w:tcPr>
          <w:p w14:paraId="68662531"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Budžet MJUUDM</w:t>
            </w:r>
          </w:p>
        </w:tc>
        <w:tc>
          <w:tcPr>
            <w:tcW w:w="2202" w:type="dxa"/>
            <w:gridSpan w:val="2"/>
            <w:shd w:val="clear" w:color="auto" w:fill="auto"/>
          </w:tcPr>
          <w:p w14:paraId="31ADB5E6" w14:textId="77777777" w:rsidR="00A164CA" w:rsidRPr="00A164CA" w:rsidRDefault="00A164CA" w:rsidP="00F43978">
            <w:pPr>
              <w:spacing w:before="20" w:after="20"/>
              <w:jc w:val="both"/>
              <w:rPr>
                <w:rFonts w:ascii="Arial Narrow" w:hAnsi="Arial Narrow"/>
                <w:sz w:val="20"/>
                <w:szCs w:val="20"/>
              </w:rPr>
            </w:pPr>
            <w:r w:rsidRPr="00A164CA">
              <w:rPr>
                <w:rFonts w:ascii="Arial Narrow" w:hAnsi="Arial Narrow"/>
                <w:sz w:val="20"/>
                <w:szCs w:val="20"/>
              </w:rPr>
              <w:t xml:space="preserve">U skladu sa Akcionim planom iz Programa privlačenja digitalnih nomada do 2025. godine, predviđene su aktivnosti u dijelu promotivne kampanje, kao i kreiranja informacione platforme  za digitalne nomade, što će doprinijeti povećanoj dostupnosti informacija i usluga namjenjenih digitalnim nomadima. </w:t>
            </w:r>
          </w:p>
        </w:tc>
      </w:tr>
      <w:tr w:rsidR="00A164CA" w:rsidRPr="00A164CA" w14:paraId="7C334539" w14:textId="77777777" w:rsidTr="003B14BB">
        <w:trPr>
          <w:trHeight w:val="4350"/>
        </w:trPr>
        <w:tc>
          <w:tcPr>
            <w:tcW w:w="540" w:type="dxa"/>
            <w:shd w:val="clear" w:color="auto" w:fill="auto"/>
          </w:tcPr>
          <w:p w14:paraId="4948A18A"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lastRenderedPageBreak/>
              <w:t>5.</w:t>
            </w:r>
          </w:p>
        </w:tc>
        <w:tc>
          <w:tcPr>
            <w:tcW w:w="3421" w:type="dxa"/>
            <w:gridSpan w:val="3"/>
            <w:shd w:val="clear" w:color="auto" w:fill="auto"/>
          </w:tcPr>
          <w:p w14:paraId="026A0D11" w14:textId="77777777" w:rsidR="00A164CA" w:rsidRPr="00A164CA" w:rsidRDefault="00A164CA">
            <w:pPr>
              <w:spacing w:before="100" w:line="249" w:lineRule="auto"/>
              <w:rPr>
                <w:rFonts w:ascii="Arial Narrow" w:hAnsi="Arial Narrow"/>
                <w:sz w:val="20"/>
                <w:szCs w:val="20"/>
              </w:rPr>
            </w:pPr>
            <w:r w:rsidRPr="00A164CA">
              <w:rPr>
                <w:rFonts w:ascii="Arial Narrow" w:hAnsi="Arial Narrow"/>
                <w:sz w:val="20"/>
                <w:szCs w:val="20"/>
              </w:rPr>
              <w:t>ObavijestiMe platforma (NotifyMe)</w:t>
            </w:r>
          </w:p>
        </w:tc>
        <w:tc>
          <w:tcPr>
            <w:tcW w:w="2612" w:type="dxa"/>
            <w:gridSpan w:val="3"/>
            <w:shd w:val="clear" w:color="auto" w:fill="auto"/>
          </w:tcPr>
          <w:p w14:paraId="3984082A" w14:textId="77777777" w:rsidR="00A164CA" w:rsidRPr="00A164CA" w:rsidRDefault="00A164CA">
            <w:pPr>
              <w:spacing w:line="276" w:lineRule="auto"/>
              <w:jc w:val="both"/>
              <w:rPr>
                <w:rFonts w:ascii="Arial Narrow" w:hAnsi="Arial Narrow"/>
                <w:sz w:val="20"/>
                <w:szCs w:val="20"/>
              </w:rPr>
            </w:pPr>
            <w:r w:rsidRPr="00A164CA">
              <w:rPr>
                <w:rFonts w:ascii="Arial Narrow" w:hAnsi="Arial Narrow"/>
                <w:sz w:val="20"/>
                <w:szCs w:val="20"/>
              </w:rPr>
              <w:t>Informacija o uspostavljenoj i funkcionalnoj  ObavijestiMe platformi</w:t>
            </w:r>
          </w:p>
        </w:tc>
        <w:tc>
          <w:tcPr>
            <w:tcW w:w="1804" w:type="dxa"/>
            <w:gridSpan w:val="6"/>
            <w:shd w:val="clear" w:color="auto" w:fill="auto"/>
          </w:tcPr>
          <w:p w14:paraId="1939F593"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NI: MJUDDM</w:t>
            </w:r>
          </w:p>
          <w:p w14:paraId="5F8EC95D"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NK: KPS</w:t>
            </w:r>
          </w:p>
          <w:p w14:paraId="03CFE123"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KEPIF</w:t>
            </w:r>
          </w:p>
        </w:tc>
        <w:tc>
          <w:tcPr>
            <w:tcW w:w="1468" w:type="dxa"/>
            <w:gridSpan w:val="3"/>
            <w:shd w:val="clear" w:color="auto" w:fill="auto"/>
          </w:tcPr>
          <w:p w14:paraId="58FCA1DA"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I Q 2021</w:t>
            </w:r>
          </w:p>
          <w:p w14:paraId="6EDA137D"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II Q 2022</w:t>
            </w:r>
          </w:p>
        </w:tc>
        <w:tc>
          <w:tcPr>
            <w:tcW w:w="1585" w:type="dxa"/>
            <w:gridSpan w:val="3"/>
            <w:shd w:val="clear" w:color="auto" w:fill="auto"/>
          </w:tcPr>
          <w:p w14:paraId="3F2AA6CF"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18.000</w:t>
            </w:r>
          </w:p>
        </w:tc>
        <w:tc>
          <w:tcPr>
            <w:tcW w:w="1260" w:type="dxa"/>
            <w:gridSpan w:val="6"/>
            <w:shd w:val="clear" w:color="auto" w:fill="auto"/>
          </w:tcPr>
          <w:p w14:paraId="624E2B8A"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Budžet MJUUDM</w:t>
            </w:r>
          </w:p>
        </w:tc>
        <w:tc>
          <w:tcPr>
            <w:tcW w:w="2202" w:type="dxa"/>
            <w:gridSpan w:val="2"/>
            <w:shd w:val="clear" w:color="auto" w:fill="auto"/>
          </w:tcPr>
          <w:p w14:paraId="6BE92CE4" w14:textId="77777777" w:rsidR="00A164CA" w:rsidRPr="00A164CA" w:rsidRDefault="00A164CA" w:rsidP="00F43978">
            <w:pPr>
              <w:spacing w:before="20" w:after="20"/>
              <w:jc w:val="both"/>
              <w:rPr>
                <w:rFonts w:ascii="Arial Narrow" w:hAnsi="Arial Narrow"/>
                <w:sz w:val="20"/>
                <w:szCs w:val="20"/>
              </w:rPr>
            </w:pPr>
            <w:r w:rsidRPr="00A164CA">
              <w:rPr>
                <w:rFonts w:ascii="Arial Narrow" w:hAnsi="Arial Narrow"/>
                <w:sz w:val="20"/>
                <w:szCs w:val="20"/>
              </w:rPr>
              <w:t xml:space="preserve">Web platforma ObavijestiMe je novi alat u komunikaciji između državne uprave i građana koji je već uspješno implementiran u Kanadi, Australiji i Velikoj Britaniji. Putem ove platforme građani će SMS porukom, e-mailom ili pismom dobijati obavještenja  o brojnim servisnim informacijama, javnim pozivima i konkursima, statusima transakcija, dokumenata ili prijava koje su podnijeli u organima državne uprave ili lokalnim samoupravama. </w:t>
            </w:r>
          </w:p>
          <w:p w14:paraId="6B6C05E9" w14:textId="77777777" w:rsidR="00A164CA" w:rsidRPr="00A164CA" w:rsidRDefault="00A164CA">
            <w:pPr>
              <w:spacing w:before="20" w:after="20"/>
              <w:rPr>
                <w:rFonts w:ascii="Arial Narrow" w:hAnsi="Arial Narrow"/>
                <w:sz w:val="20"/>
                <w:szCs w:val="20"/>
              </w:rPr>
            </w:pPr>
          </w:p>
          <w:p w14:paraId="2A2BA8D1" w14:textId="77777777" w:rsidR="00A164CA" w:rsidRPr="00A164CA" w:rsidRDefault="00A164CA" w:rsidP="00F43978">
            <w:pPr>
              <w:spacing w:before="20" w:after="20"/>
              <w:jc w:val="both"/>
              <w:rPr>
                <w:rFonts w:ascii="Arial Narrow" w:hAnsi="Arial Narrow"/>
                <w:sz w:val="20"/>
                <w:szCs w:val="20"/>
              </w:rPr>
            </w:pPr>
            <w:r w:rsidRPr="00A164CA">
              <w:rPr>
                <w:rFonts w:ascii="Arial Narrow" w:hAnsi="Arial Narrow"/>
                <w:sz w:val="20"/>
                <w:szCs w:val="20"/>
              </w:rPr>
              <w:t xml:space="preserve">Za prvih 12 mjeseci od početka trajanja ugovora (očekivan početak JANUAR 2022), crnogorski telekomunikacioni operatori su usluge slanja SMS poruka omogućili besplatno. Nakon isteka 12 mjeseci, svaki državni organ, koji bude koristio platformu, potrebna je da pla'a usluge slanja poruka po komercijalnim uslovima koji budu definisani novim ugovorm za 2023. godinu.  Potrebno je uplanirati budžetska sredstva za ovu namjenu U 2023 godini. </w:t>
            </w:r>
            <w:r w:rsidRPr="00A164CA">
              <w:rPr>
                <w:rFonts w:ascii="Arial Narrow" w:hAnsi="Arial Narrow"/>
                <w:sz w:val="20"/>
                <w:szCs w:val="20"/>
              </w:rPr>
              <w:lastRenderedPageBreak/>
              <w:t xml:space="preserve">Očekivano je da će naplata započeti u 2023. godini. </w:t>
            </w:r>
          </w:p>
          <w:p w14:paraId="67F8266D" w14:textId="77777777" w:rsidR="00A164CA" w:rsidRPr="00A164CA" w:rsidRDefault="00A164CA">
            <w:pPr>
              <w:spacing w:before="20" w:after="20"/>
              <w:rPr>
                <w:rFonts w:ascii="Arial Narrow" w:hAnsi="Arial Narrow"/>
                <w:sz w:val="20"/>
                <w:szCs w:val="20"/>
              </w:rPr>
            </w:pPr>
          </w:p>
          <w:p w14:paraId="35E70EE5" w14:textId="77777777" w:rsidR="00A164CA" w:rsidRPr="00A164CA" w:rsidRDefault="00A164CA" w:rsidP="00F43978">
            <w:pPr>
              <w:spacing w:before="20" w:after="20"/>
              <w:jc w:val="both"/>
              <w:rPr>
                <w:rFonts w:ascii="Arial Narrow" w:hAnsi="Arial Narrow"/>
                <w:sz w:val="20"/>
                <w:szCs w:val="20"/>
              </w:rPr>
            </w:pPr>
            <w:r w:rsidRPr="00A164CA">
              <w:rPr>
                <w:rFonts w:ascii="Arial Narrow" w:hAnsi="Arial Narrow"/>
                <w:sz w:val="20"/>
                <w:szCs w:val="20"/>
              </w:rPr>
              <w:t xml:space="preserve">Planirani budžet se odnosi na 2022 godinu, u dijelu troškova edukacije i promocije same usluge i odnosi se na MJUDDM. </w:t>
            </w:r>
          </w:p>
        </w:tc>
      </w:tr>
      <w:tr w:rsidR="00A164CA" w:rsidRPr="00A164CA" w14:paraId="5A128ED3" w14:textId="77777777" w:rsidTr="00AE274D">
        <w:tc>
          <w:tcPr>
            <w:tcW w:w="3961" w:type="dxa"/>
            <w:gridSpan w:val="4"/>
            <w:shd w:val="clear" w:color="auto" w:fill="D9E2F3"/>
          </w:tcPr>
          <w:p w14:paraId="55F39A56" w14:textId="77777777" w:rsidR="00A164CA" w:rsidRPr="00A164CA" w:rsidRDefault="00A164CA" w:rsidP="009E0228">
            <w:pPr>
              <w:spacing w:before="40" w:after="40"/>
              <w:jc w:val="center"/>
              <w:rPr>
                <w:rFonts w:ascii="Arial Narrow" w:hAnsi="Arial Narrow"/>
                <w:b/>
                <w:sz w:val="20"/>
                <w:szCs w:val="20"/>
              </w:rPr>
            </w:pPr>
            <w:bookmarkStart w:id="48" w:name="_Hlk89634084"/>
            <w:r w:rsidRPr="00A164CA">
              <w:rPr>
                <w:rFonts w:ascii="Arial Narrow" w:hAnsi="Arial Narrow"/>
                <w:b/>
                <w:sz w:val="20"/>
                <w:szCs w:val="20"/>
              </w:rPr>
              <w:t xml:space="preserve">Cilj </w:t>
            </w:r>
            <w:r>
              <w:rPr>
                <w:rFonts w:ascii="Arial Narrow" w:hAnsi="Arial Narrow"/>
                <w:b/>
                <w:sz w:val="20"/>
                <w:szCs w:val="20"/>
              </w:rPr>
              <w:t>5.</w:t>
            </w:r>
            <w:r w:rsidRPr="00A164CA">
              <w:rPr>
                <w:rFonts w:ascii="Arial Narrow" w:hAnsi="Arial Narrow"/>
                <w:b/>
                <w:sz w:val="20"/>
                <w:szCs w:val="20"/>
              </w:rPr>
              <w:t>2</w:t>
            </w:r>
            <w:r>
              <w:rPr>
                <w:rFonts w:ascii="Arial Narrow" w:hAnsi="Arial Narrow"/>
                <w:b/>
                <w:sz w:val="20"/>
                <w:szCs w:val="20"/>
              </w:rPr>
              <w:t>.</w:t>
            </w:r>
          </w:p>
          <w:p w14:paraId="7D74AE2E" w14:textId="77777777" w:rsidR="00A164CA" w:rsidRPr="00A164CA" w:rsidRDefault="00A164CA">
            <w:pPr>
              <w:spacing w:before="40" w:after="40"/>
              <w:jc w:val="center"/>
              <w:rPr>
                <w:rFonts w:ascii="Arial Narrow" w:hAnsi="Arial Narrow"/>
                <w:b/>
                <w:sz w:val="20"/>
                <w:szCs w:val="20"/>
              </w:rPr>
            </w:pPr>
          </w:p>
        </w:tc>
        <w:tc>
          <w:tcPr>
            <w:tcW w:w="10931" w:type="dxa"/>
            <w:gridSpan w:val="23"/>
            <w:shd w:val="clear" w:color="auto" w:fill="D9E2F3"/>
          </w:tcPr>
          <w:p w14:paraId="004B0BDB" w14:textId="77777777" w:rsidR="00A164CA" w:rsidRPr="00A164CA" w:rsidRDefault="00A164CA" w:rsidP="00FD6B98">
            <w:pPr>
              <w:spacing w:before="40" w:after="40"/>
              <w:rPr>
                <w:rFonts w:ascii="Arial Narrow" w:hAnsi="Arial Narrow"/>
                <w:b/>
                <w:sz w:val="20"/>
                <w:szCs w:val="20"/>
              </w:rPr>
            </w:pPr>
            <w:r w:rsidRPr="00A164CA">
              <w:rPr>
                <w:rFonts w:ascii="Arial Narrow" w:hAnsi="Arial Narrow"/>
                <w:b/>
                <w:sz w:val="20"/>
                <w:szCs w:val="20"/>
              </w:rPr>
              <w:t>Upravljanje  digitalnom transformacijom i podizanje svijesti o važnosti digitalnog razvoja</w:t>
            </w:r>
          </w:p>
        </w:tc>
      </w:tr>
      <w:tr w:rsidR="00A164CA" w:rsidRPr="00A164CA" w14:paraId="7BE3DA36" w14:textId="77777777" w:rsidTr="00AE274D">
        <w:tc>
          <w:tcPr>
            <w:tcW w:w="3961" w:type="dxa"/>
            <w:gridSpan w:val="4"/>
            <w:shd w:val="clear" w:color="auto" w:fill="DAF2F6"/>
          </w:tcPr>
          <w:p w14:paraId="14FE0C53"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Indikator učinka</w:t>
            </w:r>
          </w:p>
        </w:tc>
        <w:tc>
          <w:tcPr>
            <w:tcW w:w="3130" w:type="dxa"/>
            <w:gridSpan w:val="6"/>
            <w:shd w:val="clear" w:color="auto" w:fill="DAF2F6"/>
          </w:tcPr>
          <w:p w14:paraId="712B7B94"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Polazna vrijednost – 2021.g</w:t>
            </w:r>
          </w:p>
        </w:tc>
        <w:tc>
          <w:tcPr>
            <w:tcW w:w="2754" w:type="dxa"/>
            <w:gridSpan w:val="6"/>
            <w:shd w:val="clear" w:color="auto" w:fill="DAF2F6"/>
            <w:vAlign w:val="center"/>
          </w:tcPr>
          <w:p w14:paraId="2C30DC25"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Prelazna vrijednost – 2022.g</w:t>
            </w:r>
          </w:p>
        </w:tc>
        <w:tc>
          <w:tcPr>
            <w:tcW w:w="2763" w:type="dxa"/>
            <w:gridSpan w:val="8"/>
            <w:tcBorders>
              <w:bottom w:val="single" w:sz="4" w:space="0" w:color="FFFFFF"/>
            </w:tcBorders>
            <w:shd w:val="clear" w:color="auto" w:fill="DAF2F6"/>
            <w:vAlign w:val="center"/>
          </w:tcPr>
          <w:p w14:paraId="697A4930"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Prelazna vrijednost – 2023.g</w:t>
            </w:r>
          </w:p>
        </w:tc>
        <w:tc>
          <w:tcPr>
            <w:tcW w:w="2284" w:type="dxa"/>
            <w:gridSpan w:val="3"/>
            <w:tcBorders>
              <w:bottom w:val="single" w:sz="4" w:space="0" w:color="FFFFFF"/>
            </w:tcBorders>
            <w:shd w:val="clear" w:color="auto" w:fill="DAF2F6"/>
            <w:vAlign w:val="center"/>
          </w:tcPr>
          <w:p w14:paraId="135696CC"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Ciljna vrijednost - 2024.g</w:t>
            </w:r>
          </w:p>
        </w:tc>
      </w:tr>
      <w:tr w:rsidR="00A164CA" w:rsidRPr="00A164CA" w14:paraId="2EB000BF" w14:textId="77777777" w:rsidTr="00AE274D">
        <w:tc>
          <w:tcPr>
            <w:tcW w:w="3961" w:type="dxa"/>
            <w:gridSpan w:val="4"/>
            <w:shd w:val="clear" w:color="auto" w:fill="DAF2F6"/>
          </w:tcPr>
          <w:p w14:paraId="6F373C1B" w14:textId="77777777" w:rsidR="00A164CA" w:rsidRPr="00A164CA" w:rsidRDefault="00A164CA">
            <w:pPr>
              <w:spacing w:before="40" w:after="40"/>
              <w:rPr>
                <w:rFonts w:ascii="Arial Narrow" w:hAnsi="Arial Narrow"/>
                <w:sz w:val="20"/>
                <w:szCs w:val="20"/>
              </w:rPr>
            </w:pPr>
            <w:r w:rsidRPr="00A164CA">
              <w:rPr>
                <w:rFonts w:ascii="Arial Narrow" w:hAnsi="Arial Narrow"/>
                <w:sz w:val="20"/>
                <w:szCs w:val="20"/>
              </w:rPr>
              <w:t>Procenat usvojenih (u odnosu na broj predloženih) zaključaka od strane Vlade CG na osnovu preporuka/predloga nacionalnog koordinacionog tijela</w:t>
            </w:r>
          </w:p>
        </w:tc>
        <w:tc>
          <w:tcPr>
            <w:tcW w:w="3130" w:type="dxa"/>
            <w:gridSpan w:val="6"/>
            <w:shd w:val="clear" w:color="auto" w:fill="DAF2F6"/>
          </w:tcPr>
          <w:p w14:paraId="3509C6A1"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0</w:t>
            </w:r>
          </w:p>
        </w:tc>
        <w:tc>
          <w:tcPr>
            <w:tcW w:w="2754" w:type="dxa"/>
            <w:gridSpan w:val="6"/>
            <w:shd w:val="clear" w:color="auto" w:fill="DAF2F6"/>
          </w:tcPr>
          <w:p w14:paraId="5315DAD7"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40%</w:t>
            </w:r>
          </w:p>
        </w:tc>
        <w:tc>
          <w:tcPr>
            <w:tcW w:w="2763" w:type="dxa"/>
            <w:gridSpan w:val="8"/>
            <w:shd w:val="clear" w:color="auto" w:fill="DAF2F6"/>
          </w:tcPr>
          <w:p w14:paraId="08794778"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60%</w:t>
            </w:r>
          </w:p>
        </w:tc>
        <w:tc>
          <w:tcPr>
            <w:tcW w:w="2284" w:type="dxa"/>
            <w:gridSpan w:val="3"/>
            <w:shd w:val="clear" w:color="auto" w:fill="DAF2F6"/>
          </w:tcPr>
          <w:p w14:paraId="2FB78682"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80%</w:t>
            </w:r>
          </w:p>
        </w:tc>
      </w:tr>
      <w:tr w:rsidR="00A164CA" w:rsidRPr="00A164CA" w14:paraId="79D2E01D" w14:textId="77777777" w:rsidTr="00AE274D">
        <w:tc>
          <w:tcPr>
            <w:tcW w:w="3961" w:type="dxa"/>
            <w:gridSpan w:val="4"/>
            <w:shd w:val="clear" w:color="auto" w:fill="DAF2F6"/>
          </w:tcPr>
          <w:p w14:paraId="311958DC" w14:textId="77777777" w:rsidR="00A164CA" w:rsidRPr="00A164CA" w:rsidRDefault="00A52361">
            <w:pPr>
              <w:spacing w:before="40" w:after="40"/>
              <w:rPr>
                <w:rFonts w:ascii="Arial Narrow" w:hAnsi="Arial Narrow"/>
                <w:sz w:val="20"/>
                <w:szCs w:val="20"/>
              </w:rPr>
            </w:pPr>
            <w:sdt>
              <w:sdtPr>
                <w:rPr>
                  <w:rFonts w:ascii="Arial Narrow" w:hAnsi="Arial Narrow"/>
                  <w:sz w:val="20"/>
                  <w:szCs w:val="20"/>
                </w:rPr>
                <w:tag w:val="goog_rdk_1"/>
                <w:id w:val="-1768225369"/>
              </w:sdtPr>
              <w:sdtEndPr/>
              <w:sdtContent/>
            </w:sdt>
            <w:r w:rsidR="00A164CA" w:rsidRPr="00A164CA">
              <w:rPr>
                <w:rFonts w:ascii="Arial Narrow" w:hAnsi="Arial Narrow"/>
                <w:sz w:val="20"/>
                <w:szCs w:val="20"/>
              </w:rPr>
              <w:t>Procenat građana informisanih o dostupnosti i načinu korišćenja elektronskih usluga</w:t>
            </w:r>
          </w:p>
        </w:tc>
        <w:tc>
          <w:tcPr>
            <w:tcW w:w="3130" w:type="dxa"/>
            <w:gridSpan w:val="6"/>
            <w:shd w:val="clear" w:color="auto" w:fill="DAF2F6"/>
          </w:tcPr>
          <w:p w14:paraId="3472AF9D"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22% građana sebe smatra uglavnom ili potpuno upoznatim sa elektronskim uslugama</w:t>
            </w:r>
          </w:p>
        </w:tc>
        <w:tc>
          <w:tcPr>
            <w:tcW w:w="2754" w:type="dxa"/>
            <w:gridSpan w:val="6"/>
            <w:shd w:val="clear" w:color="auto" w:fill="DAF2F6"/>
          </w:tcPr>
          <w:p w14:paraId="2EC7DCA6"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30 % građana sebe smatra uglavnom ili potpuno upoznatim sa elektronskim uslugama</w:t>
            </w:r>
          </w:p>
        </w:tc>
        <w:tc>
          <w:tcPr>
            <w:tcW w:w="2763" w:type="dxa"/>
            <w:gridSpan w:val="8"/>
            <w:shd w:val="clear" w:color="auto" w:fill="DAF2F6"/>
          </w:tcPr>
          <w:p w14:paraId="44689223"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40 % građana sebe smatra uglavnom ili potpuno upoznatim sa elektronskim uslugama</w:t>
            </w:r>
          </w:p>
        </w:tc>
        <w:tc>
          <w:tcPr>
            <w:tcW w:w="2284" w:type="dxa"/>
            <w:gridSpan w:val="3"/>
            <w:shd w:val="clear" w:color="auto" w:fill="DAF2F6"/>
          </w:tcPr>
          <w:p w14:paraId="7ABB2DA4" w14:textId="77777777" w:rsidR="00A164CA" w:rsidRPr="00A164CA" w:rsidRDefault="00A164CA" w:rsidP="00591FB8">
            <w:pPr>
              <w:spacing w:before="40" w:after="40"/>
              <w:jc w:val="center"/>
              <w:rPr>
                <w:rFonts w:ascii="Arial Narrow" w:hAnsi="Arial Narrow"/>
                <w:sz w:val="20"/>
                <w:szCs w:val="20"/>
              </w:rPr>
            </w:pPr>
            <w:r w:rsidRPr="00A164CA">
              <w:rPr>
                <w:rFonts w:ascii="Arial Narrow" w:hAnsi="Arial Narrow"/>
                <w:sz w:val="20"/>
                <w:szCs w:val="20"/>
              </w:rPr>
              <w:t>45% građana sebe smatra uglavnom ili potpuno upoznatim sa elektronskim uslugama</w:t>
            </w:r>
          </w:p>
        </w:tc>
      </w:tr>
      <w:bookmarkEnd w:id="48"/>
      <w:tr w:rsidR="00A164CA" w:rsidRPr="00A164CA" w14:paraId="11C6B453" w14:textId="77777777" w:rsidTr="003B14BB">
        <w:tc>
          <w:tcPr>
            <w:tcW w:w="3961" w:type="dxa"/>
            <w:gridSpan w:val="4"/>
            <w:shd w:val="clear" w:color="auto" w:fill="FFF2CC"/>
            <w:vAlign w:val="center"/>
          </w:tcPr>
          <w:p w14:paraId="29ECBC56"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Aktivnosti</w:t>
            </w:r>
          </w:p>
        </w:tc>
        <w:tc>
          <w:tcPr>
            <w:tcW w:w="2612" w:type="dxa"/>
            <w:gridSpan w:val="3"/>
            <w:shd w:val="clear" w:color="auto" w:fill="FFF2CC"/>
            <w:vAlign w:val="center"/>
          </w:tcPr>
          <w:p w14:paraId="7A01F632"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Indikator rezultata</w:t>
            </w:r>
          </w:p>
        </w:tc>
        <w:tc>
          <w:tcPr>
            <w:tcW w:w="1804" w:type="dxa"/>
            <w:gridSpan w:val="6"/>
            <w:shd w:val="clear" w:color="auto" w:fill="FFF2CC"/>
            <w:vAlign w:val="center"/>
          </w:tcPr>
          <w:p w14:paraId="384EDCE4"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Nadležne institucije i nadležna komisija</w:t>
            </w:r>
          </w:p>
        </w:tc>
        <w:tc>
          <w:tcPr>
            <w:tcW w:w="1468" w:type="dxa"/>
            <w:gridSpan w:val="3"/>
            <w:shd w:val="clear" w:color="auto" w:fill="FFF2CC"/>
            <w:vAlign w:val="center"/>
          </w:tcPr>
          <w:p w14:paraId="447CF311"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Planirani početak i završetak aktivnosti</w:t>
            </w:r>
          </w:p>
        </w:tc>
        <w:tc>
          <w:tcPr>
            <w:tcW w:w="1585" w:type="dxa"/>
            <w:gridSpan w:val="3"/>
            <w:shd w:val="clear" w:color="auto" w:fill="FFF2CC"/>
            <w:vAlign w:val="center"/>
          </w:tcPr>
          <w:p w14:paraId="08859DA9"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Sredstva za realizaciju  i informacija o izradi RIA</w:t>
            </w:r>
          </w:p>
        </w:tc>
        <w:tc>
          <w:tcPr>
            <w:tcW w:w="1260" w:type="dxa"/>
            <w:gridSpan w:val="6"/>
            <w:shd w:val="clear" w:color="auto" w:fill="FFF2CC"/>
            <w:vAlign w:val="center"/>
          </w:tcPr>
          <w:p w14:paraId="08FDFEA4"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 xml:space="preserve"> Izvor finansiranja</w:t>
            </w:r>
          </w:p>
        </w:tc>
        <w:tc>
          <w:tcPr>
            <w:tcW w:w="2202" w:type="dxa"/>
            <w:gridSpan w:val="2"/>
            <w:shd w:val="clear" w:color="auto" w:fill="FFF2CC"/>
            <w:vAlign w:val="center"/>
          </w:tcPr>
          <w:p w14:paraId="131E8D6E" w14:textId="77777777" w:rsidR="00A164CA" w:rsidRPr="00A164CA" w:rsidRDefault="00A164CA">
            <w:pPr>
              <w:spacing w:before="20" w:after="20"/>
              <w:jc w:val="center"/>
              <w:rPr>
                <w:rFonts w:ascii="Arial Narrow" w:hAnsi="Arial Narrow"/>
                <w:b/>
                <w:sz w:val="20"/>
                <w:szCs w:val="20"/>
              </w:rPr>
            </w:pPr>
          </w:p>
          <w:p w14:paraId="1624831D"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Obrazloženje</w:t>
            </w:r>
          </w:p>
        </w:tc>
      </w:tr>
      <w:tr w:rsidR="00A164CA" w:rsidRPr="00A164CA" w14:paraId="6B74327A" w14:textId="77777777" w:rsidTr="003B14BB">
        <w:tc>
          <w:tcPr>
            <w:tcW w:w="540" w:type="dxa"/>
          </w:tcPr>
          <w:p w14:paraId="0F007DE4"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t>1.</w:t>
            </w:r>
          </w:p>
        </w:tc>
        <w:tc>
          <w:tcPr>
            <w:tcW w:w="3421" w:type="dxa"/>
            <w:gridSpan w:val="3"/>
          </w:tcPr>
          <w:p w14:paraId="20EA4DFA"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Montenegro Digital (MD) - Kancelarija za inovacije i digitalne servise</w:t>
            </w:r>
          </w:p>
        </w:tc>
        <w:tc>
          <w:tcPr>
            <w:tcW w:w="2612" w:type="dxa"/>
            <w:gridSpan w:val="3"/>
          </w:tcPr>
          <w:p w14:paraId="57BE217F"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 xml:space="preserve">Informacija - Formirana i stavljena u funkciju Montenegro </w:t>
            </w:r>
            <w:r w:rsidRPr="00A164CA">
              <w:rPr>
                <w:rFonts w:ascii="Arial Narrow" w:hAnsi="Arial Narrow"/>
                <w:sz w:val="20"/>
                <w:szCs w:val="20"/>
              </w:rPr>
              <w:lastRenderedPageBreak/>
              <w:t xml:space="preserve">Digital - Kancelarija za inovacije i digitalne servise </w:t>
            </w:r>
          </w:p>
        </w:tc>
        <w:tc>
          <w:tcPr>
            <w:tcW w:w="1804" w:type="dxa"/>
            <w:gridSpan w:val="6"/>
          </w:tcPr>
          <w:p w14:paraId="3417EF63"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lastRenderedPageBreak/>
              <w:t>NI: MJUUDDM</w:t>
            </w:r>
          </w:p>
          <w:p w14:paraId="1547722C"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 xml:space="preserve">NK: KPS </w:t>
            </w:r>
          </w:p>
          <w:p w14:paraId="70F3C737"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lastRenderedPageBreak/>
              <w:t>KEPIF</w:t>
            </w:r>
          </w:p>
        </w:tc>
        <w:tc>
          <w:tcPr>
            <w:tcW w:w="1468" w:type="dxa"/>
            <w:gridSpan w:val="3"/>
          </w:tcPr>
          <w:p w14:paraId="532E82E3"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lastRenderedPageBreak/>
              <w:t>Q4 2021</w:t>
            </w:r>
          </w:p>
          <w:p w14:paraId="3A602CAF"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Q2 2022</w:t>
            </w:r>
          </w:p>
        </w:tc>
        <w:tc>
          <w:tcPr>
            <w:tcW w:w="1585" w:type="dxa"/>
            <w:gridSpan w:val="3"/>
          </w:tcPr>
          <w:p w14:paraId="169F16D6"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500.000</w:t>
            </w:r>
          </w:p>
        </w:tc>
        <w:tc>
          <w:tcPr>
            <w:tcW w:w="1260" w:type="dxa"/>
            <w:gridSpan w:val="6"/>
          </w:tcPr>
          <w:p w14:paraId="703BBA60"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Budžetska rezerva</w:t>
            </w:r>
          </w:p>
        </w:tc>
        <w:tc>
          <w:tcPr>
            <w:tcW w:w="2202" w:type="dxa"/>
            <w:gridSpan w:val="2"/>
          </w:tcPr>
          <w:p w14:paraId="3E69DC47"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 xml:space="preserve">U okviru Startegije digitalne transformacije 2022-2026, prepoznato je osnivanje </w:t>
            </w:r>
            <w:r w:rsidRPr="009E0228">
              <w:rPr>
                <w:rFonts w:ascii="Arial Narrow" w:hAnsi="Arial Narrow"/>
                <w:sz w:val="20"/>
                <w:szCs w:val="20"/>
              </w:rPr>
              <w:lastRenderedPageBreak/>
              <w:t xml:space="preserve">Montenegro Digital -  kancelarija za inovacije i digitalne servise, formirana od strane Ministarstva javne uprave, digitalnog društva i medija. </w:t>
            </w:r>
          </w:p>
          <w:p w14:paraId="7E345CBE" w14:textId="77777777" w:rsidR="00A164CA" w:rsidRPr="009E0228" w:rsidRDefault="00A164CA" w:rsidP="00591FB8">
            <w:pPr>
              <w:spacing w:before="20" w:after="20"/>
              <w:jc w:val="both"/>
              <w:rPr>
                <w:rFonts w:ascii="Arial Narrow" w:hAnsi="Arial Narrow"/>
                <w:sz w:val="20"/>
                <w:szCs w:val="20"/>
              </w:rPr>
            </w:pPr>
          </w:p>
          <w:p w14:paraId="39D6D3C5"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 xml:space="preserve">Montenegro Digital će se fokusirati na upravljanje digitalnom transformacijom, na horizontalnom nivou, pomažući na taj način i isporuci standardizovanih, kvalitetnih, u potpunosti korisnički orijentisanih digitalnih servisa građankama, građanima i privredima. </w:t>
            </w:r>
          </w:p>
          <w:p w14:paraId="0186F207" w14:textId="77777777" w:rsidR="00A164CA" w:rsidRPr="009E0228" w:rsidRDefault="00A164CA" w:rsidP="00591FB8">
            <w:pPr>
              <w:spacing w:before="20" w:after="20"/>
              <w:jc w:val="both"/>
              <w:rPr>
                <w:rFonts w:ascii="Arial Narrow" w:hAnsi="Arial Narrow"/>
                <w:sz w:val="20"/>
                <w:szCs w:val="20"/>
              </w:rPr>
            </w:pPr>
          </w:p>
          <w:p w14:paraId="30FFB8A2"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 xml:space="preserve">To će uključivati </w:t>
            </w:r>
            <w:r w:rsidRPr="009E0228">
              <w:rPr>
                <w:rFonts w:ascii="Arial" w:eastAsia="Arial" w:hAnsi="Arial" w:cs="Arial"/>
                <w:sz w:val="20"/>
                <w:szCs w:val="20"/>
              </w:rPr>
              <w:t>​​</w:t>
            </w:r>
            <w:r w:rsidRPr="009E0228">
              <w:rPr>
                <w:rFonts w:ascii="Arial Narrow" w:hAnsi="Arial Narrow"/>
                <w:sz w:val="20"/>
                <w:szCs w:val="20"/>
              </w:rPr>
              <w:t xml:space="preserve">i proaktivne napore za poboljšanje usluga (uključujući prve faze projektnog zadatka/projekt menadžment aktivnosti), „intervencije“ koje će pomoći u analizama "neuspjelih" projekata analizom, prilagođavanjem i unapređenjima, ali i razvoj digitalnih servisa. </w:t>
            </w:r>
          </w:p>
          <w:p w14:paraId="5D5ADA45" w14:textId="77777777" w:rsidR="00A164CA" w:rsidRPr="009E0228" w:rsidRDefault="00A164CA" w:rsidP="00591FB8">
            <w:pPr>
              <w:spacing w:before="20" w:after="20"/>
              <w:jc w:val="both"/>
              <w:rPr>
                <w:rFonts w:ascii="Arial Narrow" w:hAnsi="Arial Narrow"/>
                <w:sz w:val="20"/>
                <w:szCs w:val="20"/>
              </w:rPr>
            </w:pPr>
          </w:p>
          <w:p w14:paraId="01746FFC"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 xml:space="preserve">MD će za cilj imati uvođenje i IT kontrole troškova na nivou Vlade Crne Gore, kao i jedinstvenih digitalnih </w:t>
            </w:r>
            <w:r w:rsidRPr="009E0228">
              <w:rPr>
                <w:rFonts w:ascii="Arial Narrow" w:hAnsi="Arial Narrow"/>
                <w:sz w:val="20"/>
                <w:szCs w:val="20"/>
              </w:rPr>
              <w:lastRenderedPageBreak/>
              <w:t xml:space="preserve">standarda na nivou svih Ministarstava, kada je u pitanju isporuka digitalnih servisa i proces digitalne transformacije. </w:t>
            </w:r>
          </w:p>
          <w:p w14:paraId="6AF8C959" w14:textId="77777777" w:rsidR="00A164CA" w:rsidRPr="009E0228" w:rsidRDefault="00A164CA" w:rsidP="00591FB8">
            <w:pPr>
              <w:spacing w:before="20" w:after="20"/>
              <w:jc w:val="both"/>
              <w:rPr>
                <w:rFonts w:ascii="Arial Narrow" w:hAnsi="Arial Narrow"/>
                <w:sz w:val="20"/>
                <w:szCs w:val="20"/>
              </w:rPr>
            </w:pPr>
          </w:p>
          <w:p w14:paraId="65513B04"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 xml:space="preserve">Tražena sredstva za finansiranje će se koristii za uspostavljanje Kancelarije, infrastrukturu, građenje ljudskih kapaciteta, konsultantske usluge i slično. </w:t>
            </w:r>
          </w:p>
          <w:p w14:paraId="7851EC2E" w14:textId="77777777" w:rsidR="00A164CA" w:rsidRPr="009E0228" w:rsidRDefault="00A164CA" w:rsidP="00591FB8">
            <w:pPr>
              <w:spacing w:before="20" w:after="20"/>
              <w:jc w:val="both"/>
              <w:rPr>
                <w:rFonts w:ascii="Arial Narrow" w:hAnsi="Arial Narrow"/>
                <w:sz w:val="20"/>
                <w:szCs w:val="20"/>
              </w:rPr>
            </w:pPr>
          </w:p>
          <w:p w14:paraId="79DE97D8" w14:textId="77777777" w:rsidR="00A164CA" w:rsidRPr="00A164CA" w:rsidRDefault="00A164CA" w:rsidP="00591FB8">
            <w:pPr>
              <w:spacing w:before="20" w:after="20"/>
              <w:jc w:val="both"/>
              <w:rPr>
                <w:rFonts w:ascii="Arial Narrow" w:hAnsi="Arial Narrow"/>
                <w:i/>
                <w:sz w:val="20"/>
                <w:szCs w:val="20"/>
              </w:rPr>
            </w:pPr>
          </w:p>
        </w:tc>
      </w:tr>
      <w:tr w:rsidR="00A164CA" w:rsidRPr="00A164CA" w14:paraId="0425AB9B" w14:textId="77777777" w:rsidTr="003B14BB">
        <w:tc>
          <w:tcPr>
            <w:tcW w:w="540" w:type="dxa"/>
          </w:tcPr>
          <w:p w14:paraId="63C159A5"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lastRenderedPageBreak/>
              <w:t>2.</w:t>
            </w:r>
          </w:p>
        </w:tc>
        <w:tc>
          <w:tcPr>
            <w:tcW w:w="3421" w:type="dxa"/>
            <w:gridSpan w:val="3"/>
          </w:tcPr>
          <w:p w14:paraId="0B98FB5E"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Uspostavljanje sistema upravljanja procesom digitalne transformacije Crne Gore</w:t>
            </w:r>
          </w:p>
          <w:p w14:paraId="06EFF242" w14:textId="77777777" w:rsidR="00A164CA" w:rsidRPr="009E0228" w:rsidRDefault="00A164CA" w:rsidP="00591FB8">
            <w:pPr>
              <w:spacing w:before="20" w:after="20"/>
              <w:jc w:val="both"/>
              <w:rPr>
                <w:rFonts w:ascii="Arial Narrow" w:hAnsi="Arial Narrow"/>
                <w:sz w:val="20"/>
                <w:szCs w:val="20"/>
              </w:rPr>
            </w:pPr>
          </w:p>
        </w:tc>
        <w:tc>
          <w:tcPr>
            <w:tcW w:w="2612" w:type="dxa"/>
            <w:gridSpan w:val="3"/>
          </w:tcPr>
          <w:p w14:paraId="3E2D8ECA"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 xml:space="preserve">Odluka o uspostavljanju sistema upravljanja procesom digitalne transformacije Crne Gore </w:t>
            </w:r>
          </w:p>
        </w:tc>
        <w:tc>
          <w:tcPr>
            <w:tcW w:w="1804" w:type="dxa"/>
            <w:gridSpan w:val="6"/>
          </w:tcPr>
          <w:p w14:paraId="74CBB9CA"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Vlada Crne Gore na inicijativu PKCG, AmCham, AMM, Savjet stranih investitora</w:t>
            </w:r>
          </w:p>
        </w:tc>
        <w:tc>
          <w:tcPr>
            <w:tcW w:w="1468" w:type="dxa"/>
            <w:gridSpan w:val="3"/>
          </w:tcPr>
          <w:p w14:paraId="46A3757D"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I Q 2022.</w:t>
            </w:r>
          </w:p>
          <w:p w14:paraId="07DF2709"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II Q 2022.</w:t>
            </w:r>
          </w:p>
        </w:tc>
        <w:tc>
          <w:tcPr>
            <w:tcW w:w="1585" w:type="dxa"/>
            <w:gridSpan w:val="3"/>
          </w:tcPr>
          <w:p w14:paraId="16E949F5"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 xml:space="preserve">Nisu potrebna sredstva </w:t>
            </w:r>
          </w:p>
        </w:tc>
        <w:tc>
          <w:tcPr>
            <w:tcW w:w="1260" w:type="dxa"/>
            <w:gridSpan w:val="6"/>
          </w:tcPr>
          <w:p w14:paraId="0EC6ECA3"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w:t>
            </w:r>
          </w:p>
        </w:tc>
        <w:tc>
          <w:tcPr>
            <w:tcW w:w="2202" w:type="dxa"/>
            <w:gridSpan w:val="2"/>
          </w:tcPr>
          <w:p w14:paraId="0070D846" w14:textId="77777777" w:rsidR="00A164CA" w:rsidRPr="009E0228" w:rsidRDefault="00A164CA" w:rsidP="00591FB8">
            <w:pPr>
              <w:spacing w:before="20" w:after="20"/>
              <w:jc w:val="both"/>
              <w:rPr>
                <w:rFonts w:ascii="Arial Narrow" w:hAnsi="Arial Narrow"/>
                <w:sz w:val="20"/>
                <w:szCs w:val="20"/>
              </w:rPr>
            </w:pPr>
            <w:r w:rsidRPr="009E0228">
              <w:rPr>
                <w:rFonts w:ascii="Arial Narrow" w:hAnsi="Arial Narrow"/>
                <w:sz w:val="20"/>
                <w:szCs w:val="20"/>
              </w:rPr>
              <w:t>Koordinatorska uloga na najširem društvenom nivou, koji obuhvata najmanje sektore privrede, nauke i akademske zajednice, nevladinih organizacija i države, biće u nadležnosti nacionalnog koordinacionog tijela, uspostavljanog na postojećim modelima digitalnih koalicija u inostranstvu. Tako će se obezbijediti uravnotežen razvoj kompatibilnih sistema, korišćenje horizontalnih funkcionalnosti te takođe podstaći proaktivnu koordinaciju digitalnog razvoja pojedinih segmenata društva.</w:t>
            </w:r>
          </w:p>
        </w:tc>
      </w:tr>
      <w:tr w:rsidR="00A164CA" w:rsidRPr="00A164CA" w14:paraId="168CB712" w14:textId="77777777" w:rsidTr="003B14BB">
        <w:tc>
          <w:tcPr>
            <w:tcW w:w="540" w:type="dxa"/>
          </w:tcPr>
          <w:p w14:paraId="3435194D"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lastRenderedPageBreak/>
              <w:t>3.</w:t>
            </w:r>
          </w:p>
        </w:tc>
        <w:tc>
          <w:tcPr>
            <w:tcW w:w="3421" w:type="dxa"/>
            <w:gridSpan w:val="3"/>
          </w:tcPr>
          <w:p w14:paraId="74186297"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Izrada Komunikacione kampanje u oblasti digitalne transformacije za građane i privredu uz prateći komunikacioni plan KP</w:t>
            </w:r>
          </w:p>
        </w:tc>
        <w:tc>
          <w:tcPr>
            <w:tcW w:w="2612" w:type="dxa"/>
            <w:gridSpan w:val="3"/>
          </w:tcPr>
          <w:p w14:paraId="668B1D92" w14:textId="77777777" w:rsidR="00A164CA" w:rsidRPr="00A164CA" w:rsidRDefault="00A164CA" w:rsidP="00591FB8">
            <w:pPr>
              <w:jc w:val="both"/>
              <w:rPr>
                <w:rFonts w:ascii="Arial Narrow" w:hAnsi="Arial Narrow"/>
                <w:sz w:val="20"/>
                <w:szCs w:val="20"/>
              </w:rPr>
            </w:pPr>
            <w:r w:rsidRPr="00A164CA">
              <w:rPr>
                <w:rFonts w:ascii="Arial Narrow" w:hAnsi="Arial Narrow"/>
                <w:sz w:val="20"/>
                <w:szCs w:val="20"/>
              </w:rPr>
              <w:t xml:space="preserve">Informacija -Komunikacionoj kampanji za sprovođenje digitalne transformacije </w:t>
            </w:r>
          </w:p>
          <w:p w14:paraId="01FA630D" w14:textId="77777777" w:rsidR="00A164CA" w:rsidRPr="00A164CA" w:rsidRDefault="00A164CA" w:rsidP="00591FB8">
            <w:pPr>
              <w:spacing w:before="20" w:after="20"/>
              <w:jc w:val="both"/>
              <w:rPr>
                <w:rFonts w:ascii="Arial Narrow" w:hAnsi="Arial Narrow"/>
                <w:sz w:val="20"/>
                <w:szCs w:val="20"/>
              </w:rPr>
            </w:pPr>
          </w:p>
          <w:p w14:paraId="7DB6AA9B" w14:textId="77777777" w:rsidR="00A164CA" w:rsidRPr="00A164CA" w:rsidRDefault="00A164CA" w:rsidP="00591FB8">
            <w:pPr>
              <w:spacing w:before="20" w:after="20"/>
              <w:jc w:val="both"/>
              <w:rPr>
                <w:rFonts w:ascii="Arial Narrow" w:hAnsi="Arial Narrow"/>
                <w:sz w:val="20"/>
                <w:szCs w:val="20"/>
              </w:rPr>
            </w:pPr>
          </w:p>
        </w:tc>
        <w:tc>
          <w:tcPr>
            <w:tcW w:w="1804" w:type="dxa"/>
            <w:gridSpan w:val="6"/>
          </w:tcPr>
          <w:p w14:paraId="63BC080D"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 xml:space="preserve">MJUDDM + </w:t>
            </w:r>
          </w:p>
          <w:p w14:paraId="3F8DC259"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 xml:space="preserve">Ostali organi državne uprave + ZOCG+PKCG +NVO </w:t>
            </w:r>
          </w:p>
        </w:tc>
        <w:tc>
          <w:tcPr>
            <w:tcW w:w="1468" w:type="dxa"/>
            <w:gridSpan w:val="3"/>
          </w:tcPr>
          <w:p w14:paraId="3C65B230"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II Q 2022.</w:t>
            </w:r>
          </w:p>
          <w:p w14:paraId="2471BDD2"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IV Q 2022</w:t>
            </w:r>
          </w:p>
          <w:p w14:paraId="3A8BE7B9" w14:textId="77777777" w:rsidR="00A164CA" w:rsidRPr="00A164CA" w:rsidRDefault="00A164CA" w:rsidP="00591FB8">
            <w:pPr>
              <w:spacing w:before="20" w:after="20"/>
              <w:jc w:val="both"/>
              <w:rPr>
                <w:rFonts w:ascii="Arial Narrow" w:hAnsi="Arial Narrow"/>
                <w:sz w:val="20"/>
                <w:szCs w:val="20"/>
              </w:rPr>
            </w:pPr>
          </w:p>
        </w:tc>
        <w:tc>
          <w:tcPr>
            <w:tcW w:w="1585" w:type="dxa"/>
            <w:gridSpan w:val="3"/>
          </w:tcPr>
          <w:p w14:paraId="24457428"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 xml:space="preserve">100.000,00 </w:t>
            </w:r>
          </w:p>
        </w:tc>
        <w:tc>
          <w:tcPr>
            <w:tcW w:w="1260" w:type="dxa"/>
            <w:gridSpan w:val="6"/>
          </w:tcPr>
          <w:p w14:paraId="1785F51B"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 xml:space="preserve">Budžet </w:t>
            </w:r>
          </w:p>
        </w:tc>
        <w:tc>
          <w:tcPr>
            <w:tcW w:w="2202" w:type="dxa"/>
            <w:gridSpan w:val="2"/>
          </w:tcPr>
          <w:p w14:paraId="0918C6BB"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Izradom i sprovodjenjem Komunikacione kampanje neophodno je sprovoditi aktivnosti usmjerene na povećanje svijesti građana o značaju i benefitima digitalizacije, pogotovo u domenu korišćenja elektronskih usluga kreiranih prema potrebama građana, što bi uticalo i na njihovu motivaciju da doprinesu svrsihodnoj digitalizaciji.</w:t>
            </w:r>
          </w:p>
        </w:tc>
      </w:tr>
      <w:tr w:rsidR="00A164CA" w:rsidRPr="00A164CA" w14:paraId="165EACA9" w14:textId="77777777" w:rsidTr="00AE274D">
        <w:tc>
          <w:tcPr>
            <w:tcW w:w="3755" w:type="dxa"/>
            <w:gridSpan w:val="2"/>
            <w:shd w:val="clear" w:color="auto" w:fill="D9E2F3"/>
          </w:tcPr>
          <w:p w14:paraId="2F57FDCA" w14:textId="77777777" w:rsidR="00A164CA" w:rsidRPr="00A164CA" w:rsidRDefault="00A164CA">
            <w:pPr>
              <w:spacing w:before="40" w:after="40"/>
              <w:jc w:val="center"/>
              <w:rPr>
                <w:rFonts w:ascii="Arial Narrow" w:hAnsi="Arial Narrow"/>
                <w:b/>
                <w:sz w:val="20"/>
                <w:szCs w:val="20"/>
              </w:rPr>
            </w:pPr>
            <w:bookmarkStart w:id="49" w:name="_Hlk89634119"/>
            <w:r w:rsidRPr="00A164CA">
              <w:rPr>
                <w:rFonts w:ascii="Arial Narrow" w:hAnsi="Arial Narrow"/>
                <w:b/>
                <w:sz w:val="20"/>
                <w:szCs w:val="20"/>
              </w:rPr>
              <w:t xml:space="preserve">Cilj </w:t>
            </w:r>
            <w:r w:rsidR="00404D30">
              <w:rPr>
                <w:rFonts w:ascii="Arial Narrow" w:hAnsi="Arial Narrow"/>
                <w:b/>
                <w:sz w:val="20"/>
                <w:szCs w:val="20"/>
              </w:rPr>
              <w:t>5.</w:t>
            </w:r>
            <w:r w:rsidR="00FF0B4A">
              <w:rPr>
                <w:rFonts w:ascii="Arial Narrow" w:hAnsi="Arial Narrow"/>
                <w:b/>
                <w:sz w:val="20"/>
                <w:szCs w:val="20"/>
              </w:rPr>
              <w:t>3</w:t>
            </w:r>
            <w:r w:rsidR="00404D30">
              <w:rPr>
                <w:rFonts w:ascii="Arial Narrow" w:hAnsi="Arial Narrow"/>
                <w:b/>
                <w:sz w:val="20"/>
                <w:szCs w:val="20"/>
              </w:rPr>
              <w:t>.</w:t>
            </w:r>
          </w:p>
          <w:p w14:paraId="5DAFF676" w14:textId="77777777" w:rsidR="00A164CA" w:rsidRPr="00A164CA" w:rsidRDefault="00A164CA">
            <w:pPr>
              <w:spacing w:before="40" w:after="40"/>
              <w:jc w:val="center"/>
              <w:rPr>
                <w:rFonts w:ascii="Arial Narrow" w:hAnsi="Arial Narrow"/>
                <w:b/>
                <w:sz w:val="20"/>
                <w:szCs w:val="20"/>
              </w:rPr>
            </w:pPr>
          </w:p>
        </w:tc>
        <w:tc>
          <w:tcPr>
            <w:tcW w:w="11137" w:type="dxa"/>
            <w:gridSpan w:val="25"/>
            <w:shd w:val="clear" w:color="auto" w:fill="D9E2F3"/>
          </w:tcPr>
          <w:p w14:paraId="428F0307" w14:textId="77777777" w:rsidR="00A164CA" w:rsidRPr="00A164CA" w:rsidRDefault="00A164CA" w:rsidP="00FD6B98">
            <w:pPr>
              <w:spacing w:before="40" w:after="40"/>
              <w:rPr>
                <w:rFonts w:ascii="Arial Narrow" w:hAnsi="Arial Narrow"/>
                <w:b/>
                <w:sz w:val="20"/>
                <w:szCs w:val="20"/>
              </w:rPr>
            </w:pPr>
            <w:r w:rsidRPr="00A164CA">
              <w:rPr>
                <w:rFonts w:ascii="Arial Narrow" w:hAnsi="Arial Narrow"/>
                <w:b/>
                <w:sz w:val="20"/>
                <w:szCs w:val="20"/>
              </w:rPr>
              <w:t>Informaciono-komunikacione tehnologije</w:t>
            </w:r>
          </w:p>
          <w:p w14:paraId="03740E8B" w14:textId="77777777" w:rsidR="00A164CA" w:rsidRPr="00A164CA" w:rsidRDefault="00A164CA" w:rsidP="00FD6B98">
            <w:pPr>
              <w:spacing w:before="40" w:after="40"/>
              <w:rPr>
                <w:rFonts w:ascii="Arial Narrow" w:hAnsi="Arial Narrow"/>
                <w:i/>
                <w:color w:val="FF0000"/>
                <w:sz w:val="20"/>
                <w:szCs w:val="20"/>
              </w:rPr>
            </w:pPr>
            <w:r w:rsidRPr="00A164CA">
              <w:rPr>
                <w:rFonts w:ascii="Arial Narrow" w:hAnsi="Arial Narrow"/>
                <w:b/>
                <w:sz w:val="20"/>
                <w:szCs w:val="20"/>
              </w:rPr>
              <w:t>Jačanje Vladine informatičke infrastrukture</w:t>
            </w:r>
          </w:p>
        </w:tc>
      </w:tr>
      <w:tr w:rsidR="00A164CA" w:rsidRPr="00A164CA" w14:paraId="75AAE3D5" w14:textId="77777777" w:rsidTr="00AE274D">
        <w:trPr>
          <w:gridAfter w:val="1"/>
          <w:wAfter w:w="25" w:type="dxa"/>
        </w:trPr>
        <w:tc>
          <w:tcPr>
            <w:tcW w:w="3755" w:type="dxa"/>
            <w:gridSpan w:val="2"/>
            <w:shd w:val="clear" w:color="auto" w:fill="DAF2F6"/>
          </w:tcPr>
          <w:p w14:paraId="491291C8"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Indikator učinka</w:t>
            </w:r>
          </w:p>
        </w:tc>
        <w:tc>
          <w:tcPr>
            <w:tcW w:w="3055" w:type="dxa"/>
            <w:gridSpan w:val="6"/>
            <w:shd w:val="clear" w:color="auto" w:fill="DAF2F6"/>
          </w:tcPr>
          <w:p w14:paraId="686F7CF2"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Polazna vrijednost – 2021.g</w:t>
            </w:r>
          </w:p>
        </w:tc>
        <w:tc>
          <w:tcPr>
            <w:tcW w:w="2625" w:type="dxa"/>
            <w:gridSpan w:val="6"/>
            <w:shd w:val="clear" w:color="auto" w:fill="DAF2F6"/>
            <w:vAlign w:val="center"/>
          </w:tcPr>
          <w:p w14:paraId="18194135"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Prelazna vrijednost – 2022.g</w:t>
            </w:r>
          </w:p>
        </w:tc>
        <w:tc>
          <w:tcPr>
            <w:tcW w:w="2925" w:type="dxa"/>
            <w:gridSpan w:val="8"/>
            <w:tcBorders>
              <w:bottom w:val="single" w:sz="4" w:space="0" w:color="auto"/>
            </w:tcBorders>
            <w:shd w:val="clear" w:color="auto" w:fill="DAF2F6"/>
            <w:vAlign w:val="center"/>
          </w:tcPr>
          <w:p w14:paraId="1BE75A4F"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Prelazna vrijednost – 2023.g</w:t>
            </w:r>
          </w:p>
        </w:tc>
        <w:tc>
          <w:tcPr>
            <w:tcW w:w="2507" w:type="dxa"/>
            <w:gridSpan w:val="4"/>
            <w:tcBorders>
              <w:bottom w:val="single" w:sz="4" w:space="0" w:color="FFFFFF"/>
            </w:tcBorders>
            <w:shd w:val="clear" w:color="auto" w:fill="DAF2F6"/>
            <w:vAlign w:val="center"/>
          </w:tcPr>
          <w:p w14:paraId="15804A31"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Ciljna vrijednost - 2024.g</w:t>
            </w:r>
          </w:p>
        </w:tc>
      </w:tr>
      <w:tr w:rsidR="00A164CA" w:rsidRPr="00A164CA" w14:paraId="4FFD3096" w14:textId="77777777" w:rsidTr="00AE274D">
        <w:trPr>
          <w:gridAfter w:val="1"/>
          <w:wAfter w:w="25" w:type="dxa"/>
        </w:trPr>
        <w:tc>
          <w:tcPr>
            <w:tcW w:w="3755" w:type="dxa"/>
            <w:gridSpan w:val="2"/>
            <w:shd w:val="clear" w:color="auto" w:fill="DAF2F6"/>
          </w:tcPr>
          <w:p w14:paraId="37F35EC3"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Broj institucija koje koriste državani private cloud sistem</w:t>
            </w:r>
          </w:p>
        </w:tc>
        <w:tc>
          <w:tcPr>
            <w:tcW w:w="3055" w:type="dxa"/>
            <w:gridSpan w:val="6"/>
            <w:shd w:val="clear" w:color="auto" w:fill="DAF2F6"/>
          </w:tcPr>
          <w:p w14:paraId="0E872666" w14:textId="77777777" w:rsidR="00A164CA" w:rsidRPr="00A164CA" w:rsidRDefault="00A164CA" w:rsidP="00591FB8">
            <w:pPr>
              <w:spacing w:before="20" w:after="20"/>
              <w:jc w:val="center"/>
              <w:rPr>
                <w:rFonts w:ascii="Arial Narrow" w:hAnsi="Arial Narrow"/>
                <w:sz w:val="20"/>
                <w:szCs w:val="20"/>
              </w:rPr>
            </w:pPr>
            <w:r w:rsidRPr="00A164CA">
              <w:rPr>
                <w:rFonts w:ascii="Arial Narrow" w:hAnsi="Arial Narrow"/>
                <w:sz w:val="20"/>
                <w:szCs w:val="20"/>
              </w:rPr>
              <w:t>14</w:t>
            </w:r>
          </w:p>
        </w:tc>
        <w:tc>
          <w:tcPr>
            <w:tcW w:w="2625" w:type="dxa"/>
            <w:gridSpan w:val="6"/>
            <w:shd w:val="clear" w:color="auto" w:fill="DAF2F6"/>
          </w:tcPr>
          <w:p w14:paraId="71D8DC70" w14:textId="77777777" w:rsidR="00A164CA" w:rsidRPr="00A164CA" w:rsidRDefault="00A164CA" w:rsidP="00591FB8">
            <w:pPr>
              <w:spacing w:before="20" w:after="20"/>
              <w:jc w:val="center"/>
              <w:rPr>
                <w:rFonts w:ascii="Arial Narrow" w:hAnsi="Arial Narrow"/>
                <w:sz w:val="20"/>
                <w:szCs w:val="20"/>
              </w:rPr>
            </w:pPr>
            <w:r w:rsidRPr="00A164CA">
              <w:rPr>
                <w:rFonts w:ascii="Arial Narrow" w:hAnsi="Arial Narrow"/>
                <w:sz w:val="20"/>
                <w:szCs w:val="20"/>
              </w:rPr>
              <w:t>16</w:t>
            </w:r>
          </w:p>
        </w:tc>
        <w:tc>
          <w:tcPr>
            <w:tcW w:w="2925" w:type="dxa"/>
            <w:gridSpan w:val="8"/>
            <w:tcBorders>
              <w:top w:val="single" w:sz="4" w:space="0" w:color="auto"/>
            </w:tcBorders>
            <w:shd w:val="clear" w:color="auto" w:fill="DAF2F6"/>
          </w:tcPr>
          <w:p w14:paraId="278D962C" w14:textId="77777777" w:rsidR="00A164CA" w:rsidRPr="00A164CA" w:rsidRDefault="00A164CA" w:rsidP="00591FB8">
            <w:pPr>
              <w:spacing w:before="20" w:after="20"/>
              <w:jc w:val="center"/>
              <w:rPr>
                <w:rFonts w:ascii="Arial Narrow" w:hAnsi="Arial Narrow"/>
                <w:sz w:val="20"/>
                <w:szCs w:val="20"/>
              </w:rPr>
            </w:pPr>
            <w:r w:rsidRPr="00A164CA">
              <w:rPr>
                <w:rFonts w:ascii="Arial Narrow" w:hAnsi="Arial Narrow"/>
                <w:sz w:val="20"/>
                <w:szCs w:val="20"/>
              </w:rPr>
              <w:t>18</w:t>
            </w:r>
          </w:p>
        </w:tc>
        <w:tc>
          <w:tcPr>
            <w:tcW w:w="2507" w:type="dxa"/>
            <w:gridSpan w:val="4"/>
            <w:shd w:val="clear" w:color="auto" w:fill="DAF2F6"/>
          </w:tcPr>
          <w:p w14:paraId="7DC6D598" w14:textId="77777777" w:rsidR="00A164CA" w:rsidRPr="00A164CA" w:rsidRDefault="00A164CA" w:rsidP="00591FB8">
            <w:pPr>
              <w:spacing w:before="20" w:after="20"/>
              <w:jc w:val="center"/>
              <w:rPr>
                <w:rFonts w:ascii="Arial Narrow" w:hAnsi="Arial Narrow"/>
                <w:sz w:val="20"/>
                <w:szCs w:val="20"/>
              </w:rPr>
            </w:pPr>
            <w:r w:rsidRPr="00A164CA">
              <w:rPr>
                <w:rFonts w:ascii="Arial Narrow" w:hAnsi="Arial Narrow"/>
                <w:sz w:val="20"/>
                <w:szCs w:val="20"/>
              </w:rPr>
              <w:t>20</w:t>
            </w:r>
          </w:p>
        </w:tc>
      </w:tr>
      <w:tr w:rsidR="00A164CA" w:rsidRPr="00A164CA" w14:paraId="24558BB5" w14:textId="77777777" w:rsidTr="00AE274D">
        <w:trPr>
          <w:gridAfter w:val="1"/>
          <w:wAfter w:w="25" w:type="dxa"/>
        </w:trPr>
        <w:tc>
          <w:tcPr>
            <w:tcW w:w="3755" w:type="dxa"/>
            <w:gridSpan w:val="2"/>
            <w:shd w:val="clear" w:color="auto" w:fill="DAF2F6"/>
          </w:tcPr>
          <w:p w14:paraId="3F3DDACF" w14:textId="77777777" w:rsidR="00A164CA" w:rsidRPr="00A164CA" w:rsidRDefault="00A164CA">
            <w:pPr>
              <w:spacing w:before="20" w:after="20"/>
              <w:rPr>
                <w:rFonts w:ascii="Arial Narrow" w:hAnsi="Arial Narrow"/>
                <w:sz w:val="20"/>
                <w:szCs w:val="20"/>
              </w:rPr>
            </w:pPr>
            <w:r w:rsidRPr="00A164CA">
              <w:rPr>
                <w:rFonts w:ascii="Arial Narrow" w:hAnsi="Arial Narrow"/>
                <w:sz w:val="20"/>
                <w:szCs w:val="20"/>
              </w:rPr>
              <w:t>Broj institucija sa izvršenom zamjenom aktivne mrežne opreme na pristupnim tačkama</w:t>
            </w:r>
          </w:p>
        </w:tc>
        <w:tc>
          <w:tcPr>
            <w:tcW w:w="3055" w:type="dxa"/>
            <w:gridSpan w:val="6"/>
            <w:shd w:val="clear" w:color="auto" w:fill="DAF2F6"/>
          </w:tcPr>
          <w:p w14:paraId="43001BC1" w14:textId="77777777" w:rsidR="00A164CA" w:rsidRPr="00A164CA" w:rsidRDefault="00A164CA" w:rsidP="00591FB8">
            <w:pPr>
              <w:spacing w:before="20" w:after="20"/>
              <w:jc w:val="center"/>
              <w:rPr>
                <w:rFonts w:ascii="Arial Narrow" w:hAnsi="Arial Narrow"/>
                <w:sz w:val="20"/>
                <w:szCs w:val="20"/>
              </w:rPr>
            </w:pPr>
            <w:r w:rsidRPr="00A164CA">
              <w:rPr>
                <w:rFonts w:ascii="Arial Narrow" w:hAnsi="Arial Narrow"/>
                <w:sz w:val="20"/>
                <w:szCs w:val="20"/>
              </w:rPr>
              <w:t>1</w:t>
            </w:r>
          </w:p>
        </w:tc>
        <w:tc>
          <w:tcPr>
            <w:tcW w:w="2625" w:type="dxa"/>
            <w:gridSpan w:val="6"/>
            <w:shd w:val="clear" w:color="auto" w:fill="DAF2F6"/>
          </w:tcPr>
          <w:p w14:paraId="76358BCF" w14:textId="77777777" w:rsidR="00A164CA" w:rsidRPr="00A164CA" w:rsidRDefault="00A164CA" w:rsidP="00591FB8">
            <w:pPr>
              <w:spacing w:before="20" w:after="20"/>
              <w:jc w:val="center"/>
              <w:rPr>
                <w:rFonts w:ascii="Arial Narrow" w:hAnsi="Arial Narrow"/>
                <w:sz w:val="20"/>
                <w:szCs w:val="20"/>
              </w:rPr>
            </w:pPr>
            <w:r w:rsidRPr="00A164CA">
              <w:rPr>
                <w:rFonts w:ascii="Arial Narrow" w:hAnsi="Arial Narrow"/>
                <w:sz w:val="20"/>
                <w:szCs w:val="20"/>
              </w:rPr>
              <w:t>Svih 27 lokacija</w:t>
            </w:r>
          </w:p>
        </w:tc>
        <w:tc>
          <w:tcPr>
            <w:tcW w:w="2925" w:type="dxa"/>
            <w:gridSpan w:val="8"/>
            <w:shd w:val="clear" w:color="auto" w:fill="DAF2F6"/>
          </w:tcPr>
          <w:p w14:paraId="7F417616" w14:textId="77777777" w:rsidR="00A164CA" w:rsidRPr="00A164CA" w:rsidRDefault="00A164CA" w:rsidP="00591FB8">
            <w:pPr>
              <w:spacing w:before="20" w:after="20"/>
              <w:jc w:val="center"/>
              <w:rPr>
                <w:rFonts w:ascii="Arial Narrow" w:hAnsi="Arial Narrow"/>
                <w:sz w:val="20"/>
                <w:szCs w:val="20"/>
              </w:rPr>
            </w:pPr>
          </w:p>
        </w:tc>
        <w:tc>
          <w:tcPr>
            <w:tcW w:w="2507" w:type="dxa"/>
            <w:gridSpan w:val="4"/>
            <w:shd w:val="clear" w:color="auto" w:fill="DAF2F6"/>
          </w:tcPr>
          <w:p w14:paraId="0D5C2DCB" w14:textId="77777777" w:rsidR="00A164CA" w:rsidRPr="00A164CA" w:rsidRDefault="00A164CA" w:rsidP="00591FB8">
            <w:pPr>
              <w:spacing w:before="20" w:after="20"/>
              <w:jc w:val="center"/>
              <w:rPr>
                <w:rFonts w:ascii="Arial Narrow" w:hAnsi="Arial Narrow"/>
                <w:sz w:val="20"/>
                <w:szCs w:val="20"/>
              </w:rPr>
            </w:pPr>
          </w:p>
        </w:tc>
      </w:tr>
      <w:bookmarkEnd w:id="49"/>
      <w:tr w:rsidR="00A164CA" w:rsidRPr="00A164CA" w14:paraId="3E583C74" w14:textId="77777777" w:rsidTr="003B14BB">
        <w:trPr>
          <w:gridAfter w:val="1"/>
          <w:wAfter w:w="25" w:type="dxa"/>
        </w:trPr>
        <w:tc>
          <w:tcPr>
            <w:tcW w:w="3755" w:type="dxa"/>
            <w:gridSpan w:val="2"/>
            <w:shd w:val="clear" w:color="auto" w:fill="FFF2CC"/>
            <w:vAlign w:val="center"/>
          </w:tcPr>
          <w:p w14:paraId="00DD52C2"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Aktivnosti</w:t>
            </w:r>
          </w:p>
        </w:tc>
        <w:tc>
          <w:tcPr>
            <w:tcW w:w="2567" w:type="dxa"/>
            <w:gridSpan w:val="3"/>
            <w:shd w:val="clear" w:color="auto" w:fill="FFF2CC"/>
            <w:vAlign w:val="center"/>
          </w:tcPr>
          <w:p w14:paraId="45BC9233"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Indikator rezultata</w:t>
            </w:r>
          </w:p>
        </w:tc>
        <w:tc>
          <w:tcPr>
            <w:tcW w:w="1729" w:type="dxa"/>
            <w:gridSpan w:val="6"/>
            <w:shd w:val="clear" w:color="auto" w:fill="FFF2CC"/>
            <w:vAlign w:val="center"/>
          </w:tcPr>
          <w:p w14:paraId="6E41916E"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Nadležne institucije i nadležna komisija</w:t>
            </w:r>
          </w:p>
        </w:tc>
        <w:tc>
          <w:tcPr>
            <w:tcW w:w="1384" w:type="dxa"/>
            <w:gridSpan w:val="3"/>
            <w:shd w:val="clear" w:color="auto" w:fill="FFF2CC"/>
            <w:vAlign w:val="center"/>
          </w:tcPr>
          <w:p w14:paraId="64752BA2"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Planirani početak i završetak aktivnosti</w:t>
            </w:r>
          </w:p>
        </w:tc>
        <w:tc>
          <w:tcPr>
            <w:tcW w:w="1365" w:type="dxa"/>
            <w:gridSpan w:val="3"/>
            <w:shd w:val="clear" w:color="auto" w:fill="FFF2CC"/>
            <w:vAlign w:val="center"/>
          </w:tcPr>
          <w:p w14:paraId="7E17DDA9"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Sredstva za realizaciju  i informacija o izradi RIA</w:t>
            </w:r>
          </w:p>
        </w:tc>
        <w:tc>
          <w:tcPr>
            <w:tcW w:w="1170" w:type="dxa"/>
            <w:gridSpan w:val="3"/>
            <w:shd w:val="clear" w:color="auto" w:fill="FFF2CC"/>
            <w:vAlign w:val="center"/>
          </w:tcPr>
          <w:p w14:paraId="749F873D"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 xml:space="preserve"> Izvor finansiranja</w:t>
            </w:r>
          </w:p>
        </w:tc>
        <w:tc>
          <w:tcPr>
            <w:tcW w:w="2897" w:type="dxa"/>
            <w:gridSpan w:val="6"/>
            <w:shd w:val="clear" w:color="auto" w:fill="FFF2CC"/>
            <w:vAlign w:val="center"/>
          </w:tcPr>
          <w:p w14:paraId="27143043" w14:textId="77777777" w:rsidR="00A164CA" w:rsidRPr="00A164CA" w:rsidRDefault="00A164CA">
            <w:pPr>
              <w:spacing w:before="20" w:after="20"/>
              <w:jc w:val="center"/>
              <w:rPr>
                <w:rFonts w:ascii="Arial Narrow" w:hAnsi="Arial Narrow"/>
                <w:b/>
                <w:sz w:val="20"/>
                <w:szCs w:val="20"/>
              </w:rPr>
            </w:pPr>
          </w:p>
          <w:p w14:paraId="4C8C52FB"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Obrazloženje</w:t>
            </w:r>
          </w:p>
        </w:tc>
      </w:tr>
      <w:tr w:rsidR="00A164CA" w:rsidRPr="00A164CA" w14:paraId="652AC609" w14:textId="77777777" w:rsidTr="003B14BB">
        <w:trPr>
          <w:gridAfter w:val="1"/>
          <w:wAfter w:w="25" w:type="dxa"/>
        </w:trPr>
        <w:tc>
          <w:tcPr>
            <w:tcW w:w="540" w:type="dxa"/>
          </w:tcPr>
          <w:p w14:paraId="5A13FCBD"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t>1.</w:t>
            </w:r>
          </w:p>
        </w:tc>
        <w:tc>
          <w:tcPr>
            <w:tcW w:w="3215" w:type="dxa"/>
          </w:tcPr>
          <w:p w14:paraId="4BD3CD41"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Unapređenje serverskih resursa private državnog cloud sistema i disaster recovery sistema</w:t>
            </w:r>
          </w:p>
        </w:tc>
        <w:tc>
          <w:tcPr>
            <w:tcW w:w="2567" w:type="dxa"/>
            <w:gridSpan w:val="3"/>
          </w:tcPr>
          <w:p w14:paraId="1776145A"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 xml:space="preserve">Izvještaj o radu Ministarstva javne uprave, digitalnog društva i medija </w:t>
            </w:r>
          </w:p>
          <w:p w14:paraId="27F77D17" w14:textId="77777777" w:rsidR="00A164CA" w:rsidRPr="00A164CA" w:rsidRDefault="00A164CA" w:rsidP="00591FB8">
            <w:pPr>
              <w:spacing w:before="20" w:after="20"/>
              <w:jc w:val="both"/>
              <w:rPr>
                <w:rFonts w:ascii="Arial Narrow" w:hAnsi="Arial Narrow"/>
                <w:sz w:val="20"/>
                <w:szCs w:val="20"/>
              </w:rPr>
            </w:pPr>
          </w:p>
        </w:tc>
        <w:tc>
          <w:tcPr>
            <w:tcW w:w="1729" w:type="dxa"/>
            <w:gridSpan w:val="6"/>
          </w:tcPr>
          <w:p w14:paraId="5C869E44"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NI: MJUDDM</w:t>
            </w:r>
          </w:p>
          <w:p w14:paraId="33727869"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NK: KPS, KEPIF</w:t>
            </w:r>
          </w:p>
        </w:tc>
        <w:tc>
          <w:tcPr>
            <w:tcW w:w="1384" w:type="dxa"/>
            <w:gridSpan w:val="3"/>
          </w:tcPr>
          <w:p w14:paraId="49822897"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 xml:space="preserve">IV Q 2022. </w:t>
            </w:r>
          </w:p>
          <w:p w14:paraId="215BF788" w14:textId="77777777" w:rsidR="00A164CA" w:rsidRPr="00A164CA" w:rsidRDefault="00A164CA" w:rsidP="00591FB8">
            <w:pPr>
              <w:spacing w:before="20" w:after="20"/>
              <w:jc w:val="both"/>
              <w:rPr>
                <w:rFonts w:ascii="Arial Narrow" w:hAnsi="Arial Narrow"/>
                <w:sz w:val="20"/>
                <w:szCs w:val="20"/>
              </w:rPr>
            </w:pPr>
          </w:p>
        </w:tc>
        <w:tc>
          <w:tcPr>
            <w:tcW w:w="1365" w:type="dxa"/>
            <w:gridSpan w:val="3"/>
          </w:tcPr>
          <w:p w14:paraId="6033EB9B"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200,000€</w:t>
            </w:r>
          </w:p>
        </w:tc>
        <w:tc>
          <w:tcPr>
            <w:tcW w:w="1170" w:type="dxa"/>
            <w:gridSpan w:val="3"/>
          </w:tcPr>
          <w:p w14:paraId="42E272EC"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Budžet</w:t>
            </w:r>
          </w:p>
        </w:tc>
        <w:tc>
          <w:tcPr>
            <w:tcW w:w="2897" w:type="dxa"/>
            <w:gridSpan w:val="6"/>
          </w:tcPr>
          <w:p w14:paraId="045FAADE" w14:textId="77777777" w:rsidR="00A164CA" w:rsidRPr="00A164CA" w:rsidRDefault="00A164CA" w:rsidP="00591FB8">
            <w:pPr>
              <w:spacing w:before="240" w:after="240"/>
              <w:jc w:val="both"/>
              <w:rPr>
                <w:rFonts w:ascii="Arial Narrow" w:hAnsi="Arial Narrow"/>
                <w:sz w:val="20"/>
                <w:szCs w:val="20"/>
              </w:rPr>
            </w:pPr>
            <w:r w:rsidRPr="00A164CA">
              <w:rPr>
                <w:rFonts w:ascii="Arial Narrow" w:hAnsi="Arial Narrow"/>
                <w:sz w:val="20"/>
                <w:szCs w:val="20"/>
              </w:rPr>
              <w:t xml:space="preserve">Disaster Recovery servis omoguća da se ključni Vladini servisi i sistemi mogu oporaviti u slučajevima elementarnih nepogoda na primarnoj lokaciji u Podgorici. Proces se ogleda u tome da se svi informacioni sistemi u realnom vremenu kopiraju/repliciraju sa jedne na drugu lokaciju putem sigurne konekcije i u </w:t>
            </w:r>
            <w:r w:rsidRPr="00A164CA">
              <w:rPr>
                <w:rFonts w:ascii="Arial Narrow" w:hAnsi="Arial Narrow"/>
                <w:sz w:val="20"/>
                <w:szCs w:val="20"/>
              </w:rPr>
              <w:lastRenderedPageBreak/>
              <w:t>krajnjem koriste ukoliko dođe do havarije na primarnoj lokaciji.</w:t>
            </w:r>
          </w:p>
        </w:tc>
      </w:tr>
      <w:tr w:rsidR="00A164CA" w:rsidRPr="00A164CA" w14:paraId="59C712E7" w14:textId="77777777" w:rsidTr="003B14BB">
        <w:trPr>
          <w:gridAfter w:val="1"/>
          <w:wAfter w:w="25" w:type="dxa"/>
        </w:trPr>
        <w:tc>
          <w:tcPr>
            <w:tcW w:w="540" w:type="dxa"/>
          </w:tcPr>
          <w:p w14:paraId="34FC3ABC"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t>2.</w:t>
            </w:r>
          </w:p>
        </w:tc>
        <w:tc>
          <w:tcPr>
            <w:tcW w:w="3215" w:type="dxa"/>
          </w:tcPr>
          <w:p w14:paraId="4B66149D"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Unapređenje mreže organa državne uprave (zamjena aktivne mrežne opreme na 27 lokacija)</w:t>
            </w:r>
          </w:p>
        </w:tc>
        <w:tc>
          <w:tcPr>
            <w:tcW w:w="2567" w:type="dxa"/>
            <w:gridSpan w:val="3"/>
          </w:tcPr>
          <w:p w14:paraId="2631AE78"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 xml:space="preserve">Izvještaj o radu Ministarstva javne uprave, digitalnog društva i medija </w:t>
            </w:r>
          </w:p>
        </w:tc>
        <w:tc>
          <w:tcPr>
            <w:tcW w:w="1729" w:type="dxa"/>
            <w:gridSpan w:val="6"/>
          </w:tcPr>
          <w:p w14:paraId="5AFEE67E"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NI: MJUDDM</w:t>
            </w:r>
          </w:p>
          <w:p w14:paraId="7FDD52C0"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NK: KPS, KEPIF</w:t>
            </w:r>
          </w:p>
        </w:tc>
        <w:tc>
          <w:tcPr>
            <w:tcW w:w="1384" w:type="dxa"/>
            <w:gridSpan w:val="3"/>
          </w:tcPr>
          <w:p w14:paraId="68BC8DED"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I Q 2022. – IV Q 2022.</w:t>
            </w:r>
          </w:p>
          <w:p w14:paraId="249DB8CE" w14:textId="77777777" w:rsidR="00A164CA" w:rsidRPr="00A164CA" w:rsidRDefault="00A164CA" w:rsidP="00591FB8">
            <w:pPr>
              <w:spacing w:before="20" w:after="20"/>
              <w:jc w:val="both"/>
              <w:rPr>
                <w:rFonts w:ascii="Arial Narrow" w:hAnsi="Arial Narrow"/>
                <w:sz w:val="20"/>
                <w:szCs w:val="20"/>
              </w:rPr>
            </w:pPr>
          </w:p>
        </w:tc>
        <w:tc>
          <w:tcPr>
            <w:tcW w:w="1365" w:type="dxa"/>
            <w:gridSpan w:val="3"/>
          </w:tcPr>
          <w:p w14:paraId="51C78C67"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220,000€</w:t>
            </w:r>
          </w:p>
        </w:tc>
        <w:tc>
          <w:tcPr>
            <w:tcW w:w="1170" w:type="dxa"/>
            <w:gridSpan w:val="3"/>
          </w:tcPr>
          <w:p w14:paraId="6F6235E3" w14:textId="77777777" w:rsidR="00A164CA" w:rsidRPr="00A164CA" w:rsidRDefault="00A164CA" w:rsidP="00591FB8">
            <w:pPr>
              <w:spacing w:before="20" w:after="20"/>
              <w:jc w:val="both"/>
              <w:rPr>
                <w:rFonts w:ascii="Arial Narrow" w:hAnsi="Arial Narrow"/>
                <w:sz w:val="20"/>
                <w:szCs w:val="20"/>
              </w:rPr>
            </w:pPr>
            <w:r w:rsidRPr="00A164CA">
              <w:rPr>
                <w:rFonts w:ascii="Arial Narrow" w:hAnsi="Arial Narrow"/>
                <w:sz w:val="20"/>
                <w:szCs w:val="20"/>
              </w:rPr>
              <w:t>Budžet</w:t>
            </w:r>
          </w:p>
        </w:tc>
        <w:tc>
          <w:tcPr>
            <w:tcW w:w="2897" w:type="dxa"/>
            <w:gridSpan w:val="6"/>
          </w:tcPr>
          <w:p w14:paraId="25BA49F1" w14:textId="77777777" w:rsidR="00A164CA" w:rsidRPr="00A164CA" w:rsidRDefault="00A164CA" w:rsidP="00591FB8">
            <w:pPr>
              <w:pBdr>
                <w:top w:val="nil"/>
                <w:left w:val="nil"/>
                <w:bottom w:val="nil"/>
                <w:right w:val="nil"/>
                <w:between w:val="nil"/>
              </w:pBdr>
              <w:spacing w:before="240" w:after="240" w:line="240" w:lineRule="auto"/>
              <w:jc w:val="both"/>
              <w:rPr>
                <w:rFonts w:ascii="Arial Narrow" w:hAnsi="Arial Narrow"/>
                <w:color w:val="000000"/>
                <w:sz w:val="20"/>
                <w:szCs w:val="20"/>
              </w:rPr>
            </w:pPr>
            <w:r w:rsidRPr="00A164CA">
              <w:rPr>
                <w:rFonts w:ascii="Arial Narrow" w:hAnsi="Arial Narrow"/>
                <w:color w:val="000000"/>
                <w:sz w:val="20"/>
                <w:szCs w:val="20"/>
              </w:rPr>
              <w:t xml:space="preserve">Ovaj projekat se odnosi dalji nastavak unapređenja jezgra mreže organa državne uprave u vidu nabavke aktivne mreže opreme sa pratećim modulima u cilju zamjene dotrajalih uređaja koji treba da doprinesu pouzdanom protoku podataka. Isto je potrebno odraditi i na 27 lokacija (zgrade Skupštine, Ministarstva finansija, Ministarstva vanjskih poslova, zgrada Vlade...) koje su direktno povezane na jezgro mreže, budući da je većina uređaja starija od 10 godina, kako bi se prevenirali eventualni ispadi i nedostupnost servisa (internet) i obezbjedili sigurnu kriptovanu konekciju i veći protok podataka. U okviru ove nabavke potrebno je jačati i primarni private cloud sistem, budući da zahtjevi za ustupanje resursa kontinuirano pristižu, te da smo samo u 2020. i 2021. godini za potrebe državnih organa u prvo redu Vlade Crne Gore, Ministarstva finansija i socijalnog staranje, Ministarstva ekonomskog razvoja, Ministarstvo zdravlja, Uprave za kadrove, Agencija za zaštitu konkurencije, Ministarstvo poljoprivrede i ruralnog razvoja, Ministarstvo rada i socijalnog staranja, Uprava za dijasporu, Predsjednik Crne Gore, Agencija za investicije ustupili resurse koji su ovim organima ostvarili uštedu od </w:t>
            </w:r>
            <w:r w:rsidRPr="00A164CA">
              <w:rPr>
                <w:rFonts w:ascii="Arial Narrow" w:hAnsi="Arial Narrow"/>
                <w:color w:val="000000"/>
                <w:sz w:val="20"/>
                <w:szCs w:val="20"/>
              </w:rPr>
              <w:lastRenderedPageBreak/>
              <w:t>minimum 400,000€. Tokom 2021. je rađeno na projektu implementacija DR lokacija koja omogućava replikaciju ključnih informacionih sistema hostovanih na primarnoj lokaciju u cilju čuvanja kopija podataka i mogućnosti oporavka istih u slučaju elementarnih nepogoda. </w:t>
            </w:r>
          </w:p>
          <w:p w14:paraId="76B35B6B" w14:textId="77777777" w:rsidR="00A164CA" w:rsidRPr="00A164CA" w:rsidRDefault="00A164CA" w:rsidP="00591FB8">
            <w:pPr>
              <w:spacing w:before="20" w:after="20"/>
              <w:jc w:val="both"/>
              <w:rPr>
                <w:rFonts w:ascii="Arial Narrow" w:hAnsi="Arial Narrow"/>
                <w:sz w:val="20"/>
                <w:szCs w:val="20"/>
              </w:rPr>
            </w:pPr>
          </w:p>
        </w:tc>
      </w:tr>
      <w:tr w:rsidR="00A164CA" w:rsidRPr="00A164CA" w14:paraId="61EE0156" w14:textId="77777777" w:rsidTr="00AE274D">
        <w:tc>
          <w:tcPr>
            <w:tcW w:w="3787" w:type="dxa"/>
            <w:gridSpan w:val="3"/>
            <w:shd w:val="clear" w:color="auto" w:fill="D9E2F3"/>
          </w:tcPr>
          <w:p w14:paraId="5C0065DE" w14:textId="44DADB28" w:rsidR="00A164CA" w:rsidRPr="00A164CA" w:rsidRDefault="00A164CA">
            <w:pPr>
              <w:spacing w:before="40" w:after="40"/>
              <w:jc w:val="center"/>
              <w:rPr>
                <w:rFonts w:ascii="Arial Narrow" w:hAnsi="Arial Narrow"/>
                <w:b/>
                <w:sz w:val="20"/>
                <w:szCs w:val="20"/>
              </w:rPr>
            </w:pPr>
            <w:bookmarkStart w:id="50" w:name="_Hlk89634728"/>
            <w:r w:rsidRPr="00A164CA">
              <w:rPr>
                <w:rFonts w:ascii="Arial Narrow" w:hAnsi="Arial Narrow"/>
                <w:b/>
                <w:sz w:val="20"/>
                <w:szCs w:val="20"/>
              </w:rPr>
              <w:t xml:space="preserve">Cilj </w:t>
            </w:r>
            <w:r w:rsidR="00404D30">
              <w:rPr>
                <w:rFonts w:ascii="Arial Narrow" w:hAnsi="Arial Narrow"/>
                <w:b/>
                <w:sz w:val="20"/>
                <w:szCs w:val="20"/>
              </w:rPr>
              <w:t>5.</w:t>
            </w:r>
            <w:r w:rsidR="00D5276E">
              <w:rPr>
                <w:rFonts w:ascii="Arial Narrow" w:hAnsi="Arial Narrow"/>
                <w:b/>
                <w:sz w:val="20"/>
                <w:szCs w:val="20"/>
              </w:rPr>
              <w:t>4</w:t>
            </w:r>
          </w:p>
          <w:p w14:paraId="1650ED29" w14:textId="77777777" w:rsidR="00A164CA" w:rsidRPr="00A164CA" w:rsidRDefault="00A164CA">
            <w:pPr>
              <w:spacing w:before="40" w:after="40"/>
              <w:jc w:val="center"/>
              <w:rPr>
                <w:rFonts w:ascii="Arial Narrow" w:hAnsi="Arial Narrow"/>
                <w:b/>
                <w:sz w:val="20"/>
                <w:szCs w:val="20"/>
              </w:rPr>
            </w:pPr>
          </w:p>
        </w:tc>
        <w:tc>
          <w:tcPr>
            <w:tcW w:w="11105" w:type="dxa"/>
            <w:gridSpan w:val="24"/>
            <w:shd w:val="clear" w:color="auto" w:fill="D9E2F3"/>
          </w:tcPr>
          <w:p w14:paraId="39A70CDF" w14:textId="77777777" w:rsidR="00A164CA" w:rsidRPr="00A164CA" w:rsidRDefault="00A164CA" w:rsidP="00FD6B98">
            <w:pPr>
              <w:spacing w:before="40" w:after="40"/>
              <w:rPr>
                <w:rFonts w:ascii="Arial Narrow" w:hAnsi="Arial Narrow"/>
                <w:b/>
                <w:sz w:val="20"/>
                <w:szCs w:val="20"/>
              </w:rPr>
            </w:pPr>
            <w:r w:rsidRPr="00A164CA">
              <w:rPr>
                <w:rFonts w:ascii="Arial Narrow" w:hAnsi="Arial Narrow"/>
                <w:b/>
                <w:sz w:val="20"/>
                <w:szCs w:val="20"/>
              </w:rPr>
              <w:t>Unapređenje Informaciono-komunikacione tehnologije</w:t>
            </w:r>
          </w:p>
          <w:p w14:paraId="58A58BB8" w14:textId="77777777" w:rsidR="00A164CA" w:rsidRPr="00A164CA" w:rsidRDefault="00A164CA" w:rsidP="00FD6B98">
            <w:pPr>
              <w:spacing w:before="40" w:after="40"/>
              <w:rPr>
                <w:rFonts w:ascii="Arial Narrow" w:hAnsi="Arial Narrow"/>
                <w:b/>
                <w:i/>
                <w:color w:val="FF0000"/>
                <w:sz w:val="20"/>
                <w:szCs w:val="20"/>
              </w:rPr>
            </w:pPr>
            <w:r w:rsidRPr="00A164CA">
              <w:rPr>
                <w:rFonts w:ascii="Arial Narrow" w:hAnsi="Arial Narrow"/>
                <w:b/>
                <w:sz w:val="20"/>
                <w:szCs w:val="20"/>
              </w:rPr>
              <w:t>Podizanje nivoa informacione bezbjednosti</w:t>
            </w:r>
          </w:p>
        </w:tc>
      </w:tr>
      <w:tr w:rsidR="00A164CA" w:rsidRPr="00A164CA" w14:paraId="2256258F" w14:textId="77777777" w:rsidTr="00AE274D">
        <w:trPr>
          <w:trHeight w:val="65"/>
        </w:trPr>
        <w:tc>
          <w:tcPr>
            <w:tcW w:w="3787" w:type="dxa"/>
            <w:gridSpan w:val="3"/>
            <w:shd w:val="clear" w:color="auto" w:fill="DAF2F6"/>
          </w:tcPr>
          <w:p w14:paraId="02B624E0"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Indikator učinka</w:t>
            </w:r>
          </w:p>
        </w:tc>
        <w:tc>
          <w:tcPr>
            <w:tcW w:w="3141" w:type="dxa"/>
            <w:gridSpan w:val="6"/>
            <w:shd w:val="clear" w:color="auto" w:fill="DAF2F6"/>
          </w:tcPr>
          <w:p w14:paraId="20B156AE"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Polazna vrijednost – 2021.g</w:t>
            </w:r>
          </w:p>
        </w:tc>
        <w:tc>
          <w:tcPr>
            <w:tcW w:w="2529" w:type="dxa"/>
            <w:gridSpan w:val="6"/>
            <w:shd w:val="clear" w:color="auto" w:fill="DAF2F6"/>
            <w:vAlign w:val="center"/>
          </w:tcPr>
          <w:p w14:paraId="4E57189F"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Prelazna vrijednost – 2022.g</w:t>
            </w:r>
          </w:p>
        </w:tc>
        <w:tc>
          <w:tcPr>
            <w:tcW w:w="3032" w:type="dxa"/>
            <w:gridSpan w:val="8"/>
            <w:tcBorders>
              <w:bottom w:val="single" w:sz="4" w:space="0" w:color="FFFFFF"/>
            </w:tcBorders>
            <w:shd w:val="clear" w:color="auto" w:fill="DAF2F6"/>
            <w:vAlign w:val="center"/>
          </w:tcPr>
          <w:p w14:paraId="7E585A35"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Prelazna vrijednost – 2023.g</w:t>
            </w:r>
          </w:p>
        </w:tc>
        <w:tc>
          <w:tcPr>
            <w:tcW w:w="2403" w:type="dxa"/>
            <w:gridSpan w:val="4"/>
            <w:tcBorders>
              <w:bottom w:val="single" w:sz="4" w:space="0" w:color="FFFFFF"/>
            </w:tcBorders>
            <w:shd w:val="clear" w:color="auto" w:fill="DAF2F6"/>
            <w:vAlign w:val="center"/>
          </w:tcPr>
          <w:p w14:paraId="1E89AA47" w14:textId="77777777" w:rsidR="00A164CA" w:rsidRPr="00A164CA" w:rsidRDefault="00A164CA">
            <w:pPr>
              <w:spacing w:before="40" w:after="40"/>
              <w:jc w:val="center"/>
              <w:rPr>
                <w:rFonts w:ascii="Arial Narrow" w:hAnsi="Arial Narrow"/>
                <w:b/>
                <w:sz w:val="20"/>
                <w:szCs w:val="20"/>
              </w:rPr>
            </w:pPr>
            <w:r w:rsidRPr="00A164CA">
              <w:rPr>
                <w:rFonts w:ascii="Arial Narrow" w:hAnsi="Arial Narrow"/>
                <w:b/>
                <w:sz w:val="20"/>
                <w:szCs w:val="20"/>
              </w:rPr>
              <w:t>Ciljna vrijednost - 2024.g</w:t>
            </w:r>
          </w:p>
        </w:tc>
      </w:tr>
      <w:tr w:rsidR="00A164CA" w:rsidRPr="00A164CA" w14:paraId="70EA892F" w14:textId="77777777" w:rsidTr="00AE274D">
        <w:tc>
          <w:tcPr>
            <w:tcW w:w="3787" w:type="dxa"/>
            <w:gridSpan w:val="3"/>
            <w:shd w:val="clear" w:color="auto" w:fill="DAF2F6"/>
          </w:tcPr>
          <w:p w14:paraId="5DEBA887" w14:textId="77777777" w:rsidR="00A164CA" w:rsidRPr="00A164CA" w:rsidRDefault="00A164CA">
            <w:pPr>
              <w:spacing w:before="40" w:after="40"/>
              <w:jc w:val="center"/>
              <w:rPr>
                <w:rFonts w:ascii="Arial Narrow" w:hAnsi="Arial Narrow"/>
                <w:b/>
                <w:sz w:val="20"/>
                <w:szCs w:val="20"/>
              </w:rPr>
            </w:pPr>
          </w:p>
        </w:tc>
        <w:tc>
          <w:tcPr>
            <w:tcW w:w="3141" w:type="dxa"/>
            <w:gridSpan w:val="6"/>
            <w:shd w:val="clear" w:color="auto" w:fill="DAF2F6"/>
          </w:tcPr>
          <w:p w14:paraId="34AD2B1F" w14:textId="77777777" w:rsidR="00A164CA" w:rsidRPr="00A164CA" w:rsidRDefault="00A164CA">
            <w:pPr>
              <w:spacing w:before="40" w:after="40"/>
              <w:jc w:val="center"/>
              <w:rPr>
                <w:rFonts w:ascii="Arial Narrow" w:hAnsi="Arial Narrow"/>
                <w:b/>
                <w:sz w:val="20"/>
                <w:szCs w:val="20"/>
              </w:rPr>
            </w:pPr>
          </w:p>
        </w:tc>
        <w:tc>
          <w:tcPr>
            <w:tcW w:w="2529" w:type="dxa"/>
            <w:gridSpan w:val="6"/>
            <w:shd w:val="clear" w:color="auto" w:fill="DAF2F6"/>
            <w:vAlign w:val="center"/>
          </w:tcPr>
          <w:p w14:paraId="725C0333" w14:textId="77777777" w:rsidR="00A164CA" w:rsidRPr="00A164CA" w:rsidRDefault="00A164CA">
            <w:pPr>
              <w:spacing w:before="40" w:after="40"/>
              <w:jc w:val="center"/>
              <w:rPr>
                <w:rFonts w:ascii="Arial Narrow" w:hAnsi="Arial Narrow"/>
                <w:b/>
                <w:sz w:val="20"/>
                <w:szCs w:val="20"/>
              </w:rPr>
            </w:pPr>
          </w:p>
        </w:tc>
        <w:tc>
          <w:tcPr>
            <w:tcW w:w="3032" w:type="dxa"/>
            <w:gridSpan w:val="8"/>
            <w:tcBorders>
              <w:bottom w:val="single" w:sz="4" w:space="0" w:color="FFFFFF"/>
            </w:tcBorders>
            <w:shd w:val="clear" w:color="auto" w:fill="DAF2F6"/>
            <w:vAlign w:val="center"/>
          </w:tcPr>
          <w:p w14:paraId="4EF3AB8B" w14:textId="77777777" w:rsidR="00A164CA" w:rsidRPr="00A164CA" w:rsidRDefault="00A164CA">
            <w:pPr>
              <w:spacing w:before="40" w:after="40"/>
              <w:jc w:val="center"/>
              <w:rPr>
                <w:rFonts w:ascii="Arial Narrow" w:hAnsi="Arial Narrow"/>
                <w:b/>
                <w:sz w:val="20"/>
                <w:szCs w:val="20"/>
              </w:rPr>
            </w:pPr>
          </w:p>
        </w:tc>
        <w:tc>
          <w:tcPr>
            <w:tcW w:w="2403" w:type="dxa"/>
            <w:gridSpan w:val="4"/>
            <w:tcBorders>
              <w:bottom w:val="single" w:sz="4" w:space="0" w:color="FFFFFF"/>
            </w:tcBorders>
            <w:shd w:val="clear" w:color="auto" w:fill="DAF2F6"/>
            <w:vAlign w:val="center"/>
          </w:tcPr>
          <w:p w14:paraId="7508E29D" w14:textId="77777777" w:rsidR="00A164CA" w:rsidRPr="00A164CA" w:rsidRDefault="00A164CA">
            <w:pPr>
              <w:spacing w:before="40" w:after="40"/>
              <w:jc w:val="center"/>
              <w:rPr>
                <w:rFonts w:ascii="Arial Narrow" w:hAnsi="Arial Narrow"/>
                <w:b/>
                <w:sz w:val="20"/>
                <w:szCs w:val="20"/>
              </w:rPr>
            </w:pPr>
          </w:p>
        </w:tc>
      </w:tr>
      <w:bookmarkEnd w:id="50"/>
      <w:tr w:rsidR="00A164CA" w:rsidRPr="00A164CA" w14:paraId="5B7E86E5" w14:textId="77777777" w:rsidTr="003B14BB">
        <w:tc>
          <w:tcPr>
            <w:tcW w:w="3787" w:type="dxa"/>
            <w:gridSpan w:val="3"/>
            <w:shd w:val="clear" w:color="auto" w:fill="FFF2CC"/>
            <w:vAlign w:val="center"/>
          </w:tcPr>
          <w:p w14:paraId="709DBC7E"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Aktivnosti</w:t>
            </w:r>
          </w:p>
        </w:tc>
        <w:tc>
          <w:tcPr>
            <w:tcW w:w="2653" w:type="dxa"/>
            <w:gridSpan w:val="3"/>
            <w:shd w:val="clear" w:color="auto" w:fill="FFF2CC"/>
            <w:vAlign w:val="center"/>
          </w:tcPr>
          <w:p w14:paraId="6E5527AE"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Indikator rezultata</w:t>
            </w:r>
          </w:p>
        </w:tc>
        <w:tc>
          <w:tcPr>
            <w:tcW w:w="1744" w:type="dxa"/>
            <w:gridSpan w:val="6"/>
            <w:shd w:val="clear" w:color="auto" w:fill="FFF2CC"/>
            <w:vAlign w:val="center"/>
          </w:tcPr>
          <w:p w14:paraId="53E02C6E"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Nadležne institucije i nadležna komisija</w:t>
            </w:r>
          </w:p>
        </w:tc>
        <w:tc>
          <w:tcPr>
            <w:tcW w:w="1273" w:type="dxa"/>
            <w:gridSpan w:val="3"/>
            <w:shd w:val="clear" w:color="auto" w:fill="FFF2CC"/>
            <w:vAlign w:val="center"/>
          </w:tcPr>
          <w:p w14:paraId="5A15594B"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Planirani početak i završetak aktivnosti</w:t>
            </w:r>
          </w:p>
        </w:tc>
        <w:tc>
          <w:tcPr>
            <w:tcW w:w="1613" w:type="dxa"/>
            <w:gridSpan w:val="3"/>
            <w:shd w:val="clear" w:color="auto" w:fill="FFF2CC"/>
            <w:vAlign w:val="center"/>
          </w:tcPr>
          <w:p w14:paraId="000F6A37"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Sredstva za realizaciju  i informacija o izradi RIA</w:t>
            </w:r>
          </w:p>
        </w:tc>
        <w:tc>
          <w:tcPr>
            <w:tcW w:w="1170" w:type="dxa"/>
            <w:gridSpan w:val="3"/>
            <w:shd w:val="clear" w:color="auto" w:fill="FFF2CC"/>
            <w:vAlign w:val="center"/>
          </w:tcPr>
          <w:p w14:paraId="6A6A7CE5"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 xml:space="preserve"> Izvor finansiranja</w:t>
            </w:r>
          </w:p>
        </w:tc>
        <w:tc>
          <w:tcPr>
            <w:tcW w:w="2652" w:type="dxa"/>
            <w:gridSpan w:val="6"/>
            <w:shd w:val="clear" w:color="auto" w:fill="FFF2CC"/>
            <w:vAlign w:val="center"/>
          </w:tcPr>
          <w:p w14:paraId="124650E3" w14:textId="77777777" w:rsidR="00A164CA" w:rsidRPr="00A164CA" w:rsidRDefault="00A164CA">
            <w:pPr>
              <w:spacing w:before="20" w:after="20"/>
              <w:jc w:val="center"/>
              <w:rPr>
                <w:rFonts w:ascii="Arial Narrow" w:hAnsi="Arial Narrow"/>
                <w:b/>
                <w:sz w:val="20"/>
                <w:szCs w:val="20"/>
              </w:rPr>
            </w:pPr>
          </w:p>
          <w:p w14:paraId="2E99C099" w14:textId="77777777" w:rsidR="00A164CA" w:rsidRPr="00A164CA" w:rsidRDefault="00A164CA">
            <w:pPr>
              <w:spacing w:before="20" w:after="20"/>
              <w:jc w:val="center"/>
              <w:rPr>
                <w:rFonts w:ascii="Arial Narrow" w:hAnsi="Arial Narrow"/>
                <w:b/>
                <w:sz w:val="20"/>
                <w:szCs w:val="20"/>
              </w:rPr>
            </w:pPr>
            <w:r w:rsidRPr="00A164CA">
              <w:rPr>
                <w:rFonts w:ascii="Arial Narrow" w:hAnsi="Arial Narrow"/>
                <w:b/>
                <w:sz w:val="20"/>
                <w:szCs w:val="20"/>
              </w:rPr>
              <w:t>Obrazloženje</w:t>
            </w:r>
          </w:p>
        </w:tc>
      </w:tr>
      <w:tr w:rsidR="00A164CA" w:rsidRPr="00A164CA" w14:paraId="31ED8273" w14:textId="77777777" w:rsidTr="003B14BB">
        <w:tc>
          <w:tcPr>
            <w:tcW w:w="540" w:type="dxa"/>
          </w:tcPr>
          <w:p w14:paraId="2009ECD0"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t>1.</w:t>
            </w:r>
          </w:p>
        </w:tc>
        <w:tc>
          <w:tcPr>
            <w:tcW w:w="3247" w:type="dxa"/>
            <w:gridSpan w:val="2"/>
          </w:tcPr>
          <w:p w14:paraId="37CEB770"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t>Utvrditi izmjene i dopune Zakona o informacionoj bezbjednosti</w:t>
            </w:r>
          </w:p>
        </w:tc>
        <w:tc>
          <w:tcPr>
            <w:tcW w:w="2653" w:type="dxa"/>
            <w:gridSpan w:val="3"/>
          </w:tcPr>
          <w:p w14:paraId="10600F4B"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t>Utvrđen Predlog zakona o izmjenama i dopunama Zakona o informacionoj bezbjednosti</w:t>
            </w:r>
          </w:p>
        </w:tc>
        <w:tc>
          <w:tcPr>
            <w:tcW w:w="1744" w:type="dxa"/>
            <w:gridSpan w:val="6"/>
          </w:tcPr>
          <w:p w14:paraId="50376E49"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t>NI: MJUDDM</w:t>
            </w:r>
          </w:p>
          <w:p w14:paraId="798ECFA4"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t>NK: KPS</w:t>
            </w:r>
          </w:p>
          <w:p w14:paraId="76C0C0B5"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t xml:space="preserve">       KEPIF</w:t>
            </w:r>
          </w:p>
        </w:tc>
        <w:tc>
          <w:tcPr>
            <w:tcW w:w="1273" w:type="dxa"/>
            <w:gridSpan w:val="3"/>
          </w:tcPr>
          <w:p w14:paraId="5BADE2F4" w14:textId="77777777" w:rsidR="00A164CA" w:rsidRPr="00A164CA" w:rsidRDefault="00A164CA" w:rsidP="00C642DC">
            <w:pPr>
              <w:spacing w:before="20" w:after="20" w:line="276" w:lineRule="auto"/>
              <w:jc w:val="both"/>
              <w:rPr>
                <w:rFonts w:ascii="Arial Narrow" w:hAnsi="Arial Narrow"/>
                <w:sz w:val="20"/>
                <w:szCs w:val="20"/>
              </w:rPr>
            </w:pPr>
            <w:r w:rsidRPr="00A164CA">
              <w:rPr>
                <w:rFonts w:ascii="Arial Narrow" w:hAnsi="Arial Narrow"/>
                <w:sz w:val="20"/>
                <w:szCs w:val="20"/>
              </w:rPr>
              <w:t>I Q 2022</w:t>
            </w:r>
          </w:p>
          <w:p w14:paraId="38E88694" w14:textId="77777777" w:rsidR="00A164CA" w:rsidRPr="00A164CA" w:rsidRDefault="00A164CA" w:rsidP="00C642DC">
            <w:pPr>
              <w:spacing w:before="20" w:after="20" w:line="276" w:lineRule="auto"/>
              <w:jc w:val="both"/>
              <w:rPr>
                <w:rFonts w:ascii="Arial Narrow" w:hAnsi="Arial Narrow"/>
                <w:sz w:val="20"/>
                <w:szCs w:val="20"/>
              </w:rPr>
            </w:pPr>
            <w:r w:rsidRPr="00A164CA">
              <w:rPr>
                <w:rFonts w:ascii="Arial Narrow" w:hAnsi="Arial Narrow"/>
                <w:sz w:val="20"/>
                <w:szCs w:val="20"/>
              </w:rPr>
              <w:t>IV Q 2022</w:t>
            </w:r>
          </w:p>
        </w:tc>
        <w:tc>
          <w:tcPr>
            <w:tcW w:w="1613" w:type="dxa"/>
            <w:gridSpan w:val="3"/>
          </w:tcPr>
          <w:p w14:paraId="4B7FB0BC"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t>Za potrebe opravdnosti izrade propisa odnosno njegove implementacije izradiće se analiza procjene uticaja propisa koja će se prikazati u Izvještaju (RIA obrazac)</w:t>
            </w:r>
          </w:p>
        </w:tc>
        <w:tc>
          <w:tcPr>
            <w:tcW w:w="1170" w:type="dxa"/>
            <w:gridSpan w:val="3"/>
          </w:tcPr>
          <w:p w14:paraId="7CABF562"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t>Budžet CG</w:t>
            </w:r>
          </w:p>
        </w:tc>
        <w:tc>
          <w:tcPr>
            <w:tcW w:w="2652" w:type="dxa"/>
            <w:gridSpan w:val="6"/>
          </w:tcPr>
          <w:p w14:paraId="6BF1AFAD" w14:textId="77777777" w:rsidR="00A164CA" w:rsidRPr="00A164CA" w:rsidRDefault="00A164CA" w:rsidP="00C642DC">
            <w:pPr>
              <w:spacing w:before="240" w:line="276" w:lineRule="auto"/>
              <w:jc w:val="both"/>
              <w:rPr>
                <w:rFonts w:ascii="Arial Narrow" w:hAnsi="Arial Narrow"/>
                <w:sz w:val="20"/>
                <w:szCs w:val="20"/>
              </w:rPr>
            </w:pPr>
            <w:r w:rsidRPr="00A164CA">
              <w:rPr>
                <w:rFonts w:ascii="Arial Narrow" w:hAnsi="Arial Narrow"/>
                <w:sz w:val="20"/>
                <w:szCs w:val="20"/>
              </w:rPr>
              <w:t>Unapređenje teksta Zakona u cilju jačanja sajber bezbjednosti i prepoznavanja nove institucije kao mehanizma za sprovođenje te aktivnosti. Pored navedenog izmjena odredbi koje se odnosee na kritičnu informatičku infrastrukturu i usklađivanje sa NIS Direktivom EU. Zavisno od obima izmjena može dobiti koncept novog zakona.</w:t>
            </w:r>
          </w:p>
        </w:tc>
      </w:tr>
      <w:tr w:rsidR="00A164CA" w:rsidRPr="00A164CA" w14:paraId="22EA7547" w14:textId="77777777" w:rsidTr="003B14BB">
        <w:tc>
          <w:tcPr>
            <w:tcW w:w="540" w:type="dxa"/>
          </w:tcPr>
          <w:p w14:paraId="7FB24054" w14:textId="77777777" w:rsidR="00A164CA" w:rsidRPr="00A164CA" w:rsidRDefault="00A164CA" w:rsidP="00FD6B98">
            <w:pPr>
              <w:spacing w:before="20" w:after="20"/>
              <w:jc w:val="right"/>
              <w:rPr>
                <w:rFonts w:ascii="Arial Narrow" w:hAnsi="Arial Narrow"/>
                <w:sz w:val="20"/>
                <w:szCs w:val="20"/>
              </w:rPr>
            </w:pPr>
            <w:r w:rsidRPr="00A164CA">
              <w:rPr>
                <w:rFonts w:ascii="Arial Narrow" w:hAnsi="Arial Narrow"/>
                <w:sz w:val="20"/>
                <w:szCs w:val="20"/>
              </w:rPr>
              <w:t>2.</w:t>
            </w:r>
          </w:p>
        </w:tc>
        <w:tc>
          <w:tcPr>
            <w:tcW w:w="3247" w:type="dxa"/>
            <w:gridSpan w:val="2"/>
          </w:tcPr>
          <w:p w14:paraId="745ACC73"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t>Objedinjena nabavka softverskih licenci za najbrojnije licence  i obezbjeđivanje nadogradnji na najnovije verzije softvera</w:t>
            </w:r>
          </w:p>
        </w:tc>
        <w:tc>
          <w:tcPr>
            <w:tcW w:w="2653" w:type="dxa"/>
            <w:gridSpan w:val="3"/>
          </w:tcPr>
          <w:p w14:paraId="5A625462"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t>Zaključen Enterprise Agreement sa kompanijom Microsoft za period 2022-2024</w:t>
            </w:r>
          </w:p>
          <w:p w14:paraId="094C1024" w14:textId="77777777" w:rsidR="00A164CA" w:rsidRPr="00A164CA" w:rsidRDefault="00A164CA" w:rsidP="00C642DC">
            <w:pPr>
              <w:spacing w:before="20" w:after="20"/>
              <w:jc w:val="both"/>
              <w:rPr>
                <w:rFonts w:ascii="Arial Narrow" w:hAnsi="Arial Narrow"/>
                <w:sz w:val="20"/>
                <w:szCs w:val="20"/>
              </w:rPr>
            </w:pPr>
          </w:p>
          <w:p w14:paraId="4613F511"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lastRenderedPageBreak/>
              <w:t>Zaključen komercijalni ugovor sa kompanijom Oracle</w:t>
            </w:r>
          </w:p>
        </w:tc>
        <w:tc>
          <w:tcPr>
            <w:tcW w:w="1744" w:type="dxa"/>
            <w:gridSpan w:val="6"/>
          </w:tcPr>
          <w:p w14:paraId="06AD6BAA"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lastRenderedPageBreak/>
              <w:t>MJUDDM</w:t>
            </w:r>
          </w:p>
        </w:tc>
        <w:tc>
          <w:tcPr>
            <w:tcW w:w="1273" w:type="dxa"/>
            <w:gridSpan w:val="3"/>
          </w:tcPr>
          <w:p w14:paraId="46080E1B" w14:textId="77777777" w:rsidR="00A164CA" w:rsidRPr="00A164CA" w:rsidRDefault="00A164CA" w:rsidP="00C642DC">
            <w:pPr>
              <w:spacing w:before="20" w:after="20" w:line="276" w:lineRule="auto"/>
              <w:jc w:val="both"/>
              <w:rPr>
                <w:rFonts w:ascii="Arial Narrow" w:hAnsi="Arial Narrow"/>
                <w:sz w:val="20"/>
                <w:szCs w:val="20"/>
              </w:rPr>
            </w:pPr>
            <w:r w:rsidRPr="00A164CA">
              <w:rPr>
                <w:rFonts w:ascii="Arial Narrow" w:hAnsi="Arial Narrow"/>
                <w:sz w:val="20"/>
                <w:szCs w:val="20"/>
              </w:rPr>
              <w:t>I-IV Q 2022.</w:t>
            </w:r>
          </w:p>
          <w:p w14:paraId="3E12083C" w14:textId="77777777" w:rsidR="00A164CA" w:rsidRPr="00A164CA" w:rsidRDefault="00A164CA" w:rsidP="00C642DC">
            <w:pPr>
              <w:spacing w:before="20" w:after="20"/>
              <w:jc w:val="both"/>
              <w:rPr>
                <w:rFonts w:ascii="Arial Narrow" w:hAnsi="Arial Narrow"/>
                <w:sz w:val="20"/>
                <w:szCs w:val="20"/>
              </w:rPr>
            </w:pPr>
          </w:p>
        </w:tc>
        <w:tc>
          <w:tcPr>
            <w:tcW w:w="1613" w:type="dxa"/>
            <w:gridSpan w:val="3"/>
          </w:tcPr>
          <w:p w14:paraId="54D2CB40"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t>2.160.000</w:t>
            </w:r>
          </w:p>
        </w:tc>
        <w:tc>
          <w:tcPr>
            <w:tcW w:w="1170" w:type="dxa"/>
            <w:gridSpan w:val="3"/>
          </w:tcPr>
          <w:p w14:paraId="35CC2DD8" w14:textId="77777777" w:rsidR="00A164CA" w:rsidRPr="00A164CA" w:rsidRDefault="00A164CA" w:rsidP="00C642DC">
            <w:pPr>
              <w:spacing w:before="20" w:after="20"/>
              <w:jc w:val="both"/>
              <w:rPr>
                <w:rFonts w:ascii="Arial Narrow" w:hAnsi="Arial Narrow"/>
                <w:sz w:val="20"/>
                <w:szCs w:val="20"/>
              </w:rPr>
            </w:pPr>
            <w:r w:rsidRPr="00A164CA">
              <w:rPr>
                <w:rFonts w:ascii="Arial Narrow" w:hAnsi="Arial Narrow"/>
                <w:sz w:val="20"/>
                <w:szCs w:val="20"/>
              </w:rPr>
              <w:t>Budžet</w:t>
            </w:r>
          </w:p>
        </w:tc>
        <w:tc>
          <w:tcPr>
            <w:tcW w:w="2652" w:type="dxa"/>
            <w:gridSpan w:val="6"/>
          </w:tcPr>
          <w:p w14:paraId="750777E7" w14:textId="77777777" w:rsidR="00A164CA" w:rsidRPr="00A164CA" w:rsidRDefault="00A164CA" w:rsidP="00C642DC">
            <w:pPr>
              <w:spacing w:after="0" w:line="240" w:lineRule="auto"/>
              <w:jc w:val="both"/>
              <w:rPr>
                <w:rFonts w:ascii="Arial Narrow" w:hAnsi="Arial Narrow"/>
                <w:sz w:val="20"/>
                <w:szCs w:val="20"/>
              </w:rPr>
            </w:pPr>
            <w:r w:rsidRPr="00A164CA">
              <w:rPr>
                <w:rFonts w:ascii="Arial Narrow" w:hAnsi="Arial Narrow"/>
                <w:sz w:val="20"/>
                <w:szCs w:val="20"/>
              </w:rPr>
              <w:t xml:space="preserve">Benefiti objedinjene nabavke licenci za softverska rješenja koja su najčešće u upotrebi se, prije svega, ogledaju u racionalizaciji troškova za ovu namjenu. Sa </w:t>
            </w:r>
            <w:r w:rsidRPr="00A164CA">
              <w:rPr>
                <w:rFonts w:ascii="Arial Narrow" w:hAnsi="Arial Narrow"/>
                <w:sz w:val="20"/>
                <w:szCs w:val="20"/>
              </w:rPr>
              <w:lastRenderedPageBreak/>
              <w:t>druge strane, podstiče se upotreba legalnog softvera u državnim institucijama i obezbjeđuju najnovije verzije softvera, što je od izuzetnog značaja za bezbjednost Mreže organa državne uprave, uzimajući u obzir činjenicu da su novije verzije uvijek naprednije, u funkcionalnom i bezbjednosnom smislu, od prethodnih.</w:t>
            </w:r>
          </w:p>
          <w:p w14:paraId="3A8FE137" w14:textId="77777777" w:rsidR="00A164CA" w:rsidRPr="00A164CA" w:rsidRDefault="00A164CA" w:rsidP="00C642DC">
            <w:pPr>
              <w:spacing w:after="0" w:line="240" w:lineRule="auto"/>
              <w:jc w:val="both"/>
              <w:rPr>
                <w:rFonts w:ascii="Arial Narrow" w:hAnsi="Arial Narrow"/>
                <w:sz w:val="20"/>
                <w:szCs w:val="20"/>
              </w:rPr>
            </w:pPr>
            <w:r w:rsidRPr="00A164CA">
              <w:rPr>
                <w:rFonts w:ascii="Arial Narrow" w:hAnsi="Arial Narrow"/>
                <w:sz w:val="20"/>
                <w:szCs w:val="20"/>
              </w:rPr>
              <w:t>U slučaju potrebe za dodatnom nabavkom licenci za specifične proizvode, državne institucije mogu samostalno izvršiti nabavku istih.</w:t>
            </w:r>
          </w:p>
          <w:p w14:paraId="3CBFBE0B" w14:textId="77777777" w:rsidR="00A164CA" w:rsidRPr="00A164CA" w:rsidRDefault="00A164CA" w:rsidP="00C642DC">
            <w:pPr>
              <w:spacing w:after="20" w:line="240" w:lineRule="auto"/>
              <w:jc w:val="both"/>
              <w:rPr>
                <w:rFonts w:ascii="Arial Narrow" w:hAnsi="Arial Narrow"/>
                <w:sz w:val="20"/>
                <w:szCs w:val="20"/>
              </w:rPr>
            </w:pPr>
            <w:r w:rsidRPr="00A164CA">
              <w:rPr>
                <w:rFonts w:ascii="Arial Narrow" w:hAnsi="Arial Narrow"/>
                <w:sz w:val="20"/>
                <w:szCs w:val="20"/>
              </w:rPr>
              <w:t xml:space="preserve">Navedeni iznos predstavlja ukupnu vrijednost za </w:t>
            </w:r>
            <w:r w:rsidRPr="00A164CA">
              <w:rPr>
                <w:rFonts w:ascii="Arial Narrow" w:hAnsi="Arial Narrow"/>
                <w:sz w:val="20"/>
                <w:szCs w:val="20"/>
                <w:u w:val="single"/>
              </w:rPr>
              <w:t>tri godine</w:t>
            </w:r>
            <w:r w:rsidRPr="00A164CA">
              <w:rPr>
                <w:rFonts w:ascii="Arial Narrow" w:hAnsi="Arial Narrow"/>
                <w:sz w:val="20"/>
                <w:szCs w:val="20"/>
              </w:rPr>
              <w:t xml:space="preserve"> za nabavku Microsoft i Oracle licenci. Za objedinjenu nabavku licenci za druge proizvode u ovom momentu nemamo procjenu.</w:t>
            </w:r>
          </w:p>
        </w:tc>
      </w:tr>
    </w:tbl>
    <w:tbl>
      <w:tblPr>
        <w:tblStyle w:val="TableGrid"/>
        <w:tblW w:w="14940" w:type="dxa"/>
        <w:tblInd w:w="-815" w:type="dxa"/>
        <w:tblLayout w:type="fixed"/>
        <w:tblLook w:val="04A0" w:firstRow="1" w:lastRow="0" w:firstColumn="1" w:lastColumn="0" w:noHBand="0" w:noVBand="1"/>
      </w:tblPr>
      <w:tblGrid>
        <w:gridCol w:w="539"/>
        <w:gridCol w:w="2797"/>
        <w:gridCol w:w="444"/>
        <w:gridCol w:w="1226"/>
        <w:gridCol w:w="1060"/>
        <w:gridCol w:w="402"/>
        <w:gridCol w:w="498"/>
        <w:gridCol w:w="486"/>
        <w:gridCol w:w="727"/>
        <w:gridCol w:w="109"/>
        <w:gridCol w:w="1167"/>
        <w:gridCol w:w="302"/>
        <w:gridCol w:w="85"/>
        <w:gridCol w:w="778"/>
        <w:gridCol w:w="267"/>
        <w:gridCol w:w="93"/>
        <w:gridCol w:w="810"/>
        <w:gridCol w:w="33"/>
        <w:gridCol w:w="768"/>
        <w:gridCol w:w="2258"/>
        <w:gridCol w:w="91"/>
      </w:tblGrid>
      <w:tr w:rsidR="00A164CA" w:rsidRPr="00A164CA" w14:paraId="5BBE5F30" w14:textId="77777777" w:rsidTr="00EA56E8">
        <w:tc>
          <w:tcPr>
            <w:tcW w:w="3780" w:type="dxa"/>
            <w:gridSpan w:val="3"/>
            <w:shd w:val="clear" w:color="auto" w:fill="D9E2F3" w:themeFill="accent1" w:themeFillTint="33"/>
          </w:tcPr>
          <w:p w14:paraId="2923E6F7" w14:textId="77777777" w:rsidR="00A164CA" w:rsidRPr="00A164CA" w:rsidRDefault="00A164CA" w:rsidP="009E0228">
            <w:pPr>
              <w:shd w:val="clear" w:color="auto" w:fill="D9E2F3" w:themeFill="accent1" w:themeFillTint="33"/>
              <w:jc w:val="both"/>
              <w:rPr>
                <w:b/>
                <w:sz w:val="20"/>
              </w:rPr>
            </w:pPr>
            <w:bookmarkStart w:id="51" w:name="_Hlk89634749"/>
          </w:p>
          <w:p w14:paraId="61604774" w14:textId="4499E3EB" w:rsidR="00A164CA" w:rsidRDefault="00A164CA" w:rsidP="009E0228">
            <w:pPr>
              <w:shd w:val="clear" w:color="auto" w:fill="D9E2F3" w:themeFill="accent1" w:themeFillTint="33"/>
              <w:jc w:val="center"/>
              <w:rPr>
                <w:b/>
                <w:sz w:val="20"/>
              </w:rPr>
            </w:pPr>
            <w:r w:rsidRPr="00A164CA">
              <w:rPr>
                <w:b/>
                <w:sz w:val="20"/>
              </w:rPr>
              <w:t xml:space="preserve">Cilj </w:t>
            </w:r>
            <w:r w:rsidR="00404D30">
              <w:rPr>
                <w:b/>
                <w:sz w:val="20"/>
              </w:rPr>
              <w:t>5.</w:t>
            </w:r>
            <w:r w:rsidR="00D5276E">
              <w:rPr>
                <w:b/>
                <w:sz w:val="20"/>
              </w:rPr>
              <w:t>5</w:t>
            </w:r>
            <w:r w:rsidR="00404D30">
              <w:rPr>
                <w:b/>
                <w:sz w:val="20"/>
              </w:rPr>
              <w:t>.</w:t>
            </w:r>
          </w:p>
          <w:p w14:paraId="45A2100C" w14:textId="77777777" w:rsidR="00FF0B4A" w:rsidRPr="00A164CA" w:rsidRDefault="00FF0B4A" w:rsidP="009E0228">
            <w:pPr>
              <w:shd w:val="clear" w:color="auto" w:fill="D9E2F3" w:themeFill="accent1" w:themeFillTint="33"/>
              <w:jc w:val="center"/>
              <w:rPr>
                <w:b/>
                <w:sz w:val="20"/>
              </w:rPr>
            </w:pPr>
          </w:p>
        </w:tc>
        <w:tc>
          <w:tcPr>
            <w:tcW w:w="11160" w:type="dxa"/>
            <w:gridSpan w:val="18"/>
            <w:shd w:val="clear" w:color="auto" w:fill="D9E2F3" w:themeFill="accent1" w:themeFillTint="33"/>
          </w:tcPr>
          <w:p w14:paraId="754E6D34" w14:textId="77777777" w:rsidR="00A164CA" w:rsidRPr="00A164CA" w:rsidRDefault="00A164CA" w:rsidP="009E0228">
            <w:pPr>
              <w:shd w:val="clear" w:color="auto" w:fill="D9E2F3" w:themeFill="accent1" w:themeFillTint="33"/>
              <w:jc w:val="both"/>
              <w:rPr>
                <w:b/>
                <w:sz w:val="20"/>
              </w:rPr>
            </w:pPr>
          </w:p>
          <w:p w14:paraId="5CC063B8" w14:textId="77777777" w:rsidR="00A164CA" w:rsidRPr="00A164CA" w:rsidRDefault="00A164CA" w:rsidP="009E0228">
            <w:pPr>
              <w:shd w:val="clear" w:color="auto" w:fill="D9E2F3" w:themeFill="accent1" w:themeFillTint="33"/>
              <w:jc w:val="both"/>
              <w:rPr>
                <w:b/>
                <w:sz w:val="20"/>
              </w:rPr>
            </w:pPr>
            <w:r w:rsidRPr="00A164CA">
              <w:rPr>
                <w:b/>
                <w:sz w:val="20"/>
              </w:rPr>
              <w:t>Jačanje digitalnih vještina i prevazilaženje digitalnog jaza</w:t>
            </w:r>
          </w:p>
        </w:tc>
      </w:tr>
      <w:tr w:rsidR="00A164CA" w:rsidRPr="00A164CA" w14:paraId="3779CAF1" w14:textId="77777777" w:rsidTr="00EA56E8">
        <w:tc>
          <w:tcPr>
            <w:tcW w:w="3780" w:type="dxa"/>
            <w:gridSpan w:val="3"/>
            <w:shd w:val="clear" w:color="auto" w:fill="CCECFF"/>
          </w:tcPr>
          <w:p w14:paraId="31568A02" w14:textId="77777777" w:rsidR="00A164CA" w:rsidRPr="00A164CA" w:rsidRDefault="00A164CA" w:rsidP="00FD6B98">
            <w:pPr>
              <w:jc w:val="both"/>
              <w:rPr>
                <w:b/>
                <w:sz w:val="20"/>
              </w:rPr>
            </w:pPr>
            <w:r w:rsidRPr="00A164CA">
              <w:rPr>
                <w:b/>
                <w:sz w:val="20"/>
              </w:rPr>
              <w:t>Indikator učinka</w:t>
            </w:r>
          </w:p>
        </w:tc>
        <w:tc>
          <w:tcPr>
            <w:tcW w:w="3672" w:type="dxa"/>
            <w:gridSpan w:val="5"/>
            <w:shd w:val="clear" w:color="auto" w:fill="CCECFF"/>
          </w:tcPr>
          <w:p w14:paraId="5FF932D6" w14:textId="77777777" w:rsidR="00A164CA" w:rsidRPr="00A164CA" w:rsidRDefault="00A164CA" w:rsidP="00FD6B98">
            <w:pPr>
              <w:spacing w:before="40" w:after="40"/>
              <w:jc w:val="both"/>
              <w:rPr>
                <w:b/>
                <w:sz w:val="20"/>
              </w:rPr>
            </w:pPr>
            <w:r w:rsidRPr="00A164CA">
              <w:rPr>
                <w:b/>
                <w:sz w:val="20"/>
              </w:rPr>
              <w:t>Polazna vrijednost – 2021.g</w:t>
            </w:r>
          </w:p>
        </w:tc>
        <w:tc>
          <w:tcPr>
            <w:tcW w:w="2390" w:type="dxa"/>
            <w:gridSpan w:val="5"/>
            <w:shd w:val="clear" w:color="auto" w:fill="CCECFF"/>
            <w:vAlign w:val="center"/>
          </w:tcPr>
          <w:p w14:paraId="762019D9" w14:textId="77777777" w:rsidR="00A164CA" w:rsidRPr="00A164CA" w:rsidRDefault="00A164CA" w:rsidP="00FD6B98">
            <w:pPr>
              <w:spacing w:before="40" w:after="40"/>
              <w:jc w:val="both"/>
              <w:rPr>
                <w:b/>
                <w:sz w:val="20"/>
              </w:rPr>
            </w:pPr>
            <w:r w:rsidRPr="00A164CA">
              <w:rPr>
                <w:b/>
                <w:sz w:val="20"/>
              </w:rPr>
              <w:t>Prelazna vrijednost – 2022.g</w:t>
            </w:r>
          </w:p>
        </w:tc>
        <w:tc>
          <w:tcPr>
            <w:tcW w:w="2749" w:type="dxa"/>
            <w:gridSpan w:val="6"/>
            <w:tcBorders>
              <w:bottom w:val="single" w:sz="4" w:space="0" w:color="FFFFFF"/>
            </w:tcBorders>
            <w:shd w:val="clear" w:color="auto" w:fill="CCECFF"/>
            <w:vAlign w:val="center"/>
          </w:tcPr>
          <w:p w14:paraId="488C9F6E" w14:textId="77777777" w:rsidR="00A164CA" w:rsidRPr="00A164CA" w:rsidRDefault="00A164CA" w:rsidP="00FD6B98">
            <w:pPr>
              <w:spacing w:before="40" w:after="40"/>
              <w:jc w:val="both"/>
              <w:rPr>
                <w:b/>
                <w:sz w:val="20"/>
              </w:rPr>
            </w:pPr>
            <w:r w:rsidRPr="00A164CA">
              <w:rPr>
                <w:b/>
                <w:sz w:val="20"/>
              </w:rPr>
              <w:t>Prelazna vrijednost – 2023.g</w:t>
            </w:r>
          </w:p>
        </w:tc>
        <w:tc>
          <w:tcPr>
            <w:tcW w:w="2349" w:type="dxa"/>
            <w:gridSpan w:val="2"/>
            <w:tcBorders>
              <w:bottom w:val="single" w:sz="4" w:space="0" w:color="FFFFFF"/>
            </w:tcBorders>
            <w:shd w:val="clear" w:color="auto" w:fill="CCECFF"/>
            <w:vAlign w:val="center"/>
          </w:tcPr>
          <w:p w14:paraId="55CD13B4" w14:textId="77777777" w:rsidR="00A164CA" w:rsidRPr="00A164CA" w:rsidRDefault="00A164CA" w:rsidP="00FD6B98">
            <w:pPr>
              <w:spacing w:before="40" w:after="40"/>
              <w:jc w:val="both"/>
              <w:rPr>
                <w:b/>
                <w:sz w:val="20"/>
              </w:rPr>
            </w:pPr>
            <w:r w:rsidRPr="00A164CA">
              <w:rPr>
                <w:b/>
                <w:sz w:val="20"/>
              </w:rPr>
              <w:t>Ciljna vrijednost - 2024.g</w:t>
            </w:r>
          </w:p>
        </w:tc>
      </w:tr>
      <w:tr w:rsidR="00A164CA" w:rsidRPr="00A164CA" w14:paraId="6806F457" w14:textId="77777777" w:rsidTr="00EA56E8">
        <w:tc>
          <w:tcPr>
            <w:tcW w:w="3780" w:type="dxa"/>
            <w:gridSpan w:val="3"/>
            <w:shd w:val="clear" w:color="auto" w:fill="CCECFF"/>
          </w:tcPr>
          <w:p w14:paraId="566B3E44" w14:textId="77777777" w:rsidR="00A164CA" w:rsidRPr="00A164CA" w:rsidRDefault="00A164CA" w:rsidP="00FD6B98">
            <w:pPr>
              <w:spacing w:before="20" w:after="20"/>
              <w:jc w:val="both"/>
              <w:rPr>
                <w:sz w:val="20"/>
              </w:rPr>
            </w:pPr>
            <w:r w:rsidRPr="00A164CA">
              <w:rPr>
                <w:sz w:val="20"/>
              </w:rPr>
              <w:t>Broj obučenih javnih službenika na nivou svih Ministarstava koristeći Curriculum Digitalne Akademije</w:t>
            </w:r>
          </w:p>
        </w:tc>
        <w:tc>
          <w:tcPr>
            <w:tcW w:w="3672" w:type="dxa"/>
            <w:gridSpan w:val="5"/>
            <w:shd w:val="clear" w:color="auto" w:fill="CCECFF"/>
          </w:tcPr>
          <w:p w14:paraId="6B4091D0" w14:textId="77777777" w:rsidR="00A164CA" w:rsidRPr="00A164CA" w:rsidRDefault="00A164CA" w:rsidP="00C642DC">
            <w:pPr>
              <w:spacing w:before="20" w:after="20"/>
              <w:jc w:val="center"/>
              <w:rPr>
                <w:sz w:val="20"/>
              </w:rPr>
            </w:pPr>
            <w:r w:rsidRPr="00A164CA">
              <w:rPr>
                <w:sz w:val="20"/>
              </w:rPr>
              <w:t>N/A</w:t>
            </w:r>
          </w:p>
        </w:tc>
        <w:tc>
          <w:tcPr>
            <w:tcW w:w="2390" w:type="dxa"/>
            <w:gridSpan w:val="5"/>
            <w:shd w:val="clear" w:color="auto" w:fill="CCECFF"/>
          </w:tcPr>
          <w:p w14:paraId="2726D3F9" w14:textId="77777777" w:rsidR="00A164CA" w:rsidRPr="00A164CA" w:rsidRDefault="00A164CA" w:rsidP="00C642DC">
            <w:pPr>
              <w:spacing w:before="20" w:after="20"/>
              <w:jc w:val="center"/>
              <w:rPr>
                <w:sz w:val="20"/>
              </w:rPr>
            </w:pPr>
            <w:r w:rsidRPr="00A164CA">
              <w:rPr>
                <w:sz w:val="20"/>
              </w:rPr>
              <w:t>100</w:t>
            </w:r>
          </w:p>
        </w:tc>
        <w:tc>
          <w:tcPr>
            <w:tcW w:w="2749" w:type="dxa"/>
            <w:gridSpan w:val="6"/>
            <w:shd w:val="clear" w:color="auto" w:fill="CCECFF"/>
          </w:tcPr>
          <w:p w14:paraId="179EB13B" w14:textId="77777777" w:rsidR="00A164CA" w:rsidRPr="00A164CA" w:rsidRDefault="00A164CA" w:rsidP="00C642DC">
            <w:pPr>
              <w:spacing w:before="20" w:after="20"/>
              <w:jc w:val="center"/>
              <w:rPr>
                <w:sz w:val="20"/>
              </w:rPr>
            </w:pPr>
            <w:r w:rsidRPr="00A164CA">
              <w:rPr>
                <w:sz w:val="20"/>
              </w:rPr>
              <w:t>300</w:t>
            </w:r>
          </w:p>
        </w:tc>
        <w:tc>
          <w:tcPr>
            <w:tcW w:w="2349" w:type="dxa"/>
            <w:gridSpan w:val="2"/>
            <w:shd w:val="clear" w:color="auto" w:fill="CCECFF"/>
          </w:tcPr>
          <w:p w14:paraId="3E01D9A2" w14:textId="77777777" w:rsidR="00A164CA" w:rsidRPr="00A164CA" w:rsidRDefault="00A164CA" w:rsidP="00C642DC">
            <w:pPr>
              <w:spacing w:before="20" w:after="20"/>
              <w:jc w:val="center"/>
              <w:rPr>
                <w:sz w:val="20"/>
              </w:rPr>
            </w:pPr>
            <w:r w:rsidRPr="00A164CA">
              <w:rPr>
                <w:sz w:val="20"/>
              </w:rPr>
              <w:t>500</w:t>
            </w:r>
          </w:p>
        </w:tc>
      </w:tr>
      <w:tr w:rsidR="00A164CA" w:rsidRPr="00A164CA" w14:paraId="08ECA3F5" w14:textId="77777777" w:rsidTr="00EA56E8">
        <w:tc>
          <w:tcPr>
            <w:tcW w:w="3780" w:type="dxa"/>
            <w:gridSpan w:val="3"/>
            <w:shd w:val="clear" w:color="auto" w:fill="CCECFF"/>
          </w:tcPr>
          <w:p w14:paraId="6DD89B4C" w14:textId="77777777" w:rsidR="00A164CA" w:rsidRPr="00A164CA" w:rsidRDefault="00A164CA" w:rsidP="00FD6B98">
            <w:pPr>
              <w:spacing w:before="20" w:after="20"/>
              <w:jc w:val="both"/>
              <w:rPr>
                <w:sz w:val="20"/>
              </w:rPr>
            </w:pPr>
            <w:r w:rsidRPr="00A164CA">
              <w:rPr>
                <w:sz w:val="20"/>
              </w:rPr>
              <w:t>Broj realizovanih programa na Digitalnoj Akademiji</w:t>
            </w:r>
          </w:p>
        </w:tc>
        <w:tc>
          <w:tcPr>
            <w:tcW w:w="3672" w:type="dxa"/>
            <w:gridSpan w:val="5"/>
            <w:shd w:val="clear" w:color="auto" w:fill="CCECFF"/>
          </w:tcPr>
          <w:p w14:paraId="29CAAFD1" w14:textId="77777777" w:rsidR="00A164CA" w:rsidRPr="00A164CA" w:rsidRDefault="00A164CA" w:rsidP="00C642DC">
            <w:pPr>
              <w:spacing w:before="20" w:after="20"/>
              <w:jc w:val="center"/>
              <w:rPr>
                <w:sz w:val="20"/>
              </w:rPr>
            </w:pPr>
            <w:r w:rsidRPr="00A164CA">
              <w:rPr>
                <w:sz w:val="20"/>
              </w:rPr>
              <w:t>0</w:t>
            </w:r>
          </w:p>
        </w:tc>
        <w:tc>
          <w:tcPr>
            <w:tcW w:w="2390" w:type="dxa"/>
            <w:gridSpan w:val="5"/>
            <w:shd w:val="clear" w:color="auto" w:fill="CCECFF"/>
          </w:tcPr>
          <w:p w14:paraId="5FC7AC7B" w14:textId="77777777" w:rsidR="00A164CA" w:rsidRPr="00A164CA" w:rsidRDefault="00A164CA" w:rsidP="00C642DC">
            <w:pPr>
              <w:spacing w:before="20" w:after="20"/>
              <w:jc w:val="center"/>
              <w:rPr>
                <w:sz w:val="20"/>
              </w:rPr>
            </w:pPr>
            <w:r w:rsidRPr="00A164CA">
              <w:rPr>
                <w:sz w:val="20"/>
              </w:rPr>
              <w:t>3</w:t>
            </w:r>
          </w:p>
        </w:tc>
        <w:tc>
          <w:tcPr>
            <w:tcW w:w="2749" w:type="dxa"/>
            <w:gridSpan w:val="6"/>
            <w:shd w:val="clear" w:color="auto" w:fill="CCECFF"/>
          </w:tcPr>
          <w:p w14:paraId="0A30D66F" w14:textId="77777777" w:rsidR="00A164CA" w:rsidRPr="00A164CA" w:rsidRDefault="00A164CA" w:rsidP="00C642DC">
            <w:pPr>
              <w:spacing w:before="20" w:after="20"/>
              <w:jc w:val="center"/>
              <w:rPr>
                <w:sz w:val="20"/>
              </w:rPr>
            </w:pPr>
            <w:r w:rsidRPr="00A164CA">
              <w:rPr>
                <w:sz w:val="20"/>
              </w:rPr>
              <w:t>6</w:t>
            </w:r>
          </w:p>
        </w:tc>
        <w:tc>
          <w:tcPr>
            <w:tcW w:w="2349" w:type="dxa"/>
            <w:gridSpan w:val="2"/>
            <w:shd w:val="clear" w:color="auto" w:fill="CCECFF"/>
          </w:tcPr>
          <w:p w14:paraId="0E9F1B72" w14:textId="77777777" w:rsidR="00A164CA" w:rsidRPr="00A164CA" w:rsidRDefault="00A164CA" w:rsidP="00C642DC">
            <w:pPr>
              <w:spacing w:before="20" w:after="20"/>
              <w:jc w:val="center"/>
              <w:rPr>
                <w:sz w:val="20"/>
              </w:rPr>
            </w:pPr>
            <w:r w:rsidRPr="00A164CA">
              <w:rPr>
                <w:sz w:val="20"/>
              </w:rPr>
              <w:t>9</w:t>
            </w:r>
          </w:p>
        </w:tc>
      </w:tr>
      <w:tr w:rsidR="00A164CA" w:rsidRPr="00A164CA" w14:paraId="4E7096C9" w14:textId="77777777" w:rsidTr="00EA56E8">
        <w:tc>
          <w:tcPr>
            <w:tcW w:w="3780" w:type="dxa"/>
            <w:gridSpan w:val="3"/>
            <w:shd w:val="clear" w:color="auto" w:fill="CCECFF"/>
          </w:tcPr>
          <w:p w14:paraId="795AA2AD" w14:textId="77777777" w:rsidR="00A164CA" w:rsidRPr="00A164CA" w:rsidRDefault="00A164CA" w:rsidP="00FD6B98">
            <w:pPr>
              <w:spacing w:before="20" w:after="20"/>
              <w:jc w:val="both"/>
              <w:rPr>
                <w:sz w:val="20"/>
              </w:rPr>
            </w:pPr>
            <w:r w:rsidRPr="00A164CA">
              <w:rPr>
                <w:sz w:val="20"/>
              </w:rPr>
              <w:t>Broj korisnika aktivnosti na prevazilaženju digitalnog jaza</w:t>
            </w:r>
          </w:p>
        </w:tc>
        <w:tc>
          <w:tcPr>
            <w:tcW w:w="3672" w:type="dxa"/>
            <w:gridSpan w:val="5"/>
            <w:shd w:val="clear" w:color="auto" w:fill="CCECFF"/>
          </w:tcPr>
          <w:p w14:paraId="251FBB4A" w14:textId="77777777" w:rsidR="00A164CA" w:rsidRPr="00A164CA" w:rsidRDefault="00A164CA" w:rsidP="00C642DC">
            <w:pPr>
              <w:spacing w:before="20" w:after="20"/>
              <w:jc w:val="center"/>
              <w:rPr>
                <w:sz w:val="20"/>
              </w:rPr>
            </w:pPr>
            <w:r w:rsidRPr="00A164CA">
              <w:rPr>
                <w:sz w:val="20"/>
              </w:rPr>
              <w:t>0</w:t>
            </w:r>
          </w:p>
        </w:tc>
        <w:tc>
          <w:tcPr>
            <w:tcW w:w="2390" w:type="dxa"/>
            <w:gridSpan w:val="5"/>
            <w:shd w:val="clear" w:color="auto" w:fill="CCECFF"/>
          </w:tcPr>
          <w:p w14:paraId="4D60C3D9" w14:textId="77777777" w:rsidR="00A164CA" w:rsidRPr="00A164CA" w:rsidRDefault="00A164CA" w:rsidP="00C642DC">
            <w:pPr>
              <w:spacing w:before="20" w:after="20"/>
              <w:jc w:val="center"/>
              <w:rPr>
                <w:sz w:val="20"/>
              </w:rPr>
            </w:pPr>
            <w:r w:rsidRPr="00A164CA">
              <w:rPr>
                <w:sz w:val="20"/>
              </w:rPr>
              <w:t>700</w:t>
            </w:r>
          </w:p>
        </w:tc>
        <w:tc>
          <w:tcPr>
            <w:tcW w:w="2749" w:type="dxa"/>
            <w:gridSpan w:val="6"/>
            <w:shd w:val="clear" w:color="auto" w:fill="CCECFF"/>
          </w:tcPr>
          <w:p w14:paraId="14463DFE" w14:textId="77777777" w:rsidR="00A164CA" w:rsidRPr="00A164CA" w:rsidRDefault="00A164CA" w:rsidP="00C642DC">
            <w:pPr>
              <w:spacing w:before="20" w:after="20"/>
              <w:jc w:val="center"/>
              <w:rPr>
                <w:sz w:val="20"/>
              </w:rPr>
            </w:pPr>
            <w:r w:rsidRPr="00A164CA">
              <w:rPr>
                <w:sz w:val="20"/>
              </w:rPr>
              <w:t>700</w:t>
            </w:r>
          </w:p>
        </w:tc>
        <w:tc>
          <w:tcPr>
            <w:tcW w:w="2349" w:type="dxa"/>
            <w:gridSpan w:val="2"/>
            <w:shd w:val="clear" w:color="auto" w:fill="CCECFF"/>
          </w:tcPr>
          <w:p w14:paraId="65C4EACD" w14:textId="77777777" w:rsidR="00A164CA" w:rsidRPr="00A164CA" w:rsidRDefault="00A164CA" w:rsidP="00C642DC">
            <w:pPr>
              <w:spacing w:before="20" w:after="20"/>
              <w:jc w:val="center"/>
              <w:rPr>
                <w:sz w:val="20"/>
              </w:rPr>
            </w:pPr>
            <w:r w:rsidRPr="00A164CA">
              <w:rPr>
                <w:sz w:val="20"/>
              </w:rPr>
              <w:t>700</w:t>
            </w:r>
          </w:p>
        </w:tc>
      </w:tr>
      <w:bookmarkEnd w:id="51"/>
      <w:tr w:rsidR="00A164CA" w:rsidRPr="00A164CA" w14:paraId="224F7742" w14:textId="77777777" w:rsidTr="003B14BB">
        <w:tc>
          <w:tcPr>
            <w:tcW w:w="3780" w:type="dxa"/>
            <w:gridSpan w:val="3"/>
            <w:shd w:val="clear" w:color="auto" w:fill="FFF2CC"/>
          </w:tcPr>
          <w:p w14:paraId="50556E77" w14:textId="77777777" w:rsidR="00A164CA" w:rsidRPr="00A164CA" w:rsidRDefault="00A164CA" w:rsidP="00FD6B98">
            <w:pPr>
              <w:spacing w:before="20" w:after="20"/>
              <w:jc w:val="center"/>
              <w:rPr>
                <w:b/>
                <w:sz w:val="20"/>
              </w:rPr>
            </w:pPr>
          </w:p>
          <w:p w14:paraId="787BB613" w14:textId="77777777" w:rsidR="00A164CA" w:rsidRPr="00A164CA" w:rsidRDefault="00A164CA" w:rsidP="00FD6B98">
            <w:pPr>
              <w:spacing w:before="20" w:after="20"/>
              <w:jc w:val="center"/>
              <w:rPr>
                <w:b/>
                <w:sz w:val="20"/>
              </w:rPr>
            </w:pPr>
            <w:r w:rsidRPr="00A164CA">
              <w:rPr>
                <w:b/>
                <w:sz w:val="20"/>
              </w:rPr>
              <w:t>Aktivnosti</w:t>
            </w:r>
          </w:p>
        </w:tc>
        <w:tc>
          <w:tcPr>
            <w:tcW w:w="2688" w:type="dxa"/>
            <w:gridSpan w:val="3"/>
            <w:shd w:val="clear" w:color="auto" w:fill="FFF2CC"/>
            <w:vAlign w:val="center"/>
          </w:tcPr>
          <w:p w14:paraId="3D04F7DB" w14:textId="77777777" w:rsidR="00A164CA" w:rsidRPr="00A164CA" w:rsidRDefault="00A164CA" w:rsidP="00FD6B98">
            <w:pPr>
              <w:spacing w:before="20" w:after="20"/>
              <w:jc w:val="center"/>
              <w:rPr>
                <w:b/>
                <w:sz w:val="20"/>
              </w:rPr>
            </w:pPr>
            <w:r w:rsidRPr="00A164CA">
              <w:rPr>
                <w:b/>
                <w:sz w:val="20"/>
              </w:rPr>
              <w:t>Indikator rezultata</w:t>
            </w:r>
          </w:p>
        </w:tc>
        <w:tc>
          <w:tcPr>
            <w:tcW w:w="1711" w:type="dxa"/>
            <w:gridSpan w:val="3"/>
            <w:shd w:val="clear" w:color="auto" w:fill="FFF2CC"/>
            <w:vAlign w:val="center"/>
          </w:tcPr>
          <w:p w14:paraId="02A55744" w14:textId="77777777" w:rsidR="00A164CA" w:rsidRPr="00A164CA" w:rsidRDefault="00A164CA" w:rsidP="00FD6B98">
            <w:pPr>
              <w:spacing w:before="20" w:after="20"/>
              <w:jc w:val="center"/>
              <w:rPr>
                <w:b/>
                <w:sz w:val="20"/>
              </w:rPr>
            </w:pPr>
            <w:r w:rsidRPr="00A164CA">
              <w:rPr>
                <w:b/>
                <w:sz w:val="20"/>
              </w:rPr>
              <w:t>Nadležne institucije i nadležna komisija</w:t>
            </w:r>
          </w:p>
        </w:tc>
        <w:tc>
          <w:tcPr>
            <w:tcW w:w="1276" w:type="dxa"/>
            <w:gridSpan w:val="2"/>
            <w:shd w:val="clear" w:color="auto" w:fill="FFF2CC"/>
            <w:vAlign w:val="center"/>
          </w:tcPr>
          <w:p w14:paraId="1C1182DA" w14:textId="77777777" w:rsidR="00A164CA" w:rsidRPr="00A164CA" w:rsidRDefault="00A164CA" w:rsidP="00FD6B98">
            <w:pPr>
              <w:spacing w:before="20" w:after="20"/>
              <w:jc w:val="center"/>
              <w:rPr>
                <w:b/>
                <w:sz w:val="20"/>
              </w:rPr>
            </w:pPr>
            <w:r w:rsidRPr="00A164CA">
              <w:rPr>
                <w:b/>
                <w:sz w:val="20"/>
              </w:rPr>
              <w:t>Planirani početak i završetak aktivnosti</w:t>
            </w:r>
          </w:p>
        </w:tc>
        <w:tc>
          <w:tcPr>
            <w:tcW w:w="1165" w:type="dxa"/>
            <w:gridSpan w:val="3"/>
            <w:shd w:val="clear" w:color="auto" w:fill="FFF2CC"/>
            <w:vAlign w:val="center"/>
          </w:tcPr>
          <w:p w14:paraId="66D5B30C" w14:textId="77777777" w:rsidR="00A164CA" w:rsidRPr="00A164CA" w:rsidRDefault="00A164CA" w:rsidP="00FD6B98">
            <w:pPr>
              <w:spacing w:before="20" w:after="20"/>
              <w:jc w:val="center"/>
              <w:rPr>
                <w:b/>
                <w:sz w:val="20"/>
              </w:rPr>
            </w:pPr>
            <w:r w:rsidRPr="00A164CA">
              <w:rPr>
                <w:b/>
                <w:sz w:val="20"/>
              </w:rPr>
              <w:t>Sredstva za realizaciju  i informacija o izradi RIA</w:t>
            </w:r>
          </w:p>
        </w:tc>
        <w:tc>
          <w:tcPr>
            <w:tcW w:w="1170" w:type="dxa"/>
            <w:gridSpan w:val="3"/>
            <w:shd w:val="clear" w:color="auto" w:fill="FFF2CC"/>
            <w:vAlign w:val="center"/>
          </w:tcPr>
          <w:p w14:paraId="2F42B9A3" w14:textId="77777777" w:rsidR="00A164CA" w:rsidRPr="00A164CA" w:rsidRDefault="00A164CA" w:rsidP="00FD6B98">
            <w:pPr>
              <w:spacing w:before="20" w:after="20"/>
              <w:jc w:val="center"/>
              <w:rPr>
                <w:b/>
                <w:sz w:val="20"/>
              </w:rPr>
            </w:pPr>
            <w:r w:rsidRPr="00A164CA">
              <w:rPr>
                <w:b/>
                <w:sz w:val="20"/>
              </w:rPr>
              <w:t xml:space="preserve"> Izvor finansiranja</w:t>
            </w:r>
          </w:p>
        </w:tc>
        <w:tc>
          <w:tcPr>
            <w:tcW w:w="3150" w:type="dxa"/>
            <w:gridSpan w:val="4"/>
            <w:shd w:val="clear" w:color="auto" w:fill="FFF2CC"/>
            <w:vAlign w:val="center"/>
          </w:tcPr>
          <w:p w14:paraId="2DD879BC" w14:textId="77777777" w:rsidR="00A164CA" w:rsidRPr="00A164CA" w:rsidRDefault="00A164CA" w:rsidP="00FD6B98">
            <w:pPr>
              <w:spacing w:before="20" w:after="20"/>
              <w:jc w:val="center"/>
              <w:rPr>
                <w:b/>
                <w:sz w:val="20"/>
              </w:rPr>
            </w:pPr>
          </w:p>
          <w:p w14:paraId="64C2DAC4" w14:textId="77777777" w:rsidR="00A164CA" w:rsidRPr="00A164CA" w:rsidRDefault="00A164CA" w:rsidP="00FD6B98">
            <w:pPr>
              <w:spacing w:before="20" w:after="20"/>
              <w:jc w:val="center"/>
              <w:rPr>
                <w:b/>
                <w:sz w:val="20"/>
              </w:rPr>
            </w:pPr>
            <w:r w:rsidRPr="00A164CA">
              <w:rPr>
                <w:b/>
                <w:sz w:val="20"/>
              </w:rPr>
              <w:t>Obrazloženje</w:t>
            </w:r>
          </w:p>
        </w:tc>
      </w:tr>
      <w:tr w:rsidR="00A164CA" w:rsidRPr="00A164CA" w14:paraId="090F1429" w14:textId="77777777" w:rsidTr="003B14BB">
        <w:tc>
          <w:tcPr>
            <w:tcW w:w="539" w:type="dxa"/>
          </w:tcPr>
          <w:p w14:paraId="5D9EE196" w14:textId="77777777" w:rsidR="00A164CA" w:rsidRPr="00A164CA" w:rsidRDefault="00A164CA" w:rsidP="00FD6B98">
            <w:pPr>
              <w:jc w:val="right"/>
              <w:rPr>
                <w:sz w:val="20"/>
              </w:rPr>
            </w:pPr>
            <w:r w:rsidRPr="00A164CA">
              <w:rPr>
                <w:sz w:val="20"/>
              </w:rPr>
              <w:lastRenderedPageBreak/>
              <w:t>1.</w:t>
            </w:r>
          </w:p>
        </w:tc>
        <w:tc>
          <w:tcPr>
            <w:tcW w:w="3241" w:type="dxa"/>
            <w:gridSpan w:val="2"/>
          </w:tcPr>
          <w:p w14:paraId="334123B1" w14:textId="77777777" w:rsidR="00A164CA" w:rsidRPr="00A164CA" w:rsidRDefault="00A164CA" w:rsidP="00C642DC">
            <w:pPr>
              <w:spacing w:before="20" w:after="20"/>
              <w:rPr>
                <w:sz w:val="20"/>
              </w:rPr>
            </w:pPr>
            <w:r w:rsidRPr="00A164CA">
              <w:rPr>
                <w:sz w:val="20"/>
              </w:rPr>
              <w:t>Digitalna Akademija</w:t>
            </w:r>
          </w:p>
        </w:tc>
        <w:tc>
          <w:tcPr>
            <w:tcW w:w="2688" w:type="dxa"/>
            <w:gridSpan w:val="3"/>
          </w:tcPr>
          <w:p w14:paraId="6502FBDD" w14:textId="77777777" w:rsidR="00A164CA" w:rsidRPr="00A164CA" w:rsidRDefault="00A164CA" w:rsidP="00C642DC">
            <w:pPr>
              <w:spacing w:before="20" w:after="20"/>
              <w:rPr>
                <w:sz w:val="20"/>
              </w:rPr>
            </w:pPr>
            <w:r w:rsidRPr="00A164CA">
              <w:rPr>
                <w:sz w:val="20"/>
              </w:rPr>
              <w:t xml:space="preserve">Informacija - Osnovana, uspostavljena i funkcionalna Digitalna akademija. </w:t>
            </w:r>
          </w:p>
        </w:tc>
        <w:tc>
          <w:tcPr>
            <w:tcW w:w="1711" w:type="dxa"/>
            <w:gridSpan w:val="3"/>
          </w:tcPr>
          <w:p w14:paraId="3E8540D3" w14:textId="77777777" w:rsidR="00A164CA" w:rsidRPr="00A164CA" w:rsidRDefault="00A164CA" w:rsidP="00C642DC">
            <w:pPr>
              <w:spacing w:before="20" w:after="20"/>
              <w:rPr>
                <w:sz w:val="20"/>
              </w:rPr>
            </w:pPr>
            <w:r w:rsidRPr="00A164CA">
              <w:rPr>
                <w:sz w:val="20"/>
              </w:rPr>
              <w:t>NI: MJUUDDM</w:t>
            </w:r>
          </w:p>
          <w:p w14:paraId="1914BBF1" w14:textId="77777777" w:rsidR="00A164CA" w:rsidRPr="00A164CA" w:rsidRDefault="00A164CA" w:rsidP="00C642DC">
            <w:pPr>
              <w:spacing w:before="20" w:after="20"/>
              <w:rPr>
                <w:sz w:val="20"/>
              </w:rPr>
            </w:pPr>
            <w:r w:rsidRPr="00A164CA">
              <w:rPr>
                <w:sz w:val="20"/>
              </w:rPr>
              <w:t>NK: KPS</w:t>
            </w:r>
          </w:p>
          <w:p w14:paraId="4B7AC57F" w14:textId="77777777" w:rsidR="00A164CA" w:rsidRPr="00A164CA" w:rsidRDefault="00A164CA" w:rsidP="00C642DC">
            <w:pPr>
              <w:spacing w:before="20" w:after="20"/>
              <w:rPr>
                <w:sz w:val="20"/>
              </w:rPr>
            </w:pPr>
            <w:r w:rsidRPr="00A164CA">
              <w:rPr>
                <w:sz w:val="20"/>
              </w:rPr>
              <w:t>KEPIF</w:t>
            </w:r>
          </w:p>
        </w:tc>
        <w:tc>
          <w:tcPr>
            <w:tcW w:w="1276" w:type="dxa"/>
            <w:gridSpan w:val="2"/>
          </w:tcPr>
          <w:p w14:paraId="3FF774C6" w14:textId="77777777" w:rsidR="00A164CA" w:rsidRPr="00A164CA" w:rsidRDefault="00A164CA" w:rsidP="00C642DC">
            <w:pPr>
              <w:spacing w:before="20" w:after="20"/>
              <w:rPr>
                <w:sz w:val="20"/>
              </w:rPr>
            </w:pPr>
            <w:r w:rsidRPr="00A164CA">
              <w:rPr>
                <w:sz w:val="20"/>
              </w:rPr>
              <w:t xml:space="preserve">Q1 2022 </w:t>
            </w:r>
          </w:p>
          <w:p w14:paraId="1347AF64" w14:textId="77777777" w:rsidR="00A164CA" w:rsidRPr="00A164CA" w:rsidRDefault="00A164CA" w:rsidP="00C642DC">
            <w:pPr>
              <w:spacing w:before="20" w:after="20"/>
              <w:rPr>
                <w:sz w:val="20"/>
              </w:rPr>
            </w:pPr>
            <w:r w:rsidRPr="00A164CA">
              <w:rPr>
                <w:sz w:val="20"/>
              </w:rPr>
              <w:t>Q4 2022</w:t>
            </w:r>
          </w:p>
        </w:tc>
        <w:tc>
          <w:tcPr>
            <w:tcW w:w="1165" w:type="dxa"/>
            <w:gridSpan w:val="3"/>
          </w:tcPr>
          <w:p w14:paraId="4020528A" w14:textId="77777777" w:rsidR="00A164CA" w:rsidRPr="00A164CA" w:rsidRDefault="00A164CA" w:rsidP="00C642DC">
            <w:pPr>
              <w:spacing w:before="20" w:after="20"/>
              <w:rPr>
                <w:sz w:val="20"/>
              </w:rPr>
            </w:pPr>
            <w:r w:rsidRPr="00A164CA">
              <w:rPr>
                <w:sz w:val="20"/>
              </w:rPr>
              <w:t>300.OOO</w:t>
            </w:r>
          </w:p>
        </w:tc>
        <w:tc>
          <w:tcPr>
            <w:tcW w:w="1170" w:type="dxa"/>
            <w:gridSpan w:val="3"/>
          </w:tcPr>
          <w:p w14:paraId="330B4F5A" w14:textId="77777777" w:rsidR="00A164CA" w:rsidRPr="00A164CA" w:rsidRDefault="00A164CA" w:rsidP="00C642DC">
            <w:pPr>
              <w:spacing w:before="20" w:after="20"/>
              <w:rPr>
                <w:sz w:val="20"/>
              </w:rPr>
            </w:pPr>
            <w:r w:rsidRPr="00A164CA">
              <w:rPr>
                <w:sz w:val="20"/>
              </w:rPr>
              <w:t xml:space="preserve">Budžet MJUUDM </w:t>
            </w:r>
          </w:p>
        </w:tc>
        <w:tc>
          <w:tcPr>
            <w:tcW w:w="3150" w:type="dxa"/>
            <w:gridSpan w:val="4"/>
          </w:tcPr>
          <w:p w14:paraId="53EFF3A8" w14:textId="77777777" w:rsidR="00A164CA" w:rsidRPr="00A164CA" w:rsidRDefault="00A164CA" w:rsidP="00C642DC">
            <w:pPr>
              <w:spacing w:before="20" w:after="20"/>
              <w:rPr>
                <w:sz w:val="20"/>
              </w:rPr>
            </w:pPr>
            <w:r w:rsidRPr="00A164CA">
              <w:rPr>
                <w:sz w:val="20"/>
              </w:rPr>
              <w:t xml:space="preserve">Uspostavljanje Digitalne akademije za javne službenike, privatni i akademski sektor - u saradnji sa Harvard univerzitetom, međunarodnim partnerima i lokalnim ICT klasterom, radimo na pilot konceptu i programa buduće Digitalne akademije za državne službenike i relevantne aktere. Svi resursi, programi, alati, metodologije, lekcije koje budu proizvod rada akademije biće javno dostupni i biće na raspolaganju zainteresovanim građanima, organizacijama, akademskom i privatnom sektoru. Cilj je edukovati javne službenike i građane, sa posebnim fokusom na marginalne grupe građana, povećati stepen obrazovanja u oblastima programiranja, projekt menadžmenta, human centric dizajna, analitičkog razmišljanja i savremenim digitalnim disciplinama. </w:t>
            </w:r>
          </w:p>
          <w:p w14:paraId="37634435" w14:textId="77777777" w:rsidR="00A164CA" w:rsidRPr="00A164CA" w:rsidRDefault="00A164CA" w:rsidP="00C642DC">
            <w:pPr>
              <w:spacing w:before="20" w:after="20"/>
              <w:rPr>
                <w:sz w:val="20"/>
              </w:rPr>
            </w:pPr>
          </w:p>
          <w:p w14:paraId="763C665D" w14:textId="77777777" w:rsidR="00A164CA" w:rsidRPr="00A164CA" w:rsidRDefault="00A164CA" w:rsidP="00C642DC">
            <w:pPr>
              <w:spacing w:before="20" w:after="20"/>
              <w:rPr>
                <w:i/>
                <w:sz w:val="20"/>
              </w:rPr>
            </w:pPr>
            <w:r w:rsidRPr="00A164CA">
              <w:rPr>
                <w:sz w:val="20"/>
              </w:rPr>
              <w:t>Tražena budžetska sredstva će se korisiti za uspostavljanje akademije, snimanje trening materijala, infrastrukturu, građenje kapaciteta, konsultantske usluge i slično.</w:t>
            </w:r>
            <w:r w:rsidRPr="00A164CA">
              <w:rPr>
                <w:i/>
                <w:sz w:val="20"/>
              </w:rPr>
              <w:t xml:space="preserve"> </w:t>
            </w:r>
          </w:p>
          <w:p w14:paraId="062FF812" w14:textId="77777777" w:rsidR="00A164CA" w:rsidRPr="00A164CA" w:rsidRDefault="00A164CA" w:rsidP="00C642DC">
            <w:pPr>
              <w:spacing w:before="20" w:after="20"/>
              <w:rPr>
                <w:i/>
                <w:sz w:val="20"/>
              </w:rPr>
            </w:pPr>
          </w:p>
          <w:p w14:paraId="794C8ECC" w14:textId="77777777" w:rsidR="00A164CA" w:rsidRPr="00A164CA" w:rsidRDefault="00A164CA" w:rsidP="00C642DC">
            <w:pPr>
              <w:spacing w:before="20" w:after="20"/>
              <w:rPr>
                <w:i/>
                <w:sz w:val="20"/>
              </w:rPr>
            </w:pPr>
          </w:p>
        </w:tc>
      </w:tr>
      <w:tr w:rsidR="00A164CA" w:rsidRPr="00A164CA" w14:paraId="2D61D5F3" w14:textId="77777777" w:rsidTr="003B14BB">
        <w:tc>
          <w:tcPr>
            <w:tcW w:w="539" w:type="dxa"/>
          </w:tcPr>
          <w:p w14:paraId="228519AD" w14:textId="77777777" w:rsidR="00A164CA" w:rsidRPr="00A164CA" w:rsidRDefault="00A164CA" w:rsidP="00FD6B98">
            <w:pPr>
              <w:jc w:val="right"/>
              <w:rPr>
                <w:sz w:val="20"/>
              </w:rPr>
            </w:pPr>
            <w:r w:rsidRPr="00A164CA">
              <w:rPr>
                <w:sz w:val="20"/>
              </w:rPr>
              <w:t>2.</w:t>
            </w:r>
          </w:p>
        </w:tc>
        <w:tc>
          <w:tcPr>
            <w:tcW w:w="3241" w:type="dxa"/>
            <w:gridSpan w:val="2"/>
          </w:tcPr>
          <w:p w14:paraId="6736BED6" w14:textId="77777777" w:rsidR="00A164CA" w:rsidRPr="00A164CA" w:rsidRDefault="00A164CA" w:rsidP="00C642DC">
            <w:pPr>
              <w:spacing w:before="20" w:after="20"/>
              <w:rPr>
                <w:sz w:val="20"/>
              </w:rPr>
            </w:pPr>
            <w:r w:rsidRPr="00A164CA">
              <w:rPr>
                <w:sz w:val="20"/>
              </w:rPr>
              <w:t>Razvoj IT vještina studenata na Univerzitetu CG kroz program podrške u osnivanju Instituta za programiranje u saradnji sa poslovnom zajednicom</w:t>
            </w:r>
          </w:p>
        </w:tc>
        <w:tc>
          <w:tcPr>
            <w:tcW w:w="2688" w:type="dxa"/>
            <w:gridSpan w:val="3"/>
          </w:tcPr>
          <w:p w14:paraId="3A441267" w14:textId="77777777" w:rsidR="00A164CA" w:rsidRPr="00A164CA" w:rsidRDefault="00A164CA" w:rsidP="00C642DC">
            <w:pPr>
              <w:spacing w:before="20" w:after="20"/>
              <w:rPr>
                <w:sz w:val="20"/>
              </w:rPr>
            </w:pPr>
            <w:r w:rsidRPr="00A164CA">
              <w:rPr>
                <w:sz w:val="20"/>
              </w:rPr>
              <w:t xml:space="preserve">Informacija - Kofinansiranje projekta u iznosu od maksimum 15% vrijednosti projekta, podrška u saradnji sa poslovnom zajednicom </w:t>
            </w:r>
          </w:p>
        </w:tc>
        <w:tc>
          <w:tcPr>
            <w:tcW w:w="1711" w:type="dxa"/>
            <w:gridSpan w:val="3"/>
          </w:tcPr>
          <w:p w14:paraId="6082BA28" w14:textId="77777777" w:rsidR="00A164CA" w:rsidRPr="00A164CA" w:rsidRDefault="00A164CA" w:rsidP="00C642DC">
            <w:pPr>
              <w:spacing w:before="20" w:after="20"/>
              <w:rPr>
                <w:sz w:val="20"/>
              </w:rPr>
            </w:pPr>
            <w:r w:rsidRPr="00A164CA">
              <w:rPr>
                <w:sz w:val="20"/>
              </w:rPr>
              <w:t>MJUDDM u saradnji sa Univerzitetom Crne Gore, poslovnom zajednicom i međunarodnim partnerima</w:t>
            </w:r>
          </w:p>
        </w:tc>
        <w:tc>
          <w:tcPr>
            <w:tcW w:w="1276" w:type="dxa"/>
            <w:gridSpan w:val="2"/>
          </w:tcPr>
          <w:p w14:paraId="122C67FA" w14:textId="77777777" w:rsidR="00A164CA" w:rsidRPr="00A164CA" w:rsidRDefault="00A164CA" w:rsidP="00C642DC">
            <w:pPr>
              <w:spacing w:before="20" w:after="20"/>
              <w:rPr>
                <w:sz w:val="20"/>
              </w:rPr>
            </w:pPr>
            <w:r w:rsidRPr="00A164CA">
              <w:rPr>
                <w:sz w:val="20"/>
              </w:rPr>
              <w:t>Q2 2022</w:t>
            </w:r>
          </w:p>
          <w:p w14:paraId="4C9D9452" w14:textId="77777777" w:rsidR="00A164CA" w:rsidRPr="00A164CA" w:rsidRDefault="00A164CA" w:rsidP="00C642DC">
            <w:pPr>
              <w:spacing w:before="20" w:after="20"/>
              <w:rPr>
                <w:sz w:val="20"/>
              </w:rPr>
            </w:pPr>
            <w:r w:rsidRPr="00A164CA">
              <w:rPr>
                <w:sz w:val="20"/>
              </w:rPr>
              <w:t>Q4 2022</w:t>
            </w:r>
          </w:p>
        </w:tc>
        <w:tc>
          <w:tcPr>
            <w:tcW w:w="1165" w:type="dxa"/>
            <w:gridSpan w:val="3"/>
          </w:tcPr>
          <w:p w14:paraId="544FF7F6" w14:textId="77777777" w:rsidR="00A164CA" w:rsidRPr="00A164CA" w:rsidRDefault="00A164CA" w:rsidP="00C642DC">
            <w:pPr>
              <w:spacing w:before="20" w:after="20"/>
              <w:rPr>
                <w:sz w:val="20"/>
              </w:rPr>
            </w:pPr>
            <w:r w:rsidRPr="00A164CA">
              <w:rPr>
                <w:sz w:val="20"/>
              </w:rPr>
              <w:t>100.000</w:t>
            </w:r>
          </w:p>
        </w:tc>
        <w:tc>
          <w:tcPr>
            <w:tcW w:w="1170" w:type="dxa"/>
            <w:gridSpan w:val="3"/>
          </w:tcPr>
          <w:p w14:paraId="1AE880F8" w14:textId="77777777" w:rsidR="00A164CA" w:rsidRPr="00A164CA" w:rsidRDefault="00A164CA" w:rsidP="00C642DC">
            <w:pPr>
              <w:spacing w:before="20" w:after="20"/>
              <w:rPr>
                <w:sz w:val="20"/>
              </w:rPr>
            </w:pPr>
            <w:r w:rsidRPr="00A164CA">
              <w:rPr>
                <w:sz w:val="20"/>
              </w:rPr>
              <w:t>Budžet MJUDDM</w:t>
            </w:r>
          </w:p>
        </w:tc>
        <w:tc>
          <w:tcPr>
            <w:tcW w:w="3150" w:type="dxa"/>
            <w:gridSpan w:val="4"/>
          </w:tcPr>
          <w:p w14:paraId="64A87372" w14:textId="77777777" w:rsidR="00A164CA" w:rsidRPr="00A164CA" w:rsidRDefault="00A164CA" w:rsidP="00C642DC">
            <w:pPr>
              <w:spacing w:before="20" w:after="20"/>
              <w:rPr>
                <w:sz w:val="20"/>
              </w:rPr>
            </w:pPr>
            <w:r w:rsidRPr="00A164CA">
              <w:rPr>
                <w:sz w:val="20"/>
              </w:rPr>
              <w:t>MJUDDM će finansirati 15% vrijednosti projekta podrške u osnivanju Instituta za prorgamiranje, ostatak će biti finansira od strane drugih partnera</w:t>
            </w:r>
          </w:p>
        </w:tc>
      </w:tr>
      <w:tr w:rsidR="00A164CA" w:rsidRPr="00A164CA" w14:paraId="0D704DDC" w14:textId="77777777" w:rsidTr="003B14BB">
        <w:trPr>
          <w:trHeight w:val="70"/>
        </w:trPr>
        <w:tc>
          <w:tcPr>
            <w:tcW w:w="539" w:type="dxa"/>
          </w:tcPr>
          <w:p w14:paraId="1D599695" w14:textId="77777777" w:rsidR="00A164CA" w:rsidRPr="00A164CA" w:rsidRDefault="00A164CA" w:rsidP="009E0228">
            <w:pPr>
              <w:spacing w:before="240"/>
              <w:jc w:val="right"/>
              <w:rPr>
                <w:sz w:val="20"/>
              </w:rPr>
            </w:pPr>
            <w:r w:rsidRPr="00A164CA">
              <w:rPr>
                <w:sz w:val="20"/>
              </w:rPr>
              <w:lastRenderedPageBreak/>
              <w:t>3.</w:t>
            </w:r>
          </w:p>
        </w:tc>
        <w:tc>
          <w:tcPr>
            <w:tcW w:w="3241" w:type="dxa"/>
            <w:gridSpan w:val="2"/>
          </w:tcPr>
          <w:p w14:paraId="10F29AAA" w14:textId="77777777" w:rsidR="00A164CA" w:rsidRPr="00A164CA" w:rsidRDefault="00A164CA" w:rsidP="00C642DC">
            <w:pPr>
              <w:spacing w:before="240"/>
              <w:rPr>
                <w:sz w:val="20"/>
              </w:rPr>
            </w:pPr>
            <w:r w:rsidRPr="00A164CA">
              <w:rPr>
                <w:sz w:val="20"/>
              </w:rPr>
              <w:t>Aktivnosti na planu prevazilaženja digitalnog jaza</w:t>
            </w:r>
          </w:p>
          <w:p w14:paraId="462418A4" w14:textId="77777777" w:rsidR="00A164CA" w:rsidRPr="00A164CA" w:rsidRDefault="00A164CA" w:rsidP="00C642DC">
            <w:pPr>
              <w:spacing w:before="240" w:after="20"/>
              <w:rPr>
                <w:sz w:val="20"/>
              </w:rPr>
            </w:pPr>
          </w:p>
        </w:tc>
        <w:tc>
          <w:tcPr>
            <w:tcW w:w="2688" w:type="dxa"/>
            <w:gridSpan w:val="3"/>
          </w:tcPr>
          <w:p w14:paraId="71D21DD9" w14:textId="77777777" w:rsidR="00A164CA" w:rsidRPr="00A164CA" w:rsidRDefault="00A164CA" w:rsidP="00C642DC">
            <w:pPr>
              <w:spacing w:before="240" w:after="20"/>
              <w:rPr>
                <w:sz w:val="20"/>
              </w:rPr>
            </w:pPr>
            <w:r w:rsidRPr="00A164CA">
              <w:rPr>
                <w:sz w:val="20"/>
              </w:rPr>
              <w:t xml:space="preserve">Informacija o realizovanim aktivnostima na planu prevazilaženja digitalnog jaza </w:t>
            </w:r>
          </w:p>
        </w:tc>
        <w:tc>
          <w:tcPr>
            <w:tcW w:w="1711" w:type="dxa"/>
            <w:gridSpan w:val="3"/>
          </w:tcPr>
          <w:p w14:paraId="24CFF89B" w14:textId="77777777" w:rsidR="00A164CA" w:rsidRPr="00A164CA" w:rsidRDefault="00A164CA" w:rsidP="00C642DC">
            <w:pPr>
              <w:spacing w:before="240" w:after="20"/>
              <w:rPr>
                <w:sz w:val="20"/>
              </w:rPr>
            </w:pPr>
            <w:r w:rsidRPr="00A164CA">
              <w:rPr>
                <w:sz w:val="20"/>
              </w:rPr>
              <w:t>MJUDDM u saradnji sa ICT sektrom</w:t>
            </w:r>
          </w:p>
        </w:tc>
        <w:tc>
          <w:tcPr>
            <w:tcW w:w="1276" w:type="dxa"/>
            <w:gridSpan w:val="2"/>
          </w:tcPr>
          <w:p w14:paraId="59812601" w14:textId="77777777" w:rsidR="00A164CA" w:rsidRPr="00A164CA" w:rsidRDefault="00A164CA" w:rsidP="00C642DC">
            <w:pPr>
              <w:spacing w:before="240" w:after="20"/>
              <w:rPr>
                <w:sz w:val="20"/>
              </w:rPr>
            </w:pPr>
            <w:r w:rsidRPr="00A164CA">
              <w:rPr>
                <w:sz w:val="20"/>
              </w:rPr>
              <w:t>Q1 2022</w:t>
            </w:r>
          </w:p>
          <w:p w14:paraId="4A9BCA15" w14:textId="77777777" w:rsidR="00A164CA" w:rsidRPr="00A164CA" w:rsidRDefault="00A164CA" w:rsidP="00C642DC">
            <w:pPr>
              <w:spacing w:before="240" w:after="20"/>
              <w:rPr>
                <w:sz w:val="20"/>
              </w:rPr>
            </w:pPr>
            <w:r w:rsidRPr="00A164CA">
              <w:rPr>
                <w:sz w:val="20"/>
              </w:rPr>
              <w:t>Q4 2022</w:t>
            </w:r>
          </w:p>
        </w:tc>
        <w:tc>
          <w:tcPr>
            <w:tcW w:w="1165" w:type="dxa"/>
            <w:gridSpan w:val="3"/>
          </w:tcPr>
          <w:p w14:paraId="55A459AD" w14:textId="77777777" w:rsidR="00A164CA" w:rsidRPr="00A164CA" w:rsidRDefault="00A164CA" w:rsidP="00C642DC">
            <w:pPr>
              <w:spacing w:before="240" w:after="20"/>
              <w:rPr>
                <w:sz w:val="20"/>
              </w:rPr>
            </w:pPr>
            <w:r w:rsidRPr="00A164CA">
              <w:rPr>
                <w:sz w:val="20"/>
              </w:rPr>
              <w:t>100.000</w:t>
            </w:r>
          </w:p>
        </w:tc>
        <w:tc>
          <w:tcPr>
            <w:tcW w:w="1170" w:type="dxa"/>
            <w:gridSpan w:val="3"/>
          </w:tcPr>
          <w:p w14:paraId="1D1117B8" w14:textId="77777777" w:rsidR="00A164CA" w:rsidRPr="00A164CA" w:rsidRDefault="00A164CA" w:rsidP="00C642DC">
            <w:pPr>
              <w:spacing w:before="240" w:after="20"/>
              <w:rPr>
                <w:sz w:val="20"/>
              </w:rPr>
            </w:pPr>
            <w:r w:rsidRPr="00A164CA">
              <w:rPr>
                <w:sz w:val="20"/>
              </w:rPr>
              <w:t>Budžet MJUDDM</w:t>
            </w:r>
          </w:p>
        </w:tc>
        <w:tc>
          <w:tcPr>
            <w:tcW w:w="3150" w:type="dxa"/>
            <w:gridSpan w:val="4"/>
          </w:tcPr>
          <w:p w14:paraId="33C7A777" w14:textId="77777777" w:rsidR="00A164CA" w:rsidRPr="009E0228" w:rsidRDefault="00A164CA" w:rsidP="00C642DC">
            <w:pPr>
              <w:spacing w:before="240" w:after="240"/>
              <w:rPr>
                <w:sz w:val="20"/>
              </w:rPr>
            </w:pPr>
            <w:r w:rsidRPr="009E0228">
              <w:rPr>
                <w:sz w:val="20"/>
              </w:rPr>
              <w:t>Digitalna transformacija kao jedan od prioriteta istaknutih u ekspozeu Premijera sama po sebi ne može izbrisati razlike i praznine između pojedinaca, domaćinstava, poslovnih sektora i geografskih oblasti, bogatih i siromašnih odnosno različitih društvenih grupa. U cilju preduzimanja koraka na prevazilaženju dijela društvenog jaza i u skladu sa principima uključenosti, jednakosti i prisupačnosti na kojima počiva misija Ministarstva javne uprave, digitalnog društva i medija, ovo ministarstvo će u cilju prevazilaženja digitalnog jaza i povećane dostupnosti IKT opreme biti nosilac aktivnosti i subvencija kojima će biti podržane prepoznate osjetljive kategorije.</w:t>
            </w:r>
          </w:p>
        </w:tc>
      </w:tr>
      <w:tr w:rsidR="00A164CA" w:rsidRPr="00A164CA" w14:paraId="17B9FC53" w14:textId="77777777" w:rsidTr="003B14BB">
        <w:tc>
          <w:tcPr>
            <w:tcW w:w="539" w:type="dxa"/>
          </w:tcPr>
          <w:p w14:paraId="2867AB4B" w14:textId="77777777" w:rsidR="00A164CA" w:rsidRPr="00A164CA" w:rsidRDefault="00A164CA" w:rsidP="00FD6B98">
            <w:pPr>
              <w:jc w:val="right"/>
              <w:rPr>
                <w:sz w:val="20"/>
              </w:rPr>
            </w:pPr>
            <w:r w:rsidRPr="00A164CA">
              <w:rPr>
                <w:sz w:val="20"/>
              </w:rPr>
              <w:t>4.</w:t>
            </w:r>
          </w:p>
        </w:tc>
        <w:tc>
          <w:tcPr>
            <w:tcW w:w="3241" w:type="dxa"/>
            <w:gridSpan w:val="2"/>
          </w:tcPr>
          <w:p w14:paraId="2C2322D5" w14:textId="77777777" w:rsidR="00A164CA" w:rsidRPr="00A164CA" w:rsidRDefault="00A164CA" w:rsidP="00C642DC">
            <w:pPr>
              <w:spacing w:before="20"/>
              <w:ind w:left="140"/>
              <w:rPr>
                <w:sz w:val="20"/>
              </w:rPr>
            </w:pPr>
            <w:r w:rsidRPr="00A164CA">
              <w:rPr>
                <w:sz w:val="20"/>
              </w:rPr>
              <w:t xml:space="preserve"> Afirmacija novih trendova i podrška organizaciji događaja međunarodnog i lokalnog karatkera (konferencija, festivala, samita i sajmova u Crnoj Gori)</w:t>
            </w:r>
          </w:p>
          <w:p w14:paraId="5AFBFCE6" w14:textId="77777777" w:rsidR="00A164CA" w:rsidRPr="00A164CA" w:rsidRDefault="00A164CA" w:rsidP="00C642DC">
            <w:pPr>
              <w:spacing w:before="20"/>
              <w:rPr>
                <w:color w:val="1F4E79"/>
                <w:sz w:val="20"/>
              </w:rPr>
            </w:pPr>
          </w:p>
          <w:p w14:paraId="1021F440" w14:textId="77777777" w:rsidR="00A164CA" w:rsidRPr="00A164CA" w:rsidRDefault="00A164CA" w:rsidP="00C642DC">
            <w:pPr>
              <w:spacing w:before="20"/>
              <w:rPr>
                <w:color w:val="1F4E79"/>
                <w:sz w:val="20"/>
              </w:rPr>
            </w:pPr>
          </w:p>
        </w:tc>
        <w:tc>
          <w:tcPr>
            <w:tcW w:w="2688" w:type="dxa"/>
            <w:gridSpan w:val="3"/>
          </w:tcPr>
          <w:p w14:paraId="01A3F5EC" w14:textId="77777777" w:rsidR="00A164CA" w:rsidRPr="00A164CA" w:rsidRDefault="00A164CA" w:rsidP="00C642DC">
            <w:pPr>
              <w:spacing w:before="20" w:after="20"/>
              <w:rPr>
                <w:sz w:val="20"/>
              </w:rPr>
            </w:pPr>
            <w:r w:rsidRPr="00A164CA">
              <w:rPr>
                <w:sz w:val="20"/>
              </w:rPr>
              <w:t>Informacija o učešću i podršci pri  realizaciji događaja koji doprinose afirmaciji digitalnog društva</w:t>
            </w:r>
          </w:p>
        </w:tc>
        <w:tc>
          <w:tcPr>
            <w:tcW w:w="1711" w:type="dxa"/>
            <w:gridSpan w:val="3"/>
          </w:tcPr>
          <w:p w14:paraId="0A1E1AD5" w14:textId="77777777" w:rsidR="00A164CA" w:rsidRPr="00A164CA" w:rsidRDefault="00A164CA" w:rsidP="00C642DC">
            <w:pPr>
              <w:spacing w:before="20" w:after="20"/>
              <w:rPr>
                <w:sz w:val="20"/>
              </w:rPr>
            </w:pPr>
            <w:r w:rsidRPr="00A164CA">
              <w:rPr>
                <w:sz w:val="20"/>
              </w:rPr>
              <w:t>MJUDDM u saradnji sa poslovnim, nvo i akademskim sektorom</w:t>
            </w:r>
          </w:p>
        </w:tc>
        <w:tc>
          <w:tcPr>
            <w:tcW w:w="1276" w:type="dxa"/>
            <w:gridSpan w:val="2"/>
          </w:tcPr>
          <w:p w14:paraId="3FF8046B" w14:textId="77777777" w:rsidR="00A164CA" w:rsidRPr="00A164CA" w:rsidRDefault="00A164CA" w:rsidP="00C642DC">
            <w:pPr>
              <w:spacing w:before="20" w:after="20"/>
              <w:rPr>
                <w:sz w:val="20"/>
              </w:rPr>
            </w:pPr>
            <w:r w:rsidRPr="00A164CA">
              <w:rPr>
                <w:sz w:val="20"/>
              </w:rPr>
              <w:t>Q1 2022</w:t>
            </w:r>
          </w:p>
          <w:p w14:paraId="28CE5434" w14:textId="77777777" w:rsidR="00A164CA" w:rsidRPr="00A164CA" w:rsidRDefault="00A164CA" w:rsidP="00C642DC">
            <w:pPr>
              <w:spacing w:before="20" w:after="20"/>
              <w:rPr>
                <w:sz w:val="20"/>
              </w:rPr>
            </w:pPr>
            <w:r w:rsidRPr="00A164CA">
              <w:rPr>
                <w:sz w:val="20"/>
              </w:rPr>
              <w:t>Q4 2022</w:t>
            </w:r>
          </w:p>
        </w:tc>
        <w:tc>
          <w:tcPr>
            <w:tcW w:w="1165" w:type="dxa"/>
            <w:gridSpan w:val="3"/>
          </w:tcPr>
          <w:p w14:paraId="0E810A16" w14:textId="77777777" w:rsidR="00A164CA" w:rsidRPr="00A164CA" w:rsidRDefault="00A164CA" w:rsidP="00C642DC">
            <w:pPr>
              <w:spacing w:before="20" w:after="20"/>
              <w:rPr>
                <w:sz w:val="20"/>
              </w:rPr>
            </w:pPr>
            <w:r w:rsidRPr="00A164CA">
              <w:rPr>
                <w:sz w:val="20"/>
              </w:rPr>
              <w:t>100.000.</w:t>
            </w:r>
          </w:p>
        </w:tc>
        <w:tc>
          <w:tcPr>
            <w:tcW w:w="1170" w:type="dxa"/>
            <w:gridSpan w:val="3"/>
          </w:tcPr>
          <w:p w14:paraId="076CB481" w14:textId="77777777" w:rsidR="00A164CA" w:rsidRPr="00A164CA" w:rsidRDefault="00A164CA" w:rsidP="00C642DC">
            <w:pPr>
              <w:spacing w:before="20" w:after="20"/>
              <w:rPr>
                <w:sz w:val="20"/>
              </w:rPr>
            </w:pPr>
            <w:r w:rsidRPr="00A164CA">
              <w:rPr>
                <w:sz w:val="20"/>
              </w:rPr>
              <w:t>Budžet MJUDDM</w:t>
            </w:r>
          </w:p>
        </w:tc>
        <w:tc>
          <w:tcPr>
            <w:tcW w:w="3150" w:type="dxa"/>
            <w:gridSpan w:val="4"/>
          </w:tcPr>
          <w:p w14:paraId="7055696A" w14:textId="77777777" w:rsidR="00A164CA" w:rsidRPr="00A164CA" w:rsidRDefault="00A164CA" w:rsidP="00C642DC">
            <w:pPr>
              <w:spacing w:before="20" w:after="20"/>
              <w:rPr>
                <w:sz w:val="20"/>
              </w:rPr>
            </w:pPr>
            <w:r w:rsidRPr="00A164CA">
              <w:rPr>
                <w:sz w:val="20"/>
              </w:rPr>
              <w:t xml:space="preserve">RAzvoj novog inovativnog ICT sistema i Podizanje svijesti građana i privrede o važnosti digitalnog razvoja su prepoznate prioritetne oblasti i ciljevi u Strategiji digitalne transformacije Crne Gore. Događaji koji afirmišu razvoj digitalnog društva i promovišu nove trendove predstavljaju priliku koja nam se pruža da sarađujemo, diskutujemo, razmjenjujemo vrijedna iskustva i učimo jedni od drugih, kako bismo kao društvo na putu ka digitalnoj zrelosti ostvarivali što bolje rezultate. </w:t>
            </w:r>
          </w:p>
        </w:tc>
      </w:tr>
      <w:tr w:rsidR="009E0228" w:rsidRPr="005810AB" w14:paraId="6FDBDE16" w14:textId="77777777" w:rsidTr="00C642DC">
        <w:trPr>
          <w:gridAfter w:val="1"/>
          <w:wAfter w:w="91" w:type="dxa"/>
          <w:trHeight w:val="450"/>
        </w:trPr>
        <w:tc>
          <w:tcPr>
            <w:tcW w:w="3336" w:type="dxa"/>
            <w:gridSpan w:val="2"/>
            <w:vMerge w:val="restart"/>
            <w:shd w:val="clear" w:color="auto" w:fill="D7E2F5"/>
            <w:hideMark/>
          </w:tcPr>
          <w:p w14:paraId="5511B685" w14:textId="77777777" w:rsidR="009E0228" w:rsidRDefault="009E0228" w:rsidP="005810AB">
            <w:pPr>
              <w:jc w:val="both"/>
              <w:rPr>
                <w:b/>
                <w:bCs/>
                <w:sz w:val="20"/>
              </w:rPr>
            </w:pPr>
          </w:p>
          <w:p w14:paraId="2393F944" w14:textId="73EE77A0" w:rsidR="009E0228" w:rsidRPr="005810AB" w:rsidRDefault="009E0228" w:rsidP="009E0228">
            <w:pPr>
              <w:jc w:val="center"/>
              <w:rPr>
                <w:b/>
                <w:bCs/>
                <w:sz w:val="20"/>
                <w:lang w:val="en-US"/>
              </w:rPr>
            </w:pPr>
            <w:r>
              <w:rPr>
                <w:b/>
                <w:bCs/>
                <w:sz w:val="20"/>
              </w:rPr>
              <w:t>Cilj 5</w:t>
            </w:r>
            <w:r w:rsidR="00FF0B4A">
              <w:rPr>
                <w:b/>
                <w:bCs/>
                <w:sz w:val="20"/>
              </w:rPr>
              <w:t>.</w:t>
            </w:r>
            <w:r w:rsidR="00D5276E">
              <w:rPr>
                <w:b/>
                <w:bCs/>
                <w:sz w:val="20"/>
              </w:rPr>
              <w:t>6</w:t>
            </w:r>
            <w:r w:rsidR="00FF0B4A">
              <w:rPr>
                <w:b/>
                <w:bCs/>
                <w:sz w:val="20"/>
              </w:rPr>
              <w:t>.</w:t>
            </w:r>
          </w:p>
        </w:tc>
        <w:tc>
          <w:tcPr>
            <w:tcW w:w="11513" w:type="dxa"/>
            <w:gridSpan w:val="18"/>
            <w:vMerge w:val="restart"/>
            <w:shd w:val="clear" w:color="auto" w:fill="D9E2F3" w:themeFill="accent1" w:themeFillTint="33"/>
            <w:hideMark/>
          </w:tcPr>
          <w:p w14:paraId="7ECE5D39" w14:textId="77777777" w:rsidR="009E0228" w:rsidRDefault="009E0228">
            <w:pPr>
              <w:jc w:val="both"/>
              <w:rPr>
                <w:b/>
                <w:bCs/>
                <w:sz w:val="20"/>
              </w:rPr>
            </w:pPr>
          </w:p>
          <w:p w14:paraId="4DDB4466" w14:textId="77777777" w:rsidR="009E0228" w:rsidRPr="005810AB" w:rsidRDefault="009E0228">
            <w:pPr>
              <w:jc w:val="both"/>
              <w:rPr>
                <w:b/>
                <w:bCs/>
                <w:sz w:val="20"/>
              </w:rPr>
            </w:pPr>
            <w:r w:rsidRPr="005810AB">
              <w:rPr>
                <w:b/>
                <w:bCs/>
                <w:sz w:val="20"/>
              </w:rPr>
              <w:t>Dostići viši nivo pokrivenosti i razvoja elektronske komunikacione infrastrukture</w:t>
            </w:r>
          </w:p>
        </w:tc>
      </w:tr>
      <w:tr w:rsidR="009E0228" w:rsidRPr="005810AB" w14:paraId="5CBE2947" w14:textId="77777777" w:rsidTr="00C642DC">
        <w:trPr>
          <w:gridAfter w:val="1"/>
          <w:wAfter w:w="91" w:type="dxa"/>
          <w:trHeight w:val="450"/>
        </w:trPr>
        <w:tc>
          <w:tcPr>
            <w:tcW w:w="3336" w:type="dxa"/>
            <w:gridSpan w:val="2"/>
            <w:vMerge/>
            <w:shd w:val="clear" w:color="auto" w:fill="D7E2F5"/>
            <w:hideMark/>
          </w:tcPr>
          <w:p w14:paraId="60E3D472" w14:textId="77777777" w:rsidR="009E0228" w:rsidRPr="005810AB" w:rsidRDefault="009E0228" w:rsidP="005810AB">
            <w:pPr>
              <w:jc w:val="both"/>
              <w:rPr>
                <w:b/>
                <w:bCs/>
                <w:sz w:val="20"/>
              </w:rPr>
            </w:pPr>
          </w:p>
        </w:tc>
        <w:tc>
          <w:tcPr>
            <w:tcW w:w="11513" w:type="dxa"/>
            <w:gridSpan w:val="18"/>
            <w:vMerge/>
            <w:shd w:val="clear" w:color="auto" w:fill="D9E2F3" w:themeFill="accent1" w:themeFillTint="33"/>
            <w:hideMark/>
          </w:tcPr>
          <w:p w14:paraId="1F5A0D55" w14:textId="77777777" w:rsidR="009E0228" w:rsidRPr="005810AB" w:rsidRDefault="009E0228" w:rsidP="005810AB">
            <w:pPr>
              <w:jc w:val="both"/>
              <w:rPr>
                <w:b/>
                <w:bCs/>
                <w:sz w:val="20"/>
              </w:rPr>
            </w:pPr>
          </w:p>
        </w:tc>
      </w:tr>
      <w:tr w:rsidR="009E0228" w:rsidRPr="005810AB" w14:paraId="413141FA" w14:textId="77777777" w:rsidTr="00C642DC">
        <w:trPr>
          <w:gridAfter w:val="1"/>
          <w:wAfter w:w="91" w:type="dxa"/>
          <w:trHeight w:val="552"/>
        </w:trPr>
        <w:tc>
          <w:tcPr>
            <w:tcW w:w="3336" w:type="dxa"/>
            <w:gridSpan w:val="2"/>
            <w:shd w:val="clear" w:color="auto" w:fill="CCECFF"/>
            <w:hideMark/>
          </w:tcPr>
          <w:p w14:paraId="064279DD" w14:textId="77777777" w:rsidR="009E0228" w:rsidRPr="005810AB" w:rsidRDefault="009E0228" w:rsidP="005810AB">
            <w:pPr>
              <w:jc w:val="both"/>
              <w:rPr>
                <w:b/>
                <w:bCs/>
                <w:sz w:val="20"/>
              </w:rPr>
            </w:pPr>
            <w:r w:rsidRPr="005810AB">
              <w:rPr>
                <w:b/>
                <w:bCs/>
                <w:sz w:val="20"/>
              </w:rPr>
              <w:t>Indikator učinka</w:t>
            </w:r>
          </w:p>
        </w:tc>
        <w:tc>
          <w:tcPr>
            <w:tcW w:w="2730" w:type="dxa"/>
            <w:gridSpan w:val="3"/>
            <w:shd w:val="clear" w:color="auto" w:fill="CCECFF"/>
            <w:hideMark/>
          </w:tcPr>
          <w:p w14:paraId="3F49CA6F" w14:textId="77777777" w:rsidR="009E0228" w:rsidRPr="005810AB" w:rsidRDefault="009E0228" w:rsidP="005810AB">
            <w:pPr>
              <w:jc w:val="both"/>
              <w:rPr>
                <w:b/>
                <w:bCs/>
                <w:sz w:val="20"/>
              </w:rPr>
            </w:pPr>
            <w:r w:rsidRPr="005810AB">
              <w:rPr>
                <w:b/>
                <w:bCs/>
                <w:sz w:val="20"/>
              </w:rPr>
              <w:t>Polazna vrijednost – 2021.g</w:t>
            </w:r>
          </w:p>
        </w:tc>
        <w:tc>
          <w:tcPr>
            <w:tcW w:w="2222" w:type="dxa"/>
            <w:gridSpan w:val="5"/>
            <w:shd w:val="clear" w:color="auto" w:fill="CCECFF"/>
            <w:hideMark/>
          </w:tcPr>
          <w:p w14:paraId="0CE7D22E" w14:textId="77777777" w:rsidR="009E0228" w:rsidRPr="005810AB" w:rsidRDefault="009E0228" w:rsidP="005810AB">
            <w:pPr>
              <w:jc w:val="both"/>
              <w:rPr>
                <w:b/>
                <w:bCs/>
                <w:sz w:val="20"/>
              </w:rPr>
            </w:pPr>
            <w:r w:rsidRPr="005810AB">
              <w:rPr>
                <w:b/>
                <w:bCs/>
                <w:sz w:val="20"/>
              </w:rPr>
              <w:t xml:space="preserve">  Prelazna vrijednost – 2022.g</w:t>
            </w:r>
          </w:p>
        </w:tc>
        <w:tc>
          <w:tcPr>
            <w:tcW w:w="2599" w:type="dxa"/>
            <w:gridSpan w:val="5"/>
            <w:shd w:val="clear" w:color="auto" w:fill="CCECFF"/>
            <w:hideMark/>
          </w:tcPr>
          <w:p w14:paraId="3476D79F" w14:textId="77777777" w:rsidR="009E0228" w:rsidRPr="005810AB" w:rsidRDefault="009E0228" w:rsidP="005810AB">
            <w:pPr>
              <w:jc w:val="both"/>
              <w:rPr>
                <w:b/>
                <w:bCs/>
                <w:sz w:val="20"/>
              </w:rPr>
            </w:pPr>
            <w:r w:rsidRPr="005810AB">
              <w:rPr>
                <w:b/>
                <w:bCs/>
                <w:sz w:val="20"/>
              </w:rPr>
              <w:t>Prelazna vrijednost – 2023.g</w:t>
            </w:r>
          </w:p>
        </w:tc>
        <w:tc>
          <w:tcPr>
            <w:tcW w:w="3962" w:type="dxa"/>
            <w:gridSpan w:val="5"/>
            <w:shd w:val="clear" w:color="auto" w:fill="CCECFF"/>
            <w:hideMark/>
          </w:tcPr>
          <w:p w14:paraId="4E3ACF58" w14:textId="77777777" w:rsidR="009E0228" w:rsidRPr="005810AB" w:rsidRDefault="009E0228" w:rsidP="005810AB">
            <w:pPr>
              <w:jc w:val="both"/>
              <w:rPr>
                <w:b/>
                <w:bCs/>
                <w:sz w:val="20"/>
              </w:rPr>
            </w:pPr>
            <w:r w:rsidRPr="005810AB">
              <w:rPr>
                <w:b/>
                <w:bCs/>
                <w:sz w:val="20"/>
              </w:rPr>
              <w:t>Ciljna vrijednost - 2024.g</w:t>
            </w:r>
          </w:p>
        </w:tc>
      </w:tr>
      <w:tr w:rsidR="009E0228" w:rsidRPr="005810AB" w14:paraId="469F6B6A" w14:textId="77777777" w:rsidTr="00C642DC">
        <w:trPr>
          <w:gridAfter w:val="1"/>
          <w:wAfter w:w="91" w:type="dxa"/>
          <w:trHeight w:val="803"/>
        </w:trPr>
        <w:tc>
          <w:tcPr>
            <w:tcW w:w="3336" w:type="dxa"/>
            <w:gridSpan w:val="2"/>
            <w:vMerge w:val="restart"/>
            <w:shd w:val="clear" w:color="auto" w:fill="CCECFF"/>
            <w:hideMark/>
          </w:tcPr>
          <w:p w14:paraId="19BCF9F3" w14:textId="77777777" w:rsidR="009E0228" w:rsidRPr="009E0228" w:rsidRDefault="009E0228" w:rsidP="009E0228">
            <w:pPr>
              <w:jc w:val="both"/>
              <w:rPr>
                <w:sz w:val="20"/>
              </w:rPr>
            </w:pPr>
            <w:r w:rsidRPr="009E0228">
              <w:rPr>
                <w:sz w:val="20"/>
              </w:rPr>
              <w:lastRenderedPageBreak/>
              <w:t>Procenat pokrivenosti domaćinstava fiksnim BB-om brzinom od 100Mbps+</w:t>
            </w:r>
          </w:p>
        </w:tc>
        <w:tc>
          <w:tcPr>
            <w:tcW w:w="2730" w:type="dxa"/>
            <w:gridSpan w:val="3"/>
            <w:vMerge w:val="restart"/>
            <w:shd w:val="clear" w:color="auto" w:fill="CCECFF"/>
            <w:hideMark/>
          </w:tcPr>
          <w:p w14:paraId="01CDA8DC" w14:textId="77777777" w:rsidR="009E0228" w:rsidRPr="00C642DC" w:rsidRDefault="009E0228" w:rsidP="009E0228">
            <w:pPr>
              <w:jc w:val="center"/>
              <w:rPr>
                <w:sz w:val="20"/>
              </w:rPr>
            </w:pPr>
            <w:r w:rsidRPr="00C642DC">
              <w:rPr>
                <w:sz w:val="20"/>
              </w:rPr>
              <w:t>75%</w:t>
            </w:r>
          </w:p>
        </w:tc>
        <w:tc>
          <w:tcPr>
            <w:tcW w:w="2222" w:type="dxa"/>
            <w:gridSpan w:val="5"/>
            <w:vMerge w:val="restart"/>
            <w:shd w:val="clear" w:color="auto" w:fill="CCECFF"/>
            <w:hideMark/>
          </w:tcPr>
          <w:p w14:paraId="49D3C1A2" w14:textId="77777777" w:rsidR="009E0228" w:rsidRPr="00C642DC" w:rsidRDefault="009E0228" w:rsidP="009E0228">
            <w:pPr>
              <w:jc w:val="center"/>
              <w:rPr>
                <w:sz w:val="20"/>
              </w:rPr>
            </w:pPr>
            <w:r w:rsidRPr="00C642DC">
              <w:rPr>
                <w:sz w:val="20"/>
              </w:rPr>
              <w:t>76,7%</w:t>
            </w:r>
          </w:p>
        </w:tc>
        <w:tc>
          <w:tcPr>
            <w:tcW w:w="2599" w:type="dxa"/>
            <w:gridSpan w:val="5"/>
            <w:vMerge w:val="restart"/>
            <w:shd w:val="clear" w:color="auto" w:fill="CCECFF"/>
            <w:hideMark/>
          </w:tcPr>
          <w:p w14:paraId="5BB84928" w14:textId="77777777" w:rsidR="009E0228" w:rsidRPr="00C642DC" w:rsidRDefault="009E0228" w:rsidP="009E0228">
            <w:pPr>
              <w:jc w:val="center"/>
              <w:rPr>
                <w:sz w:val="20"/>
              </w:rPr>
            </w:pPr>
            <w:r w:rsidRPr="00C642DC">
              <w:rPr>
                <w:sz w:val="20"/>
              </w:rPr>
              <w:t>79%</w:t>
            </w:r>
          </w:p>
        </w:tc>
        <w:tc>
          <w:tcPr>
            <w:tcW w:w="3962" w:type="dxa"/>
            <w:gridSpan w:val="5"/>
            <w:vMerge w:val="restart"/>
            <w:shd w:val="clear" w:color="auto" w:fill="CCECFF"/>
            <w:hideMark/>
          </w:tcPr>
          <w:p w14:paraId="47DB6430" w14:textId="77777777" w:rsidR="009E0228" w:rsidRPr="00C642DC" w:rsidRDefault="009E0228" w:rsidP="009E0228">
            <w:pPr>
              <w:jc w:val="center"/>
              <w:rPr>
                <w:sz w:val="20"/>
              </w:rPr>
            </w:pPr>
            <w:r w:rsidRPr="00C642DC">
              <w:rPr>
                <w:sz w:val="20"/>
              </w:rPr>
              <w:t>81,6%</w:t>
            </w:r>
          </w:p>
        </w:tc>
      </w:tr>
      <w:tr w:rsidR="009E0228" w:rsidRPr="005810AB" w14:paraId="091DEF68" w14:textId="77777777" w:rsidTr="00C642DC">
        <w:trPr>
          <w:gridAfter w:val="1"/>
          <w:wAfter w:w="91" w:type="dxa"/>
          <w:trHeight w:val="450"/>
        </w:trPr>
        <w:tc>
          <w:tcPr>
            <w:tcW w:w="3336" w:type="dxa"/>
            <w:gridSpan w:val="2"/>
            <w:vMerge/>
            <w:shd w:val="clear" w:color="auto" w:fill="CCECFF"/>
            <w:hideMark/>
          </w:tcPr>
          <w:p w14:paraId="6CE8A383" w14:textId="77777777" w:rsidR="009E0228" w:rsidRPr="005810AB" w:rsidRDefault="009E0228" w:rsidP="005810AB">
            <w:pPr>
              <w:jc w:val="both"/>
              <w:rPr>
                <w:b/>
                <w:sz w:val="20"/>
              </w:rPr>
            </w:pPr>
          </w:p>
        </w:tc>
        <w:tc>
          <w:tcPr>
            <w:tcW w:w="2730" w:type="dxa"/>
            <w:gridSpan w:val="3"/>
            <w:vMerge/>
            <w:shd w:val="clear" w:color="auto" w:fill="CCECFF"/>
            <w:hideMark/>
          </w:tcPr>
          <w:p w14:paraId="33D5C8E9" w14:textId="77777777" w:rsidR="009E0228" w:rsidRPr="005810AB" w:rsidRDefault="009E0228" w:rsidP="005810AB">
            <w:pPr>
              <w:jc w:val="both"/>
              <w:rPr>
                <w:b/>
                <w:sz w:val="20"/>
              </w:rPr>
            </w:pPr>
          </w:p>
        </w:tc>
        <w:tc>
          <w:tcPr>
            <w:tcW w:w="2222" w:type="dxa"/>
            <w:gridSpan w:val="5"/>
            <w:vMerge/>
            <w:shd w:val="clear" w:color="auto" w:fill="CCECFF"/>
            <w:hideMark/>
          </w:tcPr>
          <w:p w14:paraId="2B8950E9" w14:textId="77777777" w:rsidR="009E0228" w:rsidRPr="005810AB" w:rsidRDefault="009E0228" w:rsidP="005810AB">
            <w:pPr>
              <w:jc w:val="both"/>
              <w:rPr>
                <w:b/>
                <w:sz w:val="20"/>
              </w:rPr>
            </w:pPr>
          </w:p>
        </w:tc>
        <w:tc>
          <w:tcPr>
            <w:tcW w:w="2599" w:type="dxa"/>
            <w:gridSpan w:val="5"/>
            <w:vMerge/>
            <w:shd w:val="clear" w:color="auto" w:fill="CCECFF"/>
            <w:hideMark/>
          </w:tcPr>
          <w:p w14:paraId="4DF1D24F" w14:textId="77777777" w:rsidR="009E0228" w:rsidRPr="005810AB" w:rsidRDefault="009E0228" w:rsidP="005810AB">
            <w:pPr>
              <w:jc w:val="both"/>
              <w:rPr>
                <w:b/>
                <w:sz w:val="20"/>
              </w:rPr>
            </w:pPr>
          </w:p>
        </w:tc>
        <w:tc>
          <w:tcPr>
            <w:tcW w:w="3962" w:type="dxa"/>
            <w:gridSpan w:val="5"/>
            <w:vMerge/>
            <w:shd w:val="clear" w:color="auto" w:fill="CCECFF"/>
            <w:hideMark/>
          </w:tcPr>
          <w:p w14:paraId="511E0E78" w14:textId="77777777" w:rsidR="009E0228" w:rsidRPr="005810AB" w:rsidRDefault="009E0228" w:rsidP="005810AB">
            <w:pPr>
              <w:jc w:val="both"/>
              <w:rPr>
                <w:b/>
                <w:sz w:val="20"/>
              </w:rPr>
            </w:pPr>
          </w:p>
        </w:tc>
      </w:tr>
      <w:tr w:rsidR="009E0228" w:rsidRPr="005810AB" w14:paraId="3E59D042" w14:textId="77777777" w:rsidTr="003B14BB">
        <w:trPr>
          <w:gridAfter w:val="1"/>
          <w:wAfter w:w="91" w:type="dxa"/>
          <w:trHeight w:val="525"/>
        </w:trPr>
        <w:tc>
          <w:tcPr>
            <w:tcW w:w="3336" w:type="dxa"/>
            <w:gridSpan w:val="2"/>
            <w:shd w:val="clear" w:color="auto" w:fill="FFF2CC" w:themeFill="accent4" w:themeFillTint="33"/>
            <w:hideMark/>
          </w:tcPr>
          <w:p w14:paraId="5C762C24" w14:textId="77777777" w:rsidR="009E0228" w:rsidRPr="005810AB" w:rsidRDefault="009E0228" w:rsidP="00F43978">
            <w:pPr>
              <w:jc w:val="center"/>
              <w:rPr>
                <w:b/>
                <w:bCs/>
                <w:sz w:val="20"/>
              </w:rPr>
            </w:pPr>
            <w:r w:rsidRPr="005810AB">
              <w:rPr>
                <w:b/>
                <w:bCs/>
                <w:sz w:val="20"/>
              </w:rPr>
              <w:t>Aktivnosti</w:t>
            </w:r>
          </w:p>
        </w:tc>
        <w:tc>
          <w:tcPr>
            <w:tcW w:w="1670" w:type="dxa"/>
            <w:gridSpan w:val="2"/>
            <w:shd w:val="clear" w:color="auto" w:fill="FFF2CC" w:themeFill="accent4" w:themeFillTint="33"/>
            <w:hideMark/>
          </w:tcPr>
          <w:p w14:paraId="3C88463B" w14:textId="77777777" w:rsidR="009E0228" w:rsidRPr="005810AB" w:rsidRDefault="009E0228" w:rsidP="00F43978">
            <w:pPr>
              <w:jc w:val="center"/>
              <w:rPr>
                <w:b/>
                <w:bCs/>
                <w:sz w:val="20"/>
              </w:rPr>
            </w:pPr>
            <w:r w:rsidRPr="005810AB">
              <w:rPr>
                <w:b/>
                <w:bCs/>
                <w:sz w:val="20"/>
              </w:rPr>
              <w:t>Indikator rezultata</w:t>
            </w:r>
          </w:p>
        </w:tc>
        <w:tc>
          <w:tcPr>
            <w:tcW w:w="1960" w:type="dxa"/>
            <w:gridSpan w:val="3"/>
            <w:shd w:val="clear" w:color="auto" w:fill="FFF2CC" w:themeFill="accent4" w:themeFillTint="33"/>
            <w:hideMark/>
          </w:tcPr>
          <w:p w14:paraId="52FB2784" w14:textId="77777777" w:rsidR="009E0228" w:rsidRPr="005810AB" w:rsidRDefault="009E0228" w:rsidP="00F43978">
            <w:pPr>
              <w:jc w:val="center"/>
              <w:rPr>
                <w:b/>
                <w:bCs/>
                <w:sz w:val="20"/>
              </w:rPr>
            </w:pPr>
            <w:r w:rsidRPr="005810AB">
              <w:rPr>
                <w:b/>
                <w:bCs/>
                <w:sz w:val="20"/>
              </w:rPr>
              <w:t>Nadležne institucije i nadležna komisija</w:t>
            </w:r>
          </w:p>
        </w:tc>
        <w:tc>
          <w:tcPr>
            <w:tcW w:w="1322" w:type="dxa"/>
            <w:gridSpan w:val="3"/>
            <w:shd w:val="clear" w:color="auto" w:fill="FFF2CC" w:themeFill="accent4" w:themeFillTint="33"/>
            <w:hideMark/>
          </w:tcPr>
          <w:p w14:paraId="0827C3E1" w14:textId="77777777" w:rsidR="009E0228" w:rsidRPr="005810AB" w:rsidRDefault="009E0228" w:rsidP="00F43978">
            <w:pPr>
              <w:jc w:val="center"/>
              <w:rPr>
                <w:b/>
                <w:bCs/>
                <w:sz w:val="20"/>
              </w:rPr>
            </w:pPr>
            <w:r w:rsidRPr="005810AB">
              <w:rPr>
                <w:b/>
                <w:bCs/>
                <w:sz w:val="20"/>
              </w:rPr>
              <w:t>Planirani početak i završetak aktivnosti</w:t>
            </w:r>
          </w:p>
        </w:tc>
        <w:tc>
          <w:tcPr>
            <w:tcW w:w="1469" w:type="dxa"/>
            <w:gridSpan w:val="2"/>
            <w:shd w:val="clear" w:color="auto" w:fill="FFF2CC" w:themeFill="accent4" w:themeFillTint="33"/>
            <w:hideMark/>
          </w:tcPr>
          <w:p w14:paraId="789248CE" w14:textId="77777777" w:rsidR="009E0228" w:rsidRPr="005810AB" w:rsidRDefault="009E0228" w:rsidP="00F43978">
            <w:pPr>
              <w:jc w:val="center"/>
              <w:rPr>
                <w:b/>
                <w:bCs/>
                <w:sz w:val="20"/>
              </w:rPr>
            </w:pPr>
            <w:r w:rsidRPr="005810AB">
              <w:rPr>
                <w:b/>
                <w:bCs/>
                <w:sz w:val="20"/>
              </w:rPr>
              <w:t>Sredstva za realizaciju  i informacija o izradi RIA</w:t>
            </w:r>
          </w:p>
        </w:tc>
        <w:tc>
          <w:tcPr>
            <w:tcW w:w="1223" w:type="dxa"/>
            <w:gridSpan w:val="4"/>
            <w:shd w:val="clear" w:color="auto" w:fill="FFF2CC" w:themeFill="accent4" w:themeFillTint="33"/>
            <w:hideMark/>
          </w:tcPr>
          <w:p w14:paraId="1EFFFE46" w14:textId="77777777" w:rsidR="009E0228" w:rsidRPr="005810AB" w:rsidRDefault="009E0228" w:rsidP="00F43978">
            <w:pPr>
              <w:jc w:val="center"/>
              <w:rPr>
                <w:b/>
                <w:bCs/>
                <w:sz w:val="20"/>
              </w:rPr>
            </w:pPr>
            <w:r w:rsidRPr="005810AB">
              <w:rPr>
                <w:b/>
                <w:bCs/>
                <w:sz w:val="20"/>
              </w:rPr>
              <w:t>Izvor finansiranja</w:t>
            </w:r>
          </w:p>
        </w:tc>
        <w:tc>
          <w:tcPr>
            <w:tcW w:w="3869" w:type="dxa"/>
            <w:gridSpan w:val="4"/>
            <w:shd w:val="clear" w:color="auto" w:fill="FFF2CC" w:themeFill="accent4" w:themeFillTint="33"/>
            <w:hideMark/>
          </w:tcPr>
          <w:p w14:paraId="5DCA8B96" w14:textId="77777777" w:rsidR="009E0228" w:rsidRPr="005810AB" w:rsidRDefault="009E0228" w:rsidP="00F43978">
            <w:pPr>
              <w:jc w:val="center"/>
              <w:rPr>
                <w:b/>
                <w:bCs/>
                <w:sz w:val="20"/>
              </w:rPr>
            </w:pPr>
            <w:r w:rsidRPr="005810AB">
              <w:rPr>
                <w:b/>
                <w:bCs/>
                <w:sz w:val="20"/>
              </w:rPr>
              <w:t>Obrazloženje</w:t>
            </w:r>
          </w:p>
        </w:tc>
      </w:tr>
      <w:tr w:rsidR="00C642DC" w:rsidRPr="005810AB" w14:paraId="4B1F3685" w14:textId="77777777" w:rsidTr="0090147E">
        <w:trPr>
          <w:gridAfter w:val="1"/>
          <w:wAfter w:w="91" w:type="dxa"/>
          <w:trHeight w:val="7980"/>
        </w:trPr>
        <w:tc>
          <w:tcPr>
            <w:tcW w:w="539" w:type="dxa"/>
            <w:hideMark/>
          </w:tcPr>
          <w:p w14:paraId="16975ADB" w14:textId="77777777" w:rsidR="00C642DC" w:rsidRPr="005810AB" w:rsidRDefault="00C642DC" w:rsidP="005810AB">
            <w:pPr>
              <w:jc w:val="both"/>
              <w:rPr>
                <w:b/>
                <w:sz w:val="20"/>
              </w:rPr>
            </w:pPr>
            <w:r w:rsidRPr="005810AB">
              <w:rPr>
                <w:b/>
                <w:sz w:val="20"/>
              </w:rPr>
              <w:lastRenderedPageBreak/>
              <w:t>1</w:t>
            </w:r>
          </w:p>
        </w:tc>
        <w:tc>
          <w:tcPr>
            <w:tcW w:w="2797" w:type="dxa"/>
            <w:hideMark/>
          </w:tcPr>
          <w:p w14:paraId="47854618" w14:textId="77777777" w:rsidR="00C642DC" w:rsidRPr="00F43978" w:rsidRDefault="00C642DC">
            <w:pPr>
              <w:jc w:val="both"/>
              <w:rPr>
                <w:sz w:val="20"/>
              </w:rPr>
            </w:pPr>
            <w:r w:rsidRPr="00F43978">
              <w:rPr>
                <w:sz w:val="20"/>
              </w:rPr>
              <w:t>Zakon o elektronskim komunikacijama</w:t>
            </w:r>
          </w:p>
        </w:tc>
        <w:tc>
          <w:tcPr>
            <w:tcW w:w="1670" w:type="dxa"/>
            <w:gridSpan w:val="2"/>
            <w:hideMark/>
          </w:tcPr>
          <w:p w14:paraId="5EDEEBF2" w14:textId="77777777" w:rsidR="00C642DC" w:rsidRPr="00F43978" w:rsidRDefault="00C642DC">
            <w:pPr>
              <w:jc w:val="both"/>
              <w:rPr>
                <w:sz w:val="20"/>
              </w:rPr>
            </w:pPr>
            <w:r w:rsidRPr="00F43978">
              <w:rPr>
                <w:sz w:val="20"/>
              </w:rPr>
              <w:t>Utvrđen Zakon o elektronskim komunikacijama</w:t>
            </w:r>
          </w:p>
        </w:tc>
        <w:tc>
          <w:tcPr>
            <w:tcW w:w="1960" w:type="dxa"/>
            <w:gridSpan w:val="3"/>
            <w:hideMark/>
          </w:tcPr>
          <w:p w14:paraId="290E8BF7" w14:textId="77777777" w:rsidR="00C642DC" w:rsidRDefault="00C642DC" w:rsidP="00F43978">
            <w:pPr>
              <w:jc w:val="both"/>
              <w:rPr>
                <w:sz w:val="20"/>
              </w:rPr>
            </w:pPr>
          </w:p>
          <w:p w14:paraId="2E1C4F89" w14:textId="77777777" w:rsidR="00C642DC" w:rsidRDefault="00C642DC" w:rsidP="00F43978">
            <w:pPr>
              <w:jc w:val="both"/>
              <w:rPr>
                <w:sz w:val="20"/>
              </w:rPr>
            </w:pPr>
            <w:r w:rsidRPr="00F43978">
              <w:rPr>
                <w:sz w:val="20"/>
              </w:rPr>
              <w:t>NI: MER</w:t>
            </w:r>
          </w:p>
          <w:p w14:paraId="0F23F538" w14:textId="77777777" w:rsidR="00C642DC" w:rsidRPr="00F43978" w:rsidRDefault="00C642DC" w:rsidP="00F43978">
            <w:pPr>
              <w:jc w:val="both"/>
              <w:rPr>
                <w:sz w:val="20"/>
              </w:rPr>
            </w:pPr>
            <w:r w:rsidRPr="00F43978">
              <w:rPr>
                <w:sz w:val="20"/>
              </w:rPr>
              <w:t>NK: KEPIF</w:t>
            </w:r>
          </w:p>
          <w:p w14:paraId="71830C87" w14:textId="77777777" w:rsidR="00C642DC" w:rsidRPr="00F43978" w:rsidRDefault="00C642DC" w:rsidP="005810AB">
            <w:pPr>
              <w:jc w:val="both"/>
              <w:rPr>
                <w:sz w:val="20"/>
              </w:rPr>
            </w:pPr>
            <w:r w:rsidRPr="00F43978">
              <w:rPr>
                <w:sz w:val="20"/>
              </w:rPr>
              <w:t> </w:t>
            </w:r>
          </w:p>
          <w:p w14:paraId="4B84972C" w14:textId="77777777" w:rsidR="00C642DC" w:rsidRPr="00F43978" w:rsidRDefault="00C642DC" w:rsidP="005810AB">
            <w:pPr>
              <w:jc w:val="both"/>
              <w:rPr>
                <w:sz w:val="20"/>
              </w:rPr>
            </w:pPr>
            <w:r w:rsidRPr="00F43978">
              <w:rPr>
                <w:sz w:val="20"/>
              </w:rPr>
              <w:t> </w:t>
            </w:r>
          </w:p>
          <w:p w14:paraId="38A83DD7" w14:textId="77777777" w:rsidR="00C642DC" w:rsidRPr="00F43978" w:rsidRDefault="00C642DC" w:rsidP="005810AB">
            <w:pPr>
              <w:jc w:val="both"/>
              <w:rPr>
                <w:sz w:val="20"/>
              </w:rPr>
            </w:pPr>
            <w:r w:rsidRPr="00F43978">
              <w:rPr>
                <w:sz w:val="20"/>
              </w:rPr>
              <w:t> </w:t>
            </w:r>
          </w:p>
          <w:p w14:paraId="29592631" w14:textId="77777777" w:rsidR="00C642DC" w:rsidRPr="00F43978" w:rsidRDefault="00C642DC" w:rsidP="005810AB">
            <w:pPr>
              <w:jc w:val="both"/>
              <w:rPr>
                <w:sz w:val="20"/>
              </w:rPr>
            </w:pPr>
            <w:r w:rsidRPr="00F43978">
              <w:rPr>
                <w:sz w:val="20"/>
              </w:rPr>
              <w:t> </w:t>
            </w:r>
          </w:p>
          <w:p w14:paraId="5C1AEB68" w14:textId="77777777" w:rsidR="00C642DC" w:rsidRPr="00F43978" w:rsidRDefault="00C642DC" w:rsidP="005810AB">
            <w:pPr>
              <w:jc w:val="both"/>
              <w:rPr>
                <w:sz w:val="20"/>
              </w:rPr>
            </w:pPr>
            <w:r w:rsidRPr="00F43978">
              <w:rPr>
                <w:sz w:val="20"/>
              </w:rPr>
              <w:t> </w:t>
            </w:r>
          </w:p>
        </w:tc>
        <w:tc>
          <w:tcPr>
            <w:tcW w:w="1322" w:type="dxa"/>
            <w:gridSpan w:val="3"/>
            <w:hideMark/>
          </w:tcPr>
          <w:p w14:paraId="0FC5EB2C" w14:textId="77777777" w:rsidR="00C642DC" w:rsidRPr="00F43978" w:rsidRDefault="00C642DC">
            <w:pPr>
              <w:jc w:val="both"/>
              <w:rPr>
                <w:sz w:val="20"/>
              </w:rPr>
            </w:pPr>
            <w:r w:rsidRPr="00F43978">
              <w:rPr>
                <w:sz w:val="20"/>
              </w:rPr>
              <w:t>I Q 2022      IV Q 2022</w:t>
            </w:r>
          </w:p>
        </w:tc>
        <w:tc>
          <w:tcPr>
            <w:tcW w:w="1469" w:type="dxa"/>
            <w:gridSpan w:val="2"/>
            <w:hideMark/>
          </w:tcPr>
          <w:p w14:paraId="36DBAA29" w14:textId="77777777" w:rsidR="00C642DC" w:rsidRPr="00F43978" w:rsidRDefault="00C642DC">
            <w:pPr>
              <w:jc w:val="both"/>
              <w:rPr>
                <w:sz w:val="20"/>
              </w:rPr>
            </w:pPr>
            <w:r w:rsidRPr="00F43978">
              <w:rPr>
                <w:sz w:val="20"/>
              </w:rPr>
              <w:t>20.000 eura za angažovanje konsultanta za izradu ZEK-a</w:t>
            </w:r>
          </w:p>
          <w:p w14:paraId="241BC30F" w14:textId="77777777" w:rsidR="00C642DC" w:rsidRPr="00F43978" w:rsidRDefault="00C642DC" w:rsidP="00F43978">
            <w:pPr>
              <w:jc w:val="both"/>
              <w:rPr>
                <w:sz w:val="20"/>
              </w:rPr>
            </w:pPr>
            <w:r w:rsidRPr="00F43978">
              <w:rPr>
                <w:sz w:val="20"/>
              </w:rPr>
              <w:t xml:space="preserve"> </w:t>
            </w:r>
          </w:p>
          <w:p w14:paraId="5816D9F5" w14:textId="77777777" w:rsidR="00C642DC" w:rsidRPr="00F43978" w:rsidRDefault="00C642DC" w:rsidP="00F43978">
            <w:pPr>
              <w:jc w:val="both"/>
              <w:rPr>
                <w:sz w:val="20"/>
              </w:rPr>
            </w:pPr>
            <w:r w:rsidRPr="00F43978">
              <w:rPr>
                <w:sz w:val="20"/>
              </w:rPr>
              <w:t>Za utvrđivanje procjene uticaja propisa će biti urađena RIA.</w:t>
            </w:r>
          </w:p>
          <w:p w14:paraId="7FB47F17" w14:textId="77777777" w:rsidR="00C642DC" w:rsidRPr="00F43978" w:rsidRDefault="00C642DC" w:rsidP="005810AB">
            <w:pPr>
              <w:jc w:val="both"/>
              <w:rPr>
                <w:sz w:val="20"/>
              </w:rPr>
            </w:pPr>
            <w:r w:rsidRPr="00F43978">
              <w:rPr>
                <w:sz w:val="20"/>
              </w:rPr>
              <w:t> </w:t>
            </w:r>
          </w:p>
          <w:p w14:paraId="4A7C958F" w14:textId="77777777" w:rsidR="00C642DC" w:rsidRPr="00F43978" w:rsidRDefault="00C642DC" w:rsidP="005810AB">
            <w:pPr>
              <w:jc w:val="both"/>
              <w:rPr>
                <w:sz w:val="20"/>
              </w:rPr>
            </w:pPr>
            <w:r w:rsidRPr="00F43978">
              <w:rPr>
                <w:sz w:val="20"/>
              </w:rPr>
              <w:t> </w:t>
            </w:r>
          </w:p>
          <w:p w14:paraId="288260B3" w14:textId="77777777" w:rsidR="00C642DC" w:rsidRPr="00F43978" w:rsidRDefault="00C642DC" w:rsidP="005810AB">
            <w:pPr>
              <w:jc w:val="both"/>
              <w:rPr>
                <w:sz w:val="20"/>
              </w:rPr>
            </w:pPr>
            <w:r w:rsidRPr="00F43978">
              <w:rPr>
                <w:sz w:val="20"/>
              </w:rPr>
              <w:t> </w:t>
            </w:r>
          </w:p>
          <w:p w14:paraId="2CC46D06" w14:textId="77777777" w:rsidR="00C642DC" w:rsidRPr="00F43978" w:rsidRDefault="00C642DC" w:rsidP="005810AB">
            <w:pPr>
              <w:jc w:val="both"/>
              <w:rPr>
                <w:sz w:val="20"/>
              </w:rPr>
            </w:pPr>
            <w:r w:rsidRPr="00F43978">
              <w:rPr>
                <w:sz w:val="20"/>
              </w:rPr>
              <w:t> </w:t>
            </w:r>
          </w:p>
        </w:tc>
        <w:tc>
          <w:tcPr>
            <w:tcW w:w="2066" w:type="dxa"/>
            <w:gridSpan w:val="6"/>
            <w:hideMark/>
          </w:tcPr>
          <w:p w14:paraId="0697494A" w14:textId="77777777" w:rsidR="00C642DC" w:rsidRPr="00F43978" w:rsidRDefault="00C642DC">
            <w:pPr>
              <w:jc w:val="both"/>
              <w:rPr>
                <w:sz w:val="20"/>
              </w:rPr>
            </w:pPr>
            <w:r w:rsidRPr="00F43978">
              <w:rPr>
                <w:sz w:val="20"/>
              </w:rPr>
              <w:t>Budžez</w:t>
            </w:r>
          </w:p>
        </w:tc>
        <w:tc>
          <w:tcPr>
            <w:tcW w:w="3026" w:type="dxa"/>
            <w:gridSpan w:val="2"/>
            <w:hideMark/>
          </w:tcPr>
          <w:p w14:paraId="74E341A5" w14:textId="77777777" w:rsidR="00C642DC" w:rsidRDefault="00C642DC">
            <w:pPr>
              <w:jc w:val="both"/>
              <w:rPr>
                <w:sz w:val="20"/>
              </w:rPr>
            </w:pPr>
            <w:r>
              <w:rPr>
                <w:sz w:val="20"/>
              </w:rPr>
              <w:t>U</w:t>
            </w:r>
            <w:r w:rsidRPr="00F43978">
              <w:rPr>
                <w:sz w:val="20"/>
              </w:rPr>
              <w:t xml:space="preserve">tvrđivanjem Zakona o elektronskim komunikacijama će se:  </w:t>
            </w:r>
          </w:p>
          <w:p w14:paraId="4D5A45C3" w14:textId="77777777" w:rsidR="00C642DC" w:rsidRPr="00F43978" w:rsidRDefault="00C642DC">
            <w:pPr>
              <w:jc w:val="both"/>
              <w:rPr>
                <w:sz w:val="20"/>
              </w:rPr>
            </w:pPr>
          </w:p>
          <w:p w14:paraId="1B331632" w14:textId="77777777" w:rsidR="00C642DC" w:rsidRPr="00F43978" w:rsidRDefault="00C642DC" w:rsidP="00F43978">
            <w:pPr>
              <w:jc w:val="both"/>
              <w:rPr>
                <w:sz w:val="20"/>
              </w:rPr>
            </w:pPr>
            <w:r w:rsidRPr="00F43978">
              <w:rPr>
                <w:sz w:val="20"/>
              </w:rPr>
              <w:t>1. izvršiti usklađivanje sa Zakonom o državnoj upravi („Službeni list Crne Gore“, br.78/18 i 70/21);</w:t>
            </w:r>
          </w:p>
          <w:p w14:paraId="11E7332A" w14:textId="77777777" w:rsidR="00C642DC" w:rsidRPr="00F43978" w:rsidRDefault="00C642DC" w:rsidP="00F43978">
            <w:pPr>
              <w:jc w:val="both"/>
              <w:rPr>
                <w:sz w:val="20"/>
              </w:rPr>
            </w:pPr>
            <w:r w:rsidRPr="00F43978">
              <w:rPr>
                <w:sz w:val="20"/>
              </w:rPr>
              <w:t>2. prenijeti dio Direktive 2014/61/EU, čime se definiše i i uređuje način funkcionisanja:</w:t>
            </w:r>
          </w:p>
          <w:p w14:paraId="6DA2922B" w14:textId="77777777" w:rsidR="00C642DC" w:rsidRPr="00F43978" w:rsidRDefault="00C642DC">
            <w:pPr>
              <w:jc w:val="both"/>
              <w:rPr>
                <w:sz w:val="20"/>
              </w:rPr>
            </w:pPr>
            <w:r>
              <w:rPr>
                <w:sz w:val="20"/>
              </w:rPr>
              <w:t xml:space="preserve">- </w:t>
            </w:r>
            <w:r w:rsidRPr="00F43978">
              <w:rPr>
                <w:sz w:val="20"/>
              </w:rPr>
              <w:t xml:space="preserve">fizičke infrastrukture u zgradi, </w:t>
            </w:r>
          </w:p>
          <w:p w14:paraId="10CE7981" w14:textId="77777777" w:rsidR="00C642DC" w:rsidRPr="00F43978" w:rsidRDefault="00C642DC" w:rsidP="00F43978">
            <w:pPr>
              <w:jc w:val="both"/>
              <w:rPr>
                <w:sz w:val="20"/>
              </w:rPr>
            </w:pPr>
            <w:r>
              <w:rPr>
                <w:sz w:val="20"/>
              </w:rPr>
              <w:t>-</w:t>
            </w:r>
            <w:r w:rsidRPr="00F43978">
              <w:rPr>
                <w:sz w:val="20"/>
              </w:rPr>
              <w:t>fizičke infrastrukture u zgradi prilagođene mrežama velikih brzina, i</w:t>
            </w:r>
          </w:p>
          <w:p w14:paraId="5C180355" w14:textId="77777777" w:rsidR="00C642DC" w:rsidRDefault="00C642DC" w:rsidP="00F43978">
            <w:pPr>
              <w:jc w:val="both"/>
              <w:rPr>
                <w:sz w:val="20"/>
              </w:rPr>
            </w:pPr>
            <w:r w:rsidRPr="00F43978">
              <w:rPr>
                <w:sz w:val="20"/>
              </w:rPr>
              <w:t>-</w:t>
            </w:r>
            <w:r>
              <w:rPr>
                <w:sz w:val="20"/>
              </w:rPr>
              <w:t xml:space="preserve"> </w:t>
            </w:r>
            <w:r w:rsidRPr="00F43978">
              <w:rPr>
                <w:sz w:val="20"/>
              </w:rPr>
              <w:t xml:space="preserve">pojam pristupne tačke; i  </w:t>
            </w:r>
          </w:p>
          <w:p w14:paraId="2044B9EF" w14:textId="77777777" w:rsidR="00C642DC" w:rsidRPr="00F43978" w:rsidRDefault="00C642DC" w:rsidP="00F43978">
            <w:pPr>
              <w:jc w:val="both"/>
              <w:rPr>
                <w:sz w:val="20"/>
              </w:rPr>
            </w:pPr>
          </w:p>
          <w:p w14:paraId="079DC870" w14:textId="77777777" w:rsidR="00C642DC" w:rsidRPr="00F43978" w:rsidRDefault="00C642DC" w:rsidP="00F43978">
            <w:pPr>
              <w:jc w:val="both"/>
              <w:rPr>
                <w:sz w:val="20"/>
              </w:rPr>
            </w:pPr>
            <w:r w:rsidRPr="00F43978">
              <w:rPr>
                <w:sz w:val="20"/>
              </w:rPr>
              <w:t>3. Transponovanje i efikasna primjena Direktive EU o evropskom elektronskom komunikacionom kodu 2018/1972.            Donošenjem Zakona o elektronskim komunikacijama proizilazi obaveza izrade i donošenja novih podzakonskih akata.</w:t>
            </w:r>
          </w:p>
        </w:tc>
      </w:tr>
      <w:tr w:rsidR="00F43978" w:rsidRPr="005810AB" w14:paraId="3ED12CA5" w14:textId="77777777" w:rsidTr="00C642DC">
        <w:trPr>
          <w:gridAfter w:val="1"/>
          <w:wAfter w:w="91" w:type="dxa"/>
          <w:trHeight w:val="5268"/>
        </w:trPr>
        <w:tc>
          <w:tcPr>
            <w:tcW w:w="539" w:type="dxa"/>
            <w:hideMark/>
          </w:tcPr>
          <w:p w14:paraId="077B7140" w14:textId="77777777" w:rsidR="00F43978" w:rsidRPr="005810AB" w:rsidRDefault="00F43978" w:rsidP="005810AB">
            <w:pPr>
              <w:jc w:val="both"/>
              <w:rPr>
                <w:b/>
                <w:sz w:val="20"/>
              </w:rPr>
            </w:pPr>
            <w:r w:rsidRPr="005810AB">
              <w:rPr>
                <w:b/>
                <w:sz w:val="20"/>
              </w:rPr>
              <w:lastRenderedPageBreak/>
              <w:t> </w:t>
            </w:r>
            <w:r>
              <w:rPr>
                <w:b/>
                <w:sz w:val="20"/>
              </w:rPr>
              <w:t>2.</w:t>
            </w:r>
          </w:p>
        </w:tc>
        <w:tc>
          <w:tcPr>
            <w:tcW w:w="2797" w:type="dxa"/>
            <w:hideMark/>
          </w:tcPr>
          <w:p w14:paraId="25B44B11" w14:textId="77777777" w:rsidR="00F43978" w:rsidRPr="00F43978" w:rsidRDefault="00F43978">
            <w:pPr>
              <w:jc w:val="both"/>
              <w:rPr>
                <w:sz w:val="20"/>
              </w:rPr>
            </w:pPr>
            <w:r w:rsidRPr="00F43978">
              <w:rPr>
                <w:sz w:val="20"/>
              </w:rPr>
              <w:t>Nacionalni plan razvoja širokopojasnih mreža velikih brzina</w:t>
            </w:r>
          </w:p>
        </w:tc>
        <w:tc>
          <w:tcPr>
            <w:tcW w:w="1670" w:type="dxa"/>
            <w:gridSpan w:val="2"/>
            <w:hideMark/>
          </w:tcPr>
          <w:p w14:paraId="10B0821A" w14:textId="77777777" w:rsidR="00F43978" w:rsidRPr="00F43978" w:rsidRDefault="00F43978">
            <w:pPr>
              <w:jc w:val="both"/>
              <w:rPr>
                <w:sz w:val="20"/>
              </w:rPr>
            </w:pPr>
            <w:r w:rsidRPr="00F43978">
              <w:rPr>
                <w:sz w:val="20"/>
              </w:rPr>
              <w:t>Usvojen Nacionalni plan razvoja širokopojasnih mreža velikih brzina</w:t>
            </w:r>
          </w:p>
        </w:tc>
        <w:tc>
          <w:tcPr>
            <w:tcW w:w="1960" w:type="dxa"/>
            <w:gridSpan w:val="3"/>
            <w:hideMark/>
          </w:tcPr>
          <w:p w14:paraId="5E7BD864" w14:textId="77777777" w:rsidR="00F43978" w:rsidRPr="00F43978" w:rsidRDefault="00F43978">
            <w:pPr>
              <w:jc w:val="both"/>
              <w:rPr>
                <w:sz w:val="20"/>
              </w:rPr>
            </w:pPr>
            <w:r w:rsidRPr="00F43978">
              <w:rPr>
                <w:sz w:val="20"/>
              </w:rPr>
              <w:t>NI: MER</w:t>
            </w:r>
          </w:p>
          <w:p w14:paraId="50294FF7" w14:textId="77777777" w:rsidR="00F43978" w:rsidRPr="00F43978" w:rsidRDefault="00F43978" w:rsidP="00F43978">
            <w:pPr>
              <w:jc w:val="both"/>
              <w:rPr>
                <w:sz w:val="20"/>
              </w:rPr>
            </w:pPr>
            <w:r w:rsidRPr="00F43978">
              <w:rPr>
                <w:sz w:val="20"/>
              </w:rPr>
              <w:t>NK: KEPIF</w:t>
            </w:r>
          </w:p>
        </w:tc>
        <w:tc>
          <w:tcPr>
            <w:tcW w:w="1322" w:type="dxa"/>
            <w:gridSpan w:val="3"/>
            <w:hideMark/>
          </w:tcPr>
          <w:p w14:paraId="5BED9630" w14:textId="77777777" w:rsidR="00F43978" w:rsidRPr="00F43978" w:rsidRDefault="00F43978">
            <w:pPr>
              <w:jc w:val="both"/>
              <w:rPr>
                <w:sz w:val="20"/>
              </w:rPr>
            </w:pPr>
            <w:r w:rsidRPr="00F43978">
              <w:rPr>
                <w:sz w:val="20"/>
              </w:rPr>
              <w:t>I Q 2022      IV Q 2022</w:t>
            </w:r>
          </w:p>
        </w:tc>
        <w:tc>
          <w:tcPr>
            <w:tcW w:w="1469" w:type="dxa"/>
            <w:gridSpan w:val="2"/>
            <w:hideMark/>
          </w:tcPr>
          <w:p w14:paraId="44A79903" w14:textId="77777777" w:rsidR="00F43978" w:rsidRPr="00F43978" w:rsidRDefault="00F43978">
            <w:pPr>
              <w:jc w:val="both"/>
              <w:rPr>
                <w:sz w:val="20"/>
              </w:rPr>
            </w:pPr>
            <w:r w:rsidRPr="00F43978">
              <w:rPr>
                <w:sz w:val="20"/>
              </w:rPr>
              <w:t xml:space="preserve">20.000 eura za angažovanje konsultanta </w:t>
            </w:r>
          </w:p>
        </w:tc>
        <w:tc>
          <w:tcPr>
            <w:tcW w:w="2066" w:type="dxa"/>
            <w:gridSpan w:val="6"/>
            <w:hideMark/>
          </w:tcPr>
          <w:p w14:paraId="6CA5DF4E" w14:textId="77777777" w:rsidR="00F43978" w:rsidRPr="00F43978" w:rsidRDefault="00F43978">
            <w:pPr>
              <w:jc w:val="both"/>
              <w:rPr>
                <w:sz w:val="20"/>
              </w:rPr>
            </w:pPr>
            <w:r w:rsidRPr="00F43978">
              <w:rPr>
                <w:sz w:val="20"/>
              </w:rPr>
              <w:t>Budžet</w:t>
            </w:r>
          </w:p>
        </w:tc>
        <w:tc>
          <w:tcPr>
            <w:tcW w:w="3026" w:type="dxa"/>
            <w:gridSpan w:val="2"/>
            <w:hideMark/>
          </w:tcPr>
          <w:p w14:paraId="32749DA9" w14:textId="77777777" w:rsidR="00F43978" w:rsidRPr="00F43978" w:rsidRDefault="00F43978">
            <w:pPr>
              <w:jc w:val="both"/>
              <w:rPr>
                <w:sz w:val="20"/>
              </w:rPr>
            </w:pPr>
            <w:r w:rsidRPr="00F43978">
              <w:rPr>
                <w:sz w:val="20"/>
              </w:rPr>
              <w:t>Propisivanje ciljeva, mjera i modela za razvoj širokopojasnog pristupa, sa ciljevima koji će u najvećoj mjeri biti u skladu sa dokumentom EU „Evropsko gigabitno društvo 2025“.</w:t>
            </w:r>
          </w:p>
        </w:tc>
      </w:tr>
      <w:tr w:rsidR="00F43978" w:rsidRPr="005810AB" w14:paraId="068949FE" w14:textId="77777777" w:rsidTr="00C642DC">
        <w:trPr>
          <w:gridAfter w:val="1"/>
          <w:wAfter w:w="91" w:type="dxa"/>
          <w:trHeight w:val="4670"/>
        </w:trPr>
        <w:tc>
          <w:tcPr>
            <w:tcW w:w="539" w:type="dxa"/>
            <w:hideMark/>
          </w:tcPr>
          <w:p w14:paraId="79AA7E05" w14:textId="77777777" w:rsidR="00F43978" w:rsidRPr="005810AB" w:rsidRDefault="00F43978" w:rsidP="005810AB">
            <w:pPr>
              <w:jc w:val="both"/>
              <w:rPr>
                <w:b/>
                <w:sz w:val="20"/>
              </w:rPr>
            </w:pPr>
            <w:r w:rsidRPr="005810AB">
              <w:rPr>
                <w:b/>
                <w:sz w:val="20"/>
              </w:rPr>
              <w:lastRenderedPageBreak/>
              <w:t> </w:t>
            </w:r>
            <w:r>
              <w:rPr>
                <w:b/>
                <w:sz w:val="20"/>
              </w:rPr>
              <w:t>3.</w:t>
            </w:r>
          </w:p>
        </w:tc>
        <w:tc>
          <w:tcPr>
            <w:tcW w:w="2797" w:type="dxa"/>
            <w:hideMark/>
          </w:tcPr>
          <w:p w14:paraId="1CB17BFB" w14:textId="77777777" w:rsidR="00F43978" w:rsidRPr="00F43978" w:rsidRDefault="00F43978">
            <w:pPr>
              <w:jc w:val="both"/>
              <w:rPr>
                <w:sz w:val="20"/>
              </w:rPr>
            </w:pPr>
            <w:r w:rsidRPr="00F43978">
              <w:rPr>
                <w:sz w:val="20"/>
              </w:rPr>
              <w:t>Strategija za uvođenje 5G u Crnoj Gori</w:t>
            </w:r>
          </w:p>
        </w:tc>
        <w:tc>
          <w:tcPr>
            <w:tcW w:w="1670" w:type="dxa"/>
            <w:gridSpan w:val="2"/>
            <w:hideMark/>
          </w:tcPr>
          <w:p w14:paraId="5FEE10E4" w14:textId="77777777" w:rsidR="00F43978" w:rsidRPr="00F43978" w:rsidRDefault="00F43978">
            <w:pPr>
              <w:jc w:val="both"/>
              <w:rPr>
                <w:sz w:val="20"/>
              </w:rPr>
            </w:pPr>
            <w:r w:rsidRPr="00F43978">
              <w:rPr>
                <w:sz w:val="20"/>
              </w:rPr>
              <w:t>Usvojena Strategija za uvođenje 5G U Crnoj Gori</w:t>
            </w:r>
          </w:p>
        </w:tc>
        <w:tc>
          <w:tcPr>
            <w:tcW w:w="1960" w:type="dxa"/>
            <w:gridSpan w:val="3"/>
            <w:hideMark/>
          </w:tcPr>
          <w:p w14:paraId="4B0AEA52" w14:textId="77777777" w:rsidR="00F43978" w:rsidRPr="00F43978" w:rsidRDefault="00F43978">
            <w:pPr>
              <w:jc w:val="both"/>
              <w:rPr>
                <w:sz w:val="20"/>
              </w:rPr>
            </w:pPr>
            <w:r w:rsidRPr="00F43978">
              <w:rPr>
                <w:sz w:val="20"/>
              </w:rPr>
              <w:t>NI: MER</w:t>
            </w:r>
          </w:p>
          <w:p w14:paraId="7CCC306A" w14:textId="77777777" w:rsidR="00F43978" w:rsidRPr="00F43978" w:rsidRDefault="00F43978" w:rsidP="00F43978">
            <w:pPr>
              <w:jc w:val="both"/>
              <w:rPr>
                <w:sz w:val="20"/>
              </w:rPr>
            </w:pPr>
            <w:r w:rsidRPr="00F43978">
              <w:rPr>
                <w:sz w:val="20"/>
              </w:rPr>
              <w:t>NK: KEPIF</w:t>
            </w:r>
          </w:p>
        </w:tc>
        <w:tc>
          <w:tcPr>
            <w:tcW w:w="1322" w:type="dxa"/>
            <w:gridSpan w:val="3"/>
            <w:hideMark/>
          </w:tcPr>
          <w:p w14:paraId="406A508A" w14:textId="77777777" w:rsidR="00F43978" w:rsidRPr="00F43978" w:rsidRDefault="00F43978">
            <w:pPr>
              <w:jc w:val="both"/>
              <w:rPr>
                <w:sz w:val="20"/>
              </w:rPr>
            </w:pPr>
            <w:r w:rsidRPr="00F43978">
              <w:rPr>
                <w:sz w:val="20"/>
              </w:rPr>
              <w:t>I Q 2022      IV Q 2022</w:t>
            </w:r>
          </w:p>
        </w:tc>
        <w:tc>
          <w:tcPr>
            <w:tcW w:w="1469" w:type="dxa"/>
            <w:gridSpan w:val="2"/>
            <w:hideMark/>
          </w:tcPr>
          <w:p w14:paraId="49A085B0" w14:textId="77777777" w:rsidR="00F43978" w:rsidRPr="00F43978" w:rsidRDefault="00F43978">
            <w:pPr>
              <w:jc w:val="both"/>
              <w:rPr>
                <w:sz w:val="20"/>
              </w:rPr>
            </w:pPr>
            <w:r w:rsidRPr="00F43978">
              <w:rPr>
                <w:sz w:val="20"/>
              </w:rPr>
              <w:t>20.000 eura za angažovanje konsultanta</w:t>
            </w:r>
          </w:p>
        </w:tc>
        <w:tc>
          <w:tcPr>
            <w:tcW w:w="2066" w:type="dxa"/>
            <w:gridSpan w:val="6"/>
            <w:hideMark/>
          </w:tcPr>
          <w:p w14:paraId="2E359CB0" w14:textId="77777777" w:rsidR="00F43978" w:rsidRPr="00F43978" w:rsidRDefault="00F43978">
            <w:pPr>
              <w:jc w:val="both"/>
              <w:rPr>
                <w:sz w:val="20"/>
              </w:rPr>
            </w:pPr>
            <w:r w:rsidRPr="00F43978">
              <w:rPr>
                <w:sz w:val="20"/>
              </w:rPr>
              <w:t>Budžet</w:t>
            </w:r>
          </w:p>
        </w:tc>
        <w:tc>
          <w:tcPr>
            <w:tcW w:w="3026" w:type="dxa"/>
            <w:gridSpan w:val="2"/>
            <w:hideMark/>
          </w:tcPr>
          <w:p w14:paraId="59C8C70E" w14:textId="77777777" w:rsidR="00F43978" w:rsidRPr="00F43978" w:rsidRDefault="00F43978">
            <w:pPr>
              <w:jc w:val="both"/>
              <w:rPr>
                <w:sz w:val="20"/>
              </w:rPr>
            </w:pPr>
            <w:r w:rsidRPr="00F43978">
              <w:rPr>
                <w:sz w:val="20"/>
              </w:rPr>
              <w:t>U skladu sa Akcionim planom za uspostavljanje Zajedničkog regionalnog tržišta (CRM) i Memorandumom o razumijevanju za 5G Vlada CG je u obavezi da usvoji Strategiju za uvođenje 5G U Crnoj Gori.</w:t>
            </w:r>
          </w:p>
        </w:tc>
      </w:tr>
    </w:tbl>
    <w:p w14:paraId="5BE849F2" w14:textId="77777777" w:rsidR="00EA56E8" w:rsidRDefault="00EA56E8">
      <w:pPr>
        <w:rPr>
          <w:b/>
          <w:sz w:val="20"/>
          <w:szCs w:val="20"/>
        </w:rPr>
      </w:pPr>
      <w:r>
        <w:rPr>
          <w:b/>
          <w:sz w:val="20"/>
          <w:szCs w:val="20"/>
        </w:rPr>
        <w:br w:type="page"/>
      </w:r>
    </w:p>
    <w:tbl>
      <w:tblPr>
        <w:tblW w:w="14886"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11940"/>
      </w:tblGrid>
      <w:tr w:rsidR="00B80AA5" w:rsidRPr="00B80AA5" w14:paraId="2FFEE726" w14:textId="77777777" w:rsidTr="00FD6B98">
        <w:tc>
          <w:tcPr>
            <w:tcW w:w="2946" w:type="dxa"/>
            <w:shd w:val="clear" w:color="auto" w:fill="D9E2F3"/>
          </w:tcPr>
          <w:p w14:paraId="7969BD59" w14:textId="77777777" w:rsidR="00F43978" w:rsidRDefault="00F43978" w:rsidP="00B80AA5">
            <w:pPr>
              <w:spacing w:before="40" w:after="40" w:line="240" w:lineRule="auto"/>
              <w:jc w:val="both"/>
              <w:rPr>
                <w:rFonts w:ascii="Arial Narrow" w:eastAsia="Arial Narrow" w:hAnsi="Arial Narrow" w:cs="Arial Narrow"/>
                <w:b/>
                <w:sz w:val="20"/>
                <w:szCs w:val="20"/>
                <w:lang w:eastAsia="sr-Latn-ME"/>
              </w:rPr>
            </w:pPr>
          </w:p>
          <w:p w14:paraId="689209DF" w14:textId="77777777" w:rsidR="00B80AA5" w:rsidRPr="00F43978" w:rsidRDefault="00B80AA5" w:rsidP="00F43978">
            <w:pPr>
              <w:spacing w:before="40" w:after="40" w:line="240" w:lineRule="auto"/>
              <w:jc w:val="center"/>
              <w:rPr>
                <w:rFonts w:ascii="Arial Narrow" w:eastAsia="Arial Narrow" w:hAnsi="Arial Narrow" w:cs="Arial Narrow"/>
                <w:b/>
                <w:sz w:val="24"/>
                <w:szCs w:val="24"/>
                <w:lang w:eastAsia="sr-Latn-ME"/>
              </w:rPr>
            </w:pPr>
            <w:r w:rsidRPr="00F43978">
              <w:rPr>
                <w:rFonts w:ascii="Arial Narrow" w:eastAsia="Arial Narrow" w:hAnsi="Arial Narrow" w:cs="Arial Narrow"/>
                <w:b/>
                <w:sz w:val="24"/>
                <w:szCs w:val="24"/>
                <w:lang w:eastAsia="sr-Latn-ME"/>
              </w:rPr>
              <w:t>Prioritet 6</w:t>
            </w:r>
          </w:p>
        </w:tc>
        <w:tc>
          <w:tcPr>
            <w:tcW w:w="11940" w:type="dxa"/>
            <w:shd w:val="clear" w:color="auto" w:fill="D9E2F3"/>
          </w:tcPr>
          <w:p w14:paraId="4591AAAB" w14:textId="77777777" w:rsidR="00F43978" w:rsidRPr="00F43978" w:rsidRDefault="00F43978" w:rsidP="00B80AA5">
            <w:pPr>
              <w:spacing w:before="40" w:after="40" w:line="240" w:lineRule="auto"/>
              <w:jc w:val="both"/>
              <w:rPr>
                <w:rFonts w:ascii="Arial Narrow" w:eastAsia="Arial Narrow" w:hAnsi="Arial Narrow" w:cs="Arial Narrow"/>
                <w:b/>
                <w:sz w:val="24"/>
                <w:szCs w:val="24"/>
                <w:lang w:eastAsia="sr-Latn-ME"/>
              </w:rPr>
            </w:pPr>
          </w:p>
          <w:p w14:paraId="004D493A" w14:textId="77777777" w:rsidR="00B80AA5" w:rsidRPr="00B80AA5" w:rsidRDefault="00F43978" w:rsidP="00B80AA5">
            <w:pPr>
              <w:spacing w:before="40" w:after="40" w:line="240" w:lineRule="auto"/>
              <w:jc w:val="both"/>
              <w:rPr>
                <w:rFonts w:ascii="Arial Narrow" w:eastAsia="Arial Narrow" w:hAnsi="Arial Narrow" w:cs="Arial Narrow"/>
                <w:b/>
                <w:sz w:val="20"/>
                <w:szCs w:val="20"/>
                <w:lang w:eastAsia="sr-Latn-ME"/>
              </w:rPr>
            </w:pPr>
            <w:r w:rsidRPr="00F43978">
              <w:rPr>
                <w:rFonts w:ascii="Arial Narrow" w:eastAsia="Arial Narrow" w:hAnsi="Arial Narrow" w:cs="Arial Narrow"/>
                <w:b/>
                <w:sz w:val="24"/>
                <w:szCs w:val="24"/>
                <w:lang w:eastAsia="sr-Latn-ME"/>
              </w:rPr>
              <w:t>CRNA GORA – BUDUĆA ČLANICA EVROPSKE UNIJE SA OJAČANOM POZICIJOM NA MEĐUNARODNOJ SCENI</w:t>
            </w:r>
          </w:p>
        </w:tc>
      </w:tr>
    </w:tbl>
    <w:tbl>
      <w:tblPr>
        <w:tblStyle w:val="TableGrid"/>
        <w:tblW w:w="14891" w:type="dxa"/>
        <w:tblInd w:w="-856" w:type="dxa"/>
        <w:tblLayout w:type="fixed"/>
        <w:tblLook w:val="04A0" w:firstRow="1" w:lastRow="0" w:firstColumn="1" w:lastColumn="0" w:noHBand="0" w:noVBand="1"/>
      </w:tblPr>
      <w:tblGrid>
        <w:gridCol w:w="2934"/>
        <w:gridCol w:w="2339"/>
        <w:gridCol w:w="558"/>
        <w:gridCol w:w="1294"/>
        <w:gridCol w:w="1761"/>
        <w:gridCol w:w="19"/>
        <w:gridCol w:w="2120"/>
        <w:gridCol w:w="937"/>
        <w:gridCol w:w="745"/>
        <w:gridCol w:w="2184"/>
      </w:tblGrid>
      <w:tr w:rsidR="000D7EA8" w14:paraId="139F0C05" w14:textId="77777777" w:rsidTr="00FD6B98">
        <w:tc>
          <w:tcPr>
            <w:tcW w:w="293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F675AB" w14:textId="77777777" w:rsidR="000D7EA8" w:rsidRDefault="000D7EA8" w:rsidP="00FD6B98">
            <w:pPr>
              <w:spacing w:before="40" w:after="40"/>
              <w:jc w:val="center"/>
              <w:rPr>
                <w:rFonts w:cstheme="minorHAnsi"/>
                <w:b/>
                <w:sz w:val="20"/>
              </w:rPr>
            </w:pPr>
            <w:bookmarkStart w:id="52" w:name="_Hlk89635044"/>
            <w:r>
              <w:rPr>
                <w:rFonts w:cstheme="minorHAnsi"/>
                <w:b/>
                <w:sz w:val="20"/>
              </w:rPr>
              <w:t>CILJ 6.1</w:t>
            </w:r>
          </w:p>
        </w:tc>
        <w:tc>
          <w:tcPr>
            <w:tcW w:w="1195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0D19AE" w14:textId="77777777" w:rsidR="000D7EA8" w:rsidRDefault="000D7EA8" w:rsidP="00FD6B98">
            <w:pPr>
              <w:spacing w:before="40" w:after="40"/>
              <w:jc w:val="both"/>
              <w:rPr>
                <w:rFonts w:cstheme="minorHAnsi"/>
                <w:b/>
                <w:sz w:val="20"/>
              </w:rPr>
            </w:pPr>
            <w:r>
              <w:rPr>
                <w:rFonts w:cstheme="minorHAnsi"/>
                <w:b/>
                <w:sz w:val="20"/>
              </w:rPr>
              <w:t>U</w:t>
            </w:r>
            <w:r w:rsidR="00F43978">
              <w:rPr>
                <w:rFonts w:cstheme="minorHAnsi"/>
                <w:b/>
                <w:sz w:val="20"/>
              </w:rPr>
              <w:t xml:space="preserve">napređenje informisanja javnosti o pristupanju crne gore eu </w:t>
            </w:r>
          </w:p>
        </w:tc>
      </w:tr>
      <w:tr w:rsidR="000D7EA8" w14:paraId="268DA00F" w14:textId="77777777" w:rsidTr="00FD6B98">
        <w:tc>
          <w:tcPr>
            <w:tcW w:w="2934" w:type="dxa"/>
            <w:tcBorders>
              <w:top w:val="single" w:sz="4" w:space="0" w:color="auto"/>
              <w:left w:val="single" w:sz="4" w:space="0" w:color="auto"/>
              <w:bottom w:val="single" w:sz="4" w:space="0" w:color="auto"/>
              <w:right w:val="single" w:sz="4" w:space="0" w:color="auto"/>
            </w:tcBorders>
            <w:shd w:val="clear" w:color="auto" w:fill="D4F5F8"/>
            <w:hideMark/>
          </w:tcPr>
          <w:p w14:paraId="579CCD31" w14:textId="77777777" w:rsidR="000D7EA8" w:rsidRDefault="000D7EA8" w:rsidP="00FD6B98">
            <w:pPr>
              <w:spacing w:before="40" w:after="40"/>
              <w:jc w:val="center"/>
              <w:rPr>
                <w:rFonts w:cstheme="minorHAnsi"/>
                <w:b/>
                <w:sz w:val="20"/>
              </w:rPr>
            </w:pPr>
            <w:r>
              <w:rPr>
                <w:rFonts w:cstheme="minorHAnsi"/>
                <w:b/>
                <w:sz w:val="20"/>
              </w:rPr>
              <w:t>Indikator učinka</w:t>
            </w:r>
          </w:p>
        </w:tc>
        <w:tc>
          <w:tcPr>
            <w:tcW w:w="2897" w:type="dxa"/>
            <w:gridSpan w:val="2"/>
            <w:tcBorders>
              <w:top w:val="single" w:sz="4" w:space="0" w:color="auto"/>
              <w:left w:val="single" w:sz="4" w:space="0" w:color="auto"/>
              <w:bottom w:val="single" w:sz="4" w:space="0" w:color="auto"/>
              <w:right w:val="single" w:sz="4" w:space="0" w:color="auto"/>
            </w:tcBorders>
            <w:shd w:val="clear" w:color="auto" w:fill="D4F5F8"/>
            <w:hideMark/>
          </w:tcPr>
          <w:p w14:paraId="3578C58A" w14:textId="77777777" w:rsidR="000D7EA8" w:rsidRDefault="000D7EA8" w:rsidP="00FD6B98">
            <w:pPr>
              <w:spacing w:before="40" w:after="40"/>
              <w:jc w:val="center"/>
              <w:rPr>
                <w:rFonts w:cstheme="minorHAnsi"/>
                <w:b/>
                <w:sz w:val="20"/>
              </w:rPr>
            </w:pPr>
            <w:r>
              <w:rPr>
                <w:rFonts w:cstheme="minorHAnsi"/>
                <w:b/>
                <w:sz w:val="20"/>
              </w:rPr>
              <w:t>Polazna vrijednost – 2021.g</w:t>
            </w:r>
          </w:p>
        </w:tc>
        <w:tc>
          <w:tcPr>
            <w:tcW w:w="3074" w:type="dxa"/>
            <w:gridSpan w:val="3"/>
            <w:tcBorders>
              <w:top w:val="single" w:sz="4" w:space="0" w:color="auto"/>
              <w:left w:val="single" w:sz="4" w:space="0" w:color="auto"/>
              <w:bottom w:val="single" w:sz="4" w:space="0" w:color="auto"/>
              <w:right w:val="single" w:sz="4" w:space="0" w:color="auto"/>
            </w:tcBorders>
            <w:shd w:val="clear" w:color="auto" w:fill="D4F5F8"/>
            <w:hideMark/>
          </w:tcPr>
          <w:p w14:paraId="753F18D2" w14:textId="77777777" w:rsidR="000D7EA8" w:rsidRDefault="000D7EA8" w:rsidP="00FD6B98">
            <w:pPr>
              <w:spacing w:before="40" w:after="40"/>
              <w:jc w:val="center"/>
              <w:rPr>
                <w:rFonts w:cstheme="minorHAnsi"/>
                <w:b/>
                <w:sz w:val="20"/>
              </w:rPr>
            </w:pPr>
            <w:r>
              <w:rPr>
                <w:rFonts w:cstheme="minorHAnsi"/>
                <w:b/>
                <w:sz w:val="20"/>
              </w:rPr>
              <w:t>Prelazna vrijednost – 2022.g</w:t>
            </w:r>
          </w:p>
        </w:tc>
        <w:tc>
          <w:tcPr>
            <w:tcW w:w="3057" w:type="dxa"/>
            <w:gridSpan w:val="2"/>
            <w:tcBorders>
              <w:top w:val="single" w:sz="4" w:space="0" w:color="auto"/>
              <w:left w:val="single" w:sz="4" w:space="0" w:color="auto"/>
              <w:bottom w:val="single" w:sz="4" w:space="0" w:color="auto"/>
              <w:right w:val="single" w:sz="4" w:space="0" w:color="auto"/>
            </w:tcBorders>
            <w:shd w:val="clear" w:color="auto" w:fill="D4F5F8"/>
            <w:hideMark/>
          </w:tcPr>
          <w:p w14:paraId="10A81A64" w14:textId="77777777" w:rsidR="000D7EA8" w:rsidRDefault="000D7EA8" w:rsidP="00FD6B98">
            <w:pPr>
              <w:spacing w:before="40" w:after="40"/>
              <w:jc w:val="center"/>
              <w:rPr>
                <w:rFonts w:cstheme="minorHAnsi"/>
                <w:b/>
                <w:sz w:val="20"/>
              </w:rPr>
            </w:pPr>
            <w:r>
              <w:rPr>
                <w:rFonts w:cstheme="minorHAnsi"/>
                <w:b/>
                <w:sz w:val="20"/>
              </w:rPr>
              <w:t>Prelazna vrijednost – 2023.g</w:t>
            </w:r>
          </w:p>
        </w:tc>
        <w:tc>
          <w:tcPr>
            <w:tcW w:w="2929" w:type="dxa"/>
            <w:gridSpan w:val="2"/>
            <w:tcBorders>
              <w:top w:val="single" w:sz="4" w:space="0" w:color="auto"/>
              <w:left w:val="single" w:sz="4" w:space="0" w:color="auto"/>
              <w:bottom w:val="single" w:sz="4" w:space="0" w:color="auto"/>
              <w:right w:val="single" w:sz="4" w:space="0" w:color="auto"/>
            </w:tcBorders>
            <w:shd w:val="clear" w:color="auto" w:fill="D4F5F8"/>
            <w:hideMark/>
          </w:tcPr>
          <w:p w14:paraId="1C092999" w14:textId="77777777" w:rsidR="000D7EA8" w:rsidRDefault="000D7EA8" w:rsidP="00FD6B98">
            <w:pPr>
              <w:spacing w:before="40" w:after="40"/>
              <w:jc w:val="center"/>
              <w:rPr>
                <w:rFonts w:cstheme="minorHAnsi"/>
                <w:b/>
                <w:sz w:val="20"/>
              </w:rPr>
            </w:pPr>
            <w:r>
              <w:rPr>
                <w:rFonts w:cstheme="minorHAnsi"/>
                <w:b/>
                <w:sz w:val="20"/>
              </w:rPr>
              <w:t>Ciljna vrijednost - 2024.g</w:t>
            </w:r>
          </w:p>
        </w:tc>
      </w:tr>
      <w:tr w:rsidR="005810AB" w14:paraId="5B7CC54E" w14:textId="77777777" w:rsidTr="00FD6B98">
        <w:tc>
          <w:tcPr>
            <w:tcW w:w="2934" w:type="dxa"/>
            <w:tcBorders>
              <w:top w:val="single" w:sz="4" w:space="0" w:color="auto"/>
              <w:left w:val="single" w:sz="4" w:space="0" w:color="auto"/>
              <w:bottom w:val="single" w:sz="4" w:space="0" w:color="auto"/>
              <w:right w:val="single" w:sz="4" w:space="0" w:color="auto"/>
            </w:tcBorders>
            <w:shd w:val="clear" w:color="auto" w:fill="D4F5F8"/>
            <w:hideMark/>
          </w:tcPr>
          <w:p w14:paraId="2242323F" w14:textId="77777777" w:rsidR="005810AB" w:rsidRPr="00F43978" w:rsidRDefault="005810AB" w:rsidP="005810AB">
            <w:pPr>
              <w:spacing w:before="40" w:after="40"/>
              <w:jc w:val="both"/>
              <w:rPr>
                <w:rFonts w:cstheme="minorHAnsi"/>
                <w:sz w:val="20"/>
              </w:rPr>
            </w:pPr>
            <w:r w:rsidRPr="00F43978">
              <w:rPr>
                <w:rFonts w:cstheme="minorHAnsi"/>
                <w:sz w:val="20"/>
              </w:rPr>
              <w:t xml:space="preserve">Procenat veoma dobro i dobro informisanih o procesu pristupanja Crne Gore Evropskoj uniji </w:t>
            </w:r>
          </w:p>
        </w:tc>
        <w:tc>
          <w:tcPr>
            <w:tcW w:w="2897" w:type="dxa"/>
            <w:gridSpan w:val="2"/>
            <w:tcBorders>
              <w:top w:val="single" w:sz="4" w:space="0" w:color="auto"/>
              <w:left w:val="single" w:sz="4" w:space="0" w:color="auto"/>
              <w:bottom w:val="single" w:sz="4" w:space="0" w:color="auto"/>
              <w:right w:val="single" w:sz="4" w:space="0" w:color="auto"/>
            </w:tcBorders>
            <w:shd w:val="clear" w:color="auto" w:fill="D4F5F8"/>
          </w:tcPr>
          <w:p w14:paraId="608E69B6" w14:textId="77777777" w:rsidR="005810AB" w:rsidRPr="00F43978" w:rsidRDefault="005810AB" w:rsidP="00C642DC">
            <w:pPr>
              <w:spacing w:before="40" w:after="40"/>
              <w:jc w:val="center"/>
              <w:rPr>
                <w:rFonts w:cstheme="minorHAnsi"/>
                <w:sz w:val="20"/>
              </w:rPr>
            </w:pPr>
            <w:r w:rsidRPr="00F43978">
              <w:rPr>
                <w:rFonts w:cstheme="minorHAnsi"/>
                <w:sz w:val="20"/>
              </w:rPr>
              <w:t>57,5% veoma dobro i dobro informisanih o procesu pristupanja Crne Gore Evropskoj uniji</w:t>
            </w:r>
          </w:p>
        </w:tc>
        <w:tc>
          <w:tcPr>
            <w:tcW w:w="3074" w:type="dxa"/>
            <w:gridSpan w:val="3"/>
            <w:tcBorders>
              <w:top w:val="single" w:sz="4" w:space="0" w:color="auto"/>
              <w:left w:val="single" w:sz="4" w:space="0" w:color="auto"/>
              <w:bottom w:val="single" w:sz="4" w:space="0" w:color="auto"/>
              <w:right w:val="single" w:sz="4" w:space="0" w:color="auto"/>
            </w:tcBorders>
            <w:shd w:val="clear" w:color="auto" w:fill="D4F5F8"/>
            <w:hideMark/>
          </w:tcPr>
          <w:p w14:paraId="527A4841" w14:textId="77777777" w:rsidR="005810AB" w:rsidRPr="00F43978" w:rsidRDefault="005810AB" w:rsidP="00C642DC">
            <w:pPr>
              <w:spacing w:before="40" w:after="40"/>
              <w:jc w:val="center"/>
              <w:rPr>
                <w:rFonts w:cstheme="minorHAnsi"/>
                <w:sz w:val="20"/>
              </w:rPr>
            </w:pPr>
            <w:r w:rsidRPr="00F43978">
              <w:rPr>
                <w:rFonts w:cstheme="minorHAnsi"/>
                <w:sz w:val="20"/>
              </w:rPr>
              <w:t>Najmanje 55% veoma dobro i dobro informisanih o procesu pristupanja Crne Gore Evropskoj uniji</w:t>
            </w:r>
          </w:p>
        </w:tc>
        <w:tc>
          <w:tcPr>
            <w:tcW w:w="3057" w:type="dxa"/>
            <w:gridSpan w:val="2"/>
            <w:tcBorders>
              <w:top w:val="single" w:sz="4" w:space="0" w:color="auto"/>
              <w:left w:val="single" w:sz="4" w:space="0" w:color="auto"/>
              <w:bottom w:val="single" w:sz="4" w:space="0" w:color="auto"/>
              <w:right w:val="single" w:sz="4" w:space="0" w:color="auto"/>
            </w:tcBorders>
            <w:shd w:val="clear" w:color="auto" w:fill="D4F5F8"/>
          </w:tcPr>
          <w:p w14:paraId="3832B6FC" w14:textId="1DA259C8" w:rsidR="005810AB" w:rsidRDefault="003B14BB" w:rsidP="005810AB">
            <w:pPr>
              <w:spacing w:before="40" w:after="40"/>
              <w:jc w:val="both"/>
              <w:rPr>
                <w:rFonts w:cstheme="minorHAnsi"/>
                <w:sz w:val="20"/>
              </w:rPr>
            </w:pPr>
            <w:r w:rsidRPr="00F43978">
              <w:rPr>
                <w:rFonts w:cstheme="minorHAnsi"/>
                <w:sz w:val="20"/>
              </w:rPr>
              <w:t>Najmanje 55% veoma dobro i dobro informisanih o procesu pristupanja Crne Gore Evropskoj uniji</w:t>
            </w:r>
          </w:p>
        </w:tc>
        <w:tc>
          <w:tcPr>
            <w:tcW w:w="2929" w:type="dxa"/>
            <w:gridSpan w:val="2"/>
            <w:tcBorders>
              <w:top w:val="single" w:sz="4" w:space="0" w:color="auto"/>
              <w:left w:val="single" w:sz="4" w:space="0" w:color="auto"/>
              <w:bottom w:val="single" w:sz="4" w:space="0" w:color="auto"/>
              <w:right w:val="single" w:sz="4" w:space="0" w:color="auto"/>
            </w:tcBorders>
            <w:shd w:val="clear" w:color="auto" w:fill="D4F5F8"/>
          </w:tcPr>
          <w:p w14:paraId="0CA2C56E" w14:textId="785B1330" w:rsidR="005810AB" w:rsidRDefault="003B14BB" w:rsidP="005810AB">
            <w:pPr>
              <w:spacing w:before="40" w:after="40"/>
              <w:jc w:val="both"/>
              <w:rPr>
                <w:rFonts w:cstheme="minorHAnsi"/>
                <w:sz w:val="20"/>
              </w:rPr>
            </w:pPr>
            <w:r w:rsidRPr="00F43978">
              <w:rPr>
                <w:rFonts w:cstheme="minorHAnsi"/>
                <w:sz w:val="20"/>
              </w:rPr>
              <w:t>Najmanje 55% veoma dobro i dobro informisanih o procesu pristupanja Crne Gore Evropskoj uniji</w:t>
            </w:r>
          </w:p>
        </w:tc>
      </w:tr>
      <w:tr w:rsidR="005810AB" w14:paraId="71D19D4C" w14:textId="77777777" w:rsidTr="00FD6B98">
        <w:tc>
          <w:tcPr>
            <w:tcW w:w="2934" w:type="dxa"/>
            <w:tcBorders>
              <w:top w:val="single" w:sz="4" w:space="0" w:color="auto"/>
              <w:left w:val="single" w:sz="4" w:space="0" w:color="auto"/>
              <w:bottom w:val="single" w:sz="4" w:space="0" w:color="auto"/>
              <w:right w:val="single" w:sz="4" w:space="0" w:color="auto"/>
            </w:tcBorders>
            <w:shd w:val="clear" w:color="auto" w:fill="D4F5F8"/>
            <w:hideMark/>
          </w:tcPr>
          <w:p w14:paraId="5CAA31F4" w14:textId="77777777" w:rsidR="005810AB" w:rsidRPr="00F43978" w:rsidRDefault="005810AB" w:rsidP="005810AB">
            <w:pPr>
              <w:spacing w:before="40" w:after="40"/>
              <w:jc w:val="both"/>
              <w:rPr>
                <w:rFonts w:cstheme="minorHAnsi"/>
                <w:sz w:val="20"/>
              </w:rPr>
            </w:pPr>
            <w:r w:rsidRPr="00F43978">
              <w:rPr>
                <w:rFonts w:cstheme="minorHAnsi"/>
                <w:sz w:val="20"/>
              </w:rPr>
              <w:t xml:space="preserve">Generalni stav građana o EU – veoma i uglavnom pozitivan – najmanje  </w:t>
            </w:r>
          </w:p>
        </w:tc>
        <w:tc>
          <w:tcPr>
            <w:tcW w:w="2897" w:type="dxa"/>
            <w:gridSpan w:val="2"/>
            <w:tcBorders>
              <w:top w:val="single" w:sz="4" w:space="0" w:color="auto"/>
              <w:left w:val="single" w:sz="4" w:space="0" w:color="auto"/>
              <w:bottom w:val="single" w:sz="4" w:space="0" w:color="auto"/>
              <w:right w:val="single" w:sz="4" w:space="0" w:color="auto"/>
            </w:tcBorders>
            <w:shd w:val="clear" w:color="auto" w:fill="D4F5F8"/>
          </w:tcPr>
          <w:p w14:paraId="084B37B5" w14:textId="77777777" w:rsidR="005810AB" w:rsidRPr="00F43978" w:rsidRDefault="005810AB" w:rsidP="00C642DC">
            <w:pPr>
              <w:spacing w:before="40" w:after="40"/>
              <w:jc w:val="center"/>
              <w:rPr>
                <w:rFonts w:cstheme="minorHAnsi"/>
                <w:sz w:val="20"/>
              </w:rPr>
            </w:pPr>
            <w:r w:rsidRPr="00F43978">
              <w:rPr>
                <w:rFonts w:cstheme="minorHAnsi"/>
                <w:sz w:val="20"/>
              </w:rPr>
              <w:t>71,9% građana ima veoma i uglavnom pozitivan stav o EU</w:t>
            </w:r>
          </w:p>
        </w:tc>
        <w:tc>
          <w:tcPr>
            <w:tcW w:w="3074" w:type="dxa"/>
            <w:gridSpan w:val="3"/>
            <w:tcBorders>
              <w:top w:val="single" w:sz="4" w:space="0" w:color="auto"/>
              <w:left w:val="single" w:sz="4" w:space="0" w:color="auto"/>
              <w:bottom w:val="single" w:sz="4" w:space="0" w:color="auto"/>
              <w:right w:val="single" w:sz="4" w:space="0" w:color="auto"/>
            </w:tcBorders>
            <w:shd w:val="clear" w:color="auto" w:fill="D4F5F8"/>
          </w:tcPr>
          <w:p w14:paraId="48A4DAF8" w14:textId="77777777" w:rsidR="005810AB" w:rsidRPr="00F43978" w:rsidRDefault="005810AB" w:rsidP="00C642DC">
            <w:pPr>
              <w:spacing w:before="40" w:after="40"/>
              <w:jc w:val="center"/>
              <w:rPr>
                <w:rFonts w:cstheme="minorHAnsi"/>
                <w:sz w:val="20"/>
              </w:rPr>
            </w:pPr>
            <w:r w:rsidRPr="00F43978">
              <w:rPr>
                <w:rFonts w:cstheme="minorHAnsi"/>
                <w:sz w:val="20"/>
              </w:rPr>
              <w:t>Najmanje 65% građana ima veoma i uglavnom pozitivan stav o EU</w:t>
            </w:r>
          </w:p>
        </w:tc>
        <w:tc>
          <w:tcPr>
            <w:tcW w:w="3057" w:type="dxa"/>
            <w:gridSpan w:val="2"/>
            <w:tcBorders>
              <w:top w:val="single" w:sz="4" w:space="0" w:color="auto"/>
              <w:left w:val="single" w:sz="4" w:space="0" w:color="auto"/>
              <w:bottom w:val="single" w:sz="4" w:space="0" w:color="auto"/>
              <w:right w:val="single" w:sz="4" w:space="0" w:color="auto"/>
            </w:tcBorders>
            <w:shd w:val="clear" w:color="auto" w:fill="D4F5F8"/>
          </w:tcPr>
          <w:p w14:paraId="7771291E" w14:textId="71758128" w:rsidR="005810AB" w:rsidRDefault="003B14BB" w:rsidP="005810AB">
            <w:pPr>
              <w:spacing w:before="40" w:after="40"/>
              <w:jc w:val="both"/>
              <w:rPr>
                <w:rFonts w:cstheme="minorHAnsi"/>
                <w:sz w:val="20"/>
              </w:rPr>
            </w:pPr>
            <w:r w:rsidRPr="00F43978">
              <w:rPr>
                <w:rFonts w:cstheme="minorHAnsi"/>
                <w:sz w:val="20"/>
              </w:rPr>
              <w:t>Najmanje 6</w:t>
            </w:r>
            <w:r>
              <w:rPr>
                <w:rFonts w:cstheme="minorHAnsi"/>
                <w:sz w:val="20"/>
              </w:rPr>
              <w:t>3</w:t>
            </w:r>
            <w:r w:rsidRPr="00F43978">
              <w:rPr>
                <w:rFonts w:cstheme="minorHAnsi"/>
                <w:sz w:val="20"/>
              </w:rPr>
              <w:t>% građana ima veoma i uglavnom pozitivan stav o EU</w:t>
            </w:r>
          </w:p>
        </w:tc>
        <w:tc>
          <w:tcPr>
            <w:tcW w:w="2929" w:type="dxa"/>
            <w:gridSpan w:val="2"/>
            <w:tcBorders>
              <w:top w:val="single" w:sz="4" w:space="0" w:color="auto"/>
              <w:left w:val="single" w:sz="4" w:space="0" w:color="auto"/>
              <w:bottom w:val="single" w:sz="4" w:space="0" w:color="auto"/>
              <w:right w:val="single" w:sz="4" w:space="0" w:color="auto"/>
            </w:tcBorders>
            <w:shd w:val="clear" w:color="auto" w:fill="D4F5F8"/>
          </w:tcPr>
          <w:p w14:paraId="4B43599C" w14:textId="55964063" w:rsidR="005810AB" w:rsidRDefault="003B14BB" w:rsidP="005810AB">
            <w:pPr>
              <w:spacing w:before="40" w:after="40"/>
              <w:jc w:val="both"/>
              <w:rPr>
                <w:rFonts w:cstheme="minorHAnsi"/>
                <w:sz w:val="20"/>
              </w:rPr>
            </w:pPr>
            <w:r w:rsidRPr="00F43978">
              <w:rPr>
                <w:rFonts w:cstheme="minorHAnsi"/>
                <w:sz w:val="20"/>
              </w:rPr>
              <w:t>Najmanje 6</w:t>
            </w:r>
            <w:r>
              <w:rPr>
                <w:rFonts w:cstheme="minorHAnsi"/>
                <w:sz w:val="20"/>
              </w:rPr>
              <w:t>0</w:t>
            </w:r>
            <w:r w:rsidRPr="00F43978">
              <w:rPr>
                <w:rFonts w:cstheme="minorHAnsi"/>
                <w:sz w:val="20"/>
              </w:rPr>
              <w:t>% građana ima veoma i uglavnom pozitivan stav o EU</w:t>
            </w:r>
          </w:p>
        </w:tc>
      </w:tr>
      <w:bookmarkEnd w:id="52"/>
      <w:tr w:rsidR="000D7EA8" w14:paraId="71D4D90F" w14:textId="77777777" w:rsidTr="00FD6B98">
        <w:tc>
          <w:tcPr>
            <w:tcW w:w="29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BFB2FE5" w14:textId="77777777" w:rsidR="000D7EA8" w:rsidRDefault="000D7EA8" w:rsidP="00FD6B98">
            <w:pPr>
              <w:spacing w:before="20" w:after="20"/>
              <w:jc w:val="center"/>
              <w:rPr>
                <w:rFonts w:cstheme="minorHAnsi"/>
                <w:b/>
                <w:sz w:val="20"/>
              </w:rPr>
            </w:pPr>
            <w:r>
              <w:rPr>
                <w:rFonts w:cstheme="minorHAnsi"/>
                <w:b/>
                <w:sz w:val="20"/>
              </w:rPr>
              <w:t>Aktivnosti</w:t>
            </w:r>
          </w:p>
        </w:tc>
        <w:tc>
          <w:tcPr>
            <w:tcW w:w="233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E6918CB" w14:textId="77777777" w:rsidR="000D7EA8" w:rsidRDefault="000D7EA8" w:rsidP="00FD6B98">
            <w:pPr>
              <w:spacing w:before="20" w:after="20"/>
              <w:jc w:val="center"/>
              <w:rPr>
                <w:rFonts w:cstheme="minorHAnsi"/>
                <w:b/>
                <w:sz w:val="20"/>
              </w:rPr>
            </w:pPr>
            <w:r>
              <w:rPr>
                <w:rFonts w:cstheme="minorHAnsi"/>
                <w:b/>
                <w:sz w:val="20"/>
              </w:rPr>
              <w:t>Indikator rezultata</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0E8EADA" w14:textId="77777777" w:rsidR="000D7EA8" w:rsidRDefault="000D7EA8" w:rsidP="00FD6B98">
            <w:pPr>
              <w:spacing w:before="20" w:after="20"/>
              <w:jc w:val="center"/>
              <w:rPr>
                <w:rFonts w:cstheme="minorHAnsi"/>
                <w:b/>
                <w:sz w:val="20"/>
              </w:rPr>
            </w:pPr>
            <w:r>
              <w:rPr>
                <w:rFonts w:cstheme="minorHAnsi"/>
                <w:b/>
                <w:sz w:val="20"/>
              </w:rPr>
              <w:t>Nadležne institucije i nadležna komisija</w:t>
            </w:r>
          </w:p>
        </w:tc>
        <w:tc>
          <w:tcPr>
            <w:tcW w:w="176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286957F" w14:textId="77777777" w:rsidR="000D7EA8" w:rsidRDefault="000D7EA8" w:rsidP="00FD6B98">
            <w:pPr>
              <w:spacing w:before="20" w:after="20"/>
              <w:jc w:val="center"/>
              <w:rPr>
                <w:rFonts w:cstheme="minorHAnsi"/>
                <w:b/>
                <w:sz w:val="20"/>
              </w:rPr>
            </w:pPr>
            <w:r>
              <w:rPr>
                <w:rFonts w:cstheme="minorHAnsi"/>
                <w:b/>
                <w:sz w:val="20"/>
              </w:rPr>
              <w:t>Planirani početak i završetak aktivnosti</w:t>
            </w:r>
          </w:p>
        </w:tc>
        <w:tc>
          <w:tcPr>
            <w:tcW w:w="21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021FCFB" w14:textId="77777777" w:rsidR="000D7EA8" w:rsidRDefault="000D7EA8" w:rsidP="00FD6B98">
            <w:pPr>
              <w:spacing w:before="20" w:after="20"/>
              <w:jc w:val="center"/>
              <w:rPr>
                <w:rFonts w:cstheme="minorHAnsi"/>
                <w:b/>
                <w:sz w:val="20"/>
              </w:rPr>
            </w:pPr>
            <w:r>
              <w:rPr>
                <w:rFonts w:cstheme="minorHAnsi"/>
                <w:b/>
                <w:sz w:val="20"/>
              </w:rPr>
              <w:t>Sredstva za realizaciju  i informacija o izradi RIA</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2F30CD6" w14:textId="77777777" w:rsidR="000D7EA8" w:rsidRDefault="000D7EA8" w:rsidP="00FD6B98">
            <w:pPr>
              <w:spacing w:before="20" w:after="20"/>
              <w:jc w:val="center"/>
              <w:rPr>
                <w:rFonts w:cstheme="minorHAnsi"/>
                <w:b/>
                <w:sz w:val="20"/>
              </w:rPr>
            </w:pPr>
            <w:r>
              <w:rPr>
                <w:rFonts w:cstheme="minorHAnsi"/>
                <w:b/>
                <w:sz w:val="20"/>
              </w:rPr>
              <w:t xml:space="preserve"> Izvor finansiranja</w:t>
            </w:r>
          </w:p>
        </w:tc>
        <w:tc>
          <w:tcPr>
            <w:tcW w:w="21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405E10" w14:textId="77777777" w:rsidR="000D7EA8" w:rsidRDefault="000D7EA8" w:rsidP="00FD6B98">
            <w:pPr>
              <w:spacing w:before="20" w:after="20"/>
              <w:jc w:val="center"/>
              <w:rPr>
                <w:rFonts w:cstheme="minorHAnsi"/>
                <w:b/>
                <w:sz w:val="20"/>
              </w:rPr>
            </w:pPr>
          </w:p>
          <w:p w14:paraId="3D654A01" w14:textId="77777777" w:rsidR="000D7EA8" w:rsidRDefault="000D7EA8" w:rsidP="00FD6B98">
            <w:pPr>
              <w:spacing w:before="20" w:after="20"/>
              <w:jc w:val="center"/>
              <w:rPr>
                <w:rFonts w:cstheme="minorHAnsi"/>
                <w:b/>
                <w:sz w:val="20"/>
              </w:rPr>
            </w:pPr>
            <w:r>
              <w:rPr>
                <w:rFonts w:cstheme="minorHAnsi"/>
                <w:b/>
                <w:sz w:val="20"/>
              </w:rPr>
              <w:t>Obrazloženje</w:t>
            </w:r>
          </w:p>
        </w:tc>
      </w:tr>
      <w:tr w:rsidR="00EB6410" w14:paraId="329EADCC" w14:textId="77777777" w:rsidTr="00FD6B98">
        <w:tc>
          <w:tcPr>
            <w:tcW w:w="2934" w:type="dxa"/>
            <w:tcBorders>
              <w:top w:val="single" w:sz="4" w:space="0" w:color="auto"/>
              <w:left w:val="single" w:sz="4" w:space="0" w:color="auto"/>
              <w:bottom w:val="single" w:sz="4" w:space="0" w:color="auto"/>
              <w:right w:val="single" w:sz="4" w:space="0" w:color="auto"/>
            </w:tcBorders>
            <w:vAlign w:val="center"/>
            <w:hideMark/>
          </w:tcPr>
          <w:p w14:paraId="0D980658" w14:textId="4D6DBAB8" w:rsidR="00EB6410" w:rsidRPr="00D5276E" w:rsidRDefault="00EB6410" w:rsidP="00D5276E">
            <w:pPr>
              <w:pStyle w:val="ListParagraph"/>
              <w:numPr>
                <w:ilvl w:val="0"/>
                <w:numId w:val="31"/>
              </w:numPr>
              <w:spacing w:before="20" w:after="20"/>
              <w:jc w:val="both"/>
              <w:rPr>
                <w:rFonts w:cstheme="minorHAnsi"/>
                <w:sz w:val="20"/>
              </w:rPr>
            </w:pPr>
            <w:r w:rsidRPr="00D5276E">
              <w:rPr>
                <w:rFonts w:cstheme="minorHAnsi"/>
                <w:sz w:val="20"/>
              </w:rPr>
              <w:t>Donošenje i realizacija Akcionog plana za 2022. za sprovođenje Strategije informisanja javnosti o pristupanju Crne Gore EU 2019 – 2022</w:t>
            </w:r>
          </w:p>
        </w:tc>
        <w:tc>
          <w:tcPr>
            <w:tcW w:w="2339" w:type="dxa"/>
            <w:tcBorders>
              <w:top w:val="single" w:sz="4" w:space="0" w:color="auto"/>
              <w:left w:val="single" w:sz="4" w:space="0" w:color="auto"/>
              <w:bottom w:val="single" w:sz="4" w:space="0" w:color="auto"/>
              <w:right w:val="single" w:sz="4" w:space="0" w:color="auto"/>
            </w:tcBorders>
            <w:vAlign w:val="center"/>
          </w:tcPr>
          <w:p w14:paraId="1C38150B" w14:textId="77777777" w:rsidR="00EB6410" w:rsidRPr="00DF2E8E" w:rsidRDefault="00EB6410" w:rsidP="00DF2E8E">
            <w:pPr>
              <w:spacing w:before="20" w:after="20"/>
              <w:jc w:val="center"/>
              <w:rPr>
                <w:rFonts w:cstheme="minorHAnsi"/>
                <w:sz w:val="20"/>
              </w:rPr>
            </w:pPr>
            <w:r w:rsidRPr="00DF2E8E">
              <w:rPr>
                <w:rFonts w:cstheme="minorHAnsi"/>
                <w:sz w:val="20"/>
              </w:rPr>
              <w:t>Donijet Akcioni plan</w:t>
            </w:r>
          </w:p>
          <w:p w14:paraId="2E8C0DE1" w14:textId="77777777" w:rsidR="00EB6410" w:rsidRPr="00F43978" w:rsidRDefault="00EB6410" w:rsidP="00DF2E8E">
            <w:pPr>
              <w:spacing w:before="20" w:after="20"/>
              <w:jc w:val="center"/>
              <w:rPr>
                <w:rFonts w:cstheme="minorHAnsi"/>
                <w:sz w:val="20"/>
              </w:rPr>
            </w:pPr>
            <w:r w:rsidRPr="00C642DC">
              <w:rPr>
                <w:rFonts w:cstheme="minorHAnsi"/>
                <w:sz w:val="20"/>
              </w:rPr>
              <w:t>Realizovano najmanje 60% aktivnosti iz A</w:t>
            </w:r>
            <w:r w:rsidRPr="00DF2E8E">
              <w:rPr>
                <w:rFonts w:cstheme="minorHAnsi"/>
                <w:sz w:val="20"/>
                <w:shd w:val="clear" w:color="auto" w:fill="FFFFFF" w:themeFill="background1"/>
              </w:rPr>
              <w:t xml:space="preserve">P </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DFD4422" w14:textId="77777777" w:rsidR="00EB6410" w:rsidRPr="00F43978" w:rsidRDefault="00EB6410" w:rsidP="00DF2E8E">
            <w:pPr>
              <w:spacing w:before="20" w:after="20"/>
              <w:jc w:val="center"/>
              <w:rPr>
                <w:rFonts w:cstheme="minorHAnsi"/>
                <w:sz w:val="20"/>
              </w:rPr>
            </w:pPr>
            <w:r w:rsidRPr="00F43978">
              <w:rPr>
                <w:rFonts w:cstheme="minorHAnsi"/>
                <w:sz w:val="20"/>
              </w:rPr>
              <w:t>GSV</w:t>
            </w:r>
          </w:p>
          <w:p w14:paraId="082BAC90" w14:textId="77777777" w:rsidR="00EB6410" w:rsidRPr="00F43978" w:rsidRDefault="00EB6410" w:rsidP="00DF2E8E">
            <w:pPr>
              <w:spacing w:before="20" w:after="20"/>
              <w:jc w:val="center"/>
              <w:rPr>
                <w:rFonts w:cstheme="minorHAnsi"/>
                <w:sz w:val="20"/>
              </w:rPr>
            </w:pPr>
            <w:r w:rsidRPr="00F43978">
              <w:rPr>
                <w:rFonts w:cstheme="minorHAnsi"/>
                <w:sz w:val="20"/>
              </w:rPr>
              <w:t>Svi resori</w:t>
            </w:r>
          </w:p>
        </w:tc>
        <w:tc>
          <w:tcPr>
            <w:tcW w:w="1761" w:type="dxa"/>
            <w:tcBorders>
              <w:top w:val="single" w:sz="4" w:space="0" w:color="auto"/>
              <w:left w:val="single" w:sz="4" w:space="0" w:color="auto"/>
              <w:bottom w:val="single" w:sz="4" w:space="0" w:color="auto"/>
              <w:right w:val="single" w:sz="4" w:space="0" w:color="auto"/>
            </w:tcBorders>
            <w:vAlign w:val="center"/>
            <w:hideMark/>
          </w:tcPr>
          <w:p w14:paraId="0ABC5F0E" w14:textId="48350439" w:rsidR="00EB6410" w:rsidRPr="00F43978" w:rsidRDefault="00EB6410" w:rsidP="00D5276E">
            <w:pPr>
              <w:spacing w:before="20" w:after="20"/>
              <w:jc w:val="center"/>
              <w:rPr>
                <w:rFonts w:cstheme="minorHAnsi"/>
                <w:sz w:val="20"/>
              </w:rPr>
            </w:pPr>
            <w:r w:rsidRPr="00F43978">
              <w:rPr>
                <w:rFonts w:cstheme="minorHAnsi"/>
                <w:sz w:val="20"/>
              </w:rPr>
              <w:t>I kvartal – donijet AP za 2022.</w:t>
            </w:r>
          </w:p>
        </w:tc>
        <w:tc>
          <w:tcPr>
            <w:tcW w:w="2139" w:type="dxa"/>
            <w:gridSpan w:val="2"/>
            <w:tcBorders>
              <w:top w:val="single" w:sz="4" w:space="0" w:color="auto"/>
              <w:left w:val="single" w:sz="4" w:space="0" w:color="auto"/>
              <w:bottom w:val="single" w:sz="4" w:space="0" w:color="auto"/>
              <w:right w:val="single" w:sz="4" w:space="0" w:color="auto"/>
            </w:tcBorders>
            <w:vAlign w:val="center"/>
          </w:tcPr>
          <w:p w14:paraId="779763CA" w14:textId="77777777" w:rsidR="00EB6410" w:rsidRPr="00F43978" w:rsidRDefault="00EB6410" w:rsidP="00DF2E8E">
            <w:pPr>
              <w:spacing w:before="20" w:after="20"/>
              <w:jc w:val="center"/>
              <w:rPr>
                <w:rFonts w:cstheme="minorHAnsi"/>
                <w:sz w:val="20"/>
              </w:rPr>
            </w:pPr>
            <w:r w:rsidRPr="00F43978">
              <w:rPr>
                <w:rFonts w:cstheme="minorHAnsi"/>
                <w:sz w:val="20"/>
              </w:rPr>
              <w:t>Potrebna sredstva za realizaciju koja se planiraju u budžetima nosilaca aktivnosti ili obezbjeđuju iz sredstava podrške</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05DC3612" w14:textId="77777777" w:rsidR="00EB6410" w:rsidRPr="002466AA" w:rsidRDefault="00EB6410" w:rsidP="00DF2E8E">
            <w:pPr>
              <w:spacing w:before="20" w:after="20"/>
              <w:jc w:val="center"/>
              <w:rPr>
                <w:rFonts w:cstheme="minorHAnsi"/>
                <w:sz w:val="20"/>
              </w:rPr>
            </w:pPr>
            <w:r w:rsidRPr="002466AA">
              <w:rPr>
                <w:rFonts w:cstheme="minorHAnsi"/>
                <w:sz w:val="20"/>
              </w:rPr>
              <w:t>Vlada (svi resori)</w:t>
            </w:r>
          </w:p>
          <w:p w14:paraId="6C13036A" w14:textId="77777777" w:rsidR="00EB6410" w:rsidRPr="002466AA" w:rsidRDefault="00EB6410" w:rsidP="00DF2E8E">
            <w:pPr>
              <w:spacing w:before="20" w:after="20"/>
              <w:jc w:val="center"/>
              <w:rPr>
                <w:rFonts w:cstheme="minorHAnsi"/>
                <w:sz w:val="20"/>
              </w:rPr>
            </w:pPr>
            <w:r w:rsidRPr="002466AA">
              <w:rPr>
                <w:rFonts w:cstheme="minorHAnsi"/>
                <w:sz w:val="20"/>
              </w:rPr>
              <w:t>Sredstva EU i bilateralne podrške</w:t>
            </w:r>
          </w:p>
          <w:p w14:paraId="3076E029" w14:textId="77777777" w:rsidR="00EB6410" w:rsidRPr="00F43978" w:rsidRDefault="00EB6410" w:rsidP="00DF2E8E">
            <w:pPr>
              <w:spacing w:before="20" w:after="20"/>
              <w:jc w:val="center"/>
              <w:rPr>
                <w:rFonts w:cstheme="minorHAnsi"/>
                <w:sz w:val="20"/>
              </w:rPr>
            </w:pPr>
            <w:r w:rsidRPr="00F43978">
              <w:rPr>
                <w:rFonts w:cstheme="minorHAnsi"/>
                <w:sz w:val="20"/>
              </w:rPr>
              <w:t>Sredstva partnera (Skupština, PKCG, ZOCG, NVO sektor)</w:t>
            </w:r>
          </w:p>
        </w:tc>
        <w:tc>
          <w:tcPr>
            <w:tcW w:w="2184" w:type="dxa"/>
            <w:tcBorders>
              <w:top w:val="single" w:sz="4" w:space="0" w:color="auto"/>
              <w:left w:val="single" w:sz="4" w:space="0" w:color="auto"/>
              <w:bottom w:val="single" w:sz="4" w:space="0" w:color="auto"/>
              <w:right w:val="single" w:sz="4" w:space="0" w:color="auto"/>
            </w:tcBorders>
            <w:vAlign w:val="center"/>
          </w:tcPr>
          <w:p w14:paraId="5B82590A" w14:textId="77777777" w:rsidR="00EB6410" w:rsidRPr="00F43978" w:rsidRDefault="00EB6410" w:rsidP="00EB6410">
            <w:pPr>
              <w:spacing w:before="20" w:after="20"/>
              <w:jc w:val="center"/>
              <w:rPr>
                <w:rFonts w:cstheme="minorHAnsi"/>
                <w:sz w:val="20"/>
              </w:rPr>
            </w:pPr>
          </w:p>
        </w:tc>
      </w:tr>
      <w:tr w:rsidR="00EB6410" w14:paraId="091FEC3C" w14:textId="77777777" w:rsidTr="00FD6B98">
        <w:tc>
          <w:tcPr>
            <w:tcW w:w="2934" w:type="dxa"/>
            <w:tcBorders>
              <w:top w:val="single" w:sz="4" w:space="0" w:color="auto"/>
              <w:left w:val="single" w:sz="4" w:space="0" w:color="auto"/>
              <w:bottom w:val="single" w:sz="4" w:space="0" w:color="auto"/>
              <w:right w:val="single" w:sz="4" w:space="0" w:color="auto"/>
            </w:tcBorders>
            <w:vAlign w:val="center"/>
            <w:hideMark/>
          </w:tcPr>
          <w:p w14:paraId="0C7E4ACC" w14:textId="77777777" w:rsidR="00EB6410" w:rsidRPr="00F43978" w:rsidRDefault="00F43978" w:rsidP="00F43978">
            <w:pPr>
              <w:spacing w:before="20" w:after="20"/>
              <w:jc w:val="both"/>
              <w:rPr>
                <w:rFonts w:cstheme="minorHAnsi"/>
                <w:sz w:val="20"/>
              </w:rPr>
            </w:pPr>
            <w:r w:rsidRPr="00F43978">
              <w:rPr>
                <w:rFonts w:cstheme="minorHAnsi"/>
                <w:sz w:val="20"/>
              </w:rPr>
              <w:t xml:space="preserve">2. </w:t>
            </w:r>
            <w:r w:rsidR="00EB6410" w:rsidRPr="00F43978">
              <w:rPr>
                <w:rFonts w:cstheme="minorHAnsi"/>
                <w:sz w:val="20"/>
              </w:rPr>
              <w:t>Donošenje Strategije informisanja javnosti o pristupanju Crne Gore EU 2023 – 2026</w:t>
            </w:r>
          </w:p>
        </w:tc>
        <w:tc>
          <w:tcPr>
            <w:tcW w:w="2339" w:type="dxa"/>
            <w:tcBorders>
              <w:top w:val="single" w:sz="4" w:space="0" w:color="auto"/>
              <w:left w:val="single" w:sz="4" w:space="0" w:color="auto"/>
              <w:bottom w:val="single" w:sz="4" w:space="0" w:color="auto"/>
              <w:right w:val="single" w:sz="4" w:space="0" w:color="auto"/>
            </w:tcBorders>
            <w:vAlign w:val="center"/>
          </w:tcPr>
          <w:p w14:paraId="640825DC" w14:textId="77777777" w:rsidR="00EB6410" w:rsidRPr="00F43978" w:rsidRDefault="00EB6410" w:rsidP="00EB6410">
            <w:pPr>
              <w:spacing w:before="20" w:after="20"/>
              <w:jc w:val="center"/>
              <w:rPr>
                <w:rFonts w:cstheme="minorHAnsi"/>
                <w:sz w:val="20"/>
              </w:rPr>
            </w:pPr>
            <w:r w:rsidRPr="00F43978">
              <w:rPr>
                <w:rFonts w:cstheme="minorHAnsi"/>
                <w:sz w:val="20"/>
              </w:rPr>
              <w:t>Donijeta Strategija</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7A15A24" w14:textId="77777777" w:rsidR="00EB6410" w:rsidRPr="00F43978" w:rsidRDefault="00EB6410" w:rsidP="00EB6410">
            <w:pPr>
              <w:spacing w:before="20" w:after="20"/>
              <w:jc w:val="center"/>
              <w:rPr>
                <w:rFonts w:cstheme="minorHAnsi"/>
                <w:sz w:val="20"/>
              </w:rPr>
            </w:pPr>
            <w:r w:rsidRPr="00F43978">
              <w:rPr>
                <w:rFonts w:cstheme="minorHAnsi"/>
                <w:sz w:val="20"/>
              </w:rPr>
              <w:t>GSV</w:t>
            </w:r>
          </w:p>
        </w:tc>
        <w:tc>
          <w:tcPr>
            <w:tcW w:w="1761" w:type="dxa"/>
            <w:tcBorders>
              <w:top w:val="single" w:sz="4" w:space="0" w:color="auto"/>
              <w:left w:val="single" w:sz="4" w:space="0" w:color="auto"/>
              <w:bottom w:val="single" w:sz="4" w:space="0" w:color="auto"/>
              <w:right w:val="single" w:sz="4" w:space="0" w:color="auto"/>
            </w:tcBorders>
            <w:vAlign w:val="center"/>
          </w:tcPr>
          <w:p w14:paraId="740BDC29" w14:textId="77777777" w:rsidR="00EB6410" w:rsidRPr="00F43978" w:rsidRDefault="00EB6410" w:rsidP="00EB6410">
            <w:pPr>
              <w:spacing w:before="20" w:after="20"/>
              <w:jc w:val="center"/>
              <w:rPr>
                <w:rFonts w:cstheme="minorHAnsi"/>
                <w:sz w:val="20"/>
              </w:rPr>
            </w:pPr>
            <w:r w:rsidRPr="00F43978">
              <w:rPr>
                <w:rFonts w:cstheme="minorHAnsi"/>
                <w:sz w:val="20"/>
              </w:rPr>
              <w:t xml:space="preserve">IV kvartal </w:t>
            </w:r>
          </w:p>
        </w:tc>
        <w:tc>
          <w:tcPr>
            <w:tcW w:w="2139" w:type="dxa"/>
            <w:gridSpan w:val="2"/>
            <w:tcBorders>
              <w:top w:val="single" w:sz="4" w:space="0" w:color="auto"/>
              <w:left w:val="single" w:sz="4" w:space="0" w:color="auto"/>
              <w:bottom w:val="single" w:sz="4" w:space="0" w:color="auto"/>
              <w:right w:val="single" w:sz="4" w:space="0" w:color="auto"/>
            </w:tcBorders>
            <w:vAlign w:val="center"/>
          </w:tcPr>
          <w:p w14:paraId="0609FCDF" w14:textId="77777777" w:rsidR="00EB6410" w:rsidRPr="00F43978" w:rsidRDefault="00EB6410" w:rsidP="00EB6410">
            <w:pPr>
              <w:spacing w:before="20" w:after="20"/>
              <w:jc w:val="center"/>
              <w:rPr>
                <w:rFonts w:cstheme="minorHAnsi"/>
                <w:sz w:val="20"/>
              </w:rPr>
            </w:pPr>
            <w:r w:rsidRPr="00F43978">
              <w:rPr>
                <w:rFonts w:cstheme="minorHAnsi"/>
                <w:sz w:val="20"/>
              </w:rPr>
              <w:t>Potrebna sredstva za realizaciju aktivnosti</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4836A0BF" w14:textId="77777777" w:rsidR="00EB6410" w:rsidRPr="00F43978" w:rsidRDefault="00EB6410" w:rsidP="00EB6410">
            <w:pPr>
              <w:spacing w:before="20" w:after="20"/>
              <w:jc w:val="center"/>
              <w:rPr>
                <w:rFonts w:cstheme="minorHAnsi"/>
                <w:sz w:val="20"/>
              </w:rPr>
            </w:pPr>
            <w:r w:rsidRPr="00F43978">
              <w:rPr>
                <w:rFonts w:cstheme="minorHAnsi"/>
                <w:sz w:val="20"/>
              </w:rPr>
              <w:t>GSV</w:t>
            </w:r>
          </w:p>
        </w:tc>
        <w:tc>
          <w:tcPr>
            <w:tcW w:w="2184" w:type="dxa"/>
            <w:tcBorders>
              <w:top w:val="single" w:sz="4" w:space="0" w:color="auto"/>
              <w:left w:val="single" w:sz="4" w:space="0" w:color="auto"/>
              <w:bottom w:val="single" w:sz="4" w:space="0" w:color="auto"/>
              <w:right w:val="single" w:sz="4" w:space="0" w:color="auto"/>
            </w:tcBorders>
            <w:vAlign w:val="center"/>
          </w:tcPr>
          <w:p w14:paraId="72C19FE4" w14:textId="77777777" w:rsidR="00EB6410" w:rsidRPr="00F43978" w:rsidRDefault="00EB6410" w:rsidP="002466AA">
            <w:pPr>
              <w:spacing w:before="20" w:after="20"/>
              <w:jc w:val="both"/>
              <w:rPr>
                <w:rFonts w:cstheme="minorHAnsi"/>
                <w:sz w:val="20"/>
              </w:rPr>
            </w:pPr>
            <w:r w:rsidRPr="00F43978">
              <w:rPr>
                <w:rFonts w:cstheme="minorHAnsi"/>
                <w:sz w:val="20"/>
              </w:rPr>
              <w:t>Za izradu Strategije je neophodno planirati sredstva za rad radne grupe, kao i za sprovođenje javne rasprave</w:t>
            </w:r>
          </w:p>
        </w:tc>
      </w:tr>
      <w:tr w:rsidR="000D7EA8" w14:paraId="5136A3E5" w14:textId="77777777" w:rsidTr="00FD6B98">
        <w:tc>
          <w:tcPr>
            <w:tcW w:w="14891" w:type="dxa"/>
            <w:gridSpan w:val="10"/>
            <w:tcBorders>
              <w:top w:val="single" w:sz="4" w:space="0" w:color="auto"/>
              <w:left w:val="single" w:sz="4" w:space="0" w:color="auto"/>
              <w:bottom w:val="single" w:sz="4" w:space="0" w:color="auto"/>
              <w:right w:val="single" w:sz="4" w:space="0" w:color="auto"/>
            </w:tcBorders>
            <w:vAlign w:val="center"/>
            <w:hideMark/>
          </w:tcPr>
          <w:tbl>
            <w:tblPr>
              <w:tblStyle w:val="TableGrid"/>
              <w:tblW w:w="15569" w:type="dxa"/>
              <w:tblLayout w:type="fixed"/>
              <w:tblLook w:val="04A0" w:firstRow="1" w:lastRow="0" w:firstColumn="1" w:lastColumn="0" w:noHBand="0" w:noVBand="1"/>
            </w:tblPr>
            <w:tblGrid>
              <w:gridCol w:w="2816"/>
              <w:gridCol w:w="12753"/>
            </w:tblGrid>
            <w:tr w:rsidR="000D7EA8" w14:paraId="257A06C8" w14:textId="77777777" w:rsidTr="00DF2E8E">
              <w:tc>
                <w:tcPr>
                  <w:tcW w:w="281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B67DC2" w14:textId="77777777" w:rsidR="000D7EA8" w:rsidRDefault="000D7EA8" w:rsidP="00FD6B98">
                  <w:pPr>
                    <w:spacing w:before="40" w:after="40"/>
                    <w:jc w:val="center"/>
                    <w:rPr>
                      <w:rFonts w:cstheme="minorHAnsi"/>
                      <w:b/>
                      <w:sz w:val="20"/>
                    </w:rPr>
                  </w:pPr>
                  <w:bookmarkStart w:id="53" w:name="_Hlk89635064"/>
                  <w:r>
                    <w:rPr>
                      <w:rFonts w:cstheme="minorHAnsi"/>
                      <w:b/>
                      <w:sz w:val="20"/>
                    </w:rPr>
                    <w:t>CILJ 6.2</w:t>
                  </w:r>
                </w:p>
              </w:tc>
              <w:tc>
                <w:tcPr>
                  <w:tcW w:w="127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034BA6" w14:textId="77777777" w:rsidR="000D7EA8" w:rsidRDefault="000D7EA8" w:rsidP="00FD6B98">
                  <w:pPr>
                    <w:spacing w:before="40" w:after="40"/>
                    <w:jc w:val="both"/>
                    <w:rPr>
                      <w:rFonts w:cstheme="minorHAnsi"/>
                      <w:b/>
                      <w:sz w:val="20"/>
                    </w:rPr>
                  </w:pPr>
                  <w:r>
                    <w:rPr>
                      <w:rFonts w:cstheme="minorHAnsi"/>
                      <w:b/>
                      <w:sz w:val="20"/>
                    </w:rPr>
                    <w:t>Postignuta spremnost za clanstvo u EU</w:t>
                  </w:r>
                </w:p>
              </w:tc>
            </w:tr>
          </w:tbl>
          <w:p w14:paraId="5562FAA6" w14:textId="77777777" w:rsidR="000D7EA8" w:rsidRDefault="000D7EA8" w:rsidP="00FD6B98">
            <w:pPr>
              <w:spacing w:before="20" w:after="20"/>
              <w:jc w:val="center"/>
              <w:rPr>
                <w:rFonts w:cstheme="minorHAnsi"/>
                <w:b/>
                <w:sz w:val="20"/>
              </w:rPr>
            </w:pPr>
          </w:p>
        </w:tc>
      </w:tr>
      <w:tr w:rsidR="000D7EA8" w14:paraId="1FEFB8D3" w14:textId="77777777" w:rsidTr="00FD6B98">
        <w:tc>
          <w:tcPr>
            <w:tcW w:w="2934" w:type="dxa"/>
            <w:tcBorders>
              <w:top w:val="single" w:sz="4" w:space="0" w:color="auto"/>
              <w:left w:val="single" w:sz="4" w:space="0" w:color="auto"/>
              <w:bottom w:val="single" w:sz="4" w:space="0" w:color="auto"/>
              <w:right w:val="single" w:sz="4" w:space="0" w:color="auto"/>
            </w:tcBorders>
            <w:shd w:val="clear" w:color="auto" w:fill="D4F5F8"/>
            <w:hideMark/>
          </w:tcPr>
          <w:p w14:paraId="383A701E" w14:textId="77777777" w:rsidR="000D7EA8" w:rsidRDefault="000D7EA8" w:rsidP="00FD6B98">
            <w:pPr>
              <w:spacing w:before="40" w:after="40"/>
              <w:jc w:val="center"/>
              <w:rPr>
                <w:rFonts w:cstheme="minorHAnsi"/>
                <w:b/>
                <w:sz w:val="20"/>
              </w:rPr>
            </w:pPr>
            <w:r>
              <w:rPr>
                <w:rFonts w:cstheme="minorHAnsi"/>
                <w:b/>
                <w:sz w:val="20"/>
              </w:rPr>
              <w:t>Indikator učinka</w:t>
            </w:r>
          </w:p>
        </w:tc>
        <w:tc>
          <w:tcPr>
            <w:tcW w:w="2897" w:type="dxa"/>
            <w:gridSpan w:val="2"/>
            <w:tcBorders>
              <w:top w:val="single" w:sz="4" w:space="0" w:color="auto"/>
              <w:left w:val="single" w:sz="4" w:space="0" w:color="auto"/>
              <w:bottom w:val="single" w:sz="4" w:space="0" w:color="auto"/>
              <w:right w:val="single" w:sz="4" w:space="0" w:color="auto"/>
            </w:tcBorders>
            <w:shd w:val="clear" w:color="auto" w:fill="D4F5F8"/>
            <w:hideMark/>
          </w:tcPr>
          <w:p w14:paraId="34EC0644" w14:textId="77777777" w:rsidR="000D7EA8" w:rsidRDefault="000D7EA8" w:rsidP="00FD6B98">
            <w:pPr>
              <w:spacing w:before="40" w:after="40"/>
              <w:jc w:val="center"/>
              <w:rPr>
                <w:rFonts w:cstheme="minorHAnsi"/>
                <w:b/>
                <w:sz w:val="20"/>
              </w:rPr>
            </w:pPr>
            <w:r>
              <w:rPr>
                <w:rFonts w:cstheme="minorHAnsi"/>
                <w:b/>
                <w:sz w:val="20"/>
              </w:rPr>
              <w:t>Polazna vrijednost – 2021.g</w:t>
            </w:r>
          </w:p>
        </w:tc>
        <w:tc>
          <w:tcPr>
            <w:tcW w:w="3074" w:type="dxa"/>
            <w:gridSpan w:val="3"/>
            <w:tcBorders>
              <w:top w:val="single" w:sz="4" w:space="0" w:color="auto"/>
              <w:left w:val="single" w:sz="4" w:space="0" w:color="auto"/>
              <w:bottom w:val="single" w:sz="4" w:space="0" w:color="auto"/>
              <w:right w:val="single" w:sz="4" w:space="0" w:color="auto"/>
            </w:tcBorders>
            <w:shd w:val="clear" w:color="auto" w:fill="D4F5F8"/>
            <w:hideMark/>
          </w:tcPr>
          <w:p w14:paraId="5DB93099" w14:textId="77777777" w:rsidR="000D7EA8" w:rsidRDefault="000D7EA8" w:rsidP="00FD6B98">
            <w:pPr>
              <w:spacing w:before="40" w:after="40"/>
              <w:jc w:val="center"/>
              <w:rPr>
                <w:rFonts w:cstheme="minorHAnsi"/>
                <w:b/>
                <w:sz w:val="20"/>
              </w:rPr>
            </w:pPr>
            <w:r>
              <w:rPr>
                <w:rFonts w:cstheme="minorHAnsi"/>
                <w:b/>
                <w:sz w:val="20"/>
              </w:rPr>
              <w:t>Prelazna vrijednost – 2022.g</w:t>
            </w:r>
          </w:p>
        </w:tc>
        <w:tc>
          <w:tcPr>
            <w:tcW w:w="3057" w:type="dxa"/>
            <w:gridSpan w:val="2"/>
            <w:tcBorders>
              <w:top w:val="single" w:sz="4" w:space="0" w:color="auto"/>
              <w:left w:val="single" w:sz="4" w:space="0" w:color="auto"/>
              <w:bottom w:val="single" w:sz="4" w:space="0" w:color="auto"/>
              <w:right w:val="single" w:sz="4" w:space="0" w:color="auto"/>
            </w:tcBorders>
            <w:shd w:val="clear" w:color="auto" w:fill="D4F5F8"/>
            <w:hideMark/>
          </w:tcPr>
          <w:p w14:paraId="248A4BE1" w14:textId="77777777" w:rsidR="000D7EA8" w:rsidRDefault="000D7EA8" w:rsidP="00FD6B98">
            <w:pPr>
              <w:spacing w:before="40" w:after="40"/>
              <w:jc w:val="center"/>
              <w:rPr>
                <w:rFonts w:cstheme="minorHAnsi"/>
                <w:b/>
                <w:sz w:val="20"/>
              </w:rPr>
            </w:pPr>
            <w:r>
              <w:rPr>
                <w:rFonts w:cstheme="minorHAnsi"/>
                <w:b/>
                <w:sz w:val="20"/>
              </w:rPr>
              <w:t>Prelazna vrijednost – 2023.g</w:t>
            </w:r>
          </w:p>
        </w:tc>
        <w:tc>
          <w:tcPr>
            <w:tcW w:w="2929" w:type="dxa"/>
            <w:gridSpan w:val="2"/>
            <w:tcBorders>
              <w:top w:val="single" w:sz="4" w:space="0" w:color="auto"/>
              <w:left w:val="single" w:sz="4" w:space="0" w:color="auto"/>
              <w:bottom w:val="single" w:sz="4" w:space="0" w:color="auto"/>
              <w:right w:val="single" w:sz="4" w:space="0" w:color="auto"/>
            </w:tcBorders>
            <w:shd w:val="clear" w:color="auto" w:fill="D4F5F8"/>
            <w:hideMark/>
          </w:tcPr>
          <w:p w14:paraId="688DB899" w14:textId="77777777" w:rsidR="000D7EA8" w:rsidRDefault="000D7EA8" w:rsidP="00FD6B98">
            <w:pPr>
              <w:spacing w:before="40" w:after="40"/>
              <w:jc w:val="center"/>
              <w:rPr>
                <w:rFonts w:cstheme="minorHAnsi"/>
                <w:b/>
                <w:sz w:val="20"/>
              </w:rPr>
            </w:pPr>
            <w:r>
              <w:rPr>
                <w:rFonts w:cstheme="minorHAnsi"/>
                <w:b/>
                <w:sz w:val="20"/>
              </w:rPr>
              <w:t>Ciljna vrijednost - 2024.g</w:t>
            </w:r>
          </w:p>
        </w:tc>
      </w:tr>
      <w:tr w:rsidR="003E7E0A" w14:paraId="5B5D8DE5" w14:textId="77777777" w:rsidTr="00FD6B98">
        <w:tc>
          <w:tcPr>
            <w:tcW w:w="2934" w:type="dxa"/>
            <w:tcBorders>
              <w:top w:val="single" w:sz="4" w:space="0" w:color="auto"/>
              <w:left w:val="single" w:sz="4" w:space="0" w:color="auto"/>
              <w:bottom w:val="single" w:sz="4" w:space="0" w:color="auto"/>
              <w:right w:val="single" w:sz="4" w:space="0" w:color="auto"/>
            </w:tcBorders>
            <w:shd w:val="clear" w:color="auto" w:fill="D4F5F8"/>
            <w:hideMark/>
          </w:tcPr>
          <w:p w14:paraId="4A923810" w14:textId="59338815" w:rsidR="003E7E0A" w:rsidRPr="00F43978" w:rsidRDefault="003E7E0A" w:rsidP="003E7E0A">
            <w:pPr>
              <w:spacing w:before="40" w:after="40"/>
              <w:jc w:val="both"/>
              <w:rPr>
                <w:rFonts w:cstheme="minorHAnsi"/>
                <w:sz w:val="20"/>
              </w:rPr>
            </w:pPr>
            <w:r>
              <w:rPr>
                <w:b/>
                <w:sz w:val="20"/>
              </w:rPr>
              <w:t>% realizacije PPCG</w:t>
            </w:r>
          </w:p>
        </w:tc>
        <w:tc>
          <w:tcPr>
            <w:tcW w:w="2897" w:type="dxa"/>
            <w:gridSpan w:val="2"/>
            <w:tcBorders>
              <w:top w:val="single" w:sz="4" w:space="0" w:color="auto"/>
              <w:left w:val="single" w:sz="4" w:space="0" w:color="auto"/>
              <w:bottom w:val="single" w:sz="4" w:space="0" w:color="auto"/>
              <w:right w:val="single" w:sz="4" w:space="0" w:color="auto"/>
            </w:tcBorders>
            <w:shd w:val="clear" w:color="auto" w:fill="D4F5F8"/>
          </w:tcPr>
          <w:p w14:paraId="667DAD9A" w14:textId="77777777" w:rsidR="003E7E0A" w:rsidRDefault="003E7E0A" w:rsidP="003E7E0A">
            <w:pPr>
              <w:spacing w:before="40" w:after="40"/>
              <w:jc w:val="center"/>
              <w:rPr>
                <w:rFonts w:cstheme="minorHAnsi"/>
                <w:b/>
                <w:sz w:val="20"/>
              </w:rPr>
            </w:pPr>
          </w:p>
        </w:tc>
        <w:tc>
          <w:tcPr>
            <w:tcW w:w="3074" w:type="dxa"/>
            <w:gridSpan w:val="3"/>
            <w:tcBorders>
              <w:top w:val="single" w:sz="4" w:space="0" w:color="auto"/>
              <w:left w:val="single" w:sz="4" w:space="0" w:color="auto"/>
              <w:bottom w:val="single" w:sz="4" w:space="0" w:color="auto"/>
              <w:right w:val="single" w:sz="4" w:space="0" w:color="auto"/>
            </w:tcBorders>
            <w:shd w:val="clear" w:color="auto" w:fill="D4F5F8"/>
          </w:tcPr>
          <w:p w14:paraId="7E79ED72" w14:textId="28F8855E" w:rsidR="003E7E0A" w:rsidRPr="003E7E0A" w:rsidRDefault="003E7E0A" w:rsidP="003E7E0A">
            <w:pPr>
              <w:spacing w:before="40" w:after="40"/>
              <w:jc w:val="center"/>
              <w:rPr>
                <w:rFonts w:cstheme="minorHAnsi"/>
                <w:b/>
                <w:sz w:val="20"/>
              </w:rPr>
            </w:pPr>
            <w:r w:rsidRPr="003E7E0A">
              <w:rPr>
                <w:b/>
                <w:sz w:val="20"/>
              </w:rPr>
              <w:t>75%</w:t>
            </w:r>
          </w:p>
        </w:tc>
        <w:tc>
          <w:tcPr>
            <w:tcW w:w="3057" w:type="dxa"/>
            <w:gridSpan w:val="2"/>
            <w:tcBorders>
              <w:top w:val="single" w:sz="4" w:space="0" w:color="auto"/>
              <w:left w:val="single" w:sz="4" w:space="0" w:color="auto"/>
              <w:bottom w:val="single" w:sz="4" w:space="0" w:color="auto"/>
              <w:right w:val="single" w:sz="4" w:space="0" w:color="auto"/>
            </w:tcBorders>
            <w:shd w:val="clear" w:color="auto" w:fill="D4F5F8"/>
          </w:tcPr>
          <w:p w14:paraId="26971BF6" w14:textId="612124AA" w:rsidR="003E7E0A" w:rsidRPr="003E7E0A" w:rsidRDefault="003E7E0A" w:rsidP="003E7E0A">
            <w:pPr>
              <w:spacing w:before="40" w:after="40"/>
              <w:jc w:val="center"/>
              <w:rPr>
                <w:rFonts w:cstheme="minorHAnsi"/>
                <w:b/>
                <w:sz w:val="20"/>
              </w:rPr>
            </w:pPr>
            <w:r w:rsidRPr="003E7E0A">
              <w:rPr>
                <w:b/>
                <w:sz w:val="20"/>
              </w:rPr>
              <w:t>80%</w:t>
            </w:r>
          </w:p>
        </w:tc>
        <w:tc>
          <w:tcPr>
            <w:tcW w:w="2929" w:type="dxa"/>
            <w:gridSpan w:val="2"/>
            <w:tcBorders>
              <w:top w:val="single" w:sz="4" w:space="0" w:color="auto"/>
              <w:left w:val="single" w:sz="4" w:space="0" w:color="auto"/>
              <w:bottom w:val="single" w:sz="4" w:space="0" w:color="auto"/>
              <w:right w:val="single" w:sz="4" w:space="0" w:color="auto"/>
            </w:tcBorders>
            <w:shd w:val="clear" w:color="auto" w:fill="D4F5F8"/>
          </w:tcPr>
          <w:p w14:paraId="0E18756D" w14:textId="4F886C77" w:rsidR="003E7E0A" w:rsidRPr="003E7E0A" w:rsidRDefault="003E7E0A" w:rsidP="003E7E0A">
            <w:pPr>
              <w:spacing w:before="40" w:after="40"/>
              <w:jc w:val="center"/>
              <w:rPr>
                <w:rFonts w:cstheme="minorHAnsi"/>
                <w:b/>
                <w:sz w:val="20"/>
              </w:rPr>
            </w:pPr>
            <w:r w:rsidRPr="003E7E0A">
              <w:rPr>
                <w:b/>
                <w:sz w:val="20"/>
              </w:rPr>
              <w:t>85%</w:t>
            </w:r>
          </w:p>
        </w:tc>
      </w:tr>
      <w:tr w:rsidR="003E7E0A" w14:paraId="6B6CA5DE" w14:textId="77777777" w:rsidTr="00FD6B98">
        <w:tc>
          <w:tcPr>
            <w:tcW w:w="2934" w:type="dxa"/>
            <w:tcBorders>
              <w:top w:val="single" w:sz="4" w:space="0" w:color="auto"/>
              <w:left w:val="single" w:sz="4" w:space="0" w:color="auto"/>
              <w:bottom w:val="single" w:sz="4" w:space="0" w:color="auto"/>
              <w:right w:val="single" w:sz="4" w:space="0" w:color="auto"/>
            </w:tcBorders>
            <w:shd w:val="clear" w:color="auto" w:fill="D4F5F8"/>
            <w:hideMark/>
          </w:tcPr>
          <w:p w14:paraId="2F1965FB" w14:textId="4471BBE5" w:rsidR="003E7E0A" w:rsidRPr="00F43978" w:rsidRDefault="003E7E0A" w:rsidP="003E7E0A">
            <w:pPr>
              <w:spacing w:before="40" w:after="40"/>
              <w:jc w:val="both"/>
              <w:rPr>
                <w:rFonts w:cstheme="minorHAnsi"/>
                <w:sz w:val="20"/>
              </w:rPr>
            </w:pPr>
            <w:r>
              <w:rPr>
                <w:b/>
                <w:sz w:val="20"/>
              </w:rPr>
              <w:t xml:space="preserve">% realizacije Mapa puta za pregovaračka poglavlja </w:t>
            </w:r>
          </w:p>
        </w:tc>
        <w:tc>
          <w:tcPr>
            <w:tcW w:w="2897" w:type="dxa"/>
            <w:gridSpan w:val="2"/>
            <w:tcBorders>
              <w:top w:val="single" w:sz="4" w:space="0" w:color="auto"/>
              <w:left w:val="single" w:sz="4" w:space="0" w:color="auto"/>
              <w:bottom w:val="single" w:sz="4" w:space="0" w:color="auto"/>
              <w:right w:val="single" w:sz="4" w:space="0" w:color="auto"/>
            </w:tcBorders>
            <w:shd w:val="clear" w:color="auto" w:fill="D4F5F8"/>
          </w:tcPr>
          <w:p w14:paraId="7C6A1536" w14:textId="5A4226C4" w:rsidR="003E7E0A" w:rsidRDefault="003E7E0A" w:rsidP="003E7E0A">
            <w:pPr>
              <w:spacing w:before="40" w:after="40"/>
              <w:jc w:val="center"/>
              <w:rPr>
                <w:rFonts w:cstheme="minorHAnsi"/>
                <w:b/>
                <w:sz w:val="20"/>
              </w:rPr>
            </w:pPr>
            <w:r>
              <w:rPr>
                <w:b/>
                <w:sz w:val="20"/>
              </w:rPr>
              <w:t>-</w:t>
            </w:r>
          </w:p>
        </w:tc>
        <w:tc>
          <w:tcPr>
            <w:tcW w:w="3074" w:type="dxa"/>
            <w:gridSpan w:val="3"/>
            <w:tcBorders>
              <w:top w:val="single" w:sz="4" w:space="0" w:color="auto"/>
              <w:left w:val="single" w:sz="4" w:space="0" w:color="auto"/>
              <w:bottom w:val="single" w:sz="4" w:space="0" w:color="auto"/>
              <w:right w:val="single" w:sz="4" w:space="0" w:color="auto"/>
            </w:tcBorders>
            <w:shd w:val="clear" w:color="auto" w:fill="D4F5F8"/>
          </w:tcPr>
          <w:p w14:paraId="0CBCC051" w14:textId="36D62098" w:rsidR="003E7E0A" w:rsidRPr="003E7E0A" w:rsidRDefault="003E7E0A" w:rsidP="003E7E0A">
            <w:pPr>
              <w:spacing w:before="40" w:after="40"/>
              <w:jc w:val="center"/>
              <w:rPr>
                <w:rFonts w:cstheme="minorHAnsi"/>
                <w:b/>
                <w:sz w:val="20"/>
              </w:rPr>
            </w:pPr>
            <w:r w:rsidRPr="003E7E0A">
              <w:rPr>
                <w:b/>
                <w:sz w:val="20"/>
              </w:rPr>
              <w:t>80%</w:t>
            </w:r>
          </w:p>
        </w:tc>
        <w:tc>
          <w:tcPr>
            <w:tcW w:w="3057" w:type="dxa"/>
            <w:gridSpan w:val="2"/>
            <w:tcBorders>
              <w:top w:val="single" w:sz="4" w:space="0" w:color="auto"/>
              <w:left w:val="single" w:sz="4" w:space="0" w:color="auto"/>
              <w:bottom w:val="single" w:sz="4" w:space="0" w:color="auto"/>
              <w:right w:val="single" w:sz="4" w:space="0" w:color="auto"/>
            </w:tcBorders>
            <w:shd w:val="clear" w:color="auto" w:fill="D4F5F8"/>
          </w:tcPr>
          <w:p w14:paraId="402A951B" w14:textId="4FAD3691" w:rsidR="003E7E0A" w:rsidRPr="003E7E0A" w:rsidRDefault="003E7E0A" w:rsidP="003E7E0A">
            <w:pPr>
              <w:spacing w:before="40" w:after="40"/>
              <w:jc w:val="center"/>
              <w:rPr>
                <w:rFonts w:cstheme="minorHAnsi"/>
                <w:b/>
                <w:sz w:val="20"/>
              </w:rPr>
            </w:pPr>
            <w:r w:rsidRPr="003E7E0A">
              <w:rPr>
                <w:b/>
                <w:sz w:val="20"/>
              </w:rPr>
              <w:t>85%</w:t>
            </w:r>
          </w:p>
        </w:tc>
        <w:tc>
          <w:tcPr>
            <w:tcW w:w="2929" w:type="dxa"/>
            <w:gridSpan w:val="2"/>
            <w:tcBorders>
              <w:top w:val="single" w:sz="4" w:space="0" w:color="auto"/>
              <w:left w:val="single" w:sz="4" w:space="0" w:color="auto"/>
              <w:bottom w:val="single" w:sz="4" w:space="0" w:color="auto"/>
              <w:right w:val="single" w:sz="4" w:space="0" w:color="auto"/>
            </w:tcBorders>
            <w:shd w:val="clear" w:color="auto" w:fill="D4F5F8"/>
          </w:tcPr>
          <w:p w14:paraId="3CA6F0B2" w14:textId="4313403A" w:rsidR="003E7E0A" w:rsidRPr="003E7E0A" w:rsidRDefault="003E7E0A" w:rsidP="003E7E0A">
            <w:pPr>
              <w:spacing w:before="40" w:after="40"/>
              <w:jc w:val="center"/>
              <w:rPr>
                <w:rFonts w:cstheme="minorHAnsi"/>
                <w:b/>
                <w:sz w:val="20"/>
              </w:rPr>
            </w:pPr>
            <w:r w:rsidRPr="003E7E0A">
              <w:rPr>
                <w:b/>
                <w:sz w:val="20"/>
              </w:rPr>
              <w:t>90%</w:t>
            </w:r>
          </w:p>
        </w:tc>
      </w:tr>
      <w:bookmarkEnd w:id="53"/>
      <w:tr w:rsidR="000D7EA8" w14:paraId="5AEDD92F" w14:textId="77777777" w:rsidTr="00FD6B98">
        <w:tc>
          <w:tcPr>
            <w:tcW w:w="29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CF6EA39" w14:textId="77777777" w:rsidR="000D7EA8" w:rsidRDefault="000D7EA8" w:rsidP="00FD6B98">
            <w:pPr>
              <w:spacing w:before="20" w:after="20"/>
              <w:jc w:val="center"/>
              <w:rPr>
                <w:rFonts w:cstheme="minorHAnsi"/>
                <w:b/>
                <w:sz w:val="20"/>
              </w:rPr>
            </w:pPr>
            <w:r>
              <w:rPr>
                <w:rFonts w:cstheme="minorHAnsi"/>
                <w:b/>
                <w:sz w:val="20"/>
              </w:rPr>
              <w:t>Aktivnosti</w:t>
            </w:r>
          </w:p>
        </w:tc>
        <w:tc>
          <w:tcPr>
            <w:tcW w:w="233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7848545" w14:textId="77777777" w:rsidR="000D7EA8" w:rsidRDefault="000D7EA8" w:rsidP="00FD6B98">
            <w:pPr>
              <w:spacing w:before="20" w:after="20"/>
              <w:jc w:val="center"/>
              <w:rPr>
                <w:rFonts w:cstheme="minorHAnsi"/>
                <w:b/>
                <w:sz w:val="20"/>
              </w:rPr>
            </w:pPr>
            <w:r>
              <w:rPr>
                <w:rFonts w:cstheme="minorHAnsi"/>
                <w:b/>
                <w:sz w:val="20"/>
              </w:rPr>
              <w:t>Indikator rezultata</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1F96596" w14:textId="77777777" w:rsidR="000D7EA8" w:rsidRDefault="000D7EA8" w:rsidP="00FD6B98">
            <w:pPr>
              <w:spacing w:before="20" w:after="20"/>
              <w:jc w:val="center"/>
              <w:rPr>
                <w:rFonts w:cstheme="minorHAnsi"/>
                <w:b/>
                <w:sz w:val="20"/>
              </w:rPr>
            </w:pPr>
            <w:r>
              <w:rPr>
                <w:rFonts w:cstheme="minorHAnsi"/>
                <w:b/>
                <w:sz w:val="20"/>
              </w:rPr>
              <w:t>Nadležne institucije i nadležna komisija</w:t>
            </w:r>
          </w:p>
        </w:tc>
        <w:tc>
          <w:tcPr>
            <w:tcW w:w="176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7BAE3D6" w14:textId="77777777" w:rsidR="000D7EA8" w:rsidRDefault="000D7EA8" w:rsidP="00FD6B98">
            <w:pPr>
              <w:spacing w:before="20" w:after="20"/>
              <w:jc w:val="center"/>
              <w:rPr>
                <w:rFonts w:cstheme="minorHAnsi"/>
                <w:b/>
                <w:sz w:val="20"/>
              </w:rPr>
            </w:pPr>
            <w:r>
              <w:rPr>
                <w:rFonts w:cstheme="minorHAnsi"/>
                <w:b/>
                <w:sz w:val="20"/>
              </w:rPr>
              <w:t>Planirani početak i završetak aktivnosti</w:t>
            </w:r>
          </w:p>
        </w:tc>
        <w:tc>
          <w:tcPr>
            <w:tcW w:w="21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7C3795C" w14:textId="77777777" w:rsidR="000D7EA8" w:rsidRDefault="000D7EA8" w:rsidP="00FD6B98">
            <w:pPr>
              <w:spacing w:before="20" w:after="20"/>
              <w:jc w:val="center"/>
              <w:rPr>
                <w:rFonts w:cstheme="minorHAnsi"/>
                <w:b/>
                <w:sz w:val="20"/>
              </w:rPr>
            </w:pPr>
            <w:r>
              <w:rPr>
                <w:rFonts w:cstheme="minorHAnsi"/>
                <w:b/>
                <w:sz w:val="20"/>
              </w:rPr>
              <w:t>Sredstva za realizaciju  i informacija o izradi RIA</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1139891" w14:textId="77777777" w:rsidR="000D7EA8" w:rsidRDefault="000D7EA8" w:rsidP="00FD6B98">
            <w:pPr>
              <w:spacing w:before="20" w:after="20"/>
              <w:jc w:val="center"/>
              <w:rPr>
                <w:rFonts w:cstheme="minorHAnsi"/>
                <w:b/>
                <w:sz w:val="20"/>
              </w:rPr>
            </w:pPr>
            <w:r>
              <w:rPr>
                <w:rFonts w:cstheme="minorHAnsi"/>
                <w:b/>
                <w:sz w:val="20"/>
              </w:rPr>
              <w:t xml:space="preserve"> Izvor finansiranja</w:t>
            </w:r>
          </w:p>
        </w:tc>
        <w:tc>
          <w:tcPr>
            <w:tcW w:w="21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D0937E" w14:textId="77777777" w:rsidR="000D7EA8" w:rsidRDefault="000D7EA8" w:rsidP="00FD6B98">
            <w:pPr>
              <w:spacing w:before="20" w:after="20"/>
              <w:jc w:val="center"/>
              <w:rPr>
                <w:rFonts w:cstheme="minorHAnsi"/>
                <w:b/>
                <w:sz w:val="20"/>
              </w:rPr>
            </w:pPr>
          </w:p>
          <w:p w14:paraId="47B7380B" w14:textId="77777777" w:rsidR="000D7EA8" w:rsidRDefault="000D7EA8" w:rsidP="00FD6B98">
            <w:pPr>
              <w:spacing w:before="20" w:after="20"/>
              <w:jc w:val="center"/>
              <w:rPr>
                <w:rFonts w:cstheme="minorHAnsi"/>
                <w:b/>
                <w:sz w:val="20"/>
              </w:rPr>
            </w:pPr>
            <w:r>
              <w:rPr>
                <w:rFonts w:cstheme="minorHAnsi"/>
                <w:b/>
                <w:sz w:val="20"/>
              </w:rPr>
              <w:t>Obrazloženje</w:t>
            </w:r>
          </w:p>
        </w:tc>
      </w:tr>
    </w:tbl>
    <w:tbl>
      <w:tblPr>
        <w:tblW w:w="14900"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
        <w:gridCol w:w="169"/>
        <w:gridCol w:w="51"/>
        <w:gridCol w:w="15"/>
        <w:gridCol w:w="10"/>
        <w:gridCol w:w="2003"/>
        <w:gridCol w:w="13"/>
        <w:gridCol w:w="138"/>
        <w:gridCol w:w="9"/>
        <w:gridCol w:w="24"/>
        <w:gridCol w:w="22"/>
        <w:gridCol w:w="18"/>
        <w:gridCol w:w="758"/>
        <w:gridCol w:w="1495"/>
        <w:gridCol w:w="44"/>
        <w:gridCol w:w="219"/>
        <w:gridCol w:w="126"/>
        <w:gridCol w:w="21"/>
        <w:gridCol w:w="14"/>
        <w:gridCol w:w="85"/>
        <w:gridCol w:w="266"/>
        <w:gridCol w:w="37"/>
        <w:gridCol w:w="95"/>
        <w:gridCol w:w="816"/>
        <w:gridCol w:w="30"/>
        <w:gridCol w:w="180"/>
        <w:gridCol w:w="129"/>
        <w:gridCol w:w="48"/>
        <w:gridCol w:w="103"/>
        <w:gridCol w:w="46"/>
        <w:gridCol w:w="1045"/>
        <w:gridCol w:w="68"/>
        <w:gridCol w:w="270"/>
        <w:gridCol w:w="81"/>
        <w:gridCol w:w="169"/>
        <w:gridCol w:w="7"/>
        <w:gridCol w:w="21"/>
        <w:gridCol w:w="31"/>
        <w:gridCol w:w="1285"/>
        <w:gridCol w:w="25"/>
        <w:gridCol w:w="540"/>
        <w:gridCol w:w="167"/>
        <w:gridCol w:w="21"/>
        <w:gridCol w:w="41"/>
        <w:gridCol w:w="397"/>
        <w:gridCol w:w="193"/>
        <w:gridCol w:w="18"/>
        <w:gridCol w:w="8"/>
        <w:gridCol w:w="603"/>
        <w:gridCol w:w="29"/>
        <w:gridCol w:w="37"/>
        <w:gridCol w:w="15"/>
        <w:gridCol w:w="64"/>
        <w:gridCol w:w="27"/>
        <w:gridCol w:w="90"/>
        <w:gridCol w:w="2114"/>
        <w:gridCol w:w="41"/>
        <w:gridCol w:w="22"/>
      </w:tblGrid>
      <w:tr w:rsidR="009B5FE1" w:rsidRPr="00B80AA5" w14:paraId="2C85E7B2" w14:textId="77777777" w:rsidTr="00163406">
        <w:trPr>
          <w:gridAfter w:val="1"/>
          <w:wAfter w:w="22" w:type="dxa"/>
        </w:trPr>
        <w:tc>
          <w:tcPr>
            <w:tcW w:w="722" w:type="dxa"/>
            <w:gridSpan w:val="4"/>
            <w:vAlign w:val="center"/>
          </w:tcPr>
          <w:p w14:paraId="71B1BC15" w14:textId="1D79ECE8" w:rsidR="009B5FE1" w:rsidRPr="009B5FE1" w:rsidRDefault="009B5FE1" w:rsidP="009B5FE1">
            <w:pPr>
              <w:spacing w:before="20" w:after="20" w:line="240" w:lineRule="auto"/>
              <w:jc w:val="both"/>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lastRenderedPageBreak/>
              <w:t>1.</w:t>
            </w:r>
          </w:p>
        </w:tc>
        <w:tc>
          <w:tcPr>
            <w:tcW w:w="2219" w:type="dxa"/>
            <w:gridSpan w:val="7"/>
            <w:tcBorders>
              <w:top w:val="single" w:sz="4" w:space="0" w:color="auto"/>
              <w:left w:val="single" w:sz="4" w:space="0" w:color="auto"/>
              <w:bottom w:val="single" w:sz="4" w:space="0" w:color="auto"/>
              <w:right w:val="single" w:sz="4" w:space="0" w:color="auto"/>
            </w:tcBorders>
            <w:vAlign w:val="center"/>
          </w:tcPr>
          <w:p w14:paraId="4A8973EE" w14:textId="3F33BC2C" w:rsidR="009B5FE1" w:rsidRPr="009B5FE1" w:rsidRDefault="009B5FE1" w:rsidP="009B5FE1">
            <w:pPr>
              <w:spacing w:before="20" w:after="20" w:line="240" w:lineRule="auto"/>
              <w:jc w:val="both"/>
              <w:rPr>
                <w:rFonts w:ascii="Arial Narrow" w:eastAsia="Arial Narrow" w:hAnsi="Arial Narrow" w:cs="Arial Narrow"/>
                <w:bCs/>
                <w:i/>
                <w:color w:val="FF0000"/>
                <w:sz w:val="20"/>
                <w:szCs w:val="20"/>
                <w:lang w:eastAsia="sr-Latn-ME"/>
              </w:rPr>
            </w:pPr>
            <w:r w:rsidRPr="009B5FE1">
              <w:rPr>
                <w:rFonts w:ascii="Arial Narrow" w:hAnsi="Arial Narrow" w:cs="Calibri"/>
                <w:bCs/>
                <w:sz w:val="20"/>
                <w:szCs w:val="20"/>
              </w:rPr>
              <w:t>Kvartalni izvjestaji o realizaciji PPCG</w:t>
            </w:r>
          </w:p>
        </w:tc>
        <w:tc>
          <w:tcPr>
            <w:tcW w:w="2315" w:type="dxa"/>
            <w:gridSpan w:val="4"/>
            <w:tcBorders>
              <w:top w:val="single" w:sz="4" w:space="0" w:color="auto"/>
              <w:left w:val="single" w:sz="4" w:space="0" w:color="auto"/>
              <w:bottom w:val="single" w:sz="4" w:space="0" w:color="auto"/>
              <w:right w:val="single" w:sz="4" w:space="0" w:color="auto"/>
            </w:tcBorders>
            <w:vAlign w:val="center"/>
          </w:tcPr>
          <w:p w14:paraId="16314682" w14:textId="3EC6C17F" w:rsidR="009B5FE1" w:rsidRPr="009B5FE1" w:rsidRDefault="009B5FE1" w:rsidP="009B5FE1">
            <w:pPr>
              <w:spacing w:before="20" w:after="20" w:line="240" w:lineRule="auto"/>
              <w:jc w:val="both"/>
              <w:rPr>
                <w:rFonts w:ascii="Arial Narrow" w:eastAsia="Arial Narrow" w:hAnsi="Arial Narrow" w:cs="Arial Narrow"/>
                <w:bCs/>
                <w:i/>
                <w:sz w:val="20"/>
                <w:szCs w:val="20"/>
                <w:lang w:eastAsia="sr-Latn-ME"/>
              </w:rPr>
            </w:pPr>
            <w:r w:rsidRPr="009B5FE1">
              <w:rPr>
                <w:rFonts w:ascii="Arial Narrow" w:hAnsi="Arial Narrow" w:cs="Calibri"/>
                <w:bCs/>
                <w:sz w:val="20"/>
                <w:szCs w:val="20"/>
              </w:rPr>
              <w:t>Usvojena 4 izvještaja na godišnjem nivou</w:t>
            </w:r>
          </w:p>
        </w:tc>
        <w:tc>
          <w:tcPr>
            <w:tcW w:w="1889" w:type="dxa"/>
            <w:gridSpan w:val="11"/>
            <w:tcBorders>
              <w:top w:val="single" w:sz="4" w:space="0" w:color="auto"/>
              <w:left w:val="single" w:sz="4" w:space="0" w:color="auto"/>
              <w:bottom w:val="single" w:sz="4" w:space="0" w:color="auto"/>
              <w:right w:val="single" w:sz="4" w:space="0" w:color="auto"/>
            </w:tcBorders>
            <w:vAlign w:val="center"/>
          </w:tcPr>
          <w:p w14:paraId="69F9F2FC" w14:textId="77777777" w:rsidR="009B5FE1" w:rsidRPr="009B5FE1" w:rsidRDefault="009B5FE1" w:rsidP="009B5FE1">
            <w:pPr>
              <w:spacing w:before="20" w:after="20" w:line="240" w:lineRule="auto"/>
              <w:jc w:val="center"/>
              <w:rPr>
                <w:rFonts w:ascii="Arial Narrow" w:hAnsi="Arial Narrow" w:cs="Calibri"/>
                <w:bCs/>
                <w:sz w:val="20"/>
                <w:szCs w:val="20"/>
              </w:rPr>
            </w:pPr>
            <w:r w:rsidRPr="009B5FE1">
              <w:rPr>
                <w:rFonts w:ascii="Arial Narrow" w:hAnsi="Arial Narrow" w:cs="Calibri"/>
                <w:bCs/>
                <w:sz w:val="20"/>
                <w:szCs w:val="20"/>
              </w:rPr>
              <w:t>KPS</w:t>
            </w:r>
          </w:p>
          <w:p w14:paraId="215ACF34" w14:textId="34EBA32F" w:rsidR="009B5FE1" w:rsidRPr="009B5FE1" w:rsidRDefault="009B5FE1" w:rsidP="009B5FE1">
            <w:pPr>
              <w:spacing w:before="20" w:after="20" w:line="240" w:lineRule="auto"/>
              <w:jc w:val="both"/>
              <w:rPr>
                <w:rFonts w:ascii="Arial Narrow" w:eastAsia="Arial Narrow" w:hAnsi="Arial Narrow" w:cs="Arial Narrow"/>
                <w:bCs/>
                <w:i/>
                <w:sz w:val="20"/>
                <w:szCs w:val="20"/>
                <w:lang w:eastAsia="sr-Latn-ME"/>
              </w:rPr>
            </w:pPr>
            <w:r w:rsidRPr="009B5FE1">
              <w:rPr>
                <w:rFonts w:ascii="Arial Narrow" w:hAnsi="Arial Narrow" w:cs="Calibri"/>
                <w:bCs/>
                <w:sz w:val="20"/>
                <w:szCs w:val="20"/>
              </w:rPr>
              <w:t>KEP</w:t>
            </w:r>
          </w:p>
        </w:tc>
        <w:tc>
          <w:tcPr>
            <w:tcW w:w="1709" w:type="dxa"/>
            <w:gridSpan w:val="7"/>
            <w:tcBorders>
              <w:top w:val="single" w:sz="4" w:space="0" w:color="auto"/>
              <w:left w:val="single" w:sz="4" w:space="0" w:color="auto"/>
              <w:bottom w:val="single" w:sz="4" w:space="0" w:color="auto"/>
              <w:right w:val="single" w:sz="4" w:space="0" w:color="auto"/>
            </w:tcBorders>
            <w:vAlign w:val="center"/>
          </w:tcPr>
          <w:p w14:paraId="33CBCBD1" w14:textId="1EC55146" w:rsidR="009B5FE1" w:rsidRPr="009B5FE1" w:rsidRDefault="009B5FE1" w:rsidP="009B5FE1">
            <w:pPr>
              <w:spacing w:before="20" w:after="20" w:line="240" w:lineRule="auto"/>
              <w:jc w:val="both"/>
              <w:rPr>
                <w:rFonts w:ascii="Arial Narrow" w:eastAsia="Arial Narrow" w:hAnsi="Arial Narrow" w:cs="Arial Narrow"/>
                <w:bCs/>
                <w:sz w:val="20"/>
                <w:szCs w:val="20"/>
                <w:lang w:eastAsia="sr-Latn-ME"/>
              </w:rPr>
            </w:pPr>
          </w:p>
        </w:tc>
        <w:tc>
          <w:tcPr>
            <w:tcW w:w="2159" w:type="dxa"/>
            <w:gridSpan w:val="8"/>
            <w:tcBorders>
              <w:top w:val="single" w:sz="4" w:space="0" w:color="auto"/>
              <w:left w:val="single" w:sz="4" w:space="0" w:color="auto"/>
              <w:bottom w:val="single" w:sz="4" w:space="0" w:color="auto"/>
              <w:right w:val="single" w:sz="4" w:space="0" w:color="auto"/>
            </w:tcBorders>
            <w:vAlign w:val="center"/>
          </w:tcPr>
          <w:p w14:paraId="2C56E72B" w14:textId="4EE022A8" w:rsidR="009B5FE1" w:rsidRPr="009B5FE1" w:rsidRDefault="009B5FE1" w:rsidP="009B5FE1">
            <w:pPr>
              <w:spacing w:before="20" w:after="20" w:line="240" w:lineRule="auto"/>
              <w:jc w:val="both"/>
              <w:rPr>
                <w:rFonts w:ascii="Arial Narrow" w:eastAsia="Arial Narrow" w:hAnsi="Arial Narrow" w:cs="Arial Narrow"/>
                <w:bCs/>
                <w:sz w:val="20"/>
                <w:szCs w:val="20"/>
                <w:lang w:eastAsia="sr-Latn-ME"/>
              </w:rPr>
            </w:pPr>
            <w:r w:rsidRPr="009B5FE1">
              <w:rPr>
                <w:rFonts w:ascii="Arial Narrow" w:hAnsi="Arial Narrow" w:cs="Calibri"/>
                <w:bCs/>
                <w:sz w:val="20"/>
                <w:szCs w:val="20"/>
              </w:rPr>
              <w:t>Priprema kapacitetima KEI</w:t>
            </w:r>
          </w:p>
        </w:tc>
        <w:tc>
          <w:tcPr>
            <w:tcW w:w="1710" w:type="dxa"/>
            <w:gridSpan w:val="14"/>
            <w:tcBorders>
              <w:top w:val="single" w:sz="4" w:space="0" w:color="auto"/>
              <w:left w:val="single" w:sz="4" w:space="0" w:color="auto"/>
              <w:bottom w:val="single" w:sz="4" w:space="0" w:color="auto"/>
              <w:right w:val="single" w:sz="4" w:space="0" w:color="auto"/>
            </w:tcBorders>
            <w:vAlign w:val="center"/>
          </w:tcPr>
          <w:p w14:paraId="1CEF3916" w14:textId="079E660B" w:rsidR="009B5FE1" w:rsidRPr="009B5FE1" w:rsidRDefault="009B5FE1" w:rsidP="009B5FE1">
            <w:pPr>
              <w:spacing w:before="20" w:after="20" w:line="240" w:lineRule="auto"/>
              <w:jc w:val="both"/>
              <w:rPr>
                <w:rFonts w:ascii="Arial Narrow" w:eastAsia="Arial Narrow" w:hAnsi="Arial Narrow" w:cs="Arial Narrow"/>
                <w:bCs/>
                <w:i/>
                <w:sz w:val="20"/>
                <w:szCs w:val="20"/>
                <w:lang w:eastAsia="sr-Latn-ME"/>
              </w:rPr>
            </w:pPr>
            <w:r w:rsidRPr="009B5FE1">
              <w:rPr>
                <w:rFonts w:ascii="Arial Narrow" w:hAnsi="Arial Narrow" w:cs="Calibri"/>
                <w:bCs/>
                <w:sz w:val="20"/>
                <w:szCs w:val="20"/>
              </w:rPr>
              <w:t>budžet</w:t>
            </w:r>
          </w:p>
        </w:tc>
        <w:tc>
          <w:tcPr>
            <w:tcW w:w="2155" w:type="dxa"/>
            <w:gridSpan w:val="2"/>
            <w:vAlign w:val="center"/>
          </w:tcPr>
          <w:p w14:paraId="206DBA04" w14:textId="510A9A11" w:rsidR="009B5FE1" w:rsidRPr="00B80AA5" w:rsidRDefault="009B5FE1" w:rsidP="009B5FE1">
            <w:pPr>
              <w:spacing w:before="20" w:after="20" w:line="240" w:lineRule="auto"/>
              <w:jc w:val="both"/>
              <w:rPr>
                <w:rFonts w:ascii="Arial Narrow" w:eastAsia="Arial Narrow" w:hAnsi="Arial Narrow" w:cs="Arial Narrow"/>
                <w:b/>
                <w:i/>
                <w:sz w:val="20"/>
                <w:szCs w:val="20"/>
                <w:lang w:eastAsia="sr-Latn-ME"/>
              </w:rPr>
            </w:pPr>
          </w:p>
        </w:tc>
      </w:tr>
      <w:tr w:rsidR="009B5FE1" w:rsidRPr="00B80AA5" w14:paraId="0199EAC5" w14:textId="77777777" w:rsidTr="00163406">
        <w:trPr>
          <w:gridAfter w:val="1"/>
          <w:wAfter w:w="22" w:type="dxa"/>
        </w:trPr>
        <w:tc>
          <w:tcPr>
            <w:tcW w:w="722" w:type="dxa"/>
            <w:gridSpan w:val="4"/>
            <w:vAlign w:val="center"/>
          </w:tcPr>
          <w:p w14:paraId="6ADDE6E2" w14:textId="46F95DC1" w:rsidR="009B5FE1" w:rsidRPr="009B5FE1" w:rsidRDefault="009B5FE1" w:rsidP="009B5FE1">
            <w:pPr>
              <w:spacing w:before="20" w:after="20" w:line="240" w:lineRule="auto"/>
              <w:jc w:val="both"/>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2.</w:t>
            </w:r>
          </w:p>
        </w:tc>
        <w:tc>
          <w:tcPr>
            <w:tcW w:w="2219" w:type="dxa"/>
            <w:gridSpan w:val="7"/>
            <w:tcBorders>
              <w:top w:val="single" w:sz="4" w:space="0" w:color="auto"/>
              <w:left w:val="single" w:sz="4" w:space="0" w:color="auto"/>
              <w:bottom w:val="single" w:sz="4" w:space="0" w:color="auto"/>
              <w:right w:val="single" w:sz="4" w:space="0" w:color="auto"/>
            </w:tcBorders>
            <w:vAlign w:val="center"/>
          </w:tcPr>
          <w:p w14:paraId="5DEF506E" w14:textId="62BD73C2" w:rsidR="009B5FE1" w:rsidRPr="009B5FE1" w:rsidRDefault="009B5FE1" w:rsidP="009B5FE1">
            <w:pPr>
              <w:spacing w:before="20" w:after="20" w:line="240" w:lineRule="auto"/>
              <w:jc w:val="both"/>
              <w:rPr>
                <w:rFonts w:ascii="Arial Narrow" w:eastAsia="Arial Narrow" w:hAnsi="Arial Narrow" w:cs="Arial Narrow"/>
                <w:bCs/>
                <w:i/>
                <w:color w:val="FF0000"/>
                <w:sz w:val="20"/>
                <w:szCs w:val="20"/>
                <w:lang w:eastAsia="sr-Latn-ME"/>
              </w:rPr>
            </w:pPr>
            <w:r w:rsidRPr="009B5FE1">
              <w:rPr>
                <w:rFonts w:ascii="Arial Narrow" w:hAnsi="Arial Narrow" w:cs="Calibri"/>
                <w:bCs/>
                <w:sz w:val="20"/>
                <w:szCs w:val="20"/>
              </w:rPr>
              <w:t>Godišnji izvještaji o realizaciji mapa puta za 33 pregovaračka poglavlja</w:t>
            </w:r>
          </w:p>
        </w:tc>
        <w:tc>
          <w:tcPr>
            <w:tcW w:w="2315" w:type="dxa"/>
            <w:gridSpan w:val="4"/>
            <w:tcBorders>
              <w:top w:val="single" w:sz="4" w:space="0" w:color="auto"/>
              <w:left w:val="single" w:sz="4" w:space="0" w:color="auto"/>
              <w:bottom w:val="single" w:sz="4" w:space="0" w:color="auto"/>
              <w:right w:val="single" w:sz="4" w:space="0" w:color="auto"/>
            </w:tcBorders>
            <w:vAlign w:val="center"/>
          </w:tcPr>
          <w:p w14:paraId="40ED6E31" w14:textId="190EC96C" w:rsidR="009B5FE1" w:rsidRPr="009B5FE1" w:rsidRDefault="009B5FE1" w:rsidP="009B5FE1">
            <w:pPr>
              <w:spacing w:before="20" w:after="20" w:line="240" w:lineRule="auto"/>
              <w:jc w:val="both"/>
              <w:rPr>
                <w:rFonts w:ascii="Arial Narrow" w:eastAsia="Arial Narrow" w:hAnsi="Arial Narrow" w:cs="Arial Narrow"/>
                <w:bCs/>
                <w:i/>
                <w:sz w:val="20"/>
                <w:szCs w:val="20"/>
                <w:lang w:eastAsia="sr-Latn-ME"/>
              </w:rPr>
            </w:pPr>
            <w:r w:rsidRPr="009B5FE1">
              <w:rPr>
                <w:rFonts w:ascii="Arial Narrow" w:hAnsi="Arial Narrow" w:cs="Calibri"/>
                <w:bCs/>
                <w:sz w:val="20"/>
                <w:szCs w:val="20"/>
              </w:rPr>
              <w:t>Usvojena 33 izvještaja na godišnjem nivou</w:t>
            </w:r>
          </w:p>
        </w:tc>
        <w:tc>
          <w:tcPr>
            <w:tcW w:w="1889" w:type="dxa"/>
            <w:gridSpan w:val="11"/>
            <w:tcBorders>
              <w:top w:val="single" w:sz="4" w:space="0" w:color="auto"/>
              <w:left w:val="single" w:sz="4" w:space="0" w:color="auto"/>
              <w:bottom w:val="single" w:sz="4" w:space="0" w:color="auto"/>
              <w:right w:val="single" w:sz="4" w:space="0" w:color="auto"/>
            </w:tcBorders>
            <w:vAlign w:val="center"/>
          </w:tcPr>
          <w:p w14:paraId="6751F5F2" w14:textId="77777777" w:rsidR="009B5FE1" w:rsidRPr="009B5FE1" w:rsidRDefault="009B5FE1" w:rsidP="009B5FE1">
            <w:pPr>
              <w:spacing w:before="20" w:after="20" w:line="240" w:lineRule="auto"/>
              <w:jc w:val="center"/>
              <w:rPr>
                <w:rFonts w:ascii="Arial Narrow" w:hAnsi="Arial Narrow" w:cs="Calibri"/>
                <w:bCs/>
                <w:sz w:val="20"/>
                <w:szCs w:val="20"/>
              </w:rPr>
            </w:pPr>
            <w:r w:rsidRPr="009B5FE1">
              <w:rPr>
                <w:rFonts w:ascii="Arial Narrow" w:hAnsi="Arial Narrow" w:cs="Calibri"/>
                <w:bCs/>
                <w:sz w:val="20"/>
                <w:szCs w:val="20"/>
              </w:rPr>
              <w:t>KPS</w:t>
            </w:r>
          </w:p>
          <w:p w14:paraId="6FA92CA8" w14:textId="4E552A37" w:rsidR="009B5FE1" w:rsidRPr="009B5FE1" w:rsidRDefault="009B5FE1" w:rsidP="009B5FE1">
            <w:pPr>
              <w:spacing w:before="20" w:after="20" w:line="240" w:lineRule="auto"/>
              <w:jc w:val="both"/>
              <w:rPr>
                <w:rFonts w:ascii="Arial Narrow" w:eastAsia="Arial Narrow" w:hAnsi="Arial Narrow" w:cs="Arial Narrow"/>
                <w:bCs/>
                <w:i/>
                <w:sz w:val="20"/>
                <w:szCs w:val="20"/>
                <w:lang w:eastAsia="sr-Latn-ME"/>
              </w:rPr>
            </w:pPr>
            <w:r w:rsidRPr="009B5FE1">
              <w:rPr>
                <w:rFonts w:ascii="Arial Narrow" w:hAnsi="Arial Narrow" w:cs="Calibri"/>
                <w:bCs/>
                <w:sz w:val="20"/>
                <w:szCs w:val="20"/>
              </w:rPr>
              <w:t xml:space="preserve">KEP </w:t>
            </w:r>
          </w:p>
        </w:tc>
        <w:tc>
          <w:tcPr>
            <w:tcW w:w="1709" w:type="dxa"/>
            <w:gridSpan w:val="7"/>
            <w:tcBorders>
              <w:top w:val="single" w:sz="4" w:space="0" w:color="auto"/>
              <w:left w:val="single" w:sz="4" w:space="0" w:color="auto"/>
              <w:bottom w:val="single" w:sz="4" w:space="0" w:color="auto"/>
              <w:right w:val="single" w:sz="4" w:space="0" w:color="auto"/>
            </w:tcBorders>
            <w:vAlign w:val="center"/>
          </w:tcPr>
          <w:p w14:paraId="48232796" w14:textId="34417000" w:rsidR="009B5FE1" w:rsidRPr="009B5FE1" w:rsidRDefault="009B5FE1" w:rsidP="009B5FE1">
            <w:pPr>
              <w:spacing w:before="20" w:after="20" w:line="240" w:lineRule="auto"/>
              <w:jc w:val="both"/>
              <w:rPr>
                <w:rFonts w:ascii="Arial Narrow" w:eastAsia="Arial Narrow" w:hAnsi="Arial Narrow" w:cs="Arial Narrow"/>
                <w:bCs/>
                <w:sz w:val="20"/>
                <w:szCs w:val="20"/>
                <w:lang w:eastAsia="sr-Latn-ME"/>
              </w:rPr>
            </w:pPr>
            <w:r w:rsidRPr="009B5FE1">
              <w:rPr>
                <w:rFonts w:ascii="Arial Narrow" w:hAnsi="Arial Narrow" w:cs="Calibri"/>
                <w:bCs/>
                <w:sz w:val="20"/>
                <w:szCs w:val="20"/>
              </w:rPr>
              <w:t>Aktivnost se sprovodi tokom I kvartala (2023, 2024, 2025.)</w:t>
            </w:r>
          </w:p>
        </w:tc>
        <w:tc>
          <w:tcPr>
            <w:tcW w:w="2159" w:type="dxa"/>
            <w:gridSpan w:val="8"/>
            <w:tcBorders>
              <w:top w:val="single" w:sz="4" w:space="0" w:color="auto"/>
              <w:left w:val="single" w:sz="4" w:space="0" w:color="auto"/>
              <w:bottom w:val="single" w:sz="4" w:space="0" w:color="auto"/>
              <w:right w:val="single" w:sz="4" w:space="0" w:color="auto"/>
            </w:tcBorders>
            <w:vAlign w:val="center"/>
          </w:tcPr>
          <w:p w14:paraId="07B27764" w14:textId="4D7278AE" w:rsidR="009B5FE1" w:rsidRPr="009B5FE1" w:rsidRDefault="009B5FE1" w:rsidP="009B5FE1">
            <w:pPr>
              <w:spacing w:before="20" w:after="20" w:line="240" w:lineRule="auto"/>
              <w:jc w:val="both"/>
              <w:rPr>
                <w:rFonts w:ascii="Arial Narrow" w:eastAsia="Arial Narrow" w:hAnsi="Arial Narrow" w:cs="Arial Narrow"/>
                <w:bCs/>
                <w:sz w:val="20"/>
                <w:szCs w:val="20"/>
                <w:lang w:eastAsia="sr-Latn-ME"/>
              </w:rPr>
            </w:pPr>
            <w:r w:rsidRPr="009B5FE1">
              <w:rPr>
                <w:rFonts w:ascii="Arial Narrow" w:hAnsi="Arial Narrow" w:cs="Calibri"/>
                <w:bCs/>
                <w:sz w:val="20"/>
                <w:szCs w:val="20"/>
              </w:rPr>
              <w:t>Priprema kapacitetima KEI</w:t>
            </w:r>
          </w:p>
        </w:tc>
        <w:tc>
          <w:tcPr>
            <w:tcW w:w="1710" w:type="dxa"/>
            <w:gridSpan w:val="14"/>
            <w:tcBorders>
              <w:top w:val="single" w:sz="4" w:space="0" w:color="auto"/>
              <w:left w:val="single" w:sz="4" w:space="0" w:color="auto"/>
              <w:bottom w:val="single" w:sz="4" w:space="0" w:color="auto"/>
              <w:right w:val="single" w:sz="4" w:space="0" w:color="auto"/>
            </w:tcBorders>
            <w:vAlign w:val="center"/>
          </w:tcPr>
          <w:p w14:paraId="649AFF42" w14:textId="3B8C8C65" w:rsidR="009B5FE1" w:rsidRPr="009B5FE1" w:rsidRDefault="009B5FE1" w:rsidP="009B5FE1">
            <w:pPr>
              <w:spacing w:before="20" w:after="20" w:line="240" w:lineRule="auto"/>
              <w:jc w:val="both"/>
              <w:rPr>
                <w:rFonts w:ascii="Arial Narrow" w:eastAsia="Arial Narrow" w:hAnsi="Arial Narrow" w:cs="Arial Narrow"/>
                <w:bCs/>
                <w:i/>
                <w:sz w:val="20"/>
                <w:szCs w:val="20"/>
                <w:lang w:eastAsia="sr-Latn-ME"/>
              </w:rPr>
            </w:pPr>
            <w:r w:rsidRPr="009B5FE1">
              <w:rPr>
                <w:rFonts w:ascii="Arial Narrow" w:hAnsi="Arial Narrow" w:cs="Calibri"/>
                <w:bCs/>
                <w:sz w:val="20"/>
                <w:szCs w:val="20"/>
              </w:rPr>
              <w:t>budžet</w:t>
            </w:r>
          </w:p>
        </w:tc>
        <w:tc>
          <w:tcPr>
            <w:tcW w:w="2155" w:type="dxa"/>
            <w:gridSpan w:val="2"/>
            <w:vAlign w:val="center"/>
          </w:tcPr>
          <w:p w14:paraId="293F6F34" w14:textId="77777777" w:rsidR="009B5FE1" w:rsidRPr="00B80AA5" w:rsidRDefault="009B5FE1" w:rsidP="009B5FE1">
            <w:pPr>
              <w:spacing w:before="20" w:after="20" w:line="240" w:lineRule="auto"/>
              <w:jc w:val="both"/>
              <w:rPr>
                <w:rFonts w:ascii="Arial Narrow" w:eastAsia="Arial Narrow" w:hAnsi="Arial Narrow" w:cs="Arial Narrow"/>
                <w:b/>
                <w:i/>
                <w:sz w:val="20"/>
                <w:szCs w:val="20"/>
                <w:lang w:eastAsia="sr-Latn-ME"/>
              </w:rPr>
            </w:pPr>
          </w:p>
        </w:tc>
      </w:tr>
      <w:tr w:rsidR="009B5FE1" w:rsidRPr="00B80AA5" w14:paraId="69F4F1A6" w14:textId="77777777" w:rsidTr="00DF2E8E">
        <w:trPr>
          <w:gridAfter w:val="1"/>
          <w:wAfter w:w="22" w:type="dxa"/>
        </w:trPr>
        <w:tc>
          <w:tcPr>
            <w:tcW w:w="722" w:type="dxa"/>
            <w:gridSpan w:val="4"/>
            <w:vAlign w:val="center"/>
          </w:tcPr>
          <w:p w14:paraId="184467A7" w14:textId="5CFA13C4"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3.</w:t>
            </w:r>
          </w:p>
        </w:tc>
        <w:tc>
          <w:tcPr>
            <w:tcW w:w="2219" w:type="dxa"/>
            <w:gridSpan w:val="7"/>
            <w:vAlign w:val="center"/>
          </w:tcPr>
          <w:p w14:paraId="13493E8C" w14:textId="4C922359"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Donijeti Izmjene i dopune Uredbe o organizaciji indirektnog upravljanja sprovođenja finansijske pomoći u okviru instrumenta pretpristupne podrške Evropske unije (</w:t>
            </w:r>
            <w:r w:rsidRPr="00B80AA5">
              <w:rPr>
                <w:rFonts w:ascii="Arial Narrow" w:eastAsia="Arial Narrow" w:hAnsi="Arial Narrow" w:cs="Arial Narrow"/>
                <w:b/>
                <w:sz w:val="20"/>
                <w:szCs w:val="20"/>
                <w:lang w:eastAsia="sr-Latn-ME"/>
              </w:rPr>
              <w:t>IPA II</w:t>
            </w:r>
            <w:r w:rsidRPr="00B80AA5">
              <w:rPr>
                <w:rFonts w:ascii="Arial Narrow" w:eastAsia="Arial Narrow" w:hAnsi="Arial Narrow" w:cs="Arial Narrow"/>
                <w:sz w:val="20"/>
                <w:szCs w:val="20"/>
                <w:lang w:eastAsia="sr-Latn-ME"/>
              </w:rPr>
              <w:t>)</w:t>
            </w:r>
          </w:p>
        </w:tc>
        <w:tc>
          <w:tcPr>
            <w:tcW w:w="2315" w:type="dxa"/>
            <w:gridSpan w:val="4"/>
            <w:vAlign w:val="center"/>
          </w:tcPr>
          <w:p w14:paraId="7BF14245" w14:textId="1D62F6AF"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Donesene Izmjene i dopune Uredbe o organizaciji indirektnog upravljanja sprovođenja finansijske pomoći u okviru instrumenta pretpristupne podrške Evropske unije (</w:t>
            </w:r>
            <w:r w:rsidRPr="00B80AA5">
              <w:rPr>
                <w:rFonts w:ascii="Arial Narrow" w:eastAsia="Arial Narrow" w:hAnsi="Arial Narrow" w:cs="Arial Narrow"/>
                <w:b/>
                <w:sz w:val="20"/>
                <w:szCs w:val="20"/>
                <w:lang w:eastAsia="sr-Latn-ME"/>
              </w:rPr>
              <w:t>IPA II</w:t>
            </w:r>
            <w:r w:rsidRPr="00B80AA5">
              <w:rPr>
                <w:rFonts w:ascii="Arial Narrow" w:eastAsia="Arial Narrow" w:hAnsi="Arial Narrow" w:cs="Arial Narrow"/>
                <w:sz w:val="20"/>
                <w:szCs w:val="20"/>
                <w:lang w:eastAsia="sr-Latn-ME"/>
              </w:rPr>
              <w:t>)</w:t>
            </w:r>
          </w:p>
        </w:tc>
        <w:tc>
          <w:tcPr>
            <w:tcW w:w="1889" w:type="dxa"/>
            <w:gridSpan w:val="11"/>
            <w:shd w:val="clear" w:color="auto" w:fill="auto"/>
            <w:vAlign w:val="center"/>
          </w:tcPr>
          <w:p w14:paraId="789E59E2" w14:textId="77777777" w:rsidR="009B5FE1" w:rsidRPr="00C642DC" w:rsidRDefault="009B5FE1" w:rsidP="009B5FE1">
            <w:pPr>
              <w:spacing w:before="20" w:after="20" w:line="240" w:lineRule="auto"/>
              <w:jc w:val="both"/>
              <w:rPr>
                <w:rFonts w:ascii="Arial Narrow" w:eastAsia="Arial Narrow" w:hAnsi="Arial Narrow" w:cs="Arial Narrow"/>
                <w:sz w:val="20"/>
                <w:szCs w:val="20"/>
                <w:lang w:eastAsia="sr-Latn-ME"/>
              </w:rPr>
            </w:pPr>
            <w:r w:rsidRPr="00C642DC">
              <w:rPr>
                <w:rFonts w:ascii="Arial Narrow" w:eastAsia="Arial Narrow" w:hAnsi="Arial Narrow" w:cs="Arial Narrow"/>
                <w:sz w:val="20"/>
                <w:szCs w:val="20"/>
                <w:lang w:eastAsia="sr-Latn-ME"/>
              </w:rPr>
              <w:t>NI: MFSS</w:t>
            </w:r>
          </w:p>
          <w:p w14:paraId="6DEB29C9" w14:textId="77777777" w:rsidR="009B5FE1" w:rsidRPr="00C642DC" w:rsidRDefault="009B5FE1" w:rsidP="009B5FE1">
            <w:pPr>
              <w:spacing w:before="20" w:after="20" w:line="240" w:lineRule="auto"/>
              <w:jc w:val="both"/>
              <w:rPr>
                <w:rFonts w:ascii="Arial Narrow" w:eastAsia="Arial Narrow" w:hAnsi="Arial Narrow" w:cs="Arial Narrow"/>
                <w:sz w:val="20"/>
                <w:szCs w:val="20"/>
                <w:lang w:eastAsia="sr-Latn-ME"/>
              </w:rPr>
            </w:pPr>
          </w:p>
          <w:p w14:paraId="718840DB" w14:textId="71AEF96E" w:rsidR="009B5FE1" w:rsidRPr="00C642DC" w:rsidRDefault="009B5FE1" w:rsidP="009B5FE1">
            <w:pPr>
              <w:spacing w:before="20" w:after="20" w:line="240" w:lineRule="auto"/>
              <w:jc w:val="both"/>
              <w:rPr>
                <w:rFonts w:ascii="Arial Narrow" w:eastAsia="Arial Narrow" w:hAnsi="Arial Narrow" w:cs="Arial Narrow"/>
                <w:sz w:val="20"/>
                <w:szCs w:val="20"/>
                <w:lang w:eastAsia="sr-Latn-ME"/>
              </w:rPr>
            </w:pPr>
            <w:r w:rsidRPr="00C642DC">
              <w:rPr>
                <w:rFonts w:ascii="Arial Narrow" w:eastAsia="Arial Narrow" w:hAnsi="Arial Narrow" w:cs="Arial Narrow"/>
                <w:sz w:val="20"/>
                <w:szCs w:val="20"/>
                <w:lang w:eastAsia="sr-Latn-ME"/>
              </w:rPr>
              <w:t>NK: KPS, KEPIF</w:t>
            </w:r>
          </w:p>
        </w:tc>
        <w:tc>
          <w:tcPr>
            <w:tcW w:w="1709" w:type="dxa"/>
            <w:gridSpan w:val="7"/>
            <w:shd w:val="clear" w:color="auto" w:fill="auto"/>
            <w:vAlign w:val="center"/>
          </w:tcPr>
          <w:p w14:paraId="132D1210" w14:textId="60A3E313"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II Q 2022.</w:t>
            </w:r>
          </w:p>
        </w:tc>
        <w:tc>
          <w:tcPr>
            <w:tcW w:w="2159" w:type="dxa"/>
            <w:gridSpan w:val="8"/>
            <w:vAlign w:val="center"/>
          </w:tcPr>
          <w:p w14:paraId="431AB712"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p>
        </w:tc>
        <w:tc>
          <w:tcPr>
            <w:tcW w:w="1710" w:type="dxa"/>
            <w:gridSpan w:val="14"/>
            <w:vAlign w:val="center"/>
          </w:tcPr>
          <w:p w14:paraId="72EDFD69" w14:textId="77777777" w:rsidR="009B5FE1" w:rsidRPr="00B80AA5" w:rsidRDefault="009B5FE1" w:rsidP="009B5FE1">
            <w:pPr>
              <w:spacing w:before="20" w:after="20" w:line="240" w:lineRule="auto"/>
              <w:jc w:val="both"/>
              <w:rPr>
                <w:rFonts w:ascii="Arial Narrow" w:eastAsia="Arial Narrow" w:hAnsi="Arial Narrow" w:cs="Arial Narrow"/>
                <w:b/>
                <w:i/>
                <w:sz w:val="20"/>
                <w:szCs w:val="20"/>
                <w:lang w:eastAsia="sr-Latn-ME"/>
              </w:rPr>
            </w:pPr>
          </w:p>
        </w:tc>
        <w:tc>
          <w:tcPr>
            <w:tcW w:w="2155" w:type="dxa"/>
            <w:gridSpan w:val="2"/>
            <w:vAlign w:val="center"/>
          </w:tcPr>
          <w:p w14:paraId="2F1F971D" w14:textId="0A4B4252"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 skladu sa formiranjem Odjeljenja za unutrašnju reviziju fondova EU u javnom sektoru u MFSS, koje je za zaduženo za sprovođenje revizije godišnjih, višegodišnjih i programa prekogranične saradnje finansiranih iz instrumenta pretpristupne podrške IPA II, neophodno je izmijeniti i dopuniti relevantnu Uredbu.</w:t>
            </w:r>
          </w:p>
        </w:tc>
      </w:tr>
      <w:tr w:rsidR="009B5FE1" w:rsidRPr="00B80AA5" w14:paraId="35C92B65" w14:textId="77777777" w:rsidTr="00DF2E8E">
        <w:trPr>
          <w:gridAfter w:val="1"/>
          <w:wAfter w:w="22" w:type="dxa"/>
        </w:trPr>
        <w:tc>
          <w:tcPr>
            <w:tcW w:w="722" w:type="dxa"/>
            <w:gridSpan w:val="4"/>
            <w:vAlign w:val="center"/>
          </w:tcPr>
          <w:p w14:paraId="28167301" w14:textId="68A030C5"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4.</w:t>
            </w:r>
          </w:p>
        </w:tc>
        <w:tc>
          <w:tcPr>
            <w:tcW w:w="2219" w:type="dxa"/>
            <w:gridSpan w:val="7"/>
            <w:vAlign w:val="center"/>
          </w:tcPr>
          <w:p w14:paraId="0046B0F4" w14:textId="77777777" w:rsidR="009B5FE1" w:rsidRPr="00B80AA5" w:rsidRDefault="009B5FE1" w:rsidP="009B5FE1">
            <w:pPr>
              <w:spacing w:after="0" w:line="240" w:lineRule="auto"/>
              <w:jc w:val="both"/>
              <w:rPr>
                <w:rFonts w:ascii="Arial Narrow" w:eastAsia="Arial Narrow" w:hAnsi="Arial Narrow" w:cs="Arial Narrow"/>
                <w:color w:val="000000"/>
                <w:sz w:val="20"/>
                <w:szCs w:val="20"/>
                <w:lang w:eastAsia="sr-Latn-ME"/>
              </w:rPr>
            </w:pPr>
            <w:r w:rsidRPr="00B80AA5">
              <w:rPr>
                <w:rFonts w:ascii="Arial Narrow" w:eastAsia="Arial Narrow" w:hAnsi="Arial Narrow" w:cs="Arial Narrow"/>
                <w:color w:val="000000"/>
                <w:sz w:val="20"/>
                <w:szCs w:val="20"/>
                <w:lang w:eastAsia="sr-Latn-ME"/>
              </w:rPr>
              <w:t>Donijeti Izmjene i dopune Odluke o imenovanju lica odgovornih za vršenje indirektnog upravljanja upravljanja pretpristupnim fondovima Evropske unije</w:t>
            </w:r>
          </w:p>
          <w:p w14:paraId="32FF2DF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315" w:type="dxa"/>
            <w:gridSpan w:val="4"/>
            <w:vAlign w:val="center"/>
          </w:tcPr>
          <w:p w14:paraId="02937F2E" w14:textId="77777777" w:rsidR="009B5FE1" w:rsidRPr="00B80AA5" w:rsidRDefault="009B5FE1" w:rsidP="009B5FE1">
            <w:pPr>
              <w:spacing w:after="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Donesene Izmjene i dopune Odluke o imenovanju lica odgovornih za vršenje indirektnog upravljanja upravljanja pretpristupnim fondovima Evropske unije</w:t>
            </w:r>
          </w:p>
          <w:p w14:paraId="6F82C1C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1889" w:type="dxa"/>
            <w:gridSpan w:val="11"/>
            <w:shd w:val="clear" w:color="auto" w:fill="auto"/>
            <w:vAlign w:val="center"/>
          </w:tcPr>
          <w:p w14:paraId="0650E6BC" w14:textId="77777777" w:rsidR="009B5FE1" w:rsidRPr="00B80AA5" w:rsidRDefault="009B5FE1" w:rsidP="009B5FE1">
            <w:pPr>
              <w:spacing w:before="20" w:after="20" w:line="240" w:lineRule="auto"/>
              <w:jc w:val="both"/>
              <w:rPr>
                <w:rFonts w:ascii="Arial Narrow" w:eastAsia="Arial Narrow" w:hAnsi="Arial Narrow" w:cs="Arial Narrow"/>
                <w:i/>
                <w:sz w:val="20"/>
                <w:szCs w:val="20"/>
                <w:lang w:eastAsia="sr-Latn-ME"/>
              </w:rPr>
            </w:pPr>
            <w:r w:rsidRPr="00B80AA5">
              <w:rPr>
                <w:rFonts w:ascii="Arial Narrow" w:eastAsia="Arial Narrow" w:hAnsi="Arial Narrow" w:cs="Arial Narrow"/>
                <w:i/>
                <w:sz w:val="20"/>
                <w:szCs w:val="20"/>
                <w:lang w:eastAsia="sr-Latn-ME"/>
              </w:rPr>
              <w:t>NI: MFSS</w:t>
            </w:r>
          </w:p>
          <w:p w14:paraId="68B07304" w14:textId="77777777" w:rsidR="009B5FE1" w:rsidRPr="00B80AA5" w:rsidRDefault="009B5FE1" w:rsidP="009B5FE1">
            <w:pPr>
              <w:spacing w:before="20" w:after="20" w:line="240" w:lineRule="auto"/>
              <w:jc w:val="both"/>
              <w:rPr>
                <w:rFonts w:ascii="Arial Narrow" w:eastAsia="Arial Narrow" w:hAnsi="Arial Narrow" w:cs="Arial Narrow"/>
                <w:i/>
                <w:sz w:val="20"/>
                <w:szCs w:val="20"/>
                <w:lang w:eastAsia="sr-Latn-ME"/>
              </w:rPr>
            </w:pPr>
          </w:p>
          <w:p w14:paraId="54394D8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i/>
                <w:sz w:val="20"/>
                <w:szCs w:val="20"/>
                <w:lang w:eastAsia="sr-Latn-ME"/>
              </w:rPr>
              <w:t>NK: KPS, KEPIF</w:t>
            </w:r>
          </w:p>
        </w:tc>
        <w:tc>
          <w:tcPr>
            <w:tcW w:w="1709" w:type="dxa"/>
            <w:gridSpan w:val="7"/>
            <w:shd w:val="clear" w:color="auto" w:fill="auto"/>
            <w:vAlign w:val="center"/>
          </w:tcPr>
          <w:p w14:paraId="3560DFAF"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II Q 2022.</w:t>
            </w:r>
          </w:p>
        </w:tc>
        <w:tc>
          <w:tcPr>
            <w:tcW w:w="2159" w:type="dxa"/>
            <w:gridSpan w:val="8"/>
            <w:vAlign w:val="center"/>
          </w:tcPr>
          <w:p w14:paraId="6071FEA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1710" w:type="dxa"/>
            <w:gridSpan w:val="14"/>
            <w:vAlign w:val="center"/>
          </w:tcPr>
          <w:p w14:paraId="10437B2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155" w:type="dxa"/>
            <w:gridSpan w:val="2"/>
            <w:vAlign w:val="center"/>
          </w:tcPr>
          <w:p w14:paraId="07D948C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Imajući u vidu organizacione promjene nastale u prethodnom periodu a koje su imale direktan uticaj na operativnu i kadrovsku strukturu institucija uključenih u sprovođenje IPA II programa, neophodno je donijeti izmijenjenu Odluku o imenovanju lica odgovornih za vršenje indirektnog upravljanja upravljanja pretpristupnim fondovima Evropske unije</w:t>
            </w:r>
          </w:p>
        </w:tc>
      </w:tr>
      <w:tr w:rsidR="009B5FE1" w:rsidRPr="00B80AA5" w14:paraId="642F5216" w14:textId="77777777" w:rsidTr="00DF2E8E">
        <w:trPr>
          <w:gridAfter w:val="1"/>
          <w:wAfter w:w="22" w:type="dxa"/>
        </w:trPr>
        <w:tc>
          <w:tcPr>
            <w:tcW w:w="722" w:type="dxa"/>
            <w:gridSpan w:val="4"/>
            <w:vAlign w:val="center"/>
          </w:tcPr>
          <w:p w14:paraId="01929145" w14:textId="1C3795D2"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5.</w:t>
            </w:r>
          </w:p>
        </w:tc>
        <w:tc>
          <w:tcPr>
            <w:tcW w:w="2219" w:type="dxa"/>
            <w:gridSpan w:val="7"/>
            <w:vAlign w:val="center"/>
          </w:tcPr>
          <w:p w14:paraId="6EDBB3CB"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Donijeti Uredbu o organizaciji indirektnog upravljanja sprovođenja finansijske pomoći u okviru </w:t>
            </w:r>
            <w:r w:rsidRPr="00B80AA5">
              <w:rPr>
                <w:rFonts w:ascii="Arial Narrow" w:eastAsia="Arial Narrow" w:hAnsi="Arial Narrow" w:cs="Arial Narrow"/>
                <w:sz w:val="20"/>
                <w:szCs w:val="20"/>
                <w:lang w:eastAsia="sr-Latn-ME"/>
              </w:rPr>
              <w:lastRenderedPageBreak/>
              <w:t>instrumenta pretpristupne podrške Evropske unije (</w:t>
            </w:r>
            <w:r w:rsidRPr="00B80AA5">
              <w:rPr>
                <w:rFonts w:ascii="Arial Narrow" w:eastAsia="Arial Narrow" w:hAnsi="Arial Narrow" w:cs="Arial Narrow"/>
                <w:b/>
                <w:sz w:val="20"/>
                <w:szCs w:val="20"/>
                <w:lang w:eastAsia="sr-Latn-ME"/>
              </w:rPr>
              <w:t>IPA III</w:t>
            </w:r>
            <w:r w:rsidRPr="00B80AA5">
              <w:rPr>
                <w:rFonts w:ascii="Arial Narrow" w:eastAsia="Arial Narrow" w:hAnsi="Arial Narrow" w:cs="Arial Narrow"/>
                <w:sz w:val="20"/>
                <w:szCs w:val="20"/>
                <w:lang w:eastAsia="sr-Latn-ME"/>
              </w:rPr>
              <w:t>)</w:t>
            </w:r>
          </w:p>
        </w:tc>
        <w:tc>
          <w:tcPr>
            <w:tcW w:w="2315" w:type="dxa"/>
            <w:gridSpan w:val="4"/>
            <w:vAlign w:val="center"/>
          </w:tcPr>
          <w:p w14:paraId="7D8D67A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 xml:space="preserve">Donijesena Uredba o organizaciji indirektnog upravljanja sprovođenja finansijske pomoći u okviru </w:t>
            </w:r>
            <w:r w:rsidRPr="00B80AA5">
              <w:rPr>
                <w:rFonts w:ascii="Arial Narrow" w:eastAsia="Arial Narrow" w:hAnsi="Arial Narrow" w:cs="Arial Narrow"/>
                <w:sz w:val="20"/>
                <w:szCs w:val="20"/>
                <w:lang w:eastAsia="sr-Latn-ME"/>
              </w:rPr>
              <w:lastRenderedPageBreak/>
              <w:t>instrumenta pretpristupne podrške Evropske unije (</w:t>
            </w:r>
            <w:r w:rsidRPr="00B80AA5">
              <w:rPr>
                <w:rFonts w:ascii="Arial Narrow" w:eastAsia="Arial Narrow" w:hAnsi="Arial Narrow" w:cs="Arial Narrow"/>
                <w:b/>
                <w:sz w:val="20"/>
                <w:szCs w:val="20"/>
                <w:lang w:eastAsia="sr-Latn-ME"/>
              </w:rPr>
              <w:t>IPA III</w:t>
            </w:r>
            <w:r w:rsidRPr="00B80AA5">
              <w:rPr>
                <w:rFonts w:ascii="Arial Narrow" w:eastAsia="Arial Narrow" w:hAnsi="Arial Narrow" w:cs="Arial Narrow"/>
                <w:sz w:val="20"/>
                <w:szCs w:val="20"/>
                <w:lang w:eastAsia="sr-Latn-ME"/>
              </w:rPr>
              <w:t>)</w:t>
            </w:r>
          </w:p>
        </w:tc>
        <w:tc>
          <w:tcPr>
            <w:tcW w:w="1889" w:type="dxa"/>
            <w:gridSpan w:val="11"/>
            <w:shd w:val="clear" w:color="auto" w:fill="auto"/>
            <w:vAlign w:val="center"/>
          </w:tcPr>
          <w:p w14:paraId="34CDA504" w14:textId="77777777" w:rsidR="009B5FE1" w:rsidRPr="00B80AA5" w:rsidRDefault="009B5FE1" w:rsidP="009B5FE1">
            <w:pPr>
              <w:spacing w:before="20" w:after="20" w:line="240" w:lineRule="auto"/>
              <w:jc w:val="both"/>
              <w:rPr>
                <w:rFonts w:ascii="Arial Narrow" w:eastAsia="Arial Narrow" w:hAnsi="Arial Narrow" w:cs="Arial Narrow"/>
                <w:i/>
                <w:sz w:val="20"/>
                <w:szCs w:val="20"/>
                <w:lang w:eastAsia="sr-Latn-ME"/>
              </w:rPr>
            </w:pPr>
            <w:r w:rsidRPr="00B80AA5">
              <w:rPr>
                <w:rFonts w:ascii="Arial Narrow" w:eastAsia="Arial Narrow" w:hAnsi="Arial Narrow" w:cs="Arial Narrow"/>
                <w:i/>
                <w:sz w:val="20"/>
                <w:szCs w:val="20"/>
                <w:lang w:eastAsia="sr-Latn-ME"/>
              </w:rPr>
              <w:lastRenderedPageBreak/>
              <w:t>NI: MFSS</w:t>
            </w:r>
          </w:p>
          <w:p w14:paraId="50406B56" w14:textId="77777777" w:rsidR="009B5FE1" w:rsidRPr="00B80AA5" w:rsidRDefault="009B5FE1" w:rsidP="009B5FE1">
            <w:pPr>
              <w:spacing w:before="20" w:after="20" w:line="240" w:lineRule="auto"/>
              <w:jc w:val="both"/>
              <w:rPr>
                <w:rFonts w:ascii="Arial Narrow" w:eastAsia="Arial Narrow" w:hAnsi="Arial Narrow" w:cs="Arial Narrow"/>
                <w:i/>
                <w:sz w:val="20"/>
                <w:szCs w:val="20"/>
                <w:lang w:eastAsia="sr-Latn-ME"/>
              </w:rPr>
            </w:pPr>
          </w:p>
          <w:p w14:paraId="526296C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i/>
                <w:sz w:val="20"/>
                <w:szCs w:val="20"/>
                <w:lang w:eastAsia="sr-Latn-ME"/>
              </w:rPr>
              <w:t>NK: KPS, KEPIF</w:t>
            </w:r>
          </w:p>
        </w:tc>
        <w:tc>
          <w:tcPr>
            <w:tcW w:w="1709" w:type="dxa"/>
            <w:gridSpan w:val="7"/>
            <w:shd w:val="clear" w:color="auto" w:fill="auto"/>
            <w:vAlign w:val="center"/>
          </w:tcPr>
          <w:p w14:paraId="2B3E8C7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II Q 2022.</w:t>
            </w:r>
          </w:p>
        </w:tc>
        <w:tc>
          <w:tcPr>
            <w:tcW w:w="2159" w:type="dxa"/>
            <w:gridSpan w:val="8"/>
            <w:vAlign w:val="center"/>
          </w:tcPr>
          <w:p w14:paraId="19A03C2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1710" w:type="dxa"/>
            <w:gridSpan w:val="14"/>
            <w:vAlign w:val="center"/>
          </w:tcPr>
          <w:p w14:paraId="332F719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155" w:type="dxa"/>
            <w:gridSpan w:val="2"/>
            <w:vAlign w:val="center"/>
          </w:tcPr>
          <w:p w14:paraId="3E2673A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Uredbom se obezbjeđuje formiranje operativne strukture za implementaciju </w:t>
            </w:r>
            <w:r w:rsidRPr="00B80AA5">
              <w:rPr>
                <w:rFonts w:ascii="Arial Narrow" w:eastAsia="Arial Narrow" w:hAnsi="Arial Narrow" w:cs="Arial Narrow"/>
                <w:sz w:val="20"/>
                <w:szCs w:val="20"/>
                <w:lang w:eastAsia="sr-Latn-ME"/>
              </w:rPr>
              <w:lastRenderedPageBreak/>
              <w:t>pretpristupne podrške za IPA III perspektivu u skladu akreditacionm kriterijumima predviđenim Okvirnim partnerskim finansijskim sporazumom.</w:t>
            </w:r>
          </w:p>
        </w:tc>
      </w:tr>
      <w:tr w:rsidR="009B5FE1" w:rsidRPr="00B80AA5" w14:paraId="06887485" w14:textId="77777777" w:rsidTr="00DF2E8E">
        <w:trPr>
          <w:gridAfter w:val="1"/>
          <w:wAfter w:w="22" w:type="dxa"/>
        </w:trPr>
        <w:tc>
          <w:tcPr>
            <w:tcW w:w="722" w:type="dxa"/>
            <w:gridSpan w:val="4"/>
            <w:vAlign w:val="center"/>
          </w:tcPr>
          <w:p w14:paraId="066D0B55" w14:textId="74CAD76D"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6.</w:t>
            </w:r>
          </w:p>
        </w:tc>
        <w:tc>
          <w:tcPr>
            <w:tcW w:w="2219" w:type="dxa"/>
            <w:gridSpan w:val="7"/>
            <w:vAlign w:val="center"/>
          </w:tcPr>
          <w:p w14:paraId="2058809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Pripremiti Izvještaj o realizaciji AP za uspostavljanje sistema sopstvenih sredstava EU u CG</w:t>
            </w:r>
          </w:p>
        </w:tc>
        <w:tc>
          <w:tcPr>
            <w:tcW w:w="2315" w:type="dxa"/>
            <w:gridSpan w:val="4"/>
            <w:vAlign w:val="center"/>
          </w:tcPr>
          <w:p w14:paraId="7E49E9FB"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Usvojen Izvještaj o realizaciji AP za uspostavljanje sistema sopstvenih sredstava EU u CG</w:t>
            </w:r>
          </w:p>
        </w:tc>
        <w:tc>
          <w:tcPr>
            <w:tcW w:w="1889" w:type="dxa"/>
            <w:gridSpan w:val="11"/>
            <w:shd w:val="clear" w:color="auto" w:fill="auto"/>
            <w:vAlign w:val="center"/>
          </w:tcPr>
          <w:p w14:paraId="74A24D2C" w14:textId="77777777" w:rsidR="009B5FE1" w:rsidRPr="00B80AA5" w:rsidRDefault="009B5FE1" w:rsidP="009B5FE1">
            <w:pPr>
              <w:spacing w:before="20" w:after="20" w:line="240" w:lineRule="auto"/>
              <w:jc w:val="both"/>
              <w:rPr>
                <w:rFonts w:ascii="Arial Narrow" w:eastAsia="Arial Narrow" w:hAnsi="Arial Narrow" w:cs="Arial Narrow"/>
                <w:i/>
                <w:sz w:val="20"/>
                <w:szCs w:val="20"/>
                <w:lang w:eastAsia="sr-Latn-ME"/>
              </w:rPr>
            </w:pPr>
            <w:r w:rsidRPr="00B80AA5">
              <w:rPr>
                <w:rFonts w:ascii="Arial Narrow" w:eastAsia="Arial Narrow" w:hAnsi="Arial Narrow" w:cs="Arial Narrow"/>
                <w:i/>
                <w:sz w:val="20"/>
                <w:szCs w:val="20"/>
                <w:lang w:eastAsia="sr-Latn-ME"/>
              </w:rPr>
              <w:t>NI: MFSS</w:t>
            </w:r>
          </w:p>
          <w:p w14:paraId="11778F18" w14:textId="77777777" w:rsidR="009B5FE1" w:rsidRPr="00B80AA5" w:rsidRDefault="009B5FE1" w:rsidP="009B5FE1">
            <w:pPr>
              <w:spacing w:before="20" w:after="20" w:line="240" w:lineRule="auto"/>
              <w:jc w:val="both"/>
              <w:rPr>
                <w:rFonts w:ascii="Arial Narrow" w:eastAsia="Arial Narrow" w:hAnsi="Arial Narrow" w:cs="Arial Narrow"/>
                <w:i/>
                <w:sz w:val="20"/>
                <w:szCs w:val="20"/>
                <w:lang w:eastAsia="sr-Latn-ME"/>
              </w:rPr>
            </w:pPr>
          </w:p>
          <w:p w14:paraId="32B933CE" w14:textId="77777777" w:rsidR="009B5FE1" w:rsidRPr="00B80AA5" w:rsidRDefault="009B5FE1" w:rsidP="009B5FE1">
            <w:pPr>
              <w:spacing w:before="20" w:after="20" w:line="240" w:lineRule="auto"/>
              <w:jc w:val="both"/>
              <w:rPr>
                <w:rFonts w:ascii="Arial Narrow" w:eastAsia="Arial Narrow" w:hAnsi="Arial Narrow" w:cs="Arial Narrow"/>
                <w:i/>
                <w:sz w:val="20"/>
                <w:szCs w:val="20"/>
                <w:lang w:eastAsia="sr-Latn-ME"/>
              </w:rPr>
            </w:pPr>
            <w:r w:rsidRPr="00B80AA5">
              <w:rPr>
                <w:rFonts w:ascii="Arial Narrow" w:eastAsia="Arial Narrow" w:hAnsi="Arial Narrow" w:cs="Arial Narrow"/>
                <w:i/>
                <w:sz w:val="20"/>
                <w:szCs w:val="20"/>
                <w:lang w:eastAsia="sr-Latn-ME"/>
              </w:rPr>
              <w:t>NK: KPS, KEPIF</w:t>
            </w:r>
          </w:p>
        </w:tc>
        <w:tc>
          <w:tcPr>
            <w:tcW w:w="1709" w:type="dxa"/>
            <w:gridSpan w:val="7"/>
            <w:shd w:val="clear" w:color="auto" w:fill="auto"/>
            <w:vAlign w:val="center"/>
          </w:tcPr>
          <w:p w14:paraId="0605467F"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II Q 2022.</w:t>
            </w:r>
          </w:p>
        </w:tc>
        <w:tc>
          <w:tcPr>
            <w:tcW w:w="2159" w:type="dxa"/>
            <w:gridSpan w:val="8"/>
            <w:vAlign w:val="center"/>
          </w:tcPr>
          <w:p w14:paraId="136E35C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1710" w:type="dxa"/>
            <w:gridSpan w:val="14"/>
            <w:vAlign w:val="center"/>
          </w:tcPr>
          <w:p w14:paraId="0610E8C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155" w:type="dxa"/>
            <w:gridSpan w:val="2"/>
            <w:vAlign w:val="center"/>
          </w:tcPr>
          <w:p w14:paraId="51BE246E" w14:textId="77777777" w:rsidR="009B5FE1" w:rsidRPr="00B80AA5" w:rsidRDefault="009B5FE1" w:rsidP="009B5FE1">
            <w:pPr>
              <w:spacing w:after="0" w:line="240" w:lineRule="auto"/>
              <w:jc w:val="both"/>
              <w:rPr>
                <w:rFonts w:ascii="Arial Narrow" w:eastAsia="Arial Narrow" w:hAnsi="Arial Narrow" w:cs="Arial Narrow"/>
                <w:sz w:val="20"/>
                <w:szCs w:val="20"/>
                <w:highlight w:val="yellow"/>
                <w:lang w:eastAsia="sr-Latn-ME"/>
              </w:rPr>
            </w:pPr>
            <w:r w:rsidRPr="00B80AA5">
              <w:rPr>
                <w:rFonts w:ascii="Arial Narrow" w:eastAsia="Arial Narrow" w:hAnsi="Arial Narrow" w:cs="Arial Narrow"/>
                <w:sz w:val="20"/>
                <w:szCs w:val="20"/>
                <w:lang w:eastAsia="sr-Latn-ME"/>
              </w:rPr>
              <w:t>Vlada Crne Gore usvojila je usvojila Akcioni plan za uspostavljanje sistema sopstvenih sredstava EU u Crnoj Gori, uz obavezu izvještavanja o realizaciji Akcionog plana na godišnjem nivou</w:t>
            </w:r>
          </w:p>
        </w:tc>
      </w:tr>
      <w:tr w:rsidR="009B5FE1" w:rsidRPr="00B80AA5" w14:paraId="643C77D3" w14:textId="77777777" w:rsidTr="00DF2E8E">
        <w:trPr>
          <w:gridAfter w:val="1"/>
          <w:wAfter w:w="22" w:type="dxa"/>
          <w:trHeight w:val="620"/>
        </w:trPr>
        <w:tc>
          <w:tcPr>
            <w:tcW w:w="3717" w:type="dxa"/>
            <w:gridSpan w:val="13"/>
            <w:tcBorders>
              <w:top w:val="single" w:sz="4" w:space="0" w:color="000000"/>
              <w:left w:val="single" w:sz="4" w:space="0" w:color="000000"/>
              <w:bottom w:val="single" w:sz="4" w:space="0" w:color="000000"/>
              <w:right w:val="single" w:sz="4" w:space="0" w:color="000000"/>
            </w:tcBorders>
            <w:shd w:val="clear" w:color="auto" w:fill="D9E2F3"/>
          </w:tcPr>
          <w:p w14:paraId="3BEABCA7"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bookmarkStart w:id="54" w:name="_Hlk89635126"/>
            <w:r w:rsidRPr="00B80AA5">
              <w:rPr>
                <w:rFonts w:ascii="Arial Narrow" w:eastAsia="Arial Narrow" w:hAnsi="Arial Narrow" w:cs="Arial Narrow"/>
                <w:b/>
                <w:sz w:val="20"/>
                <w:szCs w:val="20"/>
                <w:lang w:eastAsia="sr-Latn-ME"/>
              </w:rPr>
              <w:t xml:space="preserve">Cilj </w:t>
            </w:r>
            <w:r>
              <w:rPr>
                <w:rFonts w:ascii="Arial Narrow" w:eastAsia="Arial Narrow" w:hAnsi="Arial Narrow" w:cs="Arial Narrow"/>
                <w:b/>
                <w:sz w:val="20"/>
                <w:szCs w:val="20"/>
                <w:lang w:eastAsia="sr-Latn-ME"/>
              </w:rPr>
              <w:t>6.3.</w:t>
            </w:r>
            <w:r w:rsidRPr="00B80AA5">
              <w:rPr>
                <w:rFonts w:ascii="Arial Narrow" w:eastAsia="Arial Narrow" w:hAnsi="Arial Narrow" w:cs="Arial Narrow"/>
                <w:b/>
                <w:sz w:val="20"/>
                <w:szCs w:val="20"/>
                <w:lang w:eastAsia="sr-Latn-ME"/>
              </w:rPr>
              <w:t xml:space="preserve"> </w:t>
            </w:r>
          </w:p>
          <w:p w14:paraId="37541E32"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p>
        </w:tc>
        <w:tc>
          <w:tcPr>
            <w:tcW w:w="11161" w:type="dxa"/>
            <w:gridSpan w:val="44"/>
            <w:tcBorders>
              <w:top w:val="single" w:sz="4" w:space="0" w:color="000000"/>
              <w:left w:val="single" w:sz="4" w:space="0" w:color="000000"/>
              <w:bottom w:val="single" w:sz="4" w:space="0" w:color="000000"/>
              <w:right w:val="single" w:sz="4" w:space="0" w:color="000000"/>
            </w:tcBorders>
            <w:shd w:val="clear" w:color="auto" w:fill="D9E2F3"/>
          </w:tcPr>
          <w:p w14:paraId="3117419A"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 xml:space="preserve">Unapređenje zakonodavnog i institucionalnog okvira za oblast vanjskih odnosa i vanjske, bezbjednosne i odbrambene politike </w:t>
            </w:r>
          </w:p>
        </w:tc>
      </w:tr>
      <w:tr w:rsidR="009B5FE1" w:rsidRPr="00B80AA5" w14:paraId="496AFECC" w14:textId="77777777" w:rsidTr="00DF2E8E">
        <w:trPr>
          <w:gridAfter w:val="1"/>
          <w:wAfter w:w="22" w:type="dxa"/>
          <w:trHeight w:val="571"/>
        </w:trPr>
        <w:tc>
          <w:tcPr>
            <w:tcW w:w="3717" w:type="dxa"/>
            <w:gridSpan w:val="13"/>
            <w:tcBorders>
              <w:top w:val="single" w:sz="4" w:space="0" w:color="000000"/>
              <w:left w:val="single" w:sz="4" w:space="0" w:color="000000"/>
              <w:bottom w:val="single" w:sz="4" w:space="0" w:color="000000"/>
              <w:right w:val="single" w:sz="4" w:space="0" w:color="000000"/>
            </w:tcBorders>
            <w:shd w:val="clear" w:color="auto" w:fill="DAF2F6"/>
          </w:tcPr>
          <w:p w14:paraId="7ECDD368" w14:textId="77777777" w:rsidR="009B5FE1" w:rsidRPr="00B80AA5" w:rsidRDefault="00A52361" w:rsidP="009B5FE1">
            <w:pPr>
              <w:spacing w:before="40" w:after="40" w:line="240" w:lineRule="auto"/>
              <w:jc w:val="center"/>
              <w:rPr>
                <w:rFonts w:ascii="Arial Narrow" w:eastAsia="Arial Narrow" w:hAnsi="Arial Narrow" w:cs="Arial Narrow"/>
                <w:b/>
                <w:sz w:val="20"/>
                <w:szCs w:val="20"/>
                <w:lang w:eastAsia="sr-Latn-ME"/>
              </w:rPr>
            </w:pPr>
            <w:sdt>
              <w:sdtPr>
                <w:rPr>
                  <w:rFonts w:ascii="Arial Narrow" w:eastAsia="Arial Narrow" w:hAnsi="Arial Narrow" w:cs="Arial Narrow"/>
                  <w:sz w:val="24"/>
                  <w:szCs w:val="24"/>
                  <w:lang w:eastAsia="sr-Latn-ME"/>
                </w:rPr>
                <w:tag w:val="goog_rdk_1"/>
                <w:id w:val="1355145095"/>
              </w:sdtPr>
              <w:sdtEndPr/>
              <w:sdtContent/>
            </w:sdt>
            <w:r w:rsidR="009B5FE1" w:rsidRPr="00B80AA5">
              <w:rPr>
                <w:rFonts w:ascii="Arial Narrow" w:eastAsia="Arial Narrow" w:hAnsi="Arial Narrow" w:cs="Arial Narrow"/>
                <w:b/>
                <w:sz w:val="20"/>
                <w:szCs w:val="20"/>
                <w:lang w:eastAsia="sr-Latn-ME"/>
              </w:rPr>
              <w:t>Indikator učinka</w:t>
            </w:r>
          </w:p>
        </w:tc>
        <w:tc>
          <w:tcPr>
            <w:tcW w:w="2402" w:type="dxa"/>
            <w:gridSpan w:val="10"/>
            <w:tcBorders>
              <w:top w:val="single" w:sz="4" w:space="0" w:color="000000"/>
              <w:left w:val="single" w:sz="4" w:space="0" w:color="000000"/>
              <w:bottom w:val="single" w:sz="4" w:space="0" w:color="000000"/>
              <w:right w:val="single" w:sz="4" w:space="0" w:color="000000"/>
            </w:tcBorders>
            <w:shd w:val="clear" w:color="auto" w:fill="DAF2F6"/>
          </w:tcPr>
          <w:p w14:paraId="3934435A"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Polazna vrijednost – 2021.g</w:t>
            </w:r>
          </w:p>
        </w:tc>
        <w:tc>
          <w:tcPr>
            <w:tcW w:w="2992" w:type="dxa"/>
            <w:gridSpan w:val="13"/>
            <w:tcBorders>
              <w:top w:val="single" w:sz="4" w:space="0" w:color="000000"/>
              <w:left w:val="single" w:sz="4" w:space="0" w:color="000000"/>
              <w:bottom w:val="single" w:sz="4" w:space="0" w:color="000000"/>
              <w:right w:val="single" w:sz="4" w:space="0" w:color="000000"/>
            </w:tcBorders>
            <w:shd w:val="clear" w:color="auto" w:fill="DAF2F6"/>
            <w:vAlign w:val="center"/>
          </w:tcPr>
          <w:p w14:paraId="2508B63A"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2022.g</w:t>
            </w:r>
          </w:p>
        </w:tc>
        <w:tc>
          <w:tcPr>
            <w:tcW w:w="2747" w:type="dxa"/>
            <w:gridSpan w:val="12"/>
            <w:tcBorders>
              <w:top w:val="single" w:sz="4" w:space="0" w:color="000000"/>
              <w:left w:val="single" w:sz="4" w:space="0" w:color="000000"/>
              <w:bottom w:val="single" w:sz="4" w:space="0" w:color="FFFFFF"/>
              <w:right w:val="single" w:sz="4" w:space="0" w:color="000000"/>
            </w:tcBorders>
            <w:shd w:val="clear" w:color="auto" w:fill="DAF2F6"/>
            <w:vAlign w:val="center"/>
          </w:tcPr>
          <w:p w14:paraId="5A43A370"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2023.g</w:t>
            </w:r>
          </w:p>
        </w:tc>
        <w:tc>
          <w:tcPr>
            <w:tcW w:w="3020" w:type="dxa"/>
            <w:gridSpan w:val="9"/>
            <w:tcBorders>
              <w:top w:val="single" w:sz="4" w:space="0" w:color="000000"/>
              <w:left w:val="single" w:sz="4" w:space="0" w:color="000000"/>
              <w:bottom w:val="single" w:sz="4" w:space="0" w:color="FFFFFF"/>
              <w:right w:val="single" w:sz="4" w:space="0" w:color="000000"/>
            </w:tcBorders>
            <w:shd w:val="clear" w:color="auto" w:fill="DAF2F6"/>
            <w:vAlign w:val="center"/>
          </w:tcPr>
          <w:p w14:paraId="6FE1EDC1"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Ciljna vrijednost - 2024.g</w:t>
            </w:r>
          </w:p>
        </w:tc>
      </w:tr>
      <w:tr w:rsidR="009B5FE1" w:rsidRPr="00B80AA5" w14:paraId="476C676B" w14:textId="77777777" w:rsidTr="00DF2E8E">
        <w:trPr>
          <w:gridAfter w:val="1"/>
          <w:wAfter w:w="22" w:type="dxa"/>
          <w:trHeight w:val="982"/>
        </w:trPr>
        <w:tc>
          <w:tcPr>
            <w:tcW w:w="3717" w:type="dxa"/>
            <w:gridSpan w:val="13"/>
            <w:tcBorders>
              <w:top w:val="single" w:sz="4" w:space="0" w:color="000000"/>
              <w:left w:val="single" w:sz="4" w:space="0" w:color="000000"/>
              <w:bottom w:val="single" w:sz="4" w:space="0" w:color="000000"/>
              <w:right w:val="single" w:sz="4" w:space="0" w:color="000000"/>
            </w:tcBorders>
            <w:shd w:val="clear" w:color="auto" w:fill="DAF2F6"/>
          </w:tcPr>
          <w:p w14:paraId="28BDB15A"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Usklađenost zakonodavnog i institucionalnog okvira za oblast razvojne saradnje i humanitarne pomoći sa pravnom tekovinom Evropske unije</w:t>
            </w:r>
          </w:p>
        </w:tc>
        <w:tc>
          <w:tcPr>
            <w:tcW w:w="2402" w:type="dxa"/>
            <w:gridSpan w:val="10"/>
            <w:tcBorders>
              <w:top w:val="single" w:sz="4" w:space="0" w:color="000000"/>
              <w:left w:val="single" w:sz="4" w:space="0" w:color="000000"/>
              <w:bottom w:val="single" w:sz="4" w:space="0" w:color="000000"/>
              <w:right w:val="single" w:sz="4" w:space="0" w:color="000000"/>
            </w:tcBorders>
            <w:shd w:val="clear" w:color="auto" w:fill="DAF2F6"/>
          </w:tcPr>
          <w:p w14:paraId="104989FD"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Djelimična usklađenost</w:t>
            </w:r>
          </w:p>
        </w:tc>
        <w:tc>
          <w:tcPr>
            <w:tcW w:w="2992" w:type="dxa"/>
            <w:gridSpan w:val="13"/>
            <w:tcBorders>
              <w:top w:val="single" w:sz="4" w:space="0" w:color="000000"/>
              <w:left w:val="single" w:sz="4" w:space="0" w:color="000000"/>
              <w:bottom w:val="single" w:sz="4" w:space="0" w:color="000000"/>
              <w:right w:val="single" w:sz="4" w:space="0" w:color="000000"/>
            </w:tcBorders>
            <w:shd w:val="clear" w:color="auto" w:fill="DAF2F6"/>
          </w:tcPr>
          <w:p w14:paraId="703F5C8A" w14:textId="77777777" w:rsidR="009B5FE1" w:rsidRPr="00B80AA5" w:rsidRDefault="009B5FE1" w:rsidP="009B5FE1">
            <w:pPr>
              <w:spacing w:before="20" w:after="2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Potpuna usklađenost</w:t>
            </w:r>
          </w:p>
          <w:p w14:paraId="49CE0BB9" w14:textId="77777777" w:rsidR="009B5FE1" w:rsidRPr="00B80AA5" w:rsidRDefault="009B5FE1" w:rsidP="009B5FE1">
            <w:pPr>
              <w:spacing w:before="20" w:after="20" w:line="240" w:lineRule="auto"/>
              <w:jc w:val="center"/>
              <w:rPr>
                <w:rFonts w:ascii="Arial Narrow" w:eastAsia="Arial Narrow" w:hAnsi="Arial Narrow" w:cs="Arial Narrow"/>
                <w:sz w:val="20"/>
                <w:szCs w:val="20"/>
                <w:lang w:eastAsia="sr-Latn-ME"/>
              </w:rPr>
            </w:pPr>
          </w:p>
        </w:tc>
        <w:tc>
          <w:tcPr>
            <w:tcW w:w="2747" w:type="dxa"/>
            <w:gridSpan w:val="12"/>
            <w:tcBorders>
              <w:top w:val="single" w:sz="4" w:space="0" w:color="000000"/>
              <w:left w:val="single" w:sz="4" w:space="0" w:color="000000"/>
              <w:bottom w:val="single" w:sz="4" w:space="0" w:color="000000"/>
              <w:right w:val="single" w:sz="4" w:space="0" w:color="000000"/>
            </w:tcBorders>
            <w:shd w:val="clear" w:color="auto" w:fill="DAF2F6"/>
          </w:tcPr>
          <w:p w14:paraId="00A4A023" w14:textId="77777777" w:rsidR="009B5FE1" w:rsidRPr="00B80AA5" w:rsidRDefault="009B5FE1" w:rsidP="009B5FE1">
            <w:pPr>
              <w:spacing w:before="20" w:after="2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Potpuna usklađenost</w:t>
            </w:r>
          </w:p>
          <w:p w14:paraId="46A00FB8" w14:textId="77777777" w:rsidR="009B5FE1" w:rsidRPr="00B80AA5" w:rsidRDefault="009B5FE1" w:rsidP="009B5FE1">
            <w:pPr>
              <w:spacing w:before="20" w:after="20" w:line="240" w:lineRule="auto"/>
              <w:jc w:val="center"/>
              <w:rPr>
                <w:rFonts w:ascii="Arial Narrow" w:eastAsia="Arial Narrow" w:hAnsi="Arial Narrow" w:cs="Arial Narrow"/>
                <w:sz w:val="20"/>
                <w:szCs w:val="20"/>
                <w:lang w:eastAsia="sr-Latn-ME"/>
              </w:rPr>
            </w:pPr>
          </w:p>
        </w:tc>
        <w:tc>
          <w:tcPr>
            <w:tcW w:w="3020" w:type="dxa"/>
            <w:gridSpan w:val="9"/>
            <w:tcBorders>
              <w:top w:val="single" w:sz="4" w:space="0" w:color="000000"/>
              <w:left w:val="single" w:sz="4" w:space="0" w:color="000000"/>
              <w:bottom w:val="single" w:sz="4" w:space="0" w:color="000000"/>
              <w:right w:val="single" w:sz="4" w:space="0" w:color="000000"/>
            </w:tcBorders>
            <w:shd w:val="clear" w:color="auto" w:fill="DAF2F6"/>
          </w:tcPr>
          <w:p w14:paraId="0587D7BF"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Potpuna usklađenost</w:t>
            </w:r>
          </w:p>
        </w:tc>
      </w:tr>
      <w:tr w:rsidR="009B5FE1" w:rsidRPr="00B80AA5" w14:paraId="56AB7A02" w14:textId="77777777" w:rsidTr="00DF2E8E">
        <w:trPr>
          <w:gridAfter w:val="1"/>
          <w:wAfter w:w="22" w:type="dxa"/>
          <w:trHeight w:val="982"/>
        </w:trPr>
        <w:tc>
          <w:tcPr>
            <w:tcW w:w="3717" w:type="dxa"/>
            <w:gridSpan w:val="13"/>
            <w:tcBorders>
              <w:top w:val="single" w:sz="4" w:space="0" w:color="000000"/>
              <w:left w:val="single" w:sz="4" w:space="0" w:color="000000"/>
              <w:bottom w:val="single" w:sz="4" w:space="0" w:color="000000"/>
              <w:right w:val="single" w:sz="4" w:space="0" w:color="000000"/>
            </w:tcBorders>
            <w:shd w:val="clear" w:color="auto" w:fill="DAF2F6"/>
          </w:tcPr>
          <w:p w14:paraId="24C85415"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Usklađenost međunarodnih restriktivnih mjera koje donosi Crna Gora sa zajedničkom vanjskom i bezbjednosnom politikom Evropske unije</w:t>
            </w:r>
          </w:p>
          <w:p w14:paraId="344E65CC" w14:textId="77777777" w:rsidR="009B5FE1" w:rsidRPr="00B80AA5" w:rsidRDefault="009B5FE1" w:rsidP="009B5FE1">
            <w:pPr>
              <w:spacing w:before="40" w:after="40" w:line="240" w:lineRule="auto"/>
              <w:rPr>
                <w:rFonts w:ascii="Arial Narrow" w:eastAsia="Arial Narrow" w:hAnsi="Arial Narrow" w:cs="Arial Narrow"/>
                <w:color w:val="FF0000"/>
                <w:sz w:val="20"/>
                <w:szCs w:val="20"/>
                <w:lang w:eastAsia="sr-Latn-ME"/>
              </w:rPr>
            </w:pPr>
          </w:p>
        </w:tc>
        <w:tc>
          <w:tcPr>
            <w:tcW w:w="2402" w:type="dxa"/>
            <w:gridSpan w:val="10"/>
            <w:tcBorders>
              <w:top w:val="single" w:sz="4" w:space="0" w:color="000000"/>
              <w:left w:val="single" w:sz="4" w:space="0" w:color="000000"/>
              <w:bottom w:val="single" w:sz="4" w:space="0" w:color="000000"/>
              <w:right w:val="single" w:sz="4" w:space="0" w:color="000000"/>
            </w:tcBorders>
            <w:shd w:val="clear" w:color="auto" w:fill="DAF2F6"/>
          </w:tcPr>
          <w:p w14:paraId="3EA4177B"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Potpuna usklađenost</w:t>
            </w:r>
          </w:p>
          <w:p w14:paraId="38259164" w14:textId="77777777" w:rsidR="009B5FE1" w:rsidRPr="00B80AA5" w:rsidRDefault="009B5FE1" w:rsidP="009B5FE1">
            <w:pPr>
              <w:spacing w:before="40" w:after="40" w:line="240" w:lineRule="auto"/>
              <w:jc w:val="center"/>
              <w:rPr>
                <w:rFonts w:ascii="Arial Narrow" w:eastAsia="Arial Narrow" w:hAnsi="Arial Narrow" w:cs="Arial Narrow"/>
                <w:color w:val="FF0000"/>
                <w:sz w:val="20"/>
                <w:szCs w:val="20"/>
                <w:lang w:eastAsia="sr-Latn-ME"/>
              </w:rPr>
            </w:pPr>
          </w:p>
        </w:tc>
        <w:tc>
          <w:tcPr>
            <w:tcW w:w="2992" w:type="dxa"/>
            <w:gridSpan w:val="13"/>
            <w:tcBorders>
              <w:top w:val="single" w:sz="4" w:space="0" w:color="000000"/>
              <w:left w:val="single" w:sz="4" w:space="0" w:color="000000"/>
              <w:bottom w:val="single" w:sz="4" w:space="0" w:color="000000"/>
              <w:right w:val="single" w:sz="4" w:space="0" w:color="000000"/>
            </w:tcBorders>
            <w:shd w:val="clear" w:color="auto" w:fill="DAF2F6"/>
          </w:tcPr>
          <w:p w14:paraId="14477CA7"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Potpuna usklađenost</w:t>
            </w:r>
          </w:p>
          <w:p w14:paraId="1585C58C" w14:textId="77777777" w:rsidR="009B5FE1" w:rsidRPr="00B80AA5" w:rsidRDefault="009B5FE1" w:rsidP="009B5FE1">
            <w:pPr>
              <w:spacing w:before="40" w:after="40" w:line="240" w:lineRule="auto"/>
              <w:jc w:val="center"/>
              <w:rPr>
                <w:rFonts w:ascii="Arial Narrow" w:eastAsia="Arial Narrow" w:hAnsi="Arial Narrow" w:cs="Arial Narrow"/>
                <w:color w:val="FF0000"/>
                <w:sz w:val="20"/>
                <w:szCs w:val="20"/>
                <w:lang w:eastAsia="sr-Latn-ME"/>
              </w:rPr>
            </w:pPr>
          </w:p>
        </w:tc>
        <w:tc>
          <w:tcPr>
            <w:tcW w:w="2747" w:type="dxa"/>
            <w:gridSpan w:val="12"/>
            <w:tcBorders>
              <w:top w:val="single" w:sz="4" w:space="0" w:color="000000"/>
              <w:left w:val="single" w:sz="4" w:space="0" w:color="000000"/>
              <w:bottom w:val="single" w:sz="4" w:space="0" w:color="000000"/>
              <w:right w:val="single" w:sz="4" w:space="0" w:color="000000"/>
            </w:tcBorders>
            <w:shd w:val="clear" w:color="auto" w:fill="DAF2F6"/>
          </w:tcPr>
          <w:p w14:paraId="47F84C26"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Potpuna usklađenost</w:t>
            </w:r>
          </w:p>
          <w:p w14:paraId="1B8E21CD" w14:textId="77777777" w:rsidR="009B5FE1" w:rsidRPr="00B80AA5" w:rsidRDefault="009B5FE1" w:rsidP="009B5FE1">
            <w:pPr>
              <w:spacing w:before="40" w:after="40" w:line="240" w:lineRule="auto"/>
              <w:jc w:val="center"/>
              <w:rPr>
                <w:rFonts w:ascii="Arial Narrow" w:eastAsia="Arial Narrow" w:hAnsi="Arial Narrow" w:cs="Arial Narrow"/>
                <w:color w:val="FF0000"/>
                <w:sz w:val="20"/>
                <w:szCs w:val="20"/>
                <w:lang w:eastAsia="sr-Latn-ME"/>
              </w:rPr>
            </w:pPr>
          </w:p>
        </w:tc>
        <w:tc>
          <w:tcPr>
            <w:tcW w:w="3020" w:type="dxa"/>
            <w:gridSpan w:val="9"/>
            <w:tcBorders>
              <w:top w:val="single" w:sz="4" w:space="0" w:color="000000"/>
              <w:left w:val="single" w:sz="4" w:space="0" w:color="000000"/>
              <w:bottom w:val="single" w:sz="4" w:space="0" w:color="000000"/>
              <w:right w:val="single" w:sz="4" w:space="0" w:color="000000"/>
            </w:tcBorders>
            <w:shd w:val="clear" w:color="auto" w:fill="DAF2F6"/>
          </w:tcPr>
          <w:p w14:paraId="36B380B4"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Potpuna usklađenost</w:t>
            </w:r>
          </w:p>
          <w:p w14:paraId="1F5D3AF5" w14:textId="77777777" w:rsidR="009B5FE1" w:rsidRPr="00B80AA5" w:rsidRDefault="009B5FE1" w:rsidP="009B5FE1">
            <w:pPr>
              <w:spacing w:before="40" w:after="40" w:line="240" w:lineRule="auto"/>
              <w:jc w:val="center"/>
              <w:rPr>
                <w:rFonts w:ascii="Arial Narrow" w:eastAsia="Arial Narrow" w:hAnsi="Arial Narrow" w:cs="Arial Narrow"/>
                <w:color w:val="FF0000"/>
                <w:sz w:val="20"/>
                <w:szCs w:val="20"/>
                <w:lang w:eastAsia="sr-Latn-ME"/>
              </w:rPr>
            </w:pPr>
          </w:p>
        </w:tc>
      </w:tr>
      <w:bookmarkEnd w:id="54"/>
      <w:tr w:rsidR="009B5FE1" w:rsidRPr="00B80AA5" w14:paraId="583877C9" w14:textId="77777777" w:rsidTr="00DF2E8E">
        <w:trPr>
          <w:gridAfter w:val="1"/>
          <w:wAfter w:w="22" w:type="dxa"/>
          <w:trHeight w:val="778"/>
        </w:trPr>
        <w:tc>
          <w:tcPr>
            <w:tcW w:w="3717" w:type="dxa"/>
            <w:gridSpan w:val="13"/>
            <w:tcBorders>
              <w:top w:val="single" w:sz="4" w:space="0" w:color="000000"/>
              <w:left w:val="single" w:sz="4" w:space="0" w:color="000000"/>
              <w:bottom w:val="single" w:sz="4" w:space="0" w:color="000000"/>
              <w:right w:val="single" w:sz="4" w:space="0" w:color="000000"/>
            </w:tcBorders>
            <w:shd w:val="clear" w:color="auto" w:fill="FFF2CC"/>
            <w:vAlign w:val="center"/>
          </w:tcPr>
          <w:p w14:paraId="0B7470A0"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Aktivnosti</w:t>
            </w:r>
          </w:p>
        </w:tc>
        <w:tc>
          <w:tcPr>
            <w:tcW w:w="1884"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0D11720F"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Indikator rezultata</w:t>
            </w:r>
          </w:p>
        </w:tc>
        <w:tc>
          <w:tcPr>
            <w:tcW w:w="1824" w:type="dxa"/>
            <w:gridSpan w:val="12"/>
            <w:tcBorders>
              <w:top w:val="single" w:sz="4" w:space="0" w:color="000000"/>
              <w:left w:val="single" w:sz="4" w:space="0" w:color="000000"/>
              <w:bottom w:val="single" w:sz="4" w:space="0" w:color="000000"/>
              <w:right w:val="single" w:sz="4" w:space="0" w:color="000000"/>
            </w:tcBorders>
            <w:shd w:val="clear" w:color="auto" w:fill="FFF2CC"/>
            <w:vAlign w:val="center"/>
          </w:tcPr>
          <w:p w14:paraId="71516B4F"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Nadležne institucije i nadležna komisija</w:t>
            </w:r>
          </w:p>
        </w:tc>
        <w:tc>
          <w:tcPr>
            <w:tcW w:w="1686"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5B8EA8F0"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Planirani početak i završetak aktivnosti</w:t>
            </w:r>
          </w:p>
        </w:tc>
        <w:tc>
          <w:tcPr>
            <w:tcW w:w="2069" w:type="dxa"/>
            <w:gridSpan w:val="6"/>
            <w:tcBorders>
              <w:top w:val="single" w:sz="4" w:space="0" w:color="000000"/>
              <w:left w:val="single" w:sz="4" w:space="0" w:color="000000"/>
              <w:bottom w:val="single" w:sz="4" w:space="0" w:color="000000"/>
              <w:right w:val="single" w:sz="4" w:space="0" w:color="000000"/>
            </w:tcBorders>
            <w:shd w:val="clear" w:color="auto" w:fill="FFF2CC"/>
            <w:vAlign w:val="center"/>
          </w:tcPr>
          <w:p w14:paraId="0AF3E71E"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Sredstva za realizaciju  i informacija o izradi RIA</w:t>
            </w:r>
          </w:p>
        </w:tc>
        <w:tc>
          <w:tcPr>
            <w:tcW w:w="1310" w:type="dxa"/>
            <w:gridSpan w:val="8"/>
            <w:tcBorders>
              <w:top w:val="single" w:sz="4" w:space="0" w:color="000000"/>
              <w:left w:val="single" w:sz="4" w:space="0" w:color="000000"/>
              <w:bottom w:val="single" w:sz="4" w:space="0" w:color="000000"/>
              <w:right w:val="single" w:sz="4" w:space="0" w:color="000000"/>
            </w:tcBorders>
            <w:shd w:val="clear" w:color="auto" w:fill="FFF2CC"/>
            <w:vAlign w:val="center"/>
          </w:tcPr>
          <w:p w14:paraId="49F61AE7"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 xml:space="preserve"> Izvor finansiranja</w:t>
            </w:r>
          </w:p>
        </w:tc>
        <w:tc>
          <w:tcPr>
            <w:tcW w:w="2388"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0172E1D2"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p>
          <w:p w14:paraId="2F4DD6DC"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Obrazloženje</w:t>
            </w:r>
          </w:p>
        </w:tc>
      </w:tr>
      <w:tr w:rsidR="009B5FE1" w:rsidRPr="00B80AA5" w14:paraId="03F6F3BB" w14:textId="77777777" w:rsidTr="00DF2E8E">
        <w:trPr>
          <w:gridAfter w:val="1"/>
          <w:wAfter w:w="22" w:type="dxa"/>
          <w:trHeight w:val="70"/>
        </w:trPr>
        <w:tc>
          <w:tcPr>
            <w:tcW w:w="487" w:type="dxa"/>
            <w:tcBorders>
              <w:top w:val="single" w:sz="4" w:space="0" w:color="000000"/>
              <w:left w:val="single" w:sz="4" w:space="0" w:color="000000"/>
              <w:bottom w:val="single" w:sz="4" w:space="0" w:color="000000"/>
              <w:right w:val="single" w:sz="4" w:space="0" w:color="000000"/>
            </w:tcBorders>
          </w:tcPr>
          <w:p w14:paraId="09583267"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1</w:t>
            </w:r>
          </w:p>
          <w:p w14:paraId="17924315"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61242FCE"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3230" w:type="dxa"/>
            <w:gridSpan w:val="12"/>
            <w:tcBorders>
              <w:top w:val="single" w:sz="4" w:space="0" w:color="000000"/>
              <w:left w:val="single" w:sz="4" w:space="0" w:color="000000"/>
              <w:bottom w:val="single" w:sz="4" w:space="0" w:color="000000"/>
              <w:right w:val="single" w:sz="4" w:space="0" w:color="000000"/>
            </w:tcBorders>
          </w:tcPr>
          <w:p w14:paraId="444ACDFF"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Priprema predloga zakona o izmjenama i dopunama Zakona o međunarodnoj razvojnoj saradnji i upućivanju međunarodne humanitarne pomoći </w:t>
            </w:r>
          </w:p>
          <w:p w14:paraId="04CD9984"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7C971443" w14:textId="77777777" w:rsidR="009B5FE1" w:rsidRPr="00B80AA5" w:rsidRDefault="009B5FE1" w:rsidP="00D5276E">
            <w:pPr>
              <w:spacing w:before="20" w:after="20" w:line="240" w:lineRule="auto"/>
              <w:rPr>
                <w:rFonts w:ascii="Arial Narrow" w:eastAsia="Arial Narrow" w:hAnsi="Arial Narrow" w:cs="Arial Narrow"/>
                <w:sz w:val="20"/>
                <w:szCs w:val="20"/>
                <w:lang w:eastAsia="sr-Latn-ME"/>
              </w:rPr>
            </w:pPr>
          </w:p>
        </w:tc>
        <w:tc>
          <w:tcPr>
            <w:tcW w:w="1884" w:type="dxa"/>
            <w:gridSpan w:val="4"/>
            <w:tcBorders>
              <w:top w:val="single" w:sz="4" w:space="0" w:color="000000"/>
              <w:left w:val="single" w:sz="4" w:space="0" w:color="000000"/>
              <w:bottom w:val="single" w:sz="4" w:space="0" w:color="000000"/>
              <w:right w:val="single" w:sz="4" w:space="0" w:color="000000"/>
            </w:tcBorders>
          </w:tcPr>
          <w:p w14:paraId="4AF1466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Utvrđen predlog zakona </w:t>
            </w:r>
          </w:p>
        </w:tc>
        <w:tc>
          <w:tcPr>
            <w:tcW w:w="1824" w:type="dxa"/>
            <w:gridSpan w:val="12"/>
            <w:tcBorders>
              <w:top w:val="single" w:sz="4" w:space="0" w:color="000000"/>
              <w:left w:val="single" w:sz="4" w:space="0" w:color="000000"/>
              <w:bottom w:val="single" w:sz="4" w:space="0" w:color="000000"/>
              <w:right w:val="single" w:sz="4" w:space="0" w:color="000000"/>
            </w:tcBorders>
          </w:tcPr>
          <w:p w14:paraId="2525AA6B"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310780A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07E00A0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w:t>
            </w:r>
          </w:p>
        </w:tc>
        <w:tc>
          <w:tcPr>
            <w:tcW w:w="1686" w:type="dxa"/>
            <w:gridSpan w:val="7"/>
            <w:tcBorders>
              <w:top w:val="single" w:sz="4" w:space="0" w:color="000000"/>
              <w:left w:val="single" w:sz="4" w:space="0" w:color="000000"/>
              <w:bottom w:val="single" w:sz="4" w:space="0" w:color="000000"/>
              <w:right w:val="single" w:sz="4" w:space="0" w:color="000000"/>
            </w:tcBorders>
          </w:tcPr>
          <w:p w14:paraId="38EC485D"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 II, III i IV kvartal</w:t>
            </w:r>
          </w:p>
        </w:tc>
        <w:tc>
          <w:tcPr>
            <w:tcW w:w="2069" w:type="dxa"/>
            <w:gridSpan w:val="6"/>
            <w:tcBorders>
              <w:top w:val="single" w:sz="4" w:space="0" w:color="000000"/>
              <w:left w:val="single" w:sz="4" w:space="0" w:color="000000"/>
              <w:bottom w:val="single" w:sz="4" w:space="0" w:color="000000"/>
              <w:right w:val="single" w:sz="4" w:space="0" w:color="000000"/>
            </w:tcBorders>
          </w:tcPr>
          <w:p w14:paraId="5BA0F19F"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Biće pripremljen RIA obrazac</w:t>
            </w:r>
          </w:p>
        </w:tc>
        <w:tc>
          <w:tcPr>
            <w:tcW w:w="1310" w:type="dxa"/>
            <w:gridSpan w:val="8"/>
            <w:tcBorders>
              <w:top w:val="single" w:sz="4" w:space="0" w:color="000000"/>
              <w:left w:val="single" w:sz="4" w:space="0" w:color="000000"/>
              <w:bottom w:val="single" w:sz="4" w:space="0" w:color="000000"/>
              <w:right w:val="single" w:sz="4" w:space="0" w:color="000000"/>
            </w:tcBorders>
          </w:tcPr>
          <w:p w14:paraId="486258C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388" w:type="dxa"/>
            <w:gridSpan w:val="7"/>
            <w:tcBorders>
              <w:top w:val="single" w:sz="4" w:space="0" w:color="000000"/>
              <w:left w:val="single" w:sz="4" w:space="0" w:color="000000"/>
              <w:bottom w:val="single" w:sz="4" w:space="0" w:color="000000"/>
              <w:right w:val="single" w:sz="4" w:space="0" w:color="000000"/>
            </w:tcBorders>
          </w:tcPr>
          <w:p w14:paraId="7FF5637F" w14:textId="77777777" w:rsidR="009B5FE1" w:rsidRPr="00B80AA5" w:rsidRDefault="009B5FE1" w:rsidP="009B5FE1">
            <w:pPr>
              <w:spacing w:before="20" w:after="20" w:line="240" w:lineRule="auto"/>
              <w:jc w:val="both"/>
              <w:rPr>
                <w:rFonts w:ascii="Arial Narrow" w:eastAsia="Arial Narrow" w:hAnsi="Arial Narrow" w:cs="Arial Narrow"/>
                <w:color w:val="FF0000"/>
                <w:sz w:val="20"/>
                <w:szCs w:val="20"/>
                <w:lang w:eastAsia="sr-Latn-ME"/>
              </w:rPr>
            </w:pPr>
            <w:r w:rsidRPr="00B80AA5">
              <w:rPr>
                <w:rFonts w:ascii="Arial Narrow" w:eastAsia="Arial Narrow" w:hAnsi="Arial Narrow" w:cs="Arial Narrow"/>
                <w:sz w:val="20"/>
                <w:szCs w:val="20"/>
                <w:lang w:eastAsia="sr-Latn-ME"/>
              </w:rPr>
              <w:t>Predloženim izmjenama i dopunama zakona obezbijediće se potpuna usklađenost sa pravnom tekovinom Evropske unije.</w:t>
            </w:r>
          </w:p>
        </w:tc>
      </w:tr>
      <w:tr w:rsidR="009B5FE1" w:rsidRPr="00B80AA5" w14:paraId="0453642F" w14:textId="77777777" w:rsidTr="00DF2E8E">
        <w:trPr>
          <w:gridAfter w:val="1"/>
          <w:wAfter w:w="22" w:type="dxa"/>
          <w:trHeight w:val="70"/>
        </w:trPr>
        <w:tc>
          <w:tcPr>
            <w:tcW w:w="487" w:type="dxa"/>
            <w:tcBorders>
              <w:top w:val="single" w:sz="4" w:space="0" w:color="000000"/>
              <w:left w:val="single" w:sz="4" w:space="0" w:color="000000"/>
              <w:bottom w:val="single" w:sz="4" w:space="0" w:color="000000"/>
              <w:right w:val="single" w:sz="4" w:space="0" w:color="000000"/>
            </w:tcBorders>
          </w:tcPr>
          <w:p w14:paraId="33F0F25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2</w:t>
            </w:r>
          </w:p>
        </w:tc>
        <w:tc>
          <w:tcPr>
            <w:tcW w:w="3230" w:type="dxa"/>
            <w:gridSpan w:val="12"/>
            <w:tcBorders>
              <w:top w:val="single" w:sz="4" w:space="0" w:color="000000"/>
              <w:left w:val="single" w:sz="4" w:space="0" w:color="000000"/>
              <w:bottom w:val="single" w:sz="4" w:space="0" w:color="000000"/>
              <w:right w:val="single" w:sz="4" w:space="0" w:color="000000"/>
            </w:tcBorders>
          </w:tcPr>
          <w:p w14:paraId="3D8D2621" w14:textId="77777777" w:rsidR="009B5FE1" w:rsidRPr="00B80AA5" w:rsidRDefault="009B5FE1" w:rsidP="009B5FE1">
            <w:pPr>
              <w:spacing w:after="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Utvrđivanje Predloga zakona o izmjeni i dopuni zakona o međunarodnim restriktivnim mjerama</w:t>
            </w:r>
            <w:r w:rsidRPr="00B80AA5">
              <w:rPr>
                <w:rFonts w:ascii="Arial Narrow" w:eastAsia="Arial Narrow" w:hAnsi="Arial Narrow" w:cs="Arial Narrow"/>
                <w:sz w:val="24"/>
                <w:szCs w:val="24"/>
                <w:vertAlign w:val="superscript"/>
                <w:lang w:eastAsia="sr-Latn-ME"/>
              </w:rPr>
              <w:footnoteReference w:id="32"/>
            </w:r>
            <w:r w:rsidRPr="00B80AA5">
              <w:rPr>
                <w:rFonts w:ascii="Arial Narrow" w:eastAsia="Arial Narrow" w:hAnsi="Arial Narrow" w:cs="Arial Narrow"/>
                <w:sz w:val="20"/>
                <w:szCs w:val="20"/>
                <w:lang w:eastAsia="sr-Latn-ME"/>
              </w:rPr>
              <w:t xml:space="preserve"> </w:t>
            </w:r>
          </w:p>
          <w:p w14:paraId="78B45F87" w14:textId="34EFDEEA" w:rsidR="009B5FE1" w:rsidRPr="00B80AA5" w:rsidRDefault="009B5FE1" w:rsidP="009B5FE1">
            <w:pPr>
              <w:spacing w:after="0" w:line="276" w:lineRule="auto"/>
              <w:rPr>
                <w:rFonts w:ascii="Arial Narrow" w:eastAsia="Arial Narrow" w:hAnsi="Arial Narrow" w:cs="Arial Narrow"/>
                <w:sz w:val="20"/>
                <w:szCs w:val="20"/>
                <w:lang w:eastAsia="sr-Latn-ME"/>
              </w:rPr>
            </w:pPr>
          </w:p>
        </w:tc>
        <w:tc>
          <w:tcPr>
            <w:tcW w:w="1884" w:type="dxa"/>
            <w:gridSpan w:val="4"/>
            <w:tcBorders>
              <w:top w:val="single" w:sz="4" w:space="0" w:color="000000"/>
              <w:left w:val="single" w:sz="4" w:space="0" w:color="000000"/>
              <w:bottom w:val="single" w:sz="4" w:space="0" w:color="000000"/>
              <w:right w:val="single" w:sz="4" w:space="0" w:color="000000"/>
            </w:tcBorders>
          </w:tcPr>
          <w:p w14:paraId="3AC1BA0D"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Utvrđen Predlog zakona</w:t>
            </w:r>
          </w:p>
        </w:tc>
        <w:tc>
          <w:tcPr>
            <w:tcW w:w="1824" w:type="dxa"/>
            <w:gridSpan w:val="12"/>
            <w:tcBorders>
              <w:top w:val="single" w:sz="4" w:space="0" w:color="000000"/>
              <w:left w:val="single" w:sz="4" w:space="0" w:color="000000"/>
              <w:bottom w:val="single" w:sz="4" w:space="0" w:color="000000"/>
              <w:right w:val="single" w:sz="4" w:space="0" w:color="000000"/>
            </w:tcBorders>
          </w:tcPr>
          <w:p w14:paraId="350B4FE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Ministarstvo vanjskih poslova </w:t>
            </w:r>
          </w:p>
          <w:p w14:paraId="0E042556"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5019095E"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w:t>
            </w:r>
          </w:p>
        </w:tc>
        <w:tc>
          <w:tcPr>
            <w:tcW w:w="1686" w:type="dxa"/>
            <w:gridSpan w:val="7"/>
            <w:tcBorders>
              <w:top w:val="single" w:sz="4" w:space="0" w:color="000000"/>
              <w:left w:val="single" w:sz="4" w:space="0" w:color="000000"/>
              <w:bottom w:val="single" w:sz="4" w:space="0" w:color="000000"/>
              <w:right w:val="single" w:sz="4" w:space="0" w:color="000000"/>
            </w:tcBorders>
          </w:tcPr>
          <w:p w14:paraId="6B892CAB"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 kvartal </w:t>
            </w:r>
          </w:p>
        </w:tc>
        <w:tc>
          <w:tcPr>
            <w:tcW w:w="2069" w:type="dxa"/>
            <w:gridSpan w:val="6"/>
            <w:tcBorders>
              <w:top w:val="single" w:sz="4" w:space="0" w:color="000000"/>
              <w:left w:val="single" w:sz="4" w:space="0" w:color="000000"/>
              <w:bottom w:val="single" w:sz="4" w:space="0" w:color="000000"/>
              <w:right w:val="single" w:sz="4" w:space="0" w:color="000000"/>
            </w:tcBorders>
          </w:tcPr>
          <w:p w14:paraId="08838DF1"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Biće pripremljen RIA obrazac</w:t>
            </w:r>
          </w:p>
        </w:tc>
        <w:tc>
          <w:tcPr>
            <w:tcW w:w="1310" w:type="dxa"/>
            <w:gridSpan w:val="8"/>
            <w:tcBorders>
              <w:top w:val="single" w:sz="4" w:space="0" w:color="000000"/>
              <w:left w:val="single" w:sz="4" w:space="0" w:color="000000"/>
              <w:bottom w:val="single" w:sz="4" w:space="0" w:color="000000"/>
              <w:right w:val="single" w:sz="4" w:space="0" w:color="000000"/>
            </w:tcBorders>
          </w:tcPr>
          <w:p w14:paraId="39E906BB"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        </w:t>
            </w:r>
          </w:p>
        </w:tc>
        <w:tc>
          <w:tcPr>
            <w:tcW w:w="2388" w:type="dxa"/>
            <w:gridSpan w:val="7"/>
            <w:tcBorders>
              <w:top w:val="single" w:sz="4" w:space="0" w:color="000000"/>
              <w:left w:val="single" w:sz="4" w:space="0" w:color="000000"/>
              <w:bottom w:val="single" w:sz="4" w:space="0" w:color="000000"/>
              <w:right w:val="single" w:sz="4" w:space="0" w:color="000000"/>
            </w:tcBorders>
          </w:tcPr>
          <w:p w14:paraId="3BB405E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Izmjenama i dopunama Zakona o međunarodnim restriktivnim mjerama unaprijediće se sprovođenje odluka kroz sve institucije sistema u skladu sa međunarodnim standardima.</w:t>
            </w:r>
          </w:p>
        </w:tc>
      </w:tr>
      <w:tr w:rsidR="009B5FE1" w:rsidRPr="00B80AA5" w14:paraId="3559669B" w14:textId="77777777" w:rsidTr="00DF2E8E">
        <w:trPr>
          <w:gridAfter w:val="1"/>
          <w:wAfter w:w="22" w:type="dxa"/>
          <w:trHeight w:val="70"/>
        </w:trPr>
        <w:tc>
          <w:tcPr>
            <w:tcW w:w="487" w:type="dxa"/>
            <w:tcBorders>
              <w:top w:val="single" w:sz="4" w:space="0" w:color="000000"/>
              <w:left w:val="single" w:sz="4" w:space="0" w:color="000000"/>
              <w:bottom w:val="single" w:sz="4" w:space="0" w:color="000000"/>
              <w:right w:val="single" w:sz="4" w:space="0" w:color="000000"/>
            </w:tcBorders>
          </w:tcPr>
          <w:p w14:paraId="0E371CD2"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3</w:t>
            </w:r>
          </w:p>
        </w:tc>
        <w:tc>
          <w:tcPr>
            <w:tcW w:w="3230" w:type="dxa"/>
            <w:gridSpan w:val="12"/>
            <w:tcBorders>
              <w:top w:val="single" w:sz="4" w:space="0" w:color="000000"/>
              <w:left w:val="single" w:sz="4" w:space="0" w:color="000000"/>
              <w:bottom w:val="single" w:sz="4" w:space="0" w:color="000000"/>
              <w:right w:val="single" w:sz="4" w:space="0" w:color="000000"/>
            </w:tcBorders>
          </w:tcPr>
          <w:p w14:paraId="73594B2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Donošenje Odluke o načinu vođenja Zbirke podataka o međunarodnim restriktivnim mjerama </w:t>
            </w:r>
          </w:p>
          <w:p w14:paraId="4DCCAC48" w14:textId="71479989"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1884" w:type="dxa"/>
            <w:gridSpan w:val="4"/>
            <w:tcBorders>
              <w:top w:val="single" w:sz="4" w:space="0" w:color="000000"/>
              <w:left w:val="single" w:sz="4" w:space="0" w:color="000000"/>
              <w:bottom w:val="single" w:sz="4" w:space="0" w:color="000000"/>
              <w:right w:val="single" w:sz="4" w:space="0" w:color="000000"/>
            </w:tcBorders>
          </w:tcPr>
          <w:p w14:paraId="3FFA301B"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Uspostavljena Zbirka podataka o međunarodnim restriktivnim mjerama</w:t>
            </w:r>
          </w:p>
        </w:tc>
        <w:tc>
          <w:tcPr>
            <w:tcW w:w="1824" w:type="dxa"/>
            <w:gridSpan w:val="12"/>
            <w:tcBorders>
              <w:top w:val="single" w:sz="4" w:space="0" w:color="000000"/>
              <w:left w:val="single" w:sz="4" w:space="0" w:color="000000"/>
              <w:bottom w:val="single" w:sz="4" w:space="0" w:color="000000"/>
              <w:right w:val="single" w:sz="4" w:space="0" w:color="000000"/>
            </w:tcBorders>
          </w:tcPr>
          <w:p w14:paraId="7C144F8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323ADD95"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17536F2E"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w:t>
            </w:r>
          </w:p>
        </w:tc>
        <w:tc>
          <w:tcPr>
            <w:tcW w:w="1686" w:type="dxa"/>
            <w:gridSpan w:val="7"/>
            <w:tcBorders>
              <w:top w:val="single" w:sz="4" w:space="0" w:color="000000"/>
              <w:left w:val="single" w:sz="4" w:space="0" w:color="000000"/>
              <w:bottom w:val="single" w:sz="4" w:space="0" w:color="000000"/>
              <w:right w:val="single" w:sz="4" w:space="0" w:color="000000"/>
            </w:tcBorders>
          </w:tcPr>
          <w:p w14:paraId="76DCE736"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 II kvartal </w:t>
            </w:r>
          </w:p>
          <w:p w14:paraId="139F08F7"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 </w:t>
            </w:r>
          </w:p>
        </w:tc>
        <w:tc>
          <w:tcPr>
            <w:tcW w:w="2069" w:type="dxa"/>
            <w:gridSpan w:val="6"/>
            <w:tcBorders>
              <w:top w:val="single" w:sz="4" w:space="0" w:color="000000"/>
              <w:left w:val="single" w:sz="4" w:space="0" w:color="000000"/>
              <w:bottom w:val="single" w:sz="4" w:space="0" w:color="000000"/>
              <w:right w:val="single" w:sz="4" w:space="0" w:color="000000"/>
            </w:tcBorders>
          </w:tcPr>
          <w:p w14:paraId="5727B96E"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1310" w:type="dxa"/>
            <w:gridSpan w:val="8"/>
            <w:tcBorders>
              <w:top w:val="single" w:sz="4" w:space="0" w:color="000000"/>
              <w:left w:val="single" w:sz="4" w:space="0" w:color="000000"/>
              <w:bottom w:val="single" w:sz="4" w:space="0" w:color="000000"/>
              <w:right w:val="single" w:sz="4" w:space="0" w:color="000000"/>
            </w:tcBorders>
          </w:tcPr>
          <w:p w14:paraId="2A0198AA"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388" w:type="dxa"/>
            <w:gridSpan w:val="7"/>
            <w:tcBorders>
              <w:top w:val="single" w:sz="4" w:space="0" w:color="000000"/>
              <w:left w:val="single" w:sz="4" w:space="0" w:color="000000"/>
              <w:bottom w:val="single" w:sz="4" w:space="0" w:color="000000"/>
              <w:right w:val="single" w:sz="4" w:space="0" w:color="000000"/>
            </w:tcBorders>
          </w:tcPr>
          <w:p w14:paraId="1A4A743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Uspostavljanje Zbirke podataka o međunarodnim restriktivnim mjerama je obaveza koja proističe iz Zakona o međunarodnim restriktivnim mjerama. </w:t>
            </w:r>
          </w:p>
        </w:tc>
      </w:tr>
      <w:tr w:rsidR="009B5FE1" w:rsidRPr="00B80AA5" w14:paraId="2BE19B27" w14:textId="77777777" w:rsidTr="00DF2E8E">
        <w:trPr>
          <w:gridAfter w:val="1"/>
          <w:wAfter w:w="22" w:type="dxa"/>
          <w:trHeight w:val="70"/>
        </w:trPr>
        <w:tc>
          <w:tcPr>
            <w:tcW w:w="487" w:type="dxa"/>
            <w:tcBorders>
              <w:top w:val="single" w:sz="4" w:space="0" w:color="000000"/>
              <w:left w:val="single" w:sz="4" w:space="0" w:color="000000"/>
              <w:bottom w:val="single" w:sz="4" w:space="0" w:color="000000"/>
              <w:right w:val="single" w:sz="4" w:space="0" w:color="000000"/>
            </w:tcBorders>
          </w:tcPr>
          <w:p w14:paraId="41C20F1E"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4</w:t>
            </w:r>
          </w:p>
        </w:tc>
        <w:tc>
          <w:tcPr>
            <w:tcW w:w="3230" w:type="dxa"/>
            <w:gridSpan w:val="12"/>
            <w:tcBorders>
              <w:top w:val="single" w:sz="4" w:space="0" w:color="000000"/>
              <w:left w:val="single" w:sz="4" w:space="0" w:color="000000"/>
              <w:bottom w:val="single" w:sz="4" w:space="0" w:color="000000"/>
              <w:right w:val="single" w:sz="4" w:space="0" w:color="000000"/>
            </w:tcBorders>
          </w:tcPr>
          <w:p w14:paraId="4CCABE53" w14:textId="77777777" w:rsidR="009B5FE1" w:rsidRPr="00B80AA5" w:rsidRDefault="00A52361" w:rsidP="009B5FE1">
            <w:pPr>
              <w:spacing w:before="20" w:after="20" w:line="240" w:lineRule="auto"/>
              <w:jc w:val="both"/>
              <w:rPr>
                <w:rFonts w:ascii="Arial Narrow" w:eastAsia="Arial Narrow" w:hAnsi="Arial Narrow" w:cs="Arial Narrow"/>
                <w:sz w:val="20"/>
                <w:szCs w:val="20"/>
                <w:lang w:eastAsia="sr-Latn-ME"/>
              </w:rPr>
            </w:pPr>
            <w:sdt>
              <w:sdtPr>
                <w:rPr>
                  <w:rFonts w:ascii="Arial Narrow" w:eastAsia="Arial Narrow" w:hAnsi="Arial Narrow" w:cs="Arial Narrow"/>
                  <w:sz w:val="24"/>
                  <w:szCs w:val="24"/>
                  <w:lang w:eastAsia="sr-Latn-ME"/>
                </w:rPr>
                <w:tag w:val="goog_rdk_2"/>
                <w:id w:val="-1696684242"/>
              </w:sdtPr>
              <w:sdtEndPr/>
              <w:sdtContent/>
            </w:sdt>
            <w:r w:rsidR="009B5FE1" w:rsidRPr="00B80AA5">
              <w:rPr>
                <w:rFonts w:ascii="Arial Narrow" w:eastAsia="Arial Narrow" w:hAnsi="Arial Narrow" w:cs="Arial Narrow"/>
                <w:sz w:val="20"/>
                <w:szCs w:val="20"/>
                <w:lang w:eastAsia="sr-Latn-ME"/>
              </w:rPr>
              <w:t>Formiranje Stalne komisije (koordinacionog tijela) za praćenje primjene odluka o restriktivnim mjerama</w:t>
            </w:r>
          </w:p>
          <w:p w14:paraId="714002D6" w14:textId="62DA1780"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1884" w:type="dxa"/>
            <w:gridSpan w:val="4"/>
            <w:tcBorders>
              <w:top w:val="single" w:sz="4" w:space="0" w:color="000000"/>
              <w:left w:val="single" w:sz="4" w:space="0" w:color="000000"/>
              <w:bottom w:val="single" w:sz="4" w:space="0" w:color="000000"/>
              <w:right w:val="single" w:sz="4" w:space="0" w:color="000000"/>
            </w:tcBorders>
          </w:tcPr>
          <w:p w14:paraId="3FB9C9FF"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Formirana Komisija za praćenje primjene odluka o međunarodnim restriktivnim mjerama </w:t>
            </w:r>
          </w:p>
        </w:tc>
        <w:tc>
          <w:tcPr>
            <w:tcW w:w="1824" w:type="dxa"/>
            <w:gridSpan w:val="12"/>
            <w:tcBorders>
              <w:top w:val="single" w:sz="4" w:space="0" w:color="000000"/>
              <w:left w:val="single" w:sz="4" w:space="0" w:color="000000"/>
              <w:bottom w:val="single" w:sz="4" w:space="0" w:color="000000"/>
              <w:right w:val="single" w:sz="4" w:space="0" w:color="000000"/>
            </w:tcBorders>
          </w:tcPr>
          <w:p w14:paraId="55871806"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3AB17699"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451F8BF2"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w:t>
            </w:r>
          </w:p>
        </w:tc>
        <w:tc>
          <w:tcPr>
            <w:tcW w:w="1686" w:type="dxa"/>
            <w:gridSpan w:val="7"/>
            <w:tcBorders>
              <w:top w:val="single" w:sz="4" w:space="0" w:color="000000"/>
              <w:left w:val="single" w:sz="4" w:space="0" w:color="000000"/>
              <w:bottom w:val="single" w:sz="4" w:space="0" w:color="000000"/>
              <w:right w:val="single" w:sz="4" w:space="0" w:color="000000"/>
            </w:tcBorders>
          </w:tcPr>
          <w:p w14:paraId="66489DE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 II kvartal </w:t>
            </w:r>
          </w:p>
          <w:p w14:paraId="0ADD87D9"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069" w:type="dxa"/>
            <w:gridSpan w:val="6"/>
            <w:tcBorders>
              <w:top w:val="single" w:sz="4" w:space="0" w:color="000000"/>
              <w:left w:val="single" w:sz="4" w:space="0" w:color="000000"/>
              <w:bottom w:val="single" w:sz="4" w:space="0" w:color="000000"/>
              <w:right w:val="single" w:sz="4" w:space="0" w:color="000000"/>
            </w:tcBorders>
          </w:tcPr>
          <w:p w14:paraId="6FB151C4"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1310" w:type="dxa"/>
            <w:gridSpan w:val="8"/>
            <w:tcBorders>
              <w:top w:val="single" w:sz="4" w:space="0" w:color="000000"/>
              <w:left w:val="single" w:sz="4" w:space="0" w:color="000000"/>
              <w:bottom w:val="single" w:sz="4" w:space="0" w:color="000000"/>
              <w:right w:val="single" w:sz="4" w:space="0" w:color="000000"/>
            </w:tcBorders>
          </w:tcPr>
          <w:p w14:paraId="009AC66A"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388" w:type="dxa"/>
            <w:gridSpan w:val="7"/>
            <w:tcBorders>
              <w:top w:val="single" w:sz="4" w:space="0" w:color="000000"/>
              <w:left w:val="single" w:sz="4" w:space="0" w:color="000000"/>
              <w:bottom w:val="single" w:sz="4" w:space="0" w:color="000000"/>
              <w:right w:val="single" w:sz="4" w:space="0" w:color="000000"/>
            </w:tcBorders>
          </w:tcPr>
          <w:p w14:paraId="4CBA8DE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Imenovanje članova  Komisije za praćenje primjene odluka o restriktivnim mjerama obezbijediće kontrolu sprovođenja Zakona o međunarodnim restriktivnim mjerama</w:t>
            </w:r>
          </w:p>
        </w:tc>
      </w:tr>
      <w:tr w:rsidR="009B5FE1" w:rsidRPr="00B80AA5" w14:paraId="072AEB9E" w14:textId="77777777" w:rsidTr="00DF2E8E">
        <w:trPr>
          <w:gridAfter w:val="1"/>
          <w:wAfter w:w="22" w:type="dxa"/>
          <w:trHeight w:val="728"/>
        </w:trPr>
        <w:tc>
          <w:tcPr>
            <w:tcW w:w="2748" w:type="dxa"/>
            <w:gridSpan w:val="7"/>
            <w:tcBorders>
              <w:top w:val="single" w:sz="4" w:space="0" w:color="000000"/>
              <w:left w:val="single" w:sz="4" w:space="0" w:color="000000"/>
              <w:bottom w:val="single" w:sz="4" w:space="0" w:color="000000"/>
              <w:right w:val="single" w:sz="4" w:space="0" w:color="000000"/>
            </w:tcBorders>
            <w:shd w:val="clear" w:color="auto" w:fill="D9E2F3"/>
          </w:tcPr>
          <w:p w14:paraId="0909DEC5"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bookmarkStart w:id="55" w:name="_Hlk89635141"/>
          </w:p>
          <w:p w14:paraId="5AB3D680"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 xml:space="preserve">Cilj </w:t>
            </w:r>
            <w:r>
              <w:rPr>
                <w:rFonts w:ascii="Arial Narrow" w:eastAsia="Arial Narrow" w:hAnsi="Arial Narrow" w:cs="Arial Narrow"/>
                <w:b/>
                <w:sz w:val="20"/>
                <w:szCs w:val="20"/>
                <w:lang w:eastAsia="sr-Latn-ME"/>
              </w:rPr>
              <w:t>6.4.</w:t>
            </w:r>
          </w:p>
        </w:tc>
        <w:tc>
          <w:tcPr>
            <w:tcW w:w="12130" w:type="dxa"/>
            <w:gridSpan w:val="50"/>
            <w:tcBorders>
              <w:top w:val="single" w:sz="4" w:space="0" w:color="000000"/>
              <w:left w:val="single" w:sz="4" w:space="0" w:color="000000"/>
              <w:bottom w:val="single" w:sz="4" w:space="0" w:color="000000"/>
              <w:right w:val="single" w:sz="4" w:space="0" w:color="000000"/>
            </w:tcBorders>
            <w:shd w:val="clear" w:color="auto" w:fill="D9E2F3"/>
          </w:tcPr>
          <w:p w14:paraId="4038C969"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p>
          <w:p w14:paraId="5D93A3F9"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Jačanje angažmana i vidljivosti crne gore u multilateralnom sistemu</w:t>
            </w:r>
          </w:p>
          <w:p w14:paraId="040677B4"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p>
        </w:tc>
      </w:tr>
      <w:tr w:rsidR="009B5FE1" w:rsidRPr="00B80AA5" w14:paraId="273E0CF2" w14:textId="77777777" w:rsidTr="00DF2E8E">
        <w:trPr>
          <w:gridAfter w:val="1"/>
          <w:wAfter w:w="22" w:type="dxa"/>
        </w:trPr>
        <w:tc>
          <w:tcPr>
            <w:tcW w:w="2748" w:type="dxa"/>
            <w:gridSpan w:val="7"/>
            <w:tcBorders>
              <w:top w:val="single" w:sz="4" w:space="0" w:color="000000"/>
              <w:left w:val="single" w:sz="4" w:space="0" w:color="000000"/>
              <w:bottom w:val="single" w:sz="4" w:space="0" w:color="000000"/>
              <w:right w:val="single" w:sz="4" w:space="0" w:color="000000"/>
            </w:tcBorders>
            <w:shd w:val="clear" w:color="auto" w:fill="DAF2F6"/>
          </w:tcPr>
          <w:p w14:paraId="149DBADB"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Indikator učinka</w:t>
            </w:r>
          </w:p>
        </w:tc>
        <w:tc>
          <w:tcPr>
            <w:tcW w:w="2973" w:type="dxa"/>
            <w:gridSpan w:val="13"/>
            <w:tcBorders>
              <w:top w:val="single" w:sz="4" w:space="0" w:color="000000"/>
              <w:left w:val="single" w:sz="4" w:space="0" w:color="000000"/>
              <w:bottom w:val="single" w:sz="4" w:space="0" w:color="000000"/>
              <w:right w:val="single" w:sz="4" w:space="0" w:color="000000"/>
            </w:tcBorders>
            <w:shd w:val="clear" w:color="auto" w:fill="DAF2F6"/>
          </w:tcPr>
          <w:p w14:paraId="02162EB7"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Polazna vrijednost – 2021.g</w:t>
            </w:r>
          </w:p>
        </w:tc>
        <w:tc>
          <w:tcPr>
            <w:tcW w:w="2795" w:type="dxa"/>
            <w:gridSpan w:val="11"/>
            <w:tcBorders>
              <w:top w:val="single" w:sz="4" w:space="0" w:color="000000"/>
              <w:left w:val="single" w:sz="4" w:space="0" w:color="000000"/>
              <w:bottom w:val="single" w:sz="4" w:space="0" w:color="000000"/>
              <w:right w:val="single" w:sz="4" w:space="0" w:color="000000"/>
            </w:tcBorders>
            <w:shd w:val="clear" w:color="auto" w:fill="DAF2F6"/>
            <w:vAlign w:val="center"/>
          </w:tcPr>
          <w:p w14:paraId="280ADD14"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2022.g</w:t>
            </w:r>
          </w:p>
        </w:tc>
        <w:tc>
          <w:tcPr>
            <w:tcW w:w="3123" w:type="dxa"/>
            <w:gridSpan w:val="14"/>
            <w:tcBorders>
              <w:top w:val="single" w:sz="4" w:space="0" w:color="000000"/>
              <w:left w:val="single" w:sz="4" w:space="0" w:color="000000"/>
              <w:bottom w:val="single" w:sz="4" w:space="0" w:color="000000"/>
              <w:right w:val="single" w:sz="4" w:space="0" w:color="000000"/>
            </w:tcBorders>
            <w:shd w:val="clear" w:color="auto" w:fill="DAF2F6"/>
            <w:vAlign w:val="center"/>
          </w:tcPr>
          <w:p w14:paraId="43CFFD64"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2023.g</w:t>
            </w:r>
          </w:p>
        </w:tc>
        <w:tc>
          <w:tcPr>
            <w:tcW w:w="3239" w:type="dxa"/>
            <w:gridSpan w:val="12"/>
            <w:tcBorders>
              <w:top w:val="single" w:sz="4" w:space="0" w:color="000000"/>
              <w:left w:val="single" w:sz="4" w:space="0" w:color="000000"/>
              <w:bottom w:val="single" w:sz="4" w:space="0" w:color="000000"/>
              <w:right w:val="single" w:sz="4" w:space="0" w:color="000000"/>
            </w:tcBorders>
            <w:shd w:val="clear" w:color="auto" w:fill="DAF2F6"/>
            <w:vAlign w:val="center"/>
          </w:tcPr>
          <w:p w14:paraId="1D38CDDB"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Ciljna vrijednost - 2024.g</w:t>
            </w:r>
          </w:p>
        </w:tc>
      </w:tr>
      <w:tr w:rsidR="009B5FE1" w:rsidRPr="00B80AA5" w14:paraId="331685DD" w14:textId="77777777" w:rsidTr="00DF2E8E">
        <w:trPr>
          <w:gridAfter w:val="1"/>
          <w:wAfter w:w="22" w:type="dxa"/>
        </w:trPr>
        <w:tc>
          <w:tcPr>
            <w:tcW w:w="2748" w:type="dxa"/>
            <w:gridSpan w:val="7"/>
            <w:tcBorders>
              <w:top w:val="single" w:sz="4" w:space="0" w:color="000000"/>
              <w:left w:val="single" w:sz="4" w:space="0" w:color="000000"/>
              <w:bottom w:val="single" w:sz="4" w:space="0" w:color="000000"/>
              <w:right w:val="single" w:sz="4" w:space="0" w:color="000000"/>
            </w:tcBorders>
            <w:shd w:val="clear" w:color="auto" w:fill="DAF2F6"/>
          </w:tcPr>
          <w:p w14:paraId="12837735"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 xml:space="preserve">Crna Gora članica Savjeta Ujedinjenih nacija za ljudska prava u periodu 2022-2024 </w:t>
            </w:r>
            <w:r w:rsidRPr="00B80AA5">
              <w:rPr>
                <w:rFonts w:ascii="Arial Narrow" w:eastAsia="Arial Narrow" w:hAnsi="Arial Narrow" w:cs="Arial Narrow"/>
                <w:b/>
                <w:sz w:val="20"/>
                <w:szCs w:val="20"/>
                <w:lang w:eastAsia="sr-Latn-ME"/>
              </w:rPr>
              <w:t xml:space="preserve"> </w:t>
            </w:r>
          </w:p>
        </w:tc>
        <w:tc>
          <w:tcPr>
            <w:tcW w:w="2973" w:type="dxa"/>
            <w:gridSpan w:val="13"/>
            <w:tcBorders>
              <w:top w:val="single" w:sz="4" w:space="0" w:color="000000"/>
              <w:left w:val="single" w:sz="4" w:space="0" w:color="000000"/>
              <w:bottom w:val="single" w:sz="4" w:space="0" w:color="000000"/>
              <w:right w:val="single" w:sz="4" w:space="0" w:color="000000"/>
            </w:tcBorders>
            <w:shd w:val="clear" w:color="auto" w:fill="DAF2F6"/>
          </w:tcPr>
          <w:p w14:paraId="5880F72E"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Ne</w:t>
            </w:r>
          </w:p>
        </w:tc>
        <w:tc>
          <w:tcPr>
            <w:tcW w:w="2795" w:type="dxa"/>
            <w:gridSpan w:val="11"/>
            <w:tcBorders>
              <w:top w:val="single" w:sz="4" w:space="0" w:color="000000"/>
              <w:left w:val="single" w:sz="4" w:space="0" w:color="000000"/>
              <w:bottom w:val="single" w:sz="4" w:space="0" w:color="000000"/>
              <w:right w:val="single" w:sz="4" w:space="0" w:color="000000"/>
            </w:tcBorders>
            <w:shd w:val="clear" w:color="auto" w:fill="DAF2F6"/>
          </w:tcPr>
          <w:p w14:paraId="66979220"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Da</w:t>
            </w:r>
          </w:p>
        </w:tc>
        <w:tc>
          <w:tcPr>
            <w:tcW w:w="3123" w:type="dxa"/>
            <w:gridSpan w:val="14"/>
            <w:tcBorders>
              <w:top w:val="single" w:sz="4" w:space="0" w:color="000000"/>
              <w:left w:val="single" w:sz="4" w:space="0" w:color="000000"/>
              <w:bottom w:val="single" w:sz="4" w:space="0" w:color="000000"/>
              <w:right w:val="single" w:sz="4" w:space="0" w:color="000000"/>
            </w:tcBorders>
            <w:shd w:val="clear" w:color="auto" w:fill="DAF2F6"/>
          </w:tcPr>
          <w:p w14:paraId="5FCDBD79"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Da</w:t>
            </w:r>
          </w:p>
        </w:tc>
        <w:tc>
          <w:tcPr>
            <w:tcW w:w="3239" w:type="dxa"/>
            <w:gridSpan w:val="12"/>
            <w:tcBorders>
              <w:top w:val="single" w:sz="4" w:space="0" w:color="000000"/>
              <w:left w:val="single" w:sz="4" w:space="0" w:color="000000"/>
              <w:bottom w:val="single" w:sz="4" w:space="0" w:color="000000"/>
              <w:right w:val="single" w:sz="4" w:space="0" w:color="000000"/>
            </w:tcBorders>
            <w:shd w:val="clear" w:color="auto" w:fill="DAF2F6"/>
          </w:tcPr>
          <w:p w14:paraId="72EAC1B7"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Da</w:t>
            </w:r>
          </w:p>
        </w:tc>
      </w:tr>
      <w:tr w:rsidR="009B5FE1" w:rsidRPr="00B80AA5" w14:paraId="2188D7A1" w14:textId="77777777" w:rsidTr="00DF2E8E">
        <w:trPr>
          <w:gridAfter w:val="1"/>
          <w:wAfter w:w="22" w:type="dxa"/>
        </w:trPr>
        <w:tc>
          <w:tcPr>
            <w:tcW w:w="2748" w:type="dxa"/>
            <w:gridSpan w:val="7"/>
            <w:tcBorders>
              <w:top w:val="single" w:sz="4" w:space="0" w:color="000000"/>
              <w:left w:val="single" w:sz="4" w:space="0" w:color="000000"/>
              <w:bottom w:val="single" w:sz="4" w:space="0" w:color="000000"/>
              <w:right w:val="single" w:sz="4" w:space="0" w:color="000000"/>
            </w:tcBorders>
            <w:shd w:val="clear" w:color="auto" w:fill="DAF2F6"/>
          </w:tcPr>
          <w:p w14:paraId="021A36D9"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Kandidatura Crne Gore za članstvo u Savjetu bezbjednosti Ujedinjenih nacija u periodu od 2026 - 2027</w:t>
            </w:r>
          </w:p>
        </w:tc>
        <w:tc>
          <w:tcPr>
            <w:tcW w:w="2973" w:type="dxa"/>
            <w:gridSpan w:val="13"/>
            <w:tcBorders>
              <w:top w:val="single" w:sz="4" w:space="0" w:color="000000"/>
              <w:left w:val="single" w:sz="4" w:space="0" w:color="000000"/>
              <w:bottom w:val="single" w:sz="4" w:space="0" w:color="000000"/>
              <w:right w:val="single" w:sz="4" w:space="0" w:color="000000"/>
            </w:tcBorders>
            <w:shd w:val="clear" w:color="auto" w:fill="DAF2F6"/>
          </w:tcPr>
          <w:p w14:paraId="42B6C1DA"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p>
          <w:p w14:paraId="7837A9AD"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Podrška 24 države</w:t>
            </w:r>
          </w:p>
        </w:tc>
        <w:tc>
          <w:tcPr>
            <w:tcW w:w="2795" w:type="dxa"/>
            <w:gridSpan w:val="11"/>
            <w:tcBorders>
              <w:top w:val="single" w:sz="4" w:space="0" w:color="000000"/>
              <w:left w:val="single" w:sz="4" w:space="0" w:color="000000"/>
              <w:bottom w:val="single" w:sz="4" w:space="0" w:color="000000"/>
              <w:right w:val="single" w:sz="4" w:space="0" w:color="000000"/>
            </w:tcBorders>
            <w:shd w:val="clear" w:color="auto" w:fill="DAF2F6"/>
          </w:tcPr>
          <w:p w14:paraId="0A754EC2"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p>
          <w:p w14:paraId="515B1429"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Podrška 50 država </w:t>
            </w:r>
          </w:p>
        </w:tc>
        <w:tc>
          <w:tcPr>
            <w:tcW w:w="3123" w:type="dxa"/>
            <w:gridSpan w:val="14"/>
            <w:tcBorders>
              <w:top w:val="single" w:sz="4" w:space="0" w:color="000000"/>
              <w:left w:val="single" w:sz="4" w:space="0" w:color="000000"/>
              <w:bottom w:val="single" w:sz="4" w:space="0" w:color="000000"/>
              <w:right w:val="single" w:sz="4" w:space="0" w:color="000000"/>
            </w:tcBorders>
            <w:shd w:val="clear" w:color="auto" w:fill="DAF2F6"/>
          </w:tcPr>
          <w:p w14:paraId="2E213EC4"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p>
          <w:p w14:paraId="4C719ED3"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Podrška 75 država </w:t>
            </w:r>
          </w:p>
        </w:tc>
        <w:tc>
          <w:tcPr>
            <w:tcW w:w="3239" w:type="dxa"/>
            <w:gridSpan w:val="12"/>
            <w:tcBorders>
              <w:top w:val="single" w:sz="4" w:space="0" w:color="000000"/>
              <w:left w:val="single" w:sz="4" w:space="0" w:color="000000"/>
              <w:bottom w:val="single" w:sz="4" w:space="0" w:color="000000"/>
              <w:right w:val="single" w:sz="4" w:space="0" w:color="000000"/>
            </w:tcBorders>
            <w:shd w:val="clear" w:color="auto" w:fill="DAF2F6"/>
          </w:tcPr>
          <w:p w14:paraId="3DE6D247"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p>
          <w:p w14:paraId="5B1DCE86"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Podrška 100 država</w:t>
            </w:r>
          </w:p>
        </w:tc>
      </w:tr>
      <w:tr w:rsidR="009B5FE1" w:rsidRPr="00B80AA5" w14:paraId="409EB0B2" w14:textId="77777777" w:rsidTr="00DF2E8E">
        <w:trPr>
          <w:gridAfter w:val="1"/>
          <w:wAfter w:w="22" w:type="dxa"/>
        </w:trPr>
        <w:tc>
          <w:tcPr>
            <w:tcW w:w="2748" w:type="dxa"/>
            <w:gridSpan w:val="7"/>
            <w:tcBorders>
              <w:top w:val="single" w:sz="4" w:space="0" w:color="000000"/>
              <w:left w:val="single" w:sz="4" w:space="0" w:color="000000"/>
              <w:bottom w:val="single" w:sz="4" w:space="0" w:color="000000"/>
              <w:right w:val="single" w:sz="4" w:space="0" w:color="000000"/>
            </w:tcBorders>
            <w:shd w:val="clear" w:color="auto" w:fill="DAF2F6"/>
          </w:tcPr>
          <w:p w14:paraId="19C4F303"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Broj regionalnih inicijativa kojima predsjedava Crna Gora</w:t>
            </w:r>
          </w:p>
        </w:tc>
        <w:tc>
          <w:tcPr>
            <w:tcW w:w="2973" w:type="dxa"/>
            <w:gridSpan w:val="13"/>
            <w:tcBorders>
              <w:top w:val="single" w:sz="4" w:space="0" w:color="000000"/>
              <w:left w:val="single" w:sz="4" w:space="0" w:color="000000"/>
              <w:bottom w:val="single" w:sz="4" w:space="0" w:color="000000"/>
              <w:right w:val="single" w:sz="4" w:space="0" w:color="000000"/>
            </w:tcBorders>
            <w:shd w:val="clear" w:color="auto" w:fill="DAF2F6"/>
          </w:tcPr>
          <w:p w14:paraId="33AB846B"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                           1</w:t>
            </w:r>
          </w:p>
        </w:tc>
        <w:tc>
          <w:tcPr>
            <w:tcW w:w="2795" w:type="dxa"/>
            <w:gridSpan w:val="11"/>
            <w:tcBorders>
              <w:top w:val="single" w:sz="4" w:space="0" w:color="000000"/>
              <w:left w:val="single" w:sz="4" w:space="0" w:color="000000"/>
              <w:bottom w:val="single" w:sz="4" w:space="0" w:color="000000"/>
              <w:right w:val="single" w:sz="4" w:space="0" w:color="000000"/>
            </w:tcBorders>
            <w:shd w:val="clear" w:color="auto" w:fill="DAF2F6"/>
          </w:tcPr>
          <w:p w14:paraId="5603DDE7"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w:t>
            </w:r>
          </w:p>
        </w:tc>
        <w:tc>
          <w:tcPr>
            <w:tcW w:w="3123" w:type="dxa"/>
            <w:gridSpan w:val="14"/>
            <w:tcBorders>
              <w:top w:val="single" w:sz="4" w:space="0" w:color="000000"/>
              <w:left w:val="single" w:sz="4" w:space="0" w:color="000000"/>
              <w:bottom w:val="single" w:sz="4" w:space="0" w:color="000000"/>
              <w:right w:val="single" w:sz="4" w:space="0" w:color="000000"/>
            </w:tcBorders>
            <w:shd w:val="clear" w:color="auto" w:fill="DAF2F6"/>
          </w:tcPr>
          <w:p w14:paraId="6D64C95F"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1 (predsjedavanje SEECP traje do juna 2023)</w:t>
            </w:r>
          </w:p>
        </w:tc>
        <w:tc>
          <w:tcPr>
            <w:tcW w:w="3239" w:type="dxa"/>
            <w:gridSpan w:val="12"/>
            <w:tcBorders>
              <w:top w:val="single" w:sz="4" w:space="0" w:color="000000"/>
              <w:left w:val="single" w:sz="4" w:space="0" w:color="000000"/>
              <w:bottom w:val="single" w:sz="4" w:space="0" w:color="000000"/>
              <w:right w:val="single" w:sz="4" w:space="0" w:color="000000"/>
            </w:tcBorders>
            <w:shd w:val="clear" w:color="auto" w:fill="DAF2F6"/>
          </w:tcPr>
          <w:p w14:paraId="4E8E3546"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w:t>
            </w:r>
          </w:p>
        </w:tc>
      </w:tr>
      <w:bookmarkEnd w:id="55"/>
      <w:tr w:rsidR="009B5FE1" w:rsidRPr="00B80AA5" w14:paraId="3235E0B9" w14:textId="77777777" w:rsidTr="00DF2E8E">
        <w:trPr>
          <w:gridAfter w:val="1"/>
          <w:wAfter w:w="22" w:type="dxa"/>
        </w:trPr>
        <w:tc>
          <w:tcPr>
            <w:tcW w:w="2748"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22ED7695" w14:textId="77777777" w:rsidR="009B5FE1" w:rsidRPr="00B80AA5" w:rsidRDefault="00A52361" w:rsidP="009B5FE1">
            <w:pPr>
              <w:spacing w:before="20" w:after="20" w:line="240" w:lineRule="auto"/>
              <w:jc w:val="center"/>
              <w:rPr>
                <w:rFonts w:ascii="Arial Narrow" w:eastAsia="Arial Narrow" w:hAnsi="Arial Narrow" w:cs="Arial Narrow"/>
                <w:b/>
                <w:sz w:val="20"/>
                <w:szCs w:val="20"/>
                <w:lang w:eastAsia="sr-Latn-ME"/>
              </w:rPr>
            </w:pPr>
            <w:sdt>
              <w:sdtPr>
                <w:rPr>
                  <w:rFonts w:ascii="Calibri" w:eastAsia="Calibri" w:hAnsi="Calibri" w:cs="Calibri"/>
                  <w:lang w:eastAsia="sr-Latn-ME"/>
                </w:rPr>
                <w:tag w:val="goog_rdk_3"/>
                <w:id w:val="-296307625"/>
              </w:sdtPr>
              <w:sdtEndPr/>
              <w:sdtContent/>
            </w:sdt>
            <w:r w:rsidR="009B5FE1" w:rsidRPr="00B80AA5">
              <w:rPr>
                <w:rFonts w:ascii="Arial Narrow" w:eastAsia="Arial Narrow" w:hAnsi="Arial Narrow" w:cs="Arial Narrow"/>
                <w:b/>
                <w:sz w:val="20"/>
                <w:szCs w:val="20"/>
                <w:lang w:eastAsia="sr-Latn-ME"/>
              </w:rPr>
              <w:t>Aktivnosti</w:t>
            </w:r>
          </w:p>
        </w:tc>
        <w:tc>
          <w:tcPr>
            <w:tcW w:w="2464"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0AEAE469"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Indikator rezultata</w:t>
            </w:r>
          </w:p>
        </w:tc>
        <w:tc>
          <w:tcPr>
            <w:tcW w:w="1723" w:type="dxa"/>
            <w:gridSpan w:val="10"/>
            <w:tcBorders>
              <w:top w:val="single" w:sz="4" w:space="0" w:color="000000"/>
              <w:left w:val="single" w:sz="4" w:space="0" w:color="000000"/>
              <w:bottom w:val="single" w:sz="4" w:space="0" w:color="000000"/>
              <w:right w:val="single" w:sz="4" w:space="0" w:color="000000"/>
            </w:tcBorders>
            <w:shd w:val="clear" w:color="auto" w:fill="FFF2CC"/>
            <w:vAlign w:val="center"/>
          </w:tcPr>
          <w:p w14:paraId="70493F0C"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Nadležne institucije i nadležna komisija</w:t>
            </w:r>
          </w:p>
        </w:tc>
        <w:tc>
          <w:tcPr>
            <w:tcW w:w="1581"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4504A453"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Planirani početak i završetak aktivnosti</w:t>
            </w:r>
          </w:p>
        </w:tc>
        <w:tc>
          <w:tcPr>
            <w:tcW w:w="1932" w:type="dxa"/>
            <w:gridSpan w:val="8"/>
            <w:tcBorders>
              <w:top w:val="single" w:sz="4" w:space="0" w:color="000000"/>
              <w:left w:val="single" w:sz="4" w:space="0" w:color="000000"/>
              <w:bottom w:val="single" w:sz="4" w:space="0" w:color="000000"/>
              <w:right w:val="single" w:sz="4" w:space="0" w:color="000000"/>
            </w:tcBorders>
            <w:shd w:val="clear" w:color="auto" w:fill="FFF2CC"/>
            <w:vAlign w:val="center"/>
          </w:tcPr>
          <w:p w14:paraId="5E20CC75"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 xml:space="preserve">Sredstva za realizaciju  i </w:t>
            </w:r>
            <w:r w:rsidRPr="00B80AA5">
              <w:rPr>
                <w:rFonts w:ascii="Arial Narrow" w:eastAsia="Arial Narrow" w:hAnsi="Arial Narrow" w:cs="Arial Narrow"/>
                <w:b/>
                <w:sz w:val="20"/>
                <w:szCs w:val="20"/>
                <w:lang w:eastAsia="sr-Latn-ME"/>
              </w:rPr>
              <w:lastRenderedPageBreak/>
              <w:t>informacija o izradi RIA</w:t>
            </w:r>
          </w:p>
        </w:tc>
        <w:tc>
          <w:tcPr>
            <w:tcW w:w="2158" w:type="dxa"/>
            <w:gridSpan w:val="14"/>
            <w:tcBorders>
              <w:top w:val="single" w:sz="4" w:space="0" w:color="000000"/>
              <w:left w:val="single" w:sz="4" w:space="0" w:color="000000"/>
              <w:bottom w:val="single" w:sz="4" w:space="0" w:color="000000"/>
              <w:right w:val="single" w:sz="4" w:space="0" w:color="000000"/>
            </w:tcBorders>
            <w:shd w:val="clear" w:color="auto" w:fill="FFF2CC"/>
            <w:vAlign w:val="center"/>
          </w:tcPr>
          <w:p w14:paraId="2B508936"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lastRenderedPageBreak/>
              <w:t xml:space="preserve"> Izvor finansiranja</w:t>
            </w:r>
          </w:p>
        </w:tc>
        <w:tc>
          <w:tcPr>
            <w:tcW w:w="2272"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4BAC94E3"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p>
          <w:p w14:paraId="36D8B21D"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Obrazloženje</w:t>
            </w:r>
          </w:p>
        </w:tc>
      </w:tr>
      <w:tr w:rsidR="009B5FE1" w:rsidRPr="00B80AA5" w14:paraId="79044BE1" w14:textId="77777777" w:rsidTr="00DF2E8E">
        <w:trPr>
          <w:gridAfter w:val="1"/>
          <w:wAfter w:w="22" w:type="dxa"/>
        </w:trPr>
        <w:tc>
          <w:tcPr>
            <w:tcW w:w="656" w:type="dxa"/>
            <w:gridSpan w:val="2"/>
            <w:tcBorders>
              <w:top w:val="single" w:sz="4" w:space="0" w:color="000000"/>
              <w:left w:val="single" w:sz="4" w:space="0" w:color="000000"/>
              <w:bottom w:val="single" w:sz="4" w:space="0" w:color="000000"/>
              <w:right w:val="single" w:sz="4" w:space="0" w:color="000000"/>
            </w:tcBorders>
          </w:tcPr>
          <w:p w14:paraId="57FAD90B"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1</w:t>
            </w:r>
          </w:p>
        </w:tc>
        <w:tc>
          <w:tcPr>
            <w:tcW w:w="2092" w:type="dxa"/>
            <w:gridSpan w:val="5"/>
            <w:tcBorders>
              <w:top w:val="single" w:sz="4" w:space="0" w:color="000000"/>
              <w:left w:val="single" w:sz="4" w:space="0" w:color="000000"/>
              <w:bottom w:val="single" w:sz="4" w:space="0" w:color="000000"/>
              <w:right w:val="single" w:sz="4" w:space="0" w:color="000000"/>
            </w:tcBorders>
          </w:tcPr>
          <w:p w14:paraId="4D6571E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Učešće u radu Savjeta Ujedinjenih nacija za ljudska prava u periodu </w:t>
            </w:r>
          </w:p>
          <w:p w14:paraId="47CFB53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2022-2024  </w:t>
            </w:r>
          </w:p>
          <w:p w14:paraId="777AA273" w14:textId="63C477B8"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464" w:type="dxa"/>
            <w:gridSpan w:val="7"/>
            <w:tcBorders>
              <w:top w:val="single" w:sz="4" w:space="0" w:color="000000"/>
              <w:left w:val="single" w:sz="4" w:space="0" w:color="000000"/>
              <w:bottom w:val="single" w:sz="4" w:space="0" w:color="000000"/>
              <w:right w:val="single" w:sz="4" w:space="0" w:color="000000"/>
            </w:tcBorders>
          </w:tcPr>
          <w:p w14:paraId="36B71694"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Izvještaji o tri godišnja zasijedanja Savjeta za ljudska prava</w:t>
            </w:r>
          </w:p>
        </w:tc>
        <w:tc>
          <w:tcPr>
            <w:tcW w:w="1723" w:type="dxa"/>
            <w:gridSpan w:val="10"/>
            <w:tcBorders>
              <w:top w:val="single" w:sz="4" w:space="0" w:color="000000"/>
              <w:left w:val="single" w:sz="4" w:space="0" w:color="000000"/>
              <w:bottom w:val="single" w:sz="4" w:space="0" w:color="000000"/>
              <w:right w:val="single" w:sz="4" w:space="0" w:color="000000"/>
            </w:tcBorders>
          </w:tcPr>
          <w:p w14:paraId="28EA0EE6"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Ministarstvo vanjskih poslova </w:t>
            </w:r>
          </w:p>
          <w:p w14:paraId="364A4CF2"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5B76AD04"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Ministarstvo pravde i ljudskih i manjinskih prava </w:t>
            </w:r>
          </w:p>
          <w:p w14:paraId="72D848C5"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6E6C90FE"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w:t>
            </w:r>
          </w:p>
        </w:tc>
        <w:tc>
          <w:tcPr>
            <w:tcW w:w="1581" w:type="dxa"/>
            <w:gridSpan w:val="7"/>
            <w:tcBorders>
              <w:top w:val="single" w:sz="4" w:space="0" w:color="000000"/>
              <w:left w:val="single" w:sz="4" w:space="0" w:color="000000"/>
              <w:bottom w:val="single" w:sz="4" w:space="0" w:color="000000"/>
              <w:right w:val="single" w:sz="4" w:space="0" w:color="000000"/>
            </w:tcBorders>
          </w:tcPr>
          <w:p w14:paraId="560361F9"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 II, III i IV kvartal</w:t>
            </w:r>
          </w:p>
        </w:tc>
        <w:tc>
          <w:tcPr>
            <w:tcW w:w="1932" w:type="dxa"/>
            <w:gridSpan w:val="8"/>
            <w:tcBorders>
              <w:top w:val="single" w:sz="4" w:space="0" w:color="000000"/>
              <w:left w:val="single" w:sz="4" w:space="0" w:color="000000"/>
              <w:bottom w:val="single" w:sz="4" w:space="0" w:color="000000"/>
              <w:right w:val="single" w:sz="4" w:space="0" w:color="000000"/>
            </w:tcBorders>
          </w:tcPr>
          <w:p w14:paraId="5AD2777B"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158" w:type="dxa"/>
            <w:gridSpan w:val="14"/>
            <w:tcBorders>
              <w:top w:val="single" w:sz="4" w:space="0" w:color="000000"/>
              <w:left w:val="single" w:sz="4" w:space="0" w:color="000000"/>
              <w:bottom w:val="single" w:sz="4" w:space="0" w:color="000000"/>
              <w:right w:val="single" w:sz="4" w:space="0" w:color="000000"/>
            </w:tcBorders>
          </w:tcPr>
          <w:p w14:paraId="573E8459"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272" w:type="dxa"/>
            <w:gridSpan w:val="4"/>
            <w:tcBorders>
              <w:top w:val="single" w:sz="4" w:space="0" w:color="000000"/>
              <w:left w:val="single" w:sz="4" w:space="0" w:color="000000"/>
              <w:bottom w:val="single" w:sz="4" w:space="0" w:color="000000"/>
              <w:right w:val="single" w:sz="4" w:space="0" w:color="000000"/>
            </w:tcBorders>
          </w:tcPr>
          <w:p w14:paraId="14681BEF"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Članstvom u Savjetu Crna Gora potvrđuje svoju posvećenost poštovanju ljudskih prava, kao i spremnost da aktivno djeluje u tom pravcu na međunarodnom planu. Članstvo će doprinijeti i  unutrašnjem jačanju institucija i profesionalnih kapaciteta.</w:t>
            </w:r>
          </w:p>
        </w:tc>
      </w:tr>
      <w:tr w:rsidR="009B5FE1" w:rsidRPr="00B80AA5" w14:paraId="594B034D" w14:textId="77777777" w:rsidTr="00DF2E8E">
        <w:trPr>
          <w:gridAfter w:val="1"/>
          <w:wAfter w:w="22" w:type="dxa"/>
        </w:trPr>
        <w:tc>
          <w:tcPr>
            <w:tcW w:w="656" w:type="dxa"/>
            <w:gridSpan w:val="2"/>
            <w:tcBorders>
              <w:top w:val="single" w:sz="4" w:space="0" w:color="000000"/>
              <w:left w:val="single" w:sz="4" w:space="0" w:color="000000"/>
              <w:bottom w:val="single" w:sz="4" w:space="0" w:color="000000"/>
              <w:right w:val="single" w:sz="4" w:space="0" w:color="000000"/>
            </w:tcBorders>
          </w:tcPr>
          <w:p w14:paraId="34DFEF7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w:t>
            </w:r>
          </w:p>
          <w:p w14:paraId="0DF1DA3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124DDFE7"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50936BE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092" w:type="dxa"/>
            <w:gridSpan w:val="5"/>
            <w:tcBorders>
              <w:top w:val="single" w:sz="4" w:space="0" w:color="000000"/>
              <w:left w:val="single" w:sz="4" w:space="0" w:color="000000"/>
              <w:bottom w:val="single" w:sz="4" w:space="0" w:color="000000"/>
              <w:right w:val="single" w:sz="4" w:space="0" w:color="000000"/>
            </w:tcBorders>
          </w:tcPr>
          <w:p w14:paraId="42A00FC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Ispunjavanje preporuka iz trećeg periodičnog pregleda stanja ljudskih prava u Crnoj Gori</w:t>
            </w:r>
          </w:p>
          <w:p w14:paraId="59D6293D" w14:textId="0331AF1B"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464" w:type="dxa"/>
            <w:gridSpan w:val="7"/>
            <w:tcBorders>
              <w:top w:val="single" w:sz="4" w:space="0" w:color="000000"/>
              <w:left w:val="single" w:sz="4" w:space="0" w:color="000000"/>
              <w:bottom w:val="single" w:sz="4" w:space="0" w:color="000000"/>
              <w:right w:val="single" w:sz="4" w:space="0" w:color="000000"/>
            </w:tcBorders>
          </w:tcPr>
          <w:p w14:paraId="07F90206" w14:textId="77777777" w:rsidR="009B5FE1" w:rsidRPr="00B80AA5" w:rsidRDefault="009B5FE1" w:rsidP="009B5FE1">
            <w:pPr>
              <w:spacing w:after="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Napredak će biti konstatovan u IV nacionalnom izvještaju o stanju ljudskih prava u Crnoj Gori 2023. godine</w:t>
            </w:r>
          </w:p>
        </w:tc>
        <w:tc>
          <w:tcPr>
            <w:tcW w:w="1723" w:type="dxa"/>
            <w:gridSpan w:val="10"/>
            <w:tcBorders>
              <w:top w:val="single" w:sz="4" w:space="0" w:color="000000"/>
              <w:left w:val="single" w:sz="4" w:space="0" w:color="000000"/>
              <w:bottom w:val="single" w:sz="4" w:space="0" w:color="000000"/>
              <w:right w:val="single" w:sz="4" w:space="0" w:color="000000"/>
            </w:tcBorders>
          </w:tcPr>
          <w:p w14:paraId="76CF5321"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Ministarstvo vanjskih poslova </w:t>
            </w:r>
          </w:p>
          <w:p w14:paraId="0AB5069D"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5DCB5E9E"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pravde i ljudskih i manjinskih prava</w:t>
            </w:r>
          </w:p>
          <w:p w14:paraId="5DF9CC55"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5320B929"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w:t>
            </w:r>
          </w:p>
        </w:tc>
        <w:tc>
          <w:tcPr>
            <w:tcW w:w="1581" w:type="dxa"/>
            <w:gridSpan w:val="7"/>
            <w:tcBorders>
              <w:top w:val="single" w:sz="4" w:space="0" w:color="000000"/>
              <w:left w:val="single" w:sz="4" w:space="0" w:color="000000"/>
              <w:bottom w:val="single" w:sz="4" w:space="0" w:color="000000"/>
              <w:right w:val="single" w:sz="4" w:space="0" w:color="000000"/>
            </w:tcBorders>
          </w:tcPr>
          <w:p w14:paraId="296C4365"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 II, III i IV kvartal</w:t>
            </w:r>
          </w:p>
        </w:tc>
        <w:tc>
          <w:tcPr>
            <w:tcW w:w="1932" w:type="dxa"/>
            <w:gridSpan w:val="8"/>
            <w:tcBorders>
              <w:top w:val="single" w:sz="4" w:space="0" w:color="000000"/>
              <w:left w:val="single" w:sz="4" w:space="0" w:color="000000"/>
              <w:bottom w:val="single" w:sz="4" w:space="0" w:color="000000"/>
              <w:right w:val="single" w:sz="4" w:space="0" w:color="000000"/>
            </w:tcBorders>
          </w:tcPr>
          <w:p w14:paraId="396249F1"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158" w:type="dxa"/>
            <w:gridSpan w:val="14"/>
            <w:tcBorders>
              <w:top w:val="single" w:sz="4" w:space="0" w:color="000000"/>
              <w:left w:val="single" w:sz="4" w:space="0" w:color="000000"/>
              <w:bottom w:val="single" w:sz="4" w:space="0" w:color="000000"/>
              <w:right w:val="single" w:sz="4" w:space="0" w:color="000000"/>
            </w:tcBorders>
          </w:tcPr>
          <w:p w14:paraId="0ABB6AA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272" w:type="dxa"/>
            <w:gridSpan w:val="4"/>
            <w:tcBorders>
              <w:top w:val="single" w:sz="4" w:space="0" w:color="000000"/>
              <w:left w:val="single" w:sz="4" w:space="0" w:color="000000"/>
              <w:bottom w:val="single" w:sz="4" w:space="0" w:color="000000"/>
              <w:right w:val="single" w:sz="4" w:space="0" w:color="000000"/>
            </w:tcBorders>
          </w:tcPr>
          <w:p w14:paraId="52F698A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Izvještaj daje pregled ostvarenog napretka u realizaciji preporuka i obuhvata 17 tematskih oblasti: Ratifikacija međunarodnih instrumenata,  Nacionalni okvir za ljudska prava i nacionalni dijalog;  Obuke o ljudskim pravima; Jednakost i nediskriminacija; Tortura; Reforma pravosuđa i borba protiv korupcije; Građanska i politička prava; Sloboda izražavanja i sloboda medija; Borba protiv trgovine ljudima; Borba protiv nasilja u porodici, nasilja nad ženama i djecom; Ekonomska, socijalna i kulturna prava, socijalna inkluzija ; Žene; Djeca; Manjine i Romi; Osobe sa invaliditetom; Izbjeglice, raseljena i interno raseljena lica; Smanjenje apatridije; LGBTI osobe</w:t>
            </w:r>
          </w:p>
        </w:tc>
      </w:tr>
      <w:tr w:rsidR="009B5FE1" w:rsidRPr="00B80AA5" w14:paraId="126AA2CC" w14:textId="77777777" w:rsidTr="00DF2E8E">
        <w:trPr>
          <w:gridAfter w:val="1"/>
          <w:wAfter w:w="22" w:type="dxa"/>
        </w:trPr>
        <w:tc>
          <w:tcPr>
            <w:tcW w:w="656" w:type="dxa"/>
            <w:gridSpan w:val="2"/>
            <w:tcBorders>
              <w:top w:val="single" w:sz="4" w:space="0" w:color="000000"/>
              <w:left w:val="single" w:sz="4" w:space="0" w:color="000000"/>
              <w:bottom w:val="single" w:sz="4" w:space="0" w:color="000000"/>
              <w:right w:val="single" w:sz="4" w:space="0" w:color="000000"/>
            </w:tcBorders>
          </w:tcPr>
          <w:p w14:paraId="2DCA898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3</w:t>
            </w:r>
          </w:p>
        </w:tc>
        <w:tc>
          <w:tcPr>
            <w:tcW w:w="2092" w:type="dxa"/>
            <w:gridSpan w:val="5"/>
            <w:tcBorders>
              <w:top w:val="single" w:sz="4" w:space="0" w:color="000000"/>
              <w:left w:val="single" w:sz="4" w:space="0" w:color="000000"/>
              <w:bottom w:val="single" w:sz="4" w:space="0" w:color="000000"/>
              <w:right w:val="single" w:sz="4" w:space="0" w:color="000000"/>
            </w:tcBorders>
          </w:tcPr>
          <w:p w14:paraId="6AF18967" w14:textId="2C695B75" w:rsidR="009B5FE1" w:rsidRPr="00B80AA5" w:rsidRDefault="009B5FE1" w:rsidP="00D5276E">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Priprema za kandidaturu Crne Gore za članstvo u Savjetu bezbjednosti  u periodu 2026-2027</w:t>
            </w:r>
          </w:p>
        </w:tc>
        <w:tc>
          <w:tcPr>
            <w:tcW w:w="2464" w:type="dxa"/>
            <w:gridSpan w:val="7"/>
            <w:tcBorders>
              <w:top w:val="single" w:sz="4" w:space="0" w:color="000000"/>
              <w:left w:val="single" w:sz="4" w:space="0" w:color="000000"/>
              <w:bottom w:val="single" w:sz="4" w:space="0" w:color="000000"/>
              <w:right w:val="single" w:sz="4" w:space="0" w:color="000000"/>
            </w:tcBorders>
          </w:tcPr>
          <w:p w14:paraId="4F3126D5"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Formirano radno tijelo za pripremu kampanje</w:t>
            </w:r>
          </w:p>
          <w:p w14:paraId="2BABA14E"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p>
          <w:p w14:paraId="725804B3"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Pripremljen predlog plana aktivnosti i budžeta za realizaciju kampanje </w:t>
            </w:r>
          </w:p>
          <w:p w14:paraId="35B93F4A" w14:textId="77777777" w:rsidR="009B5FE1" w:rsidRPr="00B80AA5" w:rsidRDefault="009B5FE1" w:rsidP="009B5FE1">
            <w:pPr>
              <w:spacing w:after="0" w:line="240" w:lineRule="auto"/>
              <w:rPr>
                <w:rFonts w:ascii="Arial Narrow" w:eastAsia="Arial Narrow" w:hAnsi="Arial Narrow" w:cs="Arial Narrow"/>
                <w:sz w:val="20"/>
                <w:szCs w:val="20"/>
                <w:lang w:eastAsia="sr-Latn-ME"/>
              </w:rPr>
            </w:pPr>
          </w:p>
          <w:p w14:paraId="1EBDC1E4" w14:textId="77777777" w:rsidR="009B5FE1" w:rsidRPr="00B80AA5" w:rsidRDefault="009B5FE1" w:rsidP="009B5FE1">
            <w:pPr>
              <w:spacing w:after="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Podrška najmanje xxx država za kandidaturu Crne Gore za članstvo u Savjetu bezbjednosti Ujedinjenih nacija </w:t>
            </w:r>
          </w:p>
        </w:tc>
        <w:tc>
          <w:tcPr>
            <w:tcW w:w="1723" w:type="dxa"/>
            <w:gridSpan w:val="10"/>
            <w:tcBorders>
              <w:top w:val="single" w:sz="4" w:space="0" w:color="000000"/>
              <w:left w:val="single" w:sz="4" w:space="0" w:color="000000"/>
              <w:bottom w:val="single" w:sz="4" w:space="0" w:color="000000"/>
              <w:right w:val="single" w:sz="4" w:space="0" w:color="000000"/>
            </w:tcBorders>
          </w:tcPr>
          <w:p w14:paraId="70C410A8"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2CBFEC27"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59D35607"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w:t>
            </w:r>
          </w:p>
        </w:tc>
        <w:tc>
          <w:tcPr>
            <w:tcW w:w="1581" w:type="dxa"/>
            <w:gridSpan w:val="7"/>
            <w:tcBorders>
              <w:top w:val="single" w:sz="4" w:space="0" w:color="000000"/>
              <w:left w:val="single" w:sz="4" w:space="0" w:color="000000"/>
              <w:bottom w:val="single" w:sz="4" w:space="0" w:color="000000"/>
              <w:right w:val="single" w:sz="4" w:space="0" w:color="000000"/>
            </w:tcBorders>
          </w:tcPr>
          <w:p w14:paraId="1B983DC9"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 II, III i IV kvartal</w:t>
            </w:r>
          </w:p>
        </w:tc>
        <w:tc>
          <w:tcPr>
            <w:tcW w:w="1932" w:type="dxa"/>
            <w:gridSpan w:val="8"/>
            <w:tcBorders>
              <w:top w:val="single" w:sz="4" w:space="0" w:color="000000"/>
              <w:left w:val="single" w:sz="4" w:space="0" w:color="000000"/>
              <w:bottom w:val="single" w:sz="4" w:space="0" w:color="000000"/>
              <w:right w:val="single" w:sz="4" w:space="0" w:color="000000"/>
            </w:tcBorders>
          </w:tcPr>
          <w:p w14:paraId="3A87096F"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158" w:type="dxa"/>
            <w:gridSpan w:val="14"/>
            <w:tcBorders>
              <w:top w:val="single" w:sz="4" w:space="0" w:color="000000"/>
              <w:left w:val="single" w:sz="4" w:space="0" w:color="000000"/>
              <w:bottom w:val="single" w:sz="4" w:space="0" w:color="000000"/>
              <w:right w:val="single" w:sz="4" w:space="0" w:color="000000"/>
            </w:tcBorders>
          </w:tcPr>
          <w:p w14:paraId="6981B0C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272" w:type="dxa"/>
            <w:gridSpan w:val="4"/>
            <w:tcBorders>
              <w:top w:val="single" w:sz="4" w:space="0" w:color="000000"/>
              <w:left w:val="single" w:sz="4" w:space="0" w:color="000000"/>
              <w:bottom w:val="single" w:sz="4" w:space="0" w:color="000000"/>
              <w:right w:val="single" w:sz="4" w:space="0" w:color="000000"/>
            </w:tcBorders>
          </w:tcPr>
          <w:p w14:paraId="2F66B64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Članstvom u Savjetu bezbjednosti Ujedinjenih nacija Crna Gora potvrđuje svoj kredibilitet u međunarodnoj zajednici. Kao članica jednog od glavnih organa UN, svojim glasom i aktivnim učešćem, Crna Gora bi aktivno doprinosila i jednom od ključnih ciljeva UN, očuvanju međunarodnog mira. Na unutrašnjem planu, članstvom u SB UN bi se jačali profesionalni kapaciteti organa državne uprave. </w:t>
            </w:r>
          </w:p>
        </w:tc>
      </w:tr>
      <w:tr w:rsidR="009B5FE1" w:rsidRPr="00B80AA5" w14:paraId="4373A784" w14:textId="77777777" w:rsidTr="00DF2E8E">
        <w:trPr>
          <w:gridAfter w:val="1"/>
          <w:wAfter w:w="22" w:type="dxa"/>
        </w:trPr>
        <w:tc>
          <w:tcPr>
            <w:tcW w:w="656" w:type="dxa"/>
            <w:gridSpan w:val="2"/>
            <w:tcBorders>
              <w:top w:val="single" w:sz="4" w:space="0" w:color="000000"/>
              <w:left w:val="single" w:sz="4" w:space="0" w:color="000000"/>
              <w:bottom w:val="single" w:sz="4" w:space="0" w:color="000000"/>
              <w:right w:val="single" w:sz="4" w:space="0" w:color="000000"/>
            </w:tcBorders>
          </w:tcPr>
          <w:p w14:paraId="1FF43504"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4</w:t>
            </w:r>
          </w:p>
          <w:p w14:paraId="76A2AA2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092" w:type="dxa"/>
            <w:gridSpan w:val="5"/>
            <w:tcBorders>
              <w:top w:val="single" w:sz="4" w:space="0" w:color="000000"/>
              <w:left w:val="single" w:sz="4" w:space="0" w:color="000000"/>
              <w:bottom w:val="single" w:sz="4" w:space="0" w:color="000000"/>
              <w:right w:val="single" w:sz="4" w:space="0" w:color="000000"/>
            </w:tcBorders>
          </w:tcPr>
          <w:p w14:paraId="5967646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Implementacija aktivnosti iz UN okvira za održivi razvoj (UNDAF)/UN okvira za održivu razvojnu saradnju (UNSDCF)</w:t>
            </w:r>
          </w:p>
          <w:p w14:paraId="24CAED90" w14:textId="60E65518"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464" w:type="dxa"/>
            <w:gridSpan w:val="7"/>
            <w:tcBorders>
              <w:top w:val="single" w:sz="4" w:space="0" w:color="000000"/>
              <w:left w:val="single" w:sz="4" w:space="0" w:color="000000"/>
              <w:bottom w:val="single" w:sz="4" w:space="0" w:color="000000"/>
              <w:right w:val="single" w:sz="4" w:space="0" w:color="000000"/>
            </w:tcBorders>
          </w:tcPr>
          <w:p w14:paraId="18088428"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Usaglašen godišnji izvještaj između Vlade CG i UN sistema u Crnoj Gori</w:t>
            </w:r>
          </w:p>
          <w:p w14:paraId="19C2BA04"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p>
          <w:p w14:paraId="5E66E9DE"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p>
          <w:p w14:paraId="2D26CF41"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p>
        </w:tc>
        <w:tc>
          <w:tcPr>
            <w:tcW w:w="1723" w:type="dxa"/>
            <w:gridSpan w:val="10"/>
            <w:tcBorders>
              <w:top w:val="single" w:sz="4" w:space="0" w:color="000000"/>
              <w:left w:val="single" w:sz="4" w:space="0" w:color="000000"/>
              <w:bottom w:val="single" w:sz="4" w:space="0" w:color="000000"/>
              <w:right w:val="single" w:sz="4" w:space="0" w:color="000000"/>
            </w:tcBorders>
          </w:tcPr>
          <w:p w14:paraId="44E9AFC7"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540943DA"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027CE4E1"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w:t>
            </w:r>
          </w:p>
        </w:tc>
        <w:tc>
          <w:tcPr>
            <w:tcW w:w="1581" w:type="dxa"/>
            <w:gridSpan w:val="7"/>
            <w:tcBorders>
              <w:top w:val="single" w:sz="4" w:space="0" w:color="000000"/>
              <w:left w:val="single" w:sz="4" w:space="0" w:color="000000"/>
              <w:bottom w:val="single" w:sz="4" w:space="0" w:color="000000"/>
              <w:right w:val="single" w:sz="4" w:space="0" w:color="000000"/>
            </w:tcBorders>
          </w:tcPr>
          <w:p w14:paraId="0C6547AF"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 II, III I IV kvartal</w:t>
            </w:r>
          </w:p>
        </w:tc>
        <w:tc>
          <w:tcPr>
            <w:tcW w:w="1932" w:type="dxa"/>
            <w:gridSpan w:val="8"/>
            <w:tcBorders>
              <w:top w:val="single" w:sz="4" w:space="0" w:color="000000"/>
              <w:left w:val="single" w:sz="4" w:space="0" w:color="000000"/>
              <w:bottom w:val="single" w:sz="4" w:space="0" w:color="000000"/>
              <w:right w:val="single" w:sz="4" w:space="0" w:color="000000"/>
            </w:tcBorders>
          </w:tcPr>
          <w:p w14:paraId="247BC40B"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158" w:type="dxa"/>
            <w:gridSpan w:val="14"/>
            <w:tcBorders>
              <w:top w:val="single" w:sz="4" w:space="0" w:color="000000"/>
              <w:left w:val="single" w:sz="4" w:space="0" w:color="000000"/>
              <w:bottom w:val="single" w:sz="4" w:space="0" w:color="000000"/>
              <w:right w:val="single" w:sz="4" w:space="0" w:color="000000"/>
            </w:tcBorders>
          </w:tcPr>
          <w:p w14:paraId="3B1C9EB2"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272" w:type="dxa"/>
            <w:gridSpan w:val="4"/>
            <w:tcBorders>
              <w:top w:val="single" w:sz="4" w:space="0" w:color="000000"/>
              <w:left w:val="single" w:sz="4" w:space="0" w:color="000000"/>
              <w:bottom w:val="single" w:sz="4" w:space="0" w:color="000000"/>
              <w:right w:val="single" w:sz="4" w:space="0" w:color="000000"/>
            </w:tcBorders>
          </w:tcPr>
          <w:p w14:paraId="5400F2E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Srednjoročni strateški planski dokument u kome se artikuliše kolektivna vizija i odgovor sistema UN na nacionalne razvojne prioritete i aktivnosti koje un sprovodi u partnerstvu sa Vladom Crne Gore i u bliskoj saradnji sa međunarodnim i nacionalnim partnerima i civilnim društvom. UNSDSF bi trebalo da bude  usaglašem sa ključnim vanjskopolitičkim prioritetom Crne Gore, integracijom u EU, i da doprinese realizaciji nacionalnih prioriteta Vlade na planu postizanja ravnomjernog regionalnog razvoja. Integrisani plan saradnje se planra na liniji 2030 Agende za održivi </w:t>
            </w:r>
            <w:r w:rsidRPr="00B80AA5">
              <w:rPr>
                <w:rFonts w:ascii="Arial Narrow" w:eastAsia="Arial Narrow" w:hAnsi="Arial Narrow" w:cs="Arial Narrow"/>
                <w:sz w:val="20"/>
                <w:szCs w:val="20"/>
                <w:lang w:eastAsia="sr-Latn-ME"/>
              </w:rPr>
              <w:lastRenderedPageBreak/>
              <w:t>razvoj i ciljeva održivog razvoja.</w:t>
            </w:r>
          </w:p>
        </w:tc>
      </w:tr>
      <w:tr w:rsidR="009B5FE1" w:rsidRPr="00B80AA5" w14:paraId="403B06E0" w14:textId="77777777" w:rsidTr="00DF2E8E">
        <w:trPr>
          <w:gridAfter w:val="1"/>
          <w:wAfter w:w="22" w:type="dxa"/>
        </w:trPr>
        <w:tc>
          <w:tcPr>
            <w:tcW w:w="656" w:type="dxa"/>
            <w:gridSpan w:val="2"/>
            <w:tcBorders>
              <w:top w:val="single" w:sz="4" w:space="0" w:color="000000"/>
              <w:left w:val="single" w:sz="4" w:space="0" w:color="000000"/>
              <w:bottom w:val="single" w:sz="4" w:space="0" w:color="000000"/>
              <w:right w:val="single" w:sz="4" w:space="0" w:color="000000"/>
            </w:tcBorders>
          </w:tcPr>
          <w:p w14:paraId="46EE48BF"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5 </w:t>
            </w:r>
          </w:p>
        </w:tc>
        <w:tc>
          <w:tcPr>
            <w:tcW w:w="2092" w:type="dxa"/>
            <w:gridSpan w:val="5"/>
            <w:tcBorders>
              <w:top w:val="single" w:sz="4" w:space="0" w:color="000000"/>
              <w:left w:val="single" w:sz="4" w:space="0" w:color="000000"/>
              <w:bottom w:val="single" w:sz="4" w:space="0" w:color="000000"/>
              <w:right w:val="single" w:sz="4" w:space="0" w:color="000000"/>
            </w:tcBorders>
          </w:tcPr>
          <w:p w14:paraId="3E69A067"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Predsjedavanje regionalnom inicijativom- Američko-jadranska povelja (A5)</w:t>
            </w:r>
          </w:p>
          <w:p w14:paraId="020B689F" w14:textId="7F5B5F65"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p>
        </w:tc>
        <w:tc>
          <w:tcPr>
            <w:tcW w:w="2464" w:type="dxa"/>
            <w:gridSpan w:val="7"/>
            <w:tcBorders>
              <w:top w:val="single" w:sz="4" w:space="0" w:color="000000"/>
              <w:left w:val="single" w:sz="4" w:space="0" w:color="000000"/>
              <w:bottom w:val="single" w:sz="4" w:space="0" w:color="000000"/>
              <w:right w:val="single" w:sz="4" w:space="0" w:color="000000"/>
            </w:tcBorders>
          </w:tcPr>
          <w:p w14:paraId="0AB93FA8" w14:textId="77777777" w:rsidR="009B5FE1" w:rsidRPr="00B80AA5" w:rsidRDefault="009B5FE1" w:rsidP="009B5FE1">
            <w:pPr>
              <w:spacing w:before="40" w:after="40" w:line="240" w:lineRule="auto"/>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Procenat realizacije</w:t>
            </w:r>
            <w:r w:rsidRPr="00B80AA5">
              <w:rPr>
                <w:rFonts w:ascii="Arial Narrow" w:eastAsia="Arial Narrow" w:hAnsi="Arial Narrow" w:cs="Arial Narrow"/>
                <w:b/>
                <w:sz w:val="20"/>
                <w:szCs w:val="20"/>
                <w:lang w:eastAsia="sr-Latn-ME"/>
              </w:rPr>
              <w:t xml:space="preserve"> </w:t>
            </w:r>
            <w:r w:rsidRPr="00B80AA5">
              <w:rPr>
                <w:rFonts w:ascii="Arial Narrow" w:eastAsia="Arial Narrow" w:hAnsi="Arial Narrow" w:cs="Arial Narrow"/>
                <w:sz w:val="20"/>
                <w:szCs w:val="20"/>
                <w:lang w:eastAsia="sr-Latn-ME"/>
              </w:rPr>
              <w:t>aktivnosti predviđenih akcionim planom predsjedavanja Crne Gore Američko-jadranskom poveljom (A5)</w:t>
            </w:r>
          </w:p>
        </w:tc>
        <w:tc>
          <w:tcPr>
            <w:tcW w:w="1723" w:type="dxa"/>
            <w:gridSpan w:val="10"/>
            <w:tcBorders>
              <w:top w:val="single" w:sz="4" w:space="0" w:color="000000"/>
              <w:left w:val="single" w:sz="4" w:space="0" w:color="000000"/>
              <w:bottom w:val="single" w:sz="4" w:space="0" w:color="000000"/>
              <w:right w:val="single" w:sz="4" w:space="0" w:color="000000"/>
            </w:tcBorders>
          </w:tcPr>
          <w:p w14:paraId="7FCBC3BB"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4720DA81"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p>
          <w:p w14:paraId="526B620D"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odbrane</w:t>
            </w:r>
          </w:p>
          <w:p w14:paraId="7C9D68BB"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p>
          <w:p w14:paraId="3DC7D03C"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KPS</w:t>
            </w:r>
          </w:p>
        </w:tc>
        <w:tc>
          <w:tcPr>
            <w:tcW w:w="1581" w:type="dxa"/>
            <w:gridSpan w:val="7"/>
            <w:tcBorders>
              <w:top w:val="single" w:sz="4" w:space="0" w:color="000000"/>
              <w:left w:val="single" w:sz="4" w:space="0" w:color="000000"/>
              <w:bottom w:val="single" w:sz="4" w:space="0" w:color="000000"/>
              <w:right w:val="single" w:sz="4" w:space="0" w:color="000000"/>
            </w:tcBorders>
          </w:tcPr>
          <w:p w14:paraId="358C62D7"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w:t>
            </w:r>
            <w:r w:rsidRPr="00B80AA5">
              <w:rPr>
                <w:rFonts w:ascii="Arial Narrow" w:eastAsia="Arial Narrow" w:hAnsi="Arial Narrow" w:cs="Arial Narrow"/>
                <w:sz w:val="20"/>
                <w:szCs w:val="20"/>
                <w:lang w:eastAsia="sr-Latn-ME"/>
              </w:rPr>
              <w:t>,II,III, IV kvartal</w:t>
            </w:r>
          </w:p>
        </w:tc>
        <w:tc>
          <w:tcPr>
            <w:tcW w:w="1932" w:type="dxa"/>
            <w:gridSpan w:val="8"/>
            <w:tcBorders>
              <w:top w:val="single" w:sz="4" w:space="0" w:color="000000"/>
              <w:left w:val="single" w:sz="4" w:space="0" w:color="000000"/>
              <w:bottom w:val="single" w:sz="4" w:space="0" w:color="000000"/>
              <w:right w:val="single" w:sz="4" w:space="0" w:color="000000"/>
            </w:tcBorders>
          </w:tcPr>
          <w:p w14:paraId="65B8B229"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12.000 MVP</w:t>
            </w:r>
          </w:p>
          <w:p w14:paraId="7997C9D9"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37.500 MO</w:t>
            </w:r>
          </w:p>
          <w:p w14:paraId="4F278CCE"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158" w:type="dxa"/>
            <w:gridSpan w:val="14"/>
            <w:tcBorders>
              <w:top w:val="single" w:sz="4" w:space="0" w:color="000000"/>
              <w:left w:val="single" w:sz="4" w:space="0" w:color="000000"/>
              <w:bottom w:val="single" w:sz="4" w:space="0" w:color="000000"/>
              <w:right w:val="single" w:sz="4" w:space="0" w:color="000000"/>
            </w:tcBorders>
          </w:tcPr>
          <w:p w14:paraId="3B51A828"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Bužet </w:t>
            </w:r>
          </w:p>
          <w:p w14:paraId="46ACE0E5"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713C8D47"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272" w:type="dxa"/>
            <w:gridSpan w:val="4"/>
            <w:tcBorders>
              <w:top w:val="single" w:sz="4" w:space="0" w:color="000000"/>
              <w:left w:val="single" w:sz="4" w:space="0" w:color="000000"/>
              <w:bottom w:val="single" w:sz="4" w:space="0" w:color="000000"/>
              <w:right w:val="single" w:sz="4" w:space="0" w:color="000000"/>
            </w:tcBorders>
          </w:tcPr>
          <w:p w14:paraId="3B04BFB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Američko-jadranska povelja se potvrdila kao važan forum i instrument jačanja regionalne saradnje i kanalisanja evroatlantskih aspiracija država regiona i JIE. Tokom predsjedavanja Crne Gore u 2022.   fokus će biti stavljen na promociju Zapadnog Balkana i potrebu da region bude zastupljeniji u raspravama unutar NATO i EU.  Takođe, pažnja će biti usmjerena na dalji razvoj zajedničkih sposobnosti i zajedničko učešće u međunarodnim misijama i operacijama, a posebno NATO misijama i operacijama.</w:t>
            </w:r>
          </w:p>
        </w:tc>
      </w:tr>
      <w:tr w:rsidR="009B5FE1" w:rsidRPr="00B80AA5" w14:paraId="535F6126" w14:textId="77777777" w:rsidTr="00DF2E8E">
        <w:trPr>
          <w:gridAfter w:val="1"/>
          <w:wAfter w:w="22" w:type="dxa"/>
        </w:trPr>
        <w:tc>
          <w:tcPr>
            <w:tcW w:w="656" w:type="dxa"/>
            <w:gridSpan w:val="2"/>
            <w:tcBorders>
              <w:top w:val="single" w:sz="4" w:space="0" w:color="000000"/>
              <w:left w:val="single" w:sz="4" w:space="0" w:color="000000"/>
              <w:bottom w:val="single" w:sz="4" w:space="0" w:color="000000"/>
              <w:right w:val="single" w:sz="4" w:space="0" w:color="000000"/>
            </w:tcBorders>
          </w:tcPr>
          <w:p w14:paraId="338398D7"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6</w:t>
            </w:r>
          </w:p>
        </w:tc>
        <w:tc>
          <w:tcPr>
            <w:tcW w:w="2092" w:type="dxa"/>
            <w:gridSpan w:val="5"/>
            <w:tcBorders>
              <w:top w:val="single" w:sz="4" w:space="0" w:color="000000"/>
              <w:left w:val="single" w:sz="4" w:space="0" w:color="000000"/>
              <w:bottom w:val="single" w:sz="4" w:space="0" w:color="000000"/>
              <w:right w:val="single" w:sz="4" w:space="0" w:color="000000"/>
            </w:tcBorders>
          </w:tcPr>
          <w:p w14:paraId="5A8B454C"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Predsjedavanje Procesu saradnje u jugoistočnoj Evropi (SEECP) 2022-2023.</w:t>
            </w:r>
          </w:p>
          <w:p w14:paraId="7349A0A8" w14:textId="48341581"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p>
        </w:tc>
        <w:tc>
          <w:tcPr>
            <w:tcW w:w="2464" w:type="dxa"/>
            <w:gridSpan w:val="7"/>
            <w:tcBorders>
              <w:top w:val="single" w:sz="4" w:space="0" w:color="000000"/>
              <w:left w:val="single" w:sz="4" w:space="0" w:color="000000"/>
              <w:bottom w:val="single" w:sz="4" w:space="0" w:color="000000"/>
              <w:right w:val="single" w:sz="4" w:space="0" w:color="000000"/>
            </w:tcBorders>
          </w:tcPr>
          <w:p w14:paraId="6AA550C1" w14:textId="6F67922F"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Usaglašen plan aktinovsti i budžet za predsjedavanje </w:t>
            </w:r>
          </w:p>
          <w:p w14:paraId="6317E28A"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p>
          <w:p w14:paraId="265AAD96"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p>
          <w:p w14:paraId="7FC22B14"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Procenat realizacije aktivnosti predviđenih akcionim planom predsjedavanja Crne Gore Procesom saradnje u Jugoistočnoj Evropi (SEECP)</w:t>
            </w:r>
          </w:p>
        </w:tc>
        <w:tc>
          <w:tcPr>
            <w:tcW w:w="1723" w:type="dxa"/>
            <w:gridSpan w:val="10"/>
            <w:tcBorders>
              <w:top w:val="single" w:sz="4" w:space="0" w:color="000000"/>
              <w:left w:val="single" w:sz="4" w:space="0" w:color="000000"/>
              <w:bottom w:val="single" w:sz="4" w:space="0" w:color="000000"/>
              <w:right w:val="single" w:sz="4" w:space="0" w:color="000000"/>
            </w:tcBorders>
          </w:tcPr>
          <w:p w14:paraId="56FBAB6E"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0FEC7CE5"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p>
          <w:p w14:paraId="7E80202C"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w:t>
            </w:r>
          </w:p>
        </w:tc>
        <w:tc>
          <w:tcPr>
            <w:tcW w:w="1581" w:type="dxa"/>
            <w:gridSpan w:val="7"/>
            <w:tcBorders>
              <w:top w:val="single" w:sz="4" w:space="0" w:color="000000"/>
              <w:left w:val="single" w:sz="4" w:space="0" w:color="000000"/>
              <w:bottom w:val="single" w:sz="4" w:space="0" w:color="000000"/>
              <w:right w:val="single" w:sz="4" w:space="0" w:color="000000"/>
            </w:tcBorders>
          </w:tcPr>
          <w:p w14:paraId="145F4707" w14:textId="736015E0"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 II III, IV kvartal 2022. </w:t>
            </w:r>
          </w:p>
        </w:tc>
        <w:tc>
          <w:tcPr>
            <w:tcW w:w="1932" w:type="dxa"/>
            <w:gridSpan w:val="8"/>
            <w:tcBorders>
              <w:top w:val="single" w:sz="4" w:space="0" w:color="000000"/>
              <w:left w:val="single" w:sz="4" w:space="0" w:color="000000"/>
              <w:bottom w:val="single" w:sz="4" w:space="0" w:color="000000"/>
              <w:right w:val="single" w:sz="4" w:space="0" w:color="000000"/>
            </w:tcBorders>
          </w:tcPr>
          <w:p w14:paraId="26348194"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125.000 Eura </w:t>
            </w:r>
          </w:p>
        </w:tc>
        <w:tc>
          <w:tcPr>
            <w:tcW w:w="2158" w:type="dxa"/>
            <w:gridSpan w:val="14"/>
            <w:tcBorders>
              <w:top w:val="single" w:sz="4" w:space="0" w:color="000000"/>
              <w:left w:val="single" w:sz="4" w:space="0" w:color="000000"/>
              <w:bottom w:val="single" w:sz="4" w:space="0" w:color="000000"/>
              <w:right w:val="single" w:sz="4" w:space="0" w:color="000000"/>
            </w:tcBorders>
            <w:vAlign w:val="center"/>
          </w:tcPr>
          <w:p w14:paraId="475BE0C8"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Okvirna procjena je da je za predsjedavanje SEECP-u potrebno obezbijediti 125.000 eura. Kalendar jednogodišnjeg predsjedavanja SEECP-u predviđa 6 sastanaka političkih direktora, neformalni sastanak ministara vanjskih poslova (na marginama GS UN), sastanak ministara vanjskih poslova i Samit šefova država i vlada. Imajući u vidu da je tokom predsjedavanja Turske (2020-2021) obnovljen rad Radne grupe za </w:t>
            </w:r>
            <w:r w:rsidRPr="00B80AA5">
              <w:rPr>
                <w:rFonts w:ascii="Arial Narrow" w:eastAsia="Arial Narrow" w:hAnsi="Arial Narrow" w:cs="Arial Narrow"/>
                <w:sz w:val="20"/>
                <w:szCs w:val="20"/>
                <w:lang w:eastAsia="sr-Latn-ME"/>
              </w:rPr>
              <w:lastRenderedPageBreak/>
              <w:t>unapređenje efikasnosti SEECP, može se predvidjeti organizacija sastanaka i u tom formatu (tri održana tokom predsjedavanja Turske). Važno: Osim sastanaka MVP, predsjedavanje SEECP podrazumijeva organizovanje događaja od strane drugih resora (na ekspertskom/ministarskom nivou, kao i u okviru parlamentarne dimenzije), koji nijesu obuhvaćeni navedenom okvirnom projekcijom troškova</w:t>
            </w:r>
          </w:p>
        </w:tc>
        <w:tc>
          <w:tcPr>
            <w:tcW w:w="2272" w:type="dxa"/>
            <w:gridSpan w:val="4"/>
            <w:tcBorders>
              <w:top w:val="single" w:sz="4" w:space="0" w:color="000000"/>
              <w:left w:val="single" w:sz="4" w:space="0" w:color="000000"/>
              <w:bottom w:val="single" w:sz="4" w:space="0" w:color="000000"/>
              <w:right w:val="single" w:sz="4" w:space="0" w:color="000000"/>
            </w:tcBorders>
          </w:tcPr>
          <w:p w14:paraId="2ACB4694"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 xml:space="preserve">Učinak Crne Gore, kao geografski i demografski male zemlje, na multilateralnom planu daleko je veći u okviru regionalnih inicijativa i organizacija, nego u forumima evropskog ili globalnog formata. Naši napori da doprinesemo unapređenju odnosa i saradnje u regionu jugoistočne Evrope, kanalisani kroz okvir SEECP imaju potencijal da daju znatno veći učinak kako u dostizanju ukupnog razvoja i napretka JIE, tako i u smislu </w:t>
            </w:r>
            <w:r w:rsidRPr="00B80AA5">
              <w:rPr>
                <w:rFonts w:ascii="Arial Narrow" w:eastAsia="Arial Narrow" w:hAnsi="Arial Narrow" w:cs="Arial Narrow"/>
                <w:sz w:val="20"/>
                <w:szCs w:val="20"/>
                <w:lang w:eastAsia="sr-Latn-ME"/>
              </w:rPr>
              <w:lastRenderedPageBreak/>
              <w:t>pozicioniranja Crne Gore kao relevantnog činioca u izgradnji dijaloga i razumijevanja i u globalnim okvirima. Pored toga, ključne aktivnosti koje se sprovode u okviru SEECP, poput Strategije JIE 2030, komplementarne su sa svim prioritetima Programa rada Vlade za 2021. godinu, te će na toj liniji biti definisani i prioriteti našeg predsjedavanja.</w:t>
            </w:r>
          </w:p>
        </w:tc>
      </w:tr>
      <w:tr w:rsidR="009B5FE1" w:rsidRPr="00B80AA5" w14:paraId="02B02748"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0D1ED04A" w14:textId="77777777" w:rsidR="009B5FE1" w:rsidRPr="00B80AA5" w:rsidRDefault="009B5FE1" w:rsidP="009B5FE1">
            <w:pPr>
              <w:spacing w:before="20" w:after="20" w:line="240" w:lineRule="auto"/>
              <w:rPr>
                <w:rFonts w:ascii="Calibri" w:eastAsia="Calibri" w:hAnsi="Calibri" w:cs="Calibri"/>
                <w:sz w:val="20"/>
                <w:szCs w:val="20"/>
                <w:lang w:eastAsia="sr-Latn-ME"/>
              </w:rPr>
            </w:pPr>
            <w:r w:rsidRPr="00B80AA5">
              <w:rPr>
                <w:rFonts w:ascii="Calibri" w:eastAsia="Calibri" w:hAnsi="Calibri" w:cs="Calibri"/>
                <w:sz w:val="20"/>
                <w:szCs w:val="20"/>
                <w:lang w:eastAsia="sr-Latn-ME"/>
              </w:rPr>
              <w:t>7</w:t>
            </w:r>
          </w:p>
        </w:tc>
        <w:tc>
          <w:tcPr>
            <w:tcW w:w="2013" w:type="dxa"/>
            <w:gridSpan w:val="2"/>
            <w:tcBorders>
              <w:top w:val="single" w:sz="4" w:space="0" w:color="000000"/>
              <w:left w:val="single" w:sz="4" w:space="0" w:color="000000"/>
              <w:bottom w:val="single" w:sz="4" w:space="0" w:color="000000"/>
              <w:right w:val="single" w:sz="4" w:space="0" w:color="000000"/>
            </w:tcBorders>
          </w:tcPr>
          <w:p w14:paraId="7229666B" w14:textId="77777777" w:rsidR="009B5FE1" w:rsidRPr="00B80AA5" w:rsidRDefault="009B5FE1" w:rsidP="009B5FE1">
            <w:pPr>
              <w:spacing w:after="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predstavnika Crne Gore na NATO vježbi CMX22</w:t>
            </w:r>
          </w:p>
          <w:p w14:paraId="10EF0395" w14:textId="1129DBB2" w:rsidR="009B5FE1" w:rsidRPr="00B80AA5" w:rsidRDefault="009B5FE1" w:rsidP="009B5FE1">
            <w:pPr>
              <w:spacing w:after="0" w:line="240" w:lineRule="auto"/>
              <w:rPr>
                <w:rFonts w:ascii="Arial Narrow" w:eastAsia="Arial Narrow" w:hAnsi="Arial Narrow" w:cs="Arial Narrow"/>
                <w:sz w:val="20"/>
                <w:szCs w:val="20"/>
                <w:lang w:eastAsia="sr-Latn-ME"/>
              </w:rPr>
            </w:pPr>
          </w:p>
        </w:tc>
        <w:tc>
          <w:tcPr>
            <w:tcW w:w="2521" w:type="dxa"/>
            <w:gridSpan w:val="9"/>
            <w:tcBorders>
              <w:top w:val="single" w:sz="4" w:space="0" w:color="000000"/>
              <w:left w:val="single" w:sz="4" w:space="0" w:color="000000"/>
              <w:bottom w:val="single" w:sz="4" w:space="0" w:color="000000"/>
              <w:right w:val="single" w:sz="4" w:space="0" w:color="000000"/>
            </w:tcBorders>
          </w:tcPr>
          <w:p w14:paraId="3C692FEA"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Izvještaj MVP o učešću Crne Gore na NATO vježbi CMX22</w:t>
            </w:r>
          </w:p>
        </w:tc>
        <w:tc>
          <w:tcPr>
            <w:tcW w:w="1709" w:type="dxa"/>
            <w:gridSpan w:val="10"/>
            <w:tcBorders>
              <w:top w:val="single" w:sz="4" w:space="0" w:color="000000"/>
              <w:left w:val="single" w:sz="4" w:space="0" w:color="000000"/>
              <w:bottom w:val="single" w:sz="4" w:space="0" w:color="000000"/>
              <w:right w:val="single" w:sz="4" w:space="0" w:color="000000"/>
            </w:tcBorders>
          </w:tcPr>
          <w:p w14:paraId="2A5FF41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3E249051"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1BC14B78"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KPS </w:t>
            </w:r>
          </w:p>
        </w:tc>
        <w:tc>
          <w:tcPr>
            <w:tcW w:w="1619" w:type="dxa"/>
            <w:gridSpan w:val="7"/>
            <w:tcBorders>
              <w:top w:val="single" w:sz="4" w:space="0" w:color="000000"/>
              <w:left w:val="single" w:sz="4" w:space="0" w:color="000000"/>
              <w:bottom w:val="single" w:sz="4" w:space="0" w:color="000000"/>
              <w:right w:val="single" w:sz="4" w:space="0" w:color="000000"/>
            </w:tcBorders>
          </w:tcPr>
          <w:p w14:paraId="6178FE7A"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 kvartal</w:t>
            </w:r>
          </w:p>
        </w:tc>
        <w:tc>
          <w:tcPr>
            <w:tcW w:w="1889" w:type="dxa"/>
            <w:gridSpan w:val="8"/>
            <w:tcBorders>
              <w:top w:val="single" w:sz="4" w:space="0" w:color="000000"/>
              <w:left w:val="single" w:sz="4" w:space="0" w:color="000000"/>
              <w:bottom w:val="single" w:sz="4" w:space="0" w:color="000000"/>
              <w:right w:val="single" w:sz="4" w:space="0" w:color="000000"/>
            </w:tcBorders>
          </w:tcPr>
          <w:p w14:paraId="79C77DE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160" w:type="dxa"/>
            <w:gridSpan w:val="14"/>
            <w:tcBorders>
              <w:top w:val="single" w:sz="4" w:space="0" w:color="000000"/>
              <w:left w:val="single" w:sz="4" w:space="0" w:color="000000"/>
              <w:bottom w:val="single" w:sz="4" w:space="0" w:color="000000"/>
              <w:right w:val="single" w:sz="4" w:space="0" w:color="000000"/>
            </w:tcBorders>
          </w:tcPr>
          <w:p w14:paraId="7535590F"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        </w:t>
            </w:r>
          </w:p>
        </w:tc>
        <w:tc>
          <w:tcPr>
            <w:tcW w:w="2245" w:type="dxa"/>
            <w:gridSpan w:val="3"/>
            <w:tcBorders>
              <w:top w:val="single" w:sz="4" w:space="0" w:color="000000"/>
              <w:left w:val="single" w:sz="4" w:space="0" w:color="000000"/>
              <w:bottom w:val="single" w:sz="4" w:space="0" w:color="000000"/>
              <w:right w:val="single" w:sz="4" w:space="0" w:color="000000"/>
            </w:tcBorders>
          </w:tcPr>
          <w:p w14:paraId="1AA68E5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Putem učešća u similacionoj vježbi upravljanja u kriznim situacijama ove aktivnosti, Alijansa i članice uvježbavaju procese konsultacija i donošenja odluka na strateškom i operativnom političko-vojnom nivou. Kao članica NATO, Crna Gora je u obavezi da razvije sistem kriznog upravljanja u skladu sa uspostavljenim standardima  NATO u ovoj oblasti, što se putem ovih  vježbi i sličnih aktivnosti provjerava makar jednom godišnje</w:t>
            </w:r>
          </w:p>
        </w:tc>
      </w:tr>
      <w:tr w:rsidR="009B5FE1" w:rsidRPr="00B80AA5" w14:paraId="35199B79"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3ADFB00D" w14:textId="77777777" w:rsidR="009B5FE1" w:rsidRPr="00B80AA5" w:rsidRDefault="009B5FE1" w:rsidP="009B5FE1">
            <w:pPr>
              <w:spacing w:before="20" w:after="20" w:line="240" w:lineRule="auto"/>
              <w:rPr>
                <w:rFonts w:ascii="Calibri" w:eastAsia="Calibri" w:hAnsi="Calibri" w:cs="Calibri"/>
                <w:sz w:val="20"/>
                <w:szCs w:val="20"/>
                <w:lang w:eastAsia="sr-Latn-ME"/>
              </w:rPr>
            </w:pPr>
            <w:r w:rsidRPr="00B80AA5">
              <w:rPr>
                <w:rFonts w:ascii="Calibri" w:eastAsia="Calibri" w:hAnsi="Calibri" w:cs="Calibri"/>
                <w:sz w:val="20"/>
                <w:szCs w:val="20"/>
                <w:lang w:eastAsia="sr-Latn-ME"/>
              </w:rPr>
              <w:t>8</w:t>
            </w:r>
          </w:p>
        </w:tc>
        <w:tc>
          <w:tcPr>
            <w:tcW w:w="2013" w:type="dxa"/>
            <w:gridSpan w:val="2"/>
            <w:tcBorders>
              <w:top w:val="single" w:sz="4" w:space="0" w:color="000000"/>
              <w:left w:val="single" w:sz="4" w:space="0" w:color="000000"/>
              <w:bottom w:val="single" w:sz="4" w:space="0" w:color="000000"/>
              <w:right w:val="single" w:sz="4" w:space="0" w:color="000000"/>
            </w:tcBorders>
          </w:tcPr>
          <w:p w14:paraId="3271B3B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predstavnika Crne Gore u pripremnim aktivnostima za NATO vježbu CMX23</w:t>
            </w:r>
          </w:p>
          <w:p w14:paraId="4F08983F"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17C5932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Tematska</w:t>
            </w:r>
          </w:p>
        </w:tc>
        <w:tc>
          <w:tcPr>
            <w:tcW w:w="2521" w:type="dxa"/>
            <w:gridSpan w:val="9"/>
            <w:tcBorders>
              <w:top w:val="single" w:sz="4" w:space="0" w:color="000000"/>
              <w:left w:val="single" w:sz="4" w:space="0" w:color="000000"/>
              <w:bottom w:val="single" w:sz="4" w:space="0" w:color="000000"/>
              <w:right w:val="single" w:sz="4" w:space="0" w:color="000000"/>
            </w:tcBorders>
          </w:tcPr>
          <w:p w14:paraId="11AA6EE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Uspješno sprovedeno učešće Crne Gore u pripremnim aktivnostima za NATO vježbu CMX23</w:t>
            </w:r>
          </w:p>
        </w:tc>
        <w:tc>
          <w:tcPr>
            <w:tcW w:w="1709" w:type="dxa"/>
            <w:gridSpan w:val="10"/>
            <w:tcBorders>
              <w:top w:val="single" w:sz="4" w:space="0" w:color="000000"/>
              <w:left w:val="single" w:sz="4" w:space="0" w:color="000000"/>
              <w:bottom w:val="single" w:sz="4" w:space="0" w:color="000000"/>
              <w:right w:val="single" w:sz="4" w:space="0" w:color="000000"/>
            </w:tcBorders>
          </w:tcPr>
          <w:p w14:paraId="526E18F8"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64C0B5A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50051C5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1619" w:type="dxa"/>
            <w:gridSpan w:val="7"/>
            <w:tcBorders>
              <w:top w:val="single" w:sz="4" w:space="0" w:color="000000"/>
              <w:left w:val="single" w:sz="4" w:space="0" w:color="000000"/>
              <w:bottom w:val="single" w:sz="4" w:space="0" w:color="000000"/>
              <w:right w:val="single" w:sz="4" w:space="0" w:color="000000"/>
            </w:tcBorders>
          </w:tcPr>
          <w:p w14:paraId="6F1DCFB5"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 xml:space="preserve">I, II, III i IV kvartal </w:t>
            </w:r>
          </w:p>
          <w:p w14:paraId="65B64E3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 </w:t>
            </w:r>
          </w:p>
        </w:tc>
        <w:tc>
          <w:tcPr>
            <w:tcW w:w="1889" w:type="dxa"/>
            <w:gridSpan w:val="8"/>
            <w:tcBorders>
              <w:top w:val="single" w:sz="4" w:space="0" w:color="000000"/>
              <w:left w:val="single" w:sz="4" w:space="0" w:color="000000"/>
              <w:bottom w:val="single" w:sz="4" w:space="0" w:color="000000"/>
              <w:right w:val="single" w:sz="4" w:space="0" w:color="000000"/>
            </w:tcBorders>
          </w:tcPr>
          <w:p w14:paraId="1DE43AD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160" w:type="dxa"/>
            <w:gridSpan w:val="14"/>
            <w:tcBorders>
              <w:top w:val="single" w:sz="4" w:space="0" w:color="000000"/>
              <w:left w:val="single" w:sz="4" w:space="0" w:color="000000"/>
              <w:bottom w:val="single" w:sz="4" w:space="0" w:color="000000"/>
              <w:right w:val="single" w:sz="4" w:space="0" w:color="000000"/>
            </w:tcBorders>
          </w:tcPr>
          <w:p w14:paraId="57B1812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245" w:type="dxa"/>
            <w:gridSpan w:val="3"/>
            <w:tcBorders>
              <w:top w:val="single" w:sz="4" w:space="0" w:color="000000"/>
              <w:left w:val="single" w:sz="4" w:space="0" w:color="000000"/>
              <w:bottom w:val="single" w:sz="4" w:space="0" w:color="000000"/>
              <w:right w:val="single" w:sz="4" w:space="0" w:color="000000"/>
            </w:tcBorders>
          </w:tcPr>
          <w:p w14:paraId="4FB3859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Simulacione vježbe CMX se realizuju na osnovu fiktivnog, ali realističnog scenarija, čiji se elementi </w:t>
            </w:r>
            <w:r w:rsidRPr="00B80AA5">
              <w:rPr>
                <w:rFonts w:ascii="Arial Narrow" w:eastAsia="Arial Narrow" w:hAnsi="Arial Narrow" w:cs="Arial Narrow"/>
                <w:sz w:val="20"/>
                <w:szCs w:val="20"/>
                <w:lang w:eastAsia="sr-Latn-ME"/>
              </w:rPr>
              <w:lastRenderedPageBreak/>
              <w:t>utvrđuju tokom pripremnih aktivnosti u vidu plenarnih konferencija za planiranje, u čijem radu učestvuju sve članice, NATO civilno i voljno osoblje</w:t>
            </w:r>
          </w:p>
        </w:tc>
      </w:tr>
      <w:tr w:rsidR="009B5FE1" w:rsidRPr="00B80AA5" w14:paraId="1692E19A"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326E36B7" w14:textId="77777777" w:rsidR="009B5FE1" w:rsidRPr="00B80AA5" w:rsidRDefault="009B5FE1" w:rsidP="009B5FE1">
            <w:pPr>
              <w:spacing w:before="20" w:after="20" w:line="240" w:lineRule="auto"/>
              <w:rPr>
                <w:rFonts w:ascii="Calibri" w:eastAsia="Calibri" w:hAnsi="Calibri" w:cs="Calibri"/>
                <w:sz w:val="20"/>
                <w:szCs w:val="20"/>
                <w:lang w:eastAsia="sr-Latn-ME"/>
              </w:rPr>
            </w:pPr>
            <w:r w:rsidRPr="00B80AA5">
              <w:rPr>
                <w:rFonts w:ascii="Calibri" w:eastAsia="Calibri" w:hAnsi="Calibri" w:cs="Calibri"/>
                <w:sz w:val="20"/>
                <w:szCs w:val="20"/>
                <w:lang w:eastAsia="sr-Latn-ME"/>
              </w:rPr>
              <w:t>9</w:t>
            </w:r>
          </w:p>
        </w:tc>
        <w:tc>
          <w:tcPr>
            <w:tcW w:w="2013" w:type="dxa"/>
            <w:gridSpan w:val="2"/>
            <w:tcBorders>
              <w:top w:val="single" w:sz="4" w:space="0" w:color="000000"/>
              <w:left w:val="single" w:sz="4" w:space="0" w:color="000000"/>
              <w:bottom w:val="single" w:sz="4" w:space="0" w:color="000000"/>
              <w:right w:val="single" w:sz="4" w:space="0" w:color="000000"/>
            </w:tcBorders>
          </w:tcPr>
          <w:p w14:paraId="3F041B3E" w14:textId="154EB3B6" w:rsidR="009B5FE1" w:rsidRPr="00B80AA5" w:rsidRDefault="009B5FE1" w:rsidP="00D5276E">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Usklađivanje Kataloga nacionalnih odgovora na NATO mjere za odgovor na krize sa NATO priručnikom mjera za odgovor na krize (NCRSM)</w:t>
            </w:r>
          </w:p>
        </w:tc>
        <w:tc>
          <w:tcPr>
            <w:tcW w:w="2521" w:type="dxa"/>
            <w:gridSpan w:val="9"/>
            <w:tcBorders>
              <w:top w:val="single" w:sz="4" w:space="0" w:color="000000"/>
              <w:left w:val="single" w:sz="4" w:space="0" w:color="000000"/>
              <w:bottom w:val="single" w:sz="4" w:space="0" w:color="000000"/>
              <w:right w:val="single" w:sz="4" w:space="0" w:color="000000"/>
            </w:tcBorders>
          </w:tcPr>
          <w:p w14:paraId="1B95FC5B"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Ažuriran katalog nacionalnih odgovora na NATO mjere  za odgovor na krize sa NATO priručnikom mjera za odgovor na krize</w:t>
            </w:r>
          </w:p>
        </w:tc>
        <w:tc>
          <w:tcPr>
            <w:tcW w:w="1709" w:type="dxa"/>
            <w:gridSpan w:val="10"/>
            <w:tcBorders>
              <w:top w:val="single" w:sz="4" w:space="0" w:color="000000"/>
              <w:left w:val="single" w:sz="4" w:space="0" w:color="000000"/>
              <w:bottom w:val="single" w:sz="4" w:space="0" w:color="000000"/>
              <w:right w:val="single" w:sz="4" w:space="0" w:color="000000"/>
            </w:tcBorders>
          </w:tcPr>
          <w:p w14:paraId="63FEF8F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47A0ECC6"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03A83CC1"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1619" w:type="dxa"/>
            <w:gridSpan w:val="7"/>
            <w:tcBorders>
              <w:top w:val="single" w:sz="4" w:space="0" w:color="000000"/>
              <w:left w:val="single" w:sz="4" w:space="0" w:color="000000"/>
              <w:bottom w:val="single" w:sz="4" w:space="0" w:color="000000"/>
              <w:right w:val="single" w:sz="4" w:space="0" w:color="000000"/>
            </w:tcBorders>
          </w:tcPr>
          <w:p w14:paraId="682F5CE7"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IV kvartal</w:t>
            </w:r>
          </w:p>
        </w:tc>
        <w:tc>
          <w:tcPr>
            <w:tcW w:w="1889" w:type="dxa"/>
            <w:gridSpan w:val="8"/>
            <w:tcBorders>
              <w:top w:val="single" w:sz="4" w:space="0" w:color="000000"/>
              <w:left w:val="single" w:sz="4" w:space="0" w:color="000000"/>
              <w:bottom w:val="single" w:sz="4" w:space="0" w:color="000000"/>
              <w:right w:val="single" w:sz="4" w:space="0" w:color="000000"/>
            </w:tcBorders>
          </w:tcPr>
          <w:p w14:paraId="7C0BEADF"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160" w:type="dxa"/>
            <w:gridSpan w:val="14"/>
            <w:tcBorders>
              <w:top w:val="single" w:sz="4" w:space="0" w:color="000000"/>
              <w:left w:val="single" w:sz="4" w:space="0" w:color="000000"/>
              <w:bottom w:val="single" w:sz="4" w:space="0" w:color="000000"/>
              <w:right w:val="single" w:sz="4" w:space="0" w:color="000000"/>
            </w:tcBorders>
          </w:tcPr>
          <w:p w14:paraId="703E6ED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245" w:type="dxa"/>
            <w:gridSpan w:val="3"/>
            <w:tcBorders>
              <w:top w:val="single" w:sz="4" w:space="0" w:color="000000"/>
              <w:left w:val="single" w:sz="4" w:space="0" w:color="000000"/>
              <w:bottom w:val="single" w:sz="4" w:space="0" w:color="000000"/>
              <w:right w:val="single" w:sz="4" w:space="0" w:color="000000"/>
            </w:tcBorders>
          </w:tcPr>
          <w:p w14:paraId="262FE5E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Razrada nacionalnih mjera na odgovore na krize iz NATO priručnika o upravljanju kriznim situacijama je jedna od najznačajnijih pripremnih aktivnosti Crne Gore za učešće u CMX vježbi putem koje se detaljno analizira sadržaj svake mjere iz Priručnika NCRSM, preciziraju  nosioci aktivnosti na nacionalnom nivou i usaglašava obrazac za sprovođenje pomenutih aktivnosti. Katalog predstavlja osnovu za dalji razvoj nacionalnog sistema kriznog upravljanja, a nosioci nacionalnih odgovora na NATO mjere odgovora na krize su obavezni da iste stalno ažuriraju i nadograđuju</w:t>
            </w:r>
          </w:p>
        </w:tc>
      </w:tr>
      <w:tr w:rsidR="009B5FE1" w:rsidRPr="00B80AA5" w14:paraId="4F0B004A" w14:textId="77777777" w:rsidTr="00DF2E8E">
        <w:trPr>
          <w:gridAfter w:val="1"/>
          <w:wAfter w:w="22" w:type="dxa"/>
          <w:trHeight w:val="377"/>
        </w:trPr>
        <w:tc>
          <w:tcPr>
            <w:tcW w:w="2941" w:type="dxa"/>
            <w:gridSpan w:val="11"/>
            <w:tcBorders>
              <w:top w:val="single" w:sz="4" w:space="0" w:color="000000"/>
              <w:left w:val="single" w:sz="4" w:space="0" w:color="000000"/>
              <w:bottom w:val="single" w:sz="4" w:space="0" w:color="000000"/>
              <w:right w:val="single" w:sz="4" w:space="0" w:color="000000"/>
            </w:tcBorders>
            <w:shd w:val="clear" w:color="auto" w:fill="D9E2F3"/>
          </w:tcPr>
          <w:p w14:paraId="1BE583E6"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bookmarkStart w:id="56" w:name="_Hlk89635157"/>
            <w:r w:rsidRPr="00B80AA5">
              <w:rPr>
                <w:rFonts w:ascii="Arial Narrow" w:eastAsia="Arial Narrow" w:hAnsi="Arial Narrow" w:cs="Arial Narrow"/>
                <w:b/>
                <w:sz w:val="20"/>
                <w:szCs w:val="20"/>
                <w:lang w:eastAsia="sr-Latn-ME"/>
              </w:rPr>
              <w:t xml:space="preserve">Cilj </w:t>
            </w:r>
            <w:r>
              <w:rPr>
                <w:rFonts w:ascii="Arial Narrow" w:eastAsia="Arial Narrow" w:hAnsi="Arial Narrow" w:cs="Arial Narrow"/>
                <w:b/>
                <w:sz w:val="20"/>
                <w:szCs w:val="20"/>
                <w:lang w:eastAsia="sr-Latn-ME"/>
              </w:rPr>
              <w:t>6.5.</w:t>
            </w:r>
          </w:p>
          <w:p w14:paraId="4F01D5D0"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p>
        </w:tc>
        <w:tc>
          <w:tcPr>
            <w:tcW w:w="11937" w:type="dxa"/>
            <w:gridSpan w:val="46"/>
            <w:tcBorders>
              <w:top w:val="single" w:sz="4" w:space="0" w:color="000000"/>
              <w:left w:val="single" w:sz="4" w:space="0" w:color="000000"/>
              <w:bottom w:val="single" w:sz="4" w:space="0" w:color="000000"/>
              <w:right w:val="single" w:sz="4" w:space="0" w:color="000000"/>
            </w:tcBorders>
            <w:shd w:val="clear" w:color="auto" w:fill="D9E2F3"/>
          </w:tcPr>
          <w:p w14:paraId="14745C70" w14:textId="77777777" w:rsidR="009B5FE1" w:rsidRPr="00B80AA5" w:rsidRDefault="009B5FE1" w:rsidP="009B5FE1">
            <w:pPr>
              <w:spacing w:before="40" w:after="40" w:line="240" w:lineRule="auto"/>
              <w:jc w:val="both"/>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b/>
                <w:sz w:val="20"/>
                <w:szCs w:val="20"/>
                <w:lang w:eastAsia="sr-Latn-ME"/>
              </w:rPr>
              <w:t xml:space="preserve">Unapređenje procesa i jačanje kapaciteta od značaja za sprovođenje utvrđenih prioriteta vanjske politike </w:t>
            </w:r>
          </w:p>
        </w:tc>
      </w:tr>
      <w:tr w:rsidR="009B5FE1" w:rsidRPr="00B80AA5" w14:paraId="29BDD65D" w14:textId="77777777" w:rsidTr="00DF2E8E">
        <w:trPr>
          <w:gridAfter w:val="1"/>
          <w:wAfter w:w="22" w:type="dxa"/>
        </w:trPr>
        <w:tc>
          <w:tcPr>
            <w:tcW w:w="2941" w:type="dxa"/>
            <w:gridSpan w:val="11"/>
            <w:tcBorders>
              <w:top w:val="single" w:sz="4" w:space="0" w:color="000000"/>
              <w:left w:val="single" w:sz="4" w:space="0" w:color="000000"/>
              <w:bottom w:val="single" w:sz="4" w:space="0" w:color="000000"/>
              <w:right w:val="single" w:sz="4" w:space="0" w:color="000000"/>
            </w:tcBorders>
            <w:shd w:val="clear" w:color="auto" w:fill="DAF2F6"/>
          </w:tcPr>
          <w:p w14:paraId="7416FB49"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Indikator učinka</w:t>
            </w:r>
          </w:p>
        </w:tc>
        <w:tc>
          <w:tcPr>
            <w:tcW w:w="3178" w:type="dxa"/>
            <w:gridSpan w:val="12"/>
            <w:tcBorders>
              <w:top w:val="single" w:sz="4" w:space="0" w:color="000000"/>
              <w:left w:val="single" w:sz="4" w:space="0" w:color="000000"/>
              <w:bottom w:val="single" w:sz="4" w:space="0" w:color="000000"/>
              <w:right w:val="single" w:sz="4" w:space="0" w:color="000000"/>
            </w:tcBorders>
            <w:shd w:val="clear" w:color="auto" w:fill="DAF2F6"/>
          </w:tcPr>
          <w:p w14:paraId="30B308A5"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Polazna vrijednost – 2021.g</w:t>
            </w:r>
          </w:p>
        </w:tc>
        <w:tc>
          <w:tcPr>
            <w:tcW w:w="2992" w:type="dxa"/>
            <w:gridSpan w:val="13"/>
            <w:tcBorders>
              <w:top w:val="single" w:sz="4" w:space="0" w:color="000000"/>
              <w:left w:val="single" w:sz="4" w:space="0" w:color="000000"/>
              <w:bottom w:val="single" w:sz="4" w:space="0" w:color="000000"/>
              <w:right w:val="single" w:sz="4" w:space="0" w:color="000000"/>
            </w:tcBorders>
            <w:shd w:val="clear" w:color="auto" w:fill="DAF2F6"/>
            <w:vAlign w:val="center"/>
          </w:tcPr>
          <w:p w14:paraId="5F5F75C9"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2022.g</w:t>
            </w:r>
          </w:p>
        </w:tc>
        <w:tc>
          <w:tcPr>
            <w:tcW w:w="2747" w:type="dxa"/>
            <w:gridSpan w:val="12"/>
            <w:tcBorders>
              <w:top w:val="single" w:sz="4" w:space="0" w:color="000000"/>
              <w:left w:val="single" w:sz="4" w:space="0" w:color="000000"/>
              <w:bottom w:val="single" w:sz="4" w:space="0" w:color="FFFFFF"/>
              <w:right w:val="single" w:sz="4" w:space="0" w:color="000000"/>
            </w:tcBorders>
            <w:shd w:val="clear" w:color="auto" w:fill="DAF2F6"/>
            <w:vAlign w:val="center"/>
          </w:tcPr>
          <w:p w14:paraId="6C3683AC"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2023.g</w:t>
            </w:r>
          </w:p>
        </w:tc>
        <w:tc>
          <w:tcPr>
            <w:tcW w:w="3020" w:type="dxa"/>
            <w:gridSpan w:val="9"/>
            <w:tcBorders>
              <w:top w:val="single" w:sz="4" w:space="0" w:color="000000"/>
              <w:left w:val="single" w:sz="4" w:space="0" w:color="000000"/>
              <w:bottom w:val="single" w:sz="4" w:space="0" w:color="FFFFFF"/>
              <w:right w:val="single" w:sz="4" w:space="0" w:color="000000"/>
            </w:tcBorders>
            <w:shd w:val="clear" w:color="auto" w:fill="DAF2F6"/>
            <w:vAlign w:val="center"/>
          </w:tcPr>
          <w:p w14:paraId="02664DA8"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Ciljna vrijednost - 2024.g</w:t>
            </w:r>
          </w:p>
        </w:tc>
      </w:tr>
      <w:tr w:rsidR="009B5FE1" w:rsidRPr="00B80AA5" w14:paraId="7B9EE319" w14:textId="77777777" w:rsidTr="00DF2E8E">
        <w:trPr>
          <w:gridAfter w:val="1"/>
          <w:wAfter w:w="22" w:type="dxa"/>
        </w:trPr>
        <w:tc>
          <w:tcPr>
            <w:tcW w:w="2941" w:type="dxa"/>
            <w:gridSpan w:val="11"/>
            <w:tcBorders>
              <w:top w:val="single" w:sz="4" w:space="0" w:color="000000"/>
              <w:left w:val="single" w:sz="4" w:space="0" w:color="000000"/>
              <w:bottom w:val="single" w:sz="4" w:space="0" w:color="000000"/>
              <w:right w:val="single" w:sz="4" w:space="0" w:color="000000"/>
            </w:tcBorders>
            <w:shd w:val="clear" w:color="auto" w:fill="DAF2F6"/>
          </w:tcPr>
          <w:p w14:paraId="15594FCC"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Ukupan broj diplomatsko-konzularnih  predstavništava Crne Gore u inostranstvu</w:t>
            </w:r>
          </w:p>
          <w:p w14:paraId="1E5711EA"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p>
          <w:p w14:paraId="0D56F875"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p>
        </w:tc>
        <w:tc>
          <w:tcPr>
            <w:tcW w:w="3178" w:type="dxa"/>
            <w:gridSpan w:val="12"/>
            <w:tcBorders>
              <w:top w:val="single" w:sz="4" w:space="0" w:color="000000"/>
              <w:left w:val="single" w:sz="4" w:space="0" w:color="000000"/>
              <w:bottom w:val="single" w:sz="4" w:space="0" w:color="000000"/>
              <w:right w:val="single" w:sz="4" w:space="0" w:color="000000"/>
            </w:tcBorders>
            <w:shd w:val="clear" w:color="auto" w:fill="DAF2F6"/>
          </w:tcPr>
          <w:p w14:paraId="5C8647B1"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38</w:t>
            </w:r>
          </w:p>
        </w:tc>
        <w:tc>
          <w:tcPr>
            <w:tcW w:w="2992" w:type="dxa"/>
            <w:gridSpan w:val="13"/>
            <w:tcBorders>
              <w:top w:val="single" w:sz="4" w:space="0" w:color="000000"/>
              <w:left w:val="single" w:sz="4" w:space="0" w:color="000000"/>
              <w:bottom w:val="single" w:sz="4" w:space="0" w:color="000000"/>
              <w:right w:val="single" w:sz="4" w:space="0" w:color="000000"/>
            </w:tcBorders>
            <w:shd w:val="clear" w:color="auto" w:fill="DAF2F6"/>
          </w:tcPr>
          <w:p w14:paraId="26792B11"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40</w:t>
            </w:r>
          </w:p>
        </w:tc>
        <w:tc>
          <w:tcPr>
            <w:tcW w:w="2747" w:type="dxa"/>
            <w:gridSpan w:val="12"/>
            <w:tcBorders>
              <w:top w:val="single" w:sz="4" w:space="0" w:color="000000"/>
              <w:left w:val="single" w:sz="4" w:space="0" w:color="000000"/>
              <w:bottom w:val="single" w:sz="4" w:space="0" w:color="000000"/>
              <w:right w:val="single" w:sz="4" w:space="0" w:color="000000"/>
            </w:tcBorders>
            <w:shd w:val="clear" w:color="auto" w:fill="DAF2F6"/>
          </w:tcPr>
          <w:p w14:paraId="1175F5E2"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40</w:t>
            </w:r>
          </w:p>
        </w:tc>
        <w:tc>
          <w:tcPr>
            <w:tcW w:w="3020" w:type="dxa"/>
            <w:gridSpan w:val="9"/>
            <w:tcBorders>
              <w:top w:val="single" w:sz="4" w:space="0" w:color="000000"/>
              <w:left w:val="single" w:sz="4" w:space="0" w:color="000000"/>
              <w:bottom w:val="single" w:sz="4" w:space="0" w:color="000000"/>
              <w:right w:val="single" w:sz="4" w:space="0" w:color="000000"/>
            </w:tcBorders>
            <w:shd w:val="clear" w:color="auto" w:fill="DAF2F6"/>
          </w:tcPr>
          <w:p w14:paraId="7566963F"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40</w:t>
            </w:r>
          </w:p>
        </w:tc>
      </w:tr>
      <w:tr w:rsidR="009B5FE1" w:rsidRPr="00B80AA5" w14:paraId="1DC6146A" w14:textId="77777777" w:rsidTr="00DF2E8E">
        <w:trPr>
          <w:gridAfter w:val="1"/>
          <w:wAfter w:w="22" w:type="dxa"/>
        </w:trPr>
        <w:tc>
          <w:tcPr>
            <w:tcW w:w="2941" w:type="dxa"/>
            <w:gridSpan w:val="11"/>
            <w:tcBorders>
              <w:top w:val="single" w:sz="4" w:space="0" w:color="000000"/>
              <w:left w:val="single" w:sz="4" w:space="0" w:color="000000"/>
              <w:bottom w:val="single" w:sz="4" w:space="0" w:color="000000"/>
              <w:right w:val="single" w:sz="4" w:space="0" w:color="000000"/>
            </w:tcBorders>
            <w:shd w:val="clear" w:color="auto" w:fill="DAF2F6"/>
          </w:tcPr>
          <w:p w14:paraId="197B2BCC"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 xml:space="preserve">Broj zaposlenih u službi vanjskih poslova koji je pohađao bar jedan program stručnog usavršavanja u organizaciji Diplomatske akademije i/ili programa međunardone saradnje  </w:t>
            </w:r>
          </w:p>
          <w:p w14:paraId="254BF260" w14:textId="77777777" w:rsidR="009B5FE1" w:rsidRPr="00B80AA5" w:rsidRDefault="009B5FE1" w:rsidP="009B5FE1">
            <w:pPr>
              <w:spacing w:before="40" w:after="40" w:line="240" w:lineRule="auto"/>
              <w:rPr>
                <w:rFonts w:ascii="Arial Narrow" w:eastAsia="Arial Narrow" w:hAnsi="Arial Narrow" w:cs="Arial Narrow"/>
                <w:sz w:val="20"/>
                <w:szCs w:val="20"/>
                <w:lang w:eastAsia="sr-Latn-ME"/>
              </w:rPr>
            </w:pPr>
          </w:p>
        </w:tc>
        <w:tc>
          <w:tcPr>
            <w:tcW w:w="3178" w:type="dxa"/>
            <w:gridSpan w:val="12"/>
            <w:tcBorders>
              <w:top w:val="single" w:sz="4" w:space="0" w:color="000000"/>
              <w:left w:val="single" w:sz="4" w:space="0" w:color="000000"/>
              <w:bottom w:val="single" w:sz="4" w:space="0" w:color="000000"/>
              <w:right w:val="single" w:sz="4" w:space="0" w:color="000000"/>
            </w:tcBorders>
            <w:shd w:val="clear" w:color="auto" w:fill="DAF2F6"/>
          </w:tcPr>
          <w:p w14:paraId="6D9E085E"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p>
          <w:p w14:paraId="62B3E087"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43 (80% žena)</w:t>
            </w:r>
          </w:p>
        </w:tc>
        <w:tc>
          <w:tcPr>
            <w:tcW w:w="2992" w:type="dxa"/>
            <w:gridSpan w:val="13"/>
            <w:tcBorders>
              <w:top w:val="single" w:sz="4" w:space="0" w:color="000000"/>
              <w:left w:val="single" w:sz="4" w:space="0" w:color="000000"/>
              <w:bottom w:val="single" w:sz="4" w:space="0" w:color="000000"/>
              <w:right w:val="single" w:sz="4" w:space="0" w:color="000000"/>
            </w:tcBorders>
            <w:shd w:val="clear" w:color="auto" w:fill="DAF2F6"/>
          </w:tcPr>
          <w:p w14:paraId="29B987EA"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p>
          <w:p w14:paraId="4D9FF2ED"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45 (60%žena)</w:t>
            </w:r>
          </w:p>
          <w:p w14:paraId="0C373C8D"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p>
        </w:tc>
        <w:tc>
          <w:tcPr>
            <w:tcW w:w="2747" w:type="dxa"/>
            <w:gridSpan w:val="12"/>
            <w:tcBorders>
              <w:top w:val="single" w:sz="4" w:space="0" w:color="000000"/>
              <w:left w:val="single" w:sz="4" w:space="0" w:color="000000"/>
              <w:bottom w:val="single" w:sz="4" w:space="0" w:color="000000"/>
              <w:right w:val="single" w:sz="4" w:space="0" w:color="000000"/>
            </w:tcBorders>
            <w:shd w:val="clear" w:color="auto" w:fill="DAF2F6"/>
          </w:tcPr>
          <w:p w14:paraId="3E1AA784"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p>
          <w:p w14:paraId="1F9958EF"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60 (60%žena)</w:t>
            </w:r>
          </w:p>
        </w:tc>
        <w:tc>
          <w:tcPr>
            <w:tcW w:w="3020" w:type="dxa"/>
            <w:gridSpan w:val="9"/>
            <w:tcBorders>
              <w:top w:val="single" w:sz="4" w:space="0" w:color="000000"/>
              <w:left w:val="single" w:sz="4" w:space="0" w:color="000000"/>
              <w:bottom w:val="single" w:sz="4" w:space="0" w:color="000000"/>
              <w:right w:val="single" w:sz="4" w:space="0" w:color="000000"/>
            </w:tcBorders>
            <w:shd w:val="clear" w:color="auto" w:fill="DAF2F6"/>
          </w:tcPr>
          <w:p w14:paraId="58F58477"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p>
          <w:p w14:paraId="5DE7B98C"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75 (60%žena)</w:t>
            </w:r>
          </w:p>
        </w:tc>
      </w:tr>
      <w:bookmarkEnd w:id="56"/>
      <w:tr w:rsidR="009B5FE1" w:rsidRPr="00B80AA5" w14:paraId="614B910F" w14:textId="77777777" w:rsidTr="00DF2E8E">
        <w:trPr>
          <w:gridAfter w:val="1"/>
          <w:wAfter w:w="22" w:type="dxa"/>
        </w:trPr>
        <w:tc>
          <w:tcPr>
            <w:tcW w:w="2941" w:type="dxa"/>
            <w:gridSpan w:val="11"/>
            <w:tcBorders>
              <w:top w:val="single" w:sz="4" w:space="0" w:color="000000"/>
              <w:left w:val="single" w:sz="4" w:space="0" w:color="000000"/>
              <w:bottom w:val="single" w:sz="4" w:space="0" w:color="000000"/>
              <w:right w:val="single" w:sz="4" w:space="0" w:color="000000"/>
            </w:tcBorders>
            <w:shd w:val="clear" w:color="auto" w:fill="FFF2CC"/>
            <w:vAlign w:val="center"/>
          </w:tcPr>
          <w:p w14:paraId="5309F734" w14:textId="77777777" w:rsidR="009B5FE1" w:rsidRPr="00B80AA5" w:rsidRDefault="00A52361" w:rsidP="009B5FE1">
            <w:pPr>
              <w:spacing w:before="20" w:after="20" w:line="240" w:lineRule="auto"/>
              <w:jc w:val="center"/>
              <w:rPr>
                <w:rFonts w:ascii="Arial Narrow" w:eastAsia="Arial Narrow" w:hAnsi="Arial Narrow" w:cs="Arial Narrow"/>
                <w:b/>
                <w:sz w:val="20"/>
                <w:szCs w:val="20"/>
                <w:lang w:eastAsia="sr-Latn-ME"/>
              </w:rPr>
            </w:pPr>
            <w:sdt>
              <w:sdtPr>
                <w:rPr>
                  <w:rFonts w:ascii="Calibri" w:eastAsia="Calibri" w:hAnsi="Calibri" w:cs="Calibri"/>
                  <w:lang w:eastAsia="sr-Latn-ME"/>
                </w:rPr>
                <w:tag w:val="goog_rdk_5"/>
                <w:id w:val="-1867522840"/>
              </w:sdtPr>
              <w:sdtEndPr/>
              <w:sdtContent/>
            </w:sdt>
            <w:r w:rsidR="009B5FE1" w:rsidRPr="00B80AA5">
              <w:rPr>
                <w:rFonts w:ascii="Arial Narrow" w:eastAsia="Arial Narrow" w:hAnsi="Arial Narrow" w:cs="Arial Narrow"/>
                <w:b/>
                <w:sz w:val="20"/>
                <w:szCs w:val="20"/>
                <w:lang w:eastAsia="sr-Latn-ME"/>
              </w:rPr>
              <w:t>Aktivnosti</w:t>
            </w:r>
          </w:p>
        </w:tc>
        <w:tc>
          <w:tcPr>
            <w:tcW w:w="2660" w:type="dxa"/>
            <w:gridSpan w:val="6"/>
            <w:tcBorders>
              <w:top w:val="single" w:sz="4" w:space="0" w:color="000000"/>
              <w:left w:val="single" w:sz="4" w:space="0" w:color="000000"/>
              <w:bottom w:val="single" w:sz="4" w:space="0" w:color="000000"/>
              <w:right w:val="single" w:sz="4" w:space="0" w:color="000000"/>
            </w:tcBorders>
            <w:shd w:val="clear" w:color="auto" w:fill="FFF2CC"/>
            <w:vAlign w:val="center"/>
          </w:tcPr>
          <w:p w14:paraId="405D77C8"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Indikator rezultata</w:t>
            </w:r>
          </w:p>
        </w:tc>
        <w:tc>
          <w:tcPr>
            <w:tcW w:w="1824" w:type="dxa"/>
            <w:gridSpan w:val="12"/>
            <w:tcBorders>
              <w:top w:val="single" w:sz="4" w:space="0" w:color="000000"/>
              <w:left w:val="single" w:sz="4" w:space="0" w:color="000000"/>
              <w:bottom w:val="single" w:sz="4" w:space="0" w:color="000000"/>
              <w:right w:val="single" w:sz="4" w:space="0" w:color="000000"/>
            </w:tcBorders>
            <w:shd w:val="clear" w:color="auto" w:fill="FFF2CC"/>
            <w:vAlign w:val="center"/>
          </w:tcPr>
          <w:p w14:paraId="5CC91117"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Nadležne institucije i nadležna komisija</w:t>
            </w:r>
          </w:p>
        </w:tc>
        <w:tc>
          <w:tcPr>
            <w:tcW w:w="1686"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28A18C9A"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Planirani početak i završetak aktivnosti</w:t>
            </w:r>
          </w:p>
        </w:tc>
        <w:tc>
          <w:tcPr>
            <w:tcW w:w="2069" w:type="dxa"/>
            <w:gridSpan w:val="6"/>
            <w:tcBorders>
              <w:top w:val="single" w:sz="4" w:space="0" w:color="000000"/>
              <w:left w:val="single" w:sz="4" w:space="0" w:color="000000"/>
              <w:bottom w:val="single" w:sz="4" w:space="0" w:color="000000"/>
              <w:right w:val="single" w:sz="4" w:space="0" w:color="000000"/>
            </w:tcBorders>
            <w:shd w:val="clear" w:color="auto" w:fill="FFF2CC"/>
            <w:vAlign w:val="center"/>
          </w:tcPr>
          <w:p w14:paraId="589BC357"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Sredstva za realizaciju  i informacija o izradi RIA</w:t>
            </w:r>
          </w:p>
        </w:tc>
        <w:tc>
          <w:tcPr>
            <w:tcW w:w="1310" w:type="dxa"/>
            <w:gridSpan w:val="8"/>
            <w:tcBorders>
              <w:top w:val="single" w:sz="4" w:space="0" w:color="000000"/>
              <w:left w:val="single" w:sz="4" w:space="0" w:color="000000"/>
              <w:bottom w:val="single" w:sz="4" w:space="0" w:color="000000"/>
              <w:right w:val="single" w:sz="4" w:space="0" w:color="000000"/>
            </w:tcBorders>
            <w:shd w:val="clear" w:color="auto" w:fill="FFF2CC"/>
            <w:vAlign w:val="center"/>
          </w:tcPr>
          <w:p w14:paraId="6AA1C0D0"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 xml:space="preserve"> Izvor finansiranja</w:t>
            </w:r>
          </w:p>
        </w:tc>
        <w:tc>
          <w:tcPr>
            <w:tcW w:w="2388"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5A6ECE18"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p>
          <w:p w14:paraId="67E54316"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Obrazloženje</w:t>
            </w:r>
          </w:p>
        </w:tc>
      </w:tr>
      <w:tr w:rsidR="009B5FE1" w:rsidRPr="00B80AA5" w14:paraId="1B46C555"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2B08E622"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1</w:t>
            </w:r>
            <w:r>
              <w:rPr>
                <w:rFonts w:ascii="Arial Narrow" w:eastAsia="Arial Narrow" w:hAnsi="Arial Narrow" w:cs="Arial Narrow"/>
                <w:sz w:val="20"/>
                <w:szCs w:val="20"/>
                <w:lang w:eastAsia="sr-Latn-ME"/>
              </w:rPr>
              <w:t>.</w:t>
            </w:r>
          </w:p>
        </w:tc>
        <w:tc>
          <w:tcPr>
            <w:tcW w:w="2219" w:type="dxa"/>
            <w:gridSpan w:val="7"/>
            <w:tcBorders>
              <w:top w:val="single" w:sz="4" w:space="0" w:color="000000"/>
              <w:left w:val="single" w:sz="4" w:space="0" w:color="000000"/>
              <w:bottom w:val="single" w:sz="4" w:space="0" w:color="000000"/>
              <w:right w:val="single" w:sz="4" w:space="0" w:color="000000"/>
            </w:tcBorders>
          </w:tcPr>
          <w:p w14:paraId="0F717F98" w14:textId="77777777" w:rsidR="009B5FE1" w:rsidRPr="00B80AA5" w:rsidRDefault="009B5FE1" w:rsidP="009B5FE1">
            <w:pPr>
              <w:spacing w:before="40" w:after="40" w:line="240" w:lineRule="auto"/>
              <w:jc w:val="both"/>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 xml:space="preserve">Organizovanje programa stručnog usavršavanja za oblast strateškog planiranja za visoki rukovodni kadar Ministarstva vanjskih poslova </w:t>
            </w:r>
          </w:p>
          <w:p w14:paraId="298B82F0" w14:textId="77777777" w:rsidR="009B5FE1" w:rsidRPr="00B80AA5" w:rsidRDefault="009B5FE1" w:rsidP="009B5FE1">
            <w:pPr>
              <w:spacing w:before="40" w:after="40" w:line="240" w:lineRule="auto"/>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 xml:space="preserve">  </w:t>
            </w:r>
          </w:p>
        </w:tc>
        <w:tc>
          <w:tcPr>
            <w:tcW w:w="2660" w:type="dxa"/>
            <w:gridSpan w:val="6"/>
            <w:tcBorders>
              <w:top w:val="single" w:sz="4" w:space="0" w:color="000000"/>
              <w:left w:val="single" w:sz="4" w:space="0" w:color="000000"/>
              <w:bottom w:val="single" w:sz="4" w:space="0" w:color="000000"/>
              <w:right w:val="single" w:sz="4" w:space="0" w:color="000000"/>
            </w:tcBorders>
          </w:tcPr>
          <w:p w14:paraId="682AF2BF" w14:textId="77777777" w:rsidR="009B5FE1" w:rsidRPr="00B80AA5" w:rsidRDefault="009B5FE1" w:rsidP="009B5FE1">
            <w:pPr>
              <w:spacing w:before="20" w:after="20" w:line="240" w:lineRule="auto"/>
              <w:jc w:val="both"/>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 xml:space="preserve">Organizovan program stručnog usavršavanja za visoko rukovodni kadar </w:t>
            </w:r>
          </w:p>
        </w:tc>
        <w:tc>
          <w:tcPr>
            <w:tcW w:w="1824" w:type="dxa"/>
            <w:gridSpan w:val="12"/>
            <w:tcBorders>
              <w:top w:val="single" w:sz="4" w:space="0" w:color="000000"/>
              <w:left w:val="single" w:sz="4" w:space="0" w:color="000000"/>
              <w:bottom w:val="single" w:sz="4" w:space="0" w:color="000000"/>
              <w:right w:val="single" w:sz="4" w:space="0" w:color="000000"/>
            </w:tcBorders>
          </w:tcPr>
          <w:p w14:paraId="52AF871E" w14:textId="77777777" w:rsidR="009B5FE1" w:rsidRPr="00B80AA5" w:rsidRDefault="009B5FE1" w:rsidP="009B5FE1">
            <w:pPr>
              <w:spacing w:before="20" w:after="20" w:line="240" w:lineRule="auto"/>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Ministarstvo vanjskih poslova</w:t>
            </w:r>
          </w:p>
          <w:p w14:paraId="32DF5BCC" w14:textId="77777777" w:rsidR="009B5FE1" w:rsidRPr="00B80AA5" w:rsidRDefault="009B5FE1" w:rsidP="009B5FE1">
            <w:pPr>
              <w:spacing w:before="20" w:after="20" w:line="240" w:lineRule="auto"/>
              <w:rPr>
                <w:rFonts w:ascii="Arial Narrow" w:eastAsia="Arial Narrow" w:hAnsi="Arial Narrow" w:cs="Arial Narrow"/>
                <w:color w:val="212121"/>
                <w:sz w:val="20"/>
                <w:szCs w:val="20"/>
                <w:highlight w:val="white"/>
                <w:lang w:eastAsia="sr-Latn-ME"/>
              </w:rPr>
            </w:pPr>
          </w:p>
          <w:p w14:paraId="3DD1690A" w14:textId="77777777" w:rsidR="009B5FE1" w:rsidRPr="00B80AA5" w:rsidRDefault="009B5FE1" w:rsidP="009B5FE1">
            <w:pPr>
              <w:spacing w:before="20" w:after="20" w:line="240" w:lineRule="auto"/>
              <w:rPr>
                <w:rFonts w:ascii="Arial Narrow" w:eastAsia="Arial Narrow" w:hAnsi="Arial Narrow" w:cs="Arial Narrow"/>
                <w:color w:val="212121"/>
                <w:sz w:val="20"/>
                <w:szCs w:val="20"/>
                <w:highlight w:val="white"/>
                <w:lang w:eastAsia="sr-Latn-ME"/>
              </w:rPr>
            </w:pPr>
          </w:p>
        </w:tc>
        <w:tc>
          <w:tcPr>
            <w:tcW w:w="1686" w:type="dxa"/>
            <w:gridSpan w:val="7"/>
            <w:tcBorders>
              <w:top w:val="single" w:sz="4" w:space="0" w:color="000000"/>
              <w:left w:val="single" w:sz="4" w:space="0" w:color="000000"/>
              <w:bottom w:val="single" w:sz="4" w:space="0" w:color="000000"/>
              <w:right w:val="single" w:sz="4" w:space="0" w:color="000000"/>
            </w:tcBorders>
          </w:tcPr>
          <w:p w14:paraId="25B78CDC" w14:textId="77777777" w:rsidR="009B5FE1" w:rsidRPr="00B80AA5" w:rsidRDefault="009B5FE1" w:rsidP="009B5FE1">
            <w:pPr>
              <w:spacing w:before="20" w:after="20" w:line="240" w:lineRule="auto"/>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 xml:space="preserve">I kvartal </w:t>
            </w:r>
          </w:p>
        </w:tc>
        <w:tc>
          <w:tcPr>
            <w:tcW w:w="2069" w:type="dxa"/>
            <w:gridSpan w:val="6"/>
            <w:tcBorders>
              <w:top w:val="single" w:sz="4" w:space="0" w:color="000000"/>
              <w:left w:val="single" w:sz="4" w:space="0" w:color="000000"/>
              <w:bottom w:val="single" w:sz="4" w:space="0" w:color="000000"/>
              <w:right w:val="single" w:sz="4" w:space="0" w:color="000000"/>
            </w:tcBorders>
          </w:tcPr>
          <w:p w14:paraId="0DA3A0CD" w14:textId="77777777" w:rsidR="009B5FE1" w:rsidRPr="00B80AA5" w:rsidRDefault="009B5FE1" w:rsidP="009B5FE1">
            <w:pPr>
              <w:spacing w:before="20" w:after="20" w:line="240" w:lineRule="auto"/>
              <w:rPr>
                <w:rFonts w:ascii="Arial Narrow" w:eastAsia="Arial Narrow" w:hAnsi="Arial Narrow" w:cs="Arial Narrow"/>
                <w:color w:val="212121"/>
                <w:sz w:val="20"/>
                <w:szCs w:val="20"/>
                <w:highlight w:val="white"/>
                <w:lang w:eastAsia="sr-Latn-ME"/>
              </w:rPr>
            </w:pPr>
          </w:p>
        </w:tc>
        <w:tc>
          <w:tcPr>
            <w:tcW w:w="1310" w:type="dxa"/>
            <w:gridSpan w:val="8"/>
            <w:tcBorders>
              <w:top w:val="single" w:sz="4" w:space="0" w:color="000000"/>
              <w:left w:val="single" w:sz="4" w:space="0" w:color="000000"/>
              <w:bottom w:val="single" w:sz="4" w:space="0" w:color="000000"/>
              <w:right w:val="single" w:sz="4" w:space="0" w:color="000000"/>
            </w:tcBorders>
          </w:tcPr>
          <w:p w14:paraId="595C99E2" w14:textId="77777777" w:rsidR="009B5FE1" w:rsidRPr="00B80AA5" w:rsidRDefault="009B5FE1" w:rsidP="009B5FE1">
            <w:pPr>
              <w:spacing w:before="20" w:after="20" w:line="240" w:lineRule="auto"/>
              <w:rPr>
                <w:rFonts w:ascii="Arial Narrow" w:eastAsia="Arial Narrow" w:hAnsi="Arial Narrow" w:cs="Arial Narrow"/>
                <w:b/>
                <w:i/>
                <w:color w:val="FF0000"/>
                <w:sz w:val="20"/>
                <w:szCs w:val="20"/>
                <w:lang w:eastAsia="sr-Latn-ME"/>
              </w:rPr>
            </w:pPr>
          </w:p>
        </w:tc>
        <w:tc>
          <w:tcPr>
            <w:tcW w:w="2388" w:type="dxa"/>
            <w:gridSpan w:val="7"/>
            <w:tcBorders>
              <w:top w:val="single" w:sz="4" w:space="0" w:color="000000"/>
              <w:left w:val="single" w:sz="4" w:space="0" w:color="000000"/>
              <w:bottom w:val="single" w:sz="4" w:space="0" w:color="000000"/>
              <w:right w:val="single" w:sz="4" w:space="0" w:color="000000"/>
            </w:tcBorders>
          </w:tcPr>
          <w:p w14:paraId="508862E5" w14:textId="77777777" w:rsidR="009B5FE1" w:rsidRPr="00B80AA5" w:rsidRDefault="009B5FE1" w:rsidP="009B5FE1">
            <w:pPr>
              <w:spacing w:before="20" w:after="20" w:line="240" w:lineRule="auto"/>
              <w:jc w:val="both"/>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 xml:space="preserve">Planiranje je prepoznato kao jedna od ključnih kompetencija rukovodnog kadra. Cilj programa je upoznavanje sa principima planiranja, izrade i sprovođenja strateških dokumenta, kao i upoznavanje sa modelima najbolje prakse i uporednim iskustvima u oblasti planiranja strategija vanjske politike. Ujedno, biće i prilika za bliže upoznavanje sa obavezama koje proizilaze iz procesa pregovora sa Evropskom unijom, a posebno poglavlja 30 i 31. </w:t>
            </w:r>
          </w:p>
        </w:tc>
      </w:tr>
      <w:tr w:rsidR="009B5FE1" w:rsidRPr="00B80AA5" w14:paraId="71D11AB7"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2539E132" w14:textId="39FE3084" w:rsidR="009B5FE1" w:rsidRPr="00B80AA5" w:rsidRDefault="00F715E8" w:rsidP="009B5FE1">
            <w:pPr>
              <w:spacing w:before="20" w:after="20" w:line="240" w:lineRule="auto"/>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2</w:t>
            </w:r>
            <w:r w:rsidR="009B5FE1">
              <w:rPr>
                <w:rFonts w:ascii="Arial Narrow" w:eastAsia="Arial Narrow" w:hAnsi="Arial Narrow" w:cs="Arial Narrow"/>
                <w:sz w:val="20"/>
                <w:szCs w:val="20"/>
                <w:lang w:eastAsia="sr-Latn-ME"/>
              </w:rPr>
              <w:t>.</w:t>
            </w:r>
          </w:p>
        </w:tc>
        <w:tc>
          <w:tcPr>
            <w:tcW w:w="2219" w:type="dxa"/>
            <w:gridSpan w:val="7"/>
            <w:tcBorders>
              <w:top w:val="single" w:sz="4" w:space="0" w:color="000000"/>
              <w:left w:val="single" w:sz="4" w:space="0" w:color="000000"/>
              <w:bottom w:val="single" w:sz="4" w:space="0" w:color="000000"/>
              <w:right w:val="single" w:sz="4" w:space="0" w:color="000000"/>
            </w:tcBorders>
          </w:tcPr>
          <w:p w14:paraId="3880F5FC" w14:textId="77777777" w:rsidR="009B5FE1" w:rsidRPr="00B80AA5" w:rsidRDefault="009B5FE1" w:rsidP="009B5FE1">
            <w:pPr>
              <w:spacing w:before="40" w:after="40" w:line="240" w:lineRule="auto"/>
              <w:jc w:val="both"/>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 xml:space="preserve">Pripremanje predloga Strategije vanjske politike Crne Gore 2023-2026 </w:t>
            </w:r>
          </w:p>
          <w:p w14:paraId="46698E93" w14:textId="77777777" w:rsidR="009B5FE1" w:rsidRPr="00B80AA5" w:rsidRDefault="009B5FE1" w:rsidP="009B5FE1">
            <w:pPr>
              <w:spacing w:before="40" w:after="40" w:line="240" w:lineRule="auto"/>
              <w:rPr>
                <w:rFonts w:ascii="Arial Narrow" w:eastAsia="Arial Narrow" w:hAnsi="Arial Narrow" w:cs="Arial Narrow"/>
                <w:color w:val="212121"/>
                <w:sz w:val="20"/>
                <w:szCs w:val="20"/>
                <w:highlight w:val="white"/>
                <w:lang w:eastAsia="sr-Latn-ME"/>
              </w:rPr>
            </w:pPr>
          </w:p>
          <w:p w14:paraId="5A8F88EC" w14:textId="77777777" w:rsidR="009B5FE1" w:rsidRPr="00B80AA5" w:rsidRDefault="009B5FE1" w:rsidP="009B5FE1">
            <w:pPr>
              <w:spacing w:before="40" w:after="40" w:line="240" w:lineRule="auto"/>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Tematska</w:t>
            </w:r>
          </w:p>
          <w:p w14:paraId="4F84B8AC" w14:textId="77777777" w:rsidR="009B5FE1" w:rsidRPr="00B80AA5" w:rsidRDefault="009B5FE1" w:rsidP="009B5FE1">
            <w:pPr>
              <w:spacing w:before="40" w:after="40" w:line="240" w:lineRule="auto"/>
              <w:rPr>
                <w:rFonts w:ascii="Arial Narrow" w:eastAsia="Arial Narrow" w:hAnsi="Arial Narrow" w:cs="Arial Narrow"/>
                <w:color w:val="212121"/>
                <w:sz w:val="20"/>
                <w:szCs w:val="20"/>
                <w:highlight w:val="white"/>
                <w:lang w:eastAsia="sr-Latn-ME"/>
              </w:rPr>
            </w:pPr>
          </w:p>
        </w:tc>
        <w:tc>
          <w:tcPr>
            <w:tcW w:w="2660" w:type="dxa"/>
            <w:gridSpan w:val="6"/>
            <w:tcBorders>
              <w:top w:val="single" w:sz="4" w:space="0" w:color="000000"/>
              <w:left w:val="single" w:sz="4" w:space="0" w:color="000000"/>
              <w:bottom w:val="single" w:sz="4" w:space="0" w:color="000000"/>
              <w:right w:val="single" w:sz="4" w:space="0" w:color="000000"/>
            </w:tcBorders>
          </w:tcPr>
          <w:p w14:paraId="31AD90C0" w14:textId="77777777" w:rsidR="009B5FE1" w:rsidRPr="00B80AA5" w:rsidRDefault="009B5FE1" w:rsidP="009B5FE1">
            <w:pPr>
              <w:spacing w:before="20" w:after="20" w:line="240" w:lineRule="auto"/>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Usvojena Strategija vanjske politike Crne Gore 2023-2026</w:t>
            </w:r>
          </w:p>
        </w:tc>
        <w:tc>
          <w:tcPr>
            <w:tcW w:w="1824" w:type="dxa"/>
            <w:gridSpan w:val="12"/>
            <w:tcBorders>
              <w:top w:val="single" w:sz="4" w:space="0" w:color="000000"/>
              <w:left w:val="single" w:sz="4" w:space="0" w:color="000000"/>
              <w:bottom w:val="single" w:sz="4" w:space="0" w:color="000000"/>
              <w:right w:val="single" w:sz="4" w:space="0" w:color="000000"/>
            </w:tcBorders>
          </w:tcPr>
          <w:p w14:paraId="6A96EFA9" w14:textId="77777777" w:rsidR="009B5FE1" w:rsidRPr="00B80AA5" w:rsidRDefault="009B5FE1" w:rsidP="009B5FE1">
            <w:pPr>
              <w:spacing w:before="20" w:after="20" w:line="240" w:lineRule="auto"/>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 xml:space="preserve">Ministarstvo vanjskih poslova </w:t>
            </w:r>
          </w:p>
          <w:p w14:paraId="3B752566" w14:textId="77777777" w:rsidR="009B5FE1" w:rsidRPr="00B80AA5" w:rsidRDefault="009B5FE1" w:rsidP="009B5FE1">
            <w:pPr>
              <w:spacing w:before="20" w:after="20" w:line="240" w:lineRule="auto"/>
              <w:rPr>
                <w:rFonts w:ascii="Arial Narrow" w:eastAsia="Arial Narrow" w:hAnsi="Arial Narrow" w:cs="Arial Narrow"/>
                <w:color w:val="212121"/>
                <w:sz w:val="20"/>
                <w:szCs w:val="20"/>
                <w:highlight w:val="white"/>
                <w:lang w:eastAsia="sr-Latn-ME"/>
              </w:rPr>
            </w:pPr>
          </w:p>
          <w:p w14:paraId="18288F53" w14:textId="77777777" w:rsidR="009B5FE1" w:rsidRPr="00B80AA5" w:rsidRDefault="009B5FE1" w:rsidP="009B5FE1">
            <w:pPr>
              <w:spacing w:before="20" w:after="20" w:line="240" w:lineRule="auto"/>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KPS</w:t>
            </w:r>
          </w:p>
        </w:tc>
        <w:tc>
          <w:tcPr>
            <w:tcW w:w="1686" w:type="dxa"/>
            <w:gridSpan w:val="7"/>
            <w:tcBorders>
              <w:top w:val="single" w:sz="4" w:space="0" w:color="000000"/>
              <w:left w:val="single" w:sz="4" w:space="0" w:color="000000"/>
              <w:bottom w:val="single" w:sz="4" w:space="0" w:color="000000"/>
              <w:right w:val="single" w:sz="4" w:space="0" w:color="000000"/>
            </w:tcBorders>
          </w:tcPr>
          <w:p w14:paraId="670F31C0" w14:textId="77777777" w:rsidR="009B5FE1" w:rsidRPr="00B80AA5" w:rsidRDefault="009B5FE1" w:rsidP="009B5FE1">
            <w:pPr>
              <w:spacing w:before="20" w:after="20" w:line="240" w:lineRule="auto"/>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 xml:space="preserve">IV kvartal </w:t>
            </w:r>
          </w:p>
        </w:tc>
        <w:tc>
          <w:tcPr>
            <w:tcW w:w="2069" w:type="dxa"/>
            <w:gridSpan w:val="6"/>
            <w:tcBorders>
              <w:top w:val="single" w:sz="4" w:space="0" w:color="000000"/>
              <w:left w:val="single" w:sz="4" w:space="0" w:color="000000"/>
              <w:bottom w:val="single" w:sz="4" w:space="0" w:color="000000"/>
              <w:right w:val="single" w:sz="4" w:space="0" w:color="000000"/>
            </w:tcBorders>
          </w:tcPr>
          <w:p w14:paraId="4CF48158" w14:textId="77777777" w:rsidR="009B5FE1" w:rsidRPr="00B80AA5" w:rsidRDefault="009B5FE1" w:rsidP="009B5FE1">
            <w:pPr>
              <w:spacing w:before="20" w:after="20" w:line="240" w:lineRule="auto"/>
              <w:rPr>
                <w:rFonts w:ascii="Arial Narrow" w:eastAsia="Arial Narrow" w:hAnsi="Arial Narrow" w:cs="Arial Narrow"/>
                <w:color w:val="212121"/>
                <w:sz w:val="20"/>
                <w:szCs w:val="20"/>
                <w:highlight w:val="white"/>
                <w:lang w:eastAsia="sr-Latn-ME"/>
              </w:rPr>
            </w:pPr>
          </w:p>
        </w:tc>
        <w:tc>
          <w:tcPr>
            <w:tcW w:w="1310" w:type="dxa"/>
            <w:gridSpan w:val="8"/>
            <w:tcBorders>
              <w:top w:val="single" w:sz="4" w:space="0" w:color="000000"/>
              <w:left w:val="single" w:sz="4" w:space="0" w:color="000000"/>
              <w:bottom w:val="single" w:sz="4" w:space="0" w:color="000000"/>
              <w:right w:val="single" w:sz="4" w:space="0" w:color="000000"/>
            </w:tcBorders>
          </w:tcPr>
          <w:p w14:paraId="5B12EAB4" w14:textId="77777777" w:rsidR="009B5FE1" w:rsidRPr="00B80AA5" w:rsidRDefault="009B5FE1" w:rsidP="009B5FE1">
            <w:pPr>
              <w:spacing w:before="20" w:after="20" w:line="240" w:lineRule="auto"/>
              <w:rPr>
                <w:rFonts w:ascii="Arial Narrow" w:eastAsia="Arial Narrow" w:hAnsi="Arial Narrow" w:cs="Arial Narrow"/>
                <w:b/>
                <w:i/>
                <w:color w:val="FF0000"/>
                <w:sz w:val="20"/>
                <w:szCs w:val="20"/>
                <w:lang w:eastAsia="sr-Latn-ME"/>
              </w:rPr>
            </w:pPr>
          </w:p>
        </w:tc>
        <w:tc>
          <w:tcPr>
            <w:tcW w:w="2388" w:type="dxa"/>
            <w:gridSpan w:val="7"/>
            <w:tcBorders>
              <w:top w:val="single" w:sz="4" w:space="0" w:color="000000"/>
              <w:left w:val="single" w:sz="4" w:space="0" w:color="000000"/>
              <w:bottom w:val="single" w:sz="4" w:space="0" w:color="000000"/>
              <w:right w:val="single" w:sz="4" w:space="0" w:color="000000"/>
            </w:tcBorders>
          </w:tcPr>
          <w:p w14:paraId="7FC2DE24" w14:textId="77777777" w:rsidR="009B5FE1" w:rsidRPr="00B80AA5" w:rsidRDefault="009B5FE1" w:rsidP="009B5FE1">
            <w:pPr>
              <w:spacing w:before="20" w:after="20" w:line="240" w:lineRule="auto"/>
              <w:jc w:val="both"/>
              <w:rPr>
                <w:rFonts w:ascii="Arial Narrow" w:eastAsia="Arial Narrow" w:hAnsi="Arial Narrow" w:cs="Arial Narrow"/>
                <w:color w:val="212121"/>
                <w:sz w:val="20"/>
                <w:szCs w:val="20"/>
                <w:highlight w:val="white"/>
                <w:lang w:eastAsia="sr-Latn-ME"/>
              </w:rPr>
            </w:pPr>
            <w:r w:rsidRPr="00B80AA5">
              <w:rPr>
                <w:rFonts w:ascii="Arial Narrow" w:eastAsia="Arial Narrow" w:hAnsi="Arial Narrow" w:cs="Arial Narrow"/>
                <w:color w:val="212121"/>
                <w:sz w:val="20"/>
                <w:szCs w:val="20"/>
                <w:highlight w:val="white"/>
                <w:lang w:eastAsia="sr-Latn-ME"/>
              </w:rPr>
              <w:t>Startegija vanjske politike Crne Gore 2023-2024 daće predlog strateških ciljeva, kao i operativnih ciljeva za postizanje strateških ciljeva za period od četiri godine, u skladu sa utvrđenim vanjsko političkim prioritetima, , kao i prateći akcioni plan s procjenom troškova.</w:t>
            </w:r>
          </w:p>
        </w:tc>
      </w:tr>
      <w:tr w:rsidR="009B5FE1" w:rsidRPr="00B80AA5" w14:paraId="45AFA3E9"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7DFAC042" w14:textId="50AA4203" w:rsidR="009B5FE1" w:rsidRPr="00B80AA5" w:rsidRDefault="00F715E8" w:rsidP="009B5FE1">
            <w:pPr>
              <w:spacing w:before="20" w:after="20" w:line="240" w:lineRule="auto"/>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lastRenderedPageBreak/>
              <w:t>3</w:t>
            </w:r>
            <w:r w:rsidR="009B5FE1">
              <w:rPr>
                <w:rFonts w:ascii="Arial Narrow" w:eastAsia="Arial Narrow" w:hAnsi="Arial Narrow" w:cs="Arial Narrow"/>
                <w:sz w:val="20"/>
                <w:szCs w:val="20"/>
                <w:lang w:eastAsia="sr-Latn-ME"/>
              </w:rPr>
              <w:t>.</w:t>
            </w:r>
          </w:p>
        </w:tc>
        <w:tc>
          <w:tcPr>
            <w:tcW w:w="2219" w:type="dxa"/>
            <w:gridSpan w:val="7"/>
            <w:tcBorders>
              <w:top w:val="single" w:sz="4" w:space="0" w:color="000000"/>
              <w:left w:val="single" w:sz="4" w:space="0" w:color="000000"/>
              <w:bottom w:val="single" w:sz="4" w:space="0" w:color="000000"/>
              <w:right w:val="single" w:sz="4" w:space="0" w:color="000000"/>
            </w:tcBorders>
          </w:tcPr>
          <w:p w14:paraId="17AEA5D5"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Otvaranje Ambasade Crne Gore u Kraljevini Danskoj</w:t>
            </w:r>
          </w:p>
          <w:p w14:paraId="6D99AED9" w14:textId="2EB34728"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660" w:type="dxa"/>
            <w:gridSpan w:val="6"/>
            <w:tcBorders>
              <w:top w:val="single" w:sz="4" w:space="0" w:color="000000"/>
              <w:left w:val="single" w:sz="4" w:space="0" w:color="000000"/>
              <w:bottom w:val="single" w:sz="4" w:space="0" w:color="000000"/>
              <w:right w:val="single" w:sz="4" w:space="0" w:color="000000"/>
            </w:tcBorders>
          </w:tcPr>
          <w:p w14:paraId="3BD5AC9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Otvorena Ambasada Crne Gore u Kraljevini Danskoj sa sjedištem u Kopenhagenu</w:t>
            </w:r>
          </w:p>
        </w:tc>
        <w:tc>
          <w:tcPr>
            <w:tcW w:w="1824" w:type="dxa"/>
            <w:gridSpan w:val="12"/>
            <w:tcBorders>
              <w:top w:val="single" w:sz="4" w:space="0" w:color="000000"/>
              <w:left w:val="single" w:sz="4" w:space="0" w:color="000000"/>
              <w:bottom w:val="single" w:sz="4" w:space="0" w:color="000000"/>
              <w:right w:val="single" w:sz="4" w:space="0" w:color="000000"/>
            </w:tcBorders>
          </w:tcPr>
          <w:p w14:paraId="0F4A530E"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3160F6C9"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6FE8476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KPS/KEPIF</w:t>
            </w:r>
          </w:p>
        </w:tc>
        <w:tc>
          <w:tcPr>
            <w:tcW w:w="1686" w:type="dxa"/>
            <w:gridSpan w:val="7"/>
            <w:tcBorders>
              <w:top w:val="single" w:sz="4" w:space="0" w:color="000000"/>
              <w:left w:val="single" w:sz="4" w:space="0" w:color="000000"/>
              <w:bottom w:val="single" w:sz="4" w:space="0" w:color="000000"/>
              <w:right w:val="single" w:sz="4" w:space="0" w:color="000000"/>
            </w:tcBorders>
          </w:tcPr>
          <w:p w14:paraId="3D08E23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 II, III i IV kvartal</w:t>
            </w:r>
          </w:p>
        </w:tc>
        <w:tc>
          <w:tcPr>
            <w:tcW w:w="2069" w:type="dxa"/>
            <w:gridSpan w:val="6"/>
            <w:tcBorders>
              <w:top w:val="single" w:sz="4" w:space="0" w:color="000000"/>
              <w:left w:val="single" w:sz="4" w:space="0" w:color="000000"/>
              <w:bottom w:val="single" w:sz="4" w:space="0" w:color="000000"/>
              <w:right w:val="single" w:sz="4" w:space="0" w:color="000000"/>
            </w:tcBorders>
          </w:tcPr>
          <w:p w14:paraId="18DBF622"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1310" w:type="dxa"/>
            <w:gridSpan w:val="8"/>
            <w:tcBorders>
              <w:top w:val="single" w:sz="4" w:space="0" w:color="000000"/>
              <w:left w:val="single" w:sz="4" w:space="0" w:color="000000"/>
              <w:bottom w:val="single" w:sz="4" w:space="0" w:color="000000"/>
              <w:right w:val="single" w:sz="4" w:space="0" w:color="000000"/>
            </w:tcBorders>
          </w:tcPr>
          <w:p w14:paraId="497E4420" w14:textId="77777777" w:rsidR="009B5FE1" w:rsidRPr="00B80AA5" w:rsidRDefault="009B5FE1" w:rsidP="009B5FE1">
            <w:pPr>
              <w:spacing w:before="20" w:after="20" w:line="240" w:lineRule="auto"/>
              <w:rPr>
                <w:rFonts w:ascii="Arial Narrow" w:eastAsia="Arial Narrow" w:hAnsi="Arial Narrow" w:cs="Arial Narrow"/>
                <w:color w:val="FF0000"/>
                <w:sz w:val="20"/>
                <w:szCs w:val="20"/>
                <w:lang w:eastAsia="sr-Latn-ME"/>
              </w:rPr>
            </w:pPr>
          </w:p>
        </w:tc>
        <w:tc>
          <w:tcPr>
            <w:tcW w:w="2388" w:type="dxa"/>
            <w:gridSpan w:val="7"/>
            <w:tcBorders>
              <w:top w:val="single" w:sz="4" w:space="0" w:color="000000"/>
              <w:left w:val="single" w:sz="4" w:space="0" w:color="000000"/>
              <w:bottom w:val="single" w:sz="4" w:space="0" w:color="000000"/>
              <w:right w:val="single" w:sz="4" w:space="0" w:color="000000"/>
            </w:tcBorders>
          </w:tcPr>
          <w:p w14:paraId="0C086E4C"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Donešena odluka o otvaranju Ambasade Crne Gore u Kraljevini Danskoj („Službeni list CG, br. </w:t>
            </w:r>
          </w:p>
          <w:p w14:paraId="3A7C17F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5/2019" od 22.01.2019). Otvaranje Ambasade u Kraljevini Danskoj od značaja je za značaja je za proces evropske integracije, jačanje saradnje sa dijasporom-iseljenicima i pozicioniranje Crne Gore kao buduće članice Evropske unije</w:t>
            </w:r>
          </w:p>
        </w:tc>
      </w:tr>
      <w:tr w:rsidR="009B5FE1" w:rsidRPr="00B80AA5" w14:paraId="3667932C"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7E300B4A" w14:textId="385A316A" w:rsidR="009B5FE1" w:rsidRPr="00B80AA5" w:rsidRDefault="00F715E8" w:rsidP="009B5FE1">
            <w:pPr>
              <w:spacing w:before="20" w:after="20" w:line="240" w:lineRule="auto"/>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4</w:t>
            </w:r>
            <w:r w:rsidR="009B5FE1">
              <w:rPr>
                <w:rFonts w:ascii="Arial Narrow" w:eastAsia="Arial Narrow" w:hAnsi="Arial Narrow" w:cs="Arial Narrow"/>
                <w:sz w:val="20"/>
                <w:szCs w:val="20"/>
                <w:lang w:eastAsia="sr-Latn-ME"/>
              </w:rPr>
              <w:t>.</w:t>
            </w:r>
          </w:p>
        </w:tc>
        <w:tc>
          <w:tcPr>
            <w:tcW w:w="2219" w:type="dxa"/>
            <w:gridSpan w:val="7"/>
            <w:tcBorders>
              <w:top w:val="single" w:sz="4" w:space="0" w:color="000000"/>
              <w:left w:val="single" w:sz="4" w:space="0" w:color="000000"/>
              <w:bottom w:val="single" w:sz="4" w:space="0" w:color="000000"/>
              <w:right w:val="single" w:sz="4" w:space="0" w:color="000000"/>
            </w:tcBorders>
          </w:tcPr>
          <w:p w14:paraId="142E1A6F"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Otvaranje Ambasade Crne Gore u Kraljevini Holandiji</w:t>
            </w:r>
          </w:p>
          <w:p w14:paraId="26076FAF" w14:textId="77777777" w:rsidR="009B5FE1" w:rsidRPr="00B80AA5" w:rsidRDefault="009B5FE1" w:rsidP="00F715E8">
            <w:pPr>
              <w:spacing w:before="20" w:after="20" w:line="240" w:lineRule="auto"/>
              <w:rPr>
                <w:rFonts w:ascii="Arial Narrow" w:eastAsia="Arial Narrow" w:hAnsi="Arial Narrow" w:cs="Arial Narrow"/>
                <w:sz w:val="20"/>
                <w:szCs w:val="20"/>
                <w:lang w:eastAsia="sr-Latn-ME"/>
              </w:rPr>
            </w:pPr>
          </w:p>
        </w:tc>
        <w:tc>
          <w:tcPr>
            <w:tcW w:w="2660" w:type="dxa"/>
            <w:gridSpan w:val="6"/>
            <w:tcBorders>
              <w:top w:val="single" w:sz="4" w:space="0" w:color="000000"/>
              <w:left w:val="single" w:sz="4" w:space="0" w:color="000000"/>
              <w:bottom w:val="single" w:sz="4" w:space="0" w:color="000000"/>
              <w:right w:val="single" w:sz="4" w:space="0" w:color="000000"/>
            </w:tcBorders>
          </w:tcPr>
          <w:p w14:paraId="06544C44"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Otvorena Ambasada Crne Gore u Kraljevini Holandiji sa sjedištem u Hagu</w:t>
            </w:r>
          </w:p>
        </w:tc>
        <w:tc>
          <w:tcPr>
            <w:tcW w:w="1824" w:type="dxa"/>
            <w:gridSpan w:val="12"/>
            <w:tcBorders>
              <w:top w:val="single" w:sz="4" w:space="0" w:color="000000"/>
              <w:left w:val="single" w:sz="4" w:space="0" w:color="000000"/>
              <w:bottom w:val="single" w:sz="4" w:space="0" w:color="000000"/>
              <w:right w:val="single" w:sz="4" w:space="0" w:color="000000"/>
            </w:tcBorders>
          </w:tcPr>
          <w:p w14:paraId="6AFE8F5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42CCDC42"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482AB4E8"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KPS/KEPIF</w:t>
            </w:r>
          </w:p>
        </w:tc>
        <w:tc>
          <w:tcPr>
            <w:tcW w:w="1686" w:type="dxa"/>
            <w:gridSpan w:val="7"/>
            <w:tcBorders>
              <w:top w:val="single" w:sz="4" w:space="0" w:color="000000"/>
              <w:left w:val="single" w:sz="4" w:space="0" w:color="000000"/>
              <w:bottom w:val="single" w:sz="4" w:space="0" w:color="000000"/>
              <w:right w:val="single" w:sz="4" w:space="0" w:color="000000"/>
            </w:tcBorders>
          </w:tcPr>
          <w:p w14:paraId="296AF576" w14:textId="77777777" w:rsidR="009B5FE1" w:rsidRPr="00B80AA5" w:rsidRDefault="009B5FE1" w:rsidP="009B5FE1">
            <w:pPr>
              <w:spacing w:before="20" w:after="20" w:line="240" w:lineRule="auto"/>
              <w:rPr>
                <w:rFonts w:ascii="Arial Narrow" w:eastAsia="Arial Narrow" w:hAnsi="Arial Narrow" w:cs="Arial Narrow"/>
                <w:color w:val="FF0000"/>
                <w:sz w:val="20"/>
                <w:szCs w:val="20"/>
                <w:lang w:eastAsia="sr-Latn-ME"/>
              </w:rPr>
            </w:pPr>
            <w:r w:rsidRPr="00B80AA5">
              <w:rPr>
                <w:rFonts w:ascii="Arial Narrow" w:eastAsia="Arial Narrow" w:hAnsi="Arial Narrow" w:cs="Arial Narrow"/>
                <w:sz w:val="20"/>
                <w:szCs w:val="20"/>
                <w:lang w:eastAsia="sr-Latn-ME"/>
              </w:rPr>
              <w:t>I, II, III i IV kvartal</w:t>
            </w:r>
          </w:p>
        </w:tc>
        <w:tc>
          <w:tcPr>
            <w:tcW w:w="2069" w:type="dxa"/>
            <w:gridSpan w:val="6"/>
            <w:tcBorders>
              <w:top w:val="single" w:sz="4" w:space="0" w:color="000000"/>
              <w:left w:val="single" w:sz="4" w:space="0" w:color="000000"/>
              <w:bottom w:val="single" w:sz="4" w:space="0" w:color="000000"/>
              <w:right w:val="single" w:sz="4" w:space="0" w:color="000000"/>
            </w:tcBorders>
          </w:tcPr>
          <w:p w14:paraId="075766CB"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1310" w:type="dxa"/>
            <w:gridSpan w:val="8"/>
            <w:tcBorders>
              <w:top w:val="single" w:sz="4" w:space="0" w:color="000000"/>
              <w:left w:val="single" w:sz="4" w:space="0" w:color="000000"/>
              <w:bottom w:val="single" w:sz="4" w:space="0" w:color="000000"/>
              <w:right w:val="single" w:sz="4" w:space="0" w:color="000000"/>
            </w:tcBorders>
          </w:tcPr>
          <w:p w14:paraId="3F0F32B1" w14:textId="77777777" w:rsidR="009B5FE1" w:rsidRPr="00B80AA5" w:rsidRDefault="009B5FE1" w:rsidP="009B5FE1">
            <w:pPr>
              <w:spacing w:before="20" w:after="20" w:line="240" w:lineRule="auto"/>
              <w:rPr>
                <w:rFonts w:ascii="Arial Narrow" w:eastAsia="Arial Narrow" w:hAnsi="Arial Narrow" w:cs="Arial Narrow"/>
                <w:color w:val="FF0000"/>
                <w:sz w:val="20"/>
                <w:szCs w:val="20"/>
                <w:lang w:eastAsia="sr-Latn-ME"/>
              </w:rPr>
            </w:pPr>
          </w:p>
        </w:tc>
        <w:tc>
          <w:tcPr>
            <w:tcW w:w="2388" w:type="dxa"/>
            <w:gridSpan w:val="7"/>
            <w:tcBorders>
              <w:top w:val="single" w:sz="4" w:space="0" w:color="000000"/>
              <w:left w:val="single" w:sz="4" w:space="0" w:color="000000"/>
              <w:bottom w:val="single" w:sz="4" w:space="0" w:color="000000"/>
              <w:right w:val="single" w:sz="4" w:space="0" w:color="000000"/>
            </w:tcBorders>
          </w:tcPr>
          <w:p w14:paraId="45188BF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Donešena odluka o otvaranju Ambasade Crne Gore u Kraljevini Holandiji </w:t>
            </w:r>
          </w:p>
          <w:p w14:paraId="59BD55A5"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(Službeni list CG, br. 5/2019" od 22.01.2019).</w:t>
            </w:r>
          </w:p>
          <w:p w14:paraId="4F8B8484"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Otvaranje Ambasade u Kraljevini Holandiji od značaja je za proces evropske integracije i pozicioniranje Crne Gore kao buduće članice Evropske unije.</w:t>
            </w:r>
          </w:p>
        </w:tc>
      </w:tr>
      <w:tr w:rsidR="009B5FE1" w:rsidRPr="00B80AA5" w14:paraId="6F6575A9"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3E85C2F2" w14:textId="3E623036" w:rsidR="009B5FE1" w:rsidRPr="00B80AA5" w:rsidRDefault="00F715E8" w:rsidP="009B5FE1">
            <w:pPr>
              <w:spacing w:before="20" w:after="20" w:line="240" w:lineRule="auto"/>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5</w:t>
            </w:r>
            <w:r w:rsidR="009B5FE1">
              <w:rPr>
                <w:rFonts w:ascii="Arial Narrow" w:eastAsia="Arial Narrow" w:hAnsi="Arial Narrow" w:cs="Arial Narrow"/>
                <w:sz w:val="20"/>
                <w:szCs w:val="20"/>
                <w:lang w:eastAsia="sr-Latn-ME"/>
              </w:rPr>
              <w:t>.</w:t>
            </w:r>
          </w:p>
          <w:p w14:paraId="2C948E17"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5A1BC978"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219" w:type="dxa"/>
            <w:gridSpan w:val="7"/>
            <w:tcBorders>
              <w:top w:val="single" w:sz="4" w:space="0" w:color="000000"/>
              <w:left w:val="single" w:sz="4" w:space="0" w:color="000000"/>
              <w:bottom w:val="single" w:sz="4" w:space="0" w:color="000000"/>
              <w:right w:val="single" w:sz="4" w:space="0" w:color="000000"/>
            </w:tcBorders>
          </w:tcPr>
          <w:p w14:paraId="770CD48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Donošenje Odluke o otvaranju Ambasade Crne Gore u Državi Izrael</w:t>
            </w:r>
          </w:p>
          <w:p w14:paraId="684653BD" w14:textId="77267EDB"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2660" w:type="dxa"/>
            <w:gridSpan w:val="6"/>
            <w:tcBorders>
              <w:top w:val="single" w:sz="4" w:space="0" w:color="000000"/>
              <w:left w:val="single" w:sz="4" w:space="0" w:color="000000"/>
              <w:bottom w:val="single" w:sz="4" w:space="0" w:color="000000"/>
              <w:right w:val="single" w:sz="4" w:space="0" w:color="000000"/>
            </w:tcBorders>
          </w:tcPr>
          <w:p w14:paraId="6D07579E"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Donešena odluka o otvaranju Ambasade Crne Gore u Državi Izrael </w:t>
            </w:r>
          </w:p>
          <w:p w14:paraId="4DB9400F"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56DB5C6F"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Otvorena Ambasada Crne Gore u Državi Izrael sa sjedištem u Tel Avivu</w:t>
            </w:r>
          </w:p>
          <w:p w14:paraId="3875F820"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1824" w:type="dxa"/>
            <w:gridSpan w:val="12"/>
            <w:tcBorders>
              <w:top w:val="single" w:sz="4" w:space="0" w:color="000000"/>
              <w:left w:val="single" w:sz="4" w:space="0" w:color="000000"/>
              <w:bottom w:val="single" w:sz="4" w:space="0" w:color="000000"/>
              <w:right w:val="single" w:sz="4" w:space="0" w:color="000000"/>
            </w:tcBorders>
          </w:tcPr>
          <w:p w14:paraId="20BCA96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00BAF291"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p w14:paraId="1EF84F9D"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KPS/KEPIF</w:t>
            </w:r>
          </w:p>
        </w:tc>
        <w:tc>
          <w:tcPr>
            <w:tcW w:w="1686" w:type="dxa"/>
            <w:gridSpan w:val="7"/>
            <w:tcBorders>
              <w:top w:val="single" w:sz="4" w:space="0" w:color="000000"/>
              <w:left w:val="single" w:sz="4" w:space="0" w:color="000000"/>
              <w:bottom w:val="single" w:sz="4" w:space="0" w:color="000000"/>
              <w:right w:val="single" w:sz="4" w:space="0" w:color="000000"/>
            </w:tcBorders>
          </w:tcPr>
          <w:p w14:paraId="3712F096"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 II, III i IV kvartal</w:t>
            </w:r>
          </w:p>
        </w:tc>
        <w:tc>
          <w:tcPr>
            <w:tcW w:w="2069" w:type="dxa"/>
            <w:gridSpan w:val="6"/>
            <w:tcBorders>
              <w:top w:val="single" w:sz="4" w:space="0" w:color="000000"/>
              <w:left w:val="single" w:sz="4" w:space="0" w:color="000000"/>
              <w:bottom w:val="single" w:sz="4" w:space="0" w:color="000000"/>
              <w:right w:val="single" w:sz="4" w:space="0" w:color="000000"/>
            </w:tcBorders>
          </w:tcPr>
          <w:p w14:paraId="6CA47275"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p>
        </w:tc>
        <w:tc>
          <w:tcPr>
            <w:tcW w:w="1310" w:type="dxa"/>
            <w:gridSpan w:val="8"/>
            <w:tcBorders>
              <w:top w:val="single" w:sz="4" w:space="0" w:color="000000"/>
              <w:left w:val="single" w:sz="4" w:space="0" w:color="000000"/>
              <w:bottom w:val="single" w:sz="4" w:space="0" w:color="000000"/>
              <w:right w:val="single" w:sz="4" w:space="0" w:color="000000"/>
            </w:tcBorders>
          </w:tcPr>
          <w:p w14:paraId="7BC7F16E" w14:textId="77777777" w:rsidR="009B5FE1" w:rsidRPr="00B80AA5" w:rsidRDefault="009B5FE1" w:rsidP="009B5FE1">
            <w:pPr>
              <w:spacing w:before="20" w:after="20" w:line="240" w:lineRule="auto"/>
              <w:rPr>
                <w:rFonts w:ascii="Arial Narrow" w:eastAsia="Arial Narrow" w:hAnsi="Arial Narrow" w:cs="Arial Narrow"/>
                <w:color w:val="FF0000"/>
                <w:sz w:val="20"/>
                <w:szCs w:val="20"/>
                <w:lang w:eastAsia="sr-Latn-ME"/>
              </w:rPr>
            </w:pPr>
          </w:p>
        </w:tc>
        <w:tc>
          <w:tcPr>
            <w:tcW w:w="2388" w:type="dxa"/>
            <w:gridSpan w:val="7"/>
            <w:tcBorders>
              <w:top w:val="single" w:sz="4" w:space="0" w:color="000000"/>
              <w:left w:val="single" w:sz="4" w:space="0" w:color="000000"/>
              <w:bottom w:val="single" w:sz="4" w:space="0" w:color="000000"/>
              <w:right w:val="single" w:sz="4" w:space="0" w:color="000000"/>
            </w:tcBorders>
          </w:tcPr>
          <w:p w14:paraId="4085FDC6" w14:textId="77777777" w:rsidR="009B5FE1" w:rsidRPr="00B80AA5" w:rsidRDefault="009B5FE1" w:rsidP="009B5FE1">
            <w:pPr>
              <w:spacing w:before="20" w:after="20" w:line="240" w:lineRule="auto"/>
              <w:jc w:val="both"/>
              <w:rPr>
                <w:rFonts w:ascii="Arial Narrow" w:eastAsia="Arial Narrow" w:hAnsi="Arial Narrow" w:cs="Arial Narrow"/>
                <w:sz w:val="20"/>
                <w:szCs w:val="20"/>
                <w:highlight w:val="yellow"/>
                <w:lang w:eastAsia="sr-Latn-ME"/>
              </w:rPr>
            </w:pPr>
            <w:r w:rsidRPr="00B80AA5">
              <w:rPr>
                <w:rFonts w:ascii="Arial Narrow" w:eastAsia="Arial Narrow" w:hAnsi="Arial Narrow" w:cs="Arial Narrow"/>
                <w:sz w:val="20"/>
                <w:szCs w:val="20"/>
                <w:lang w:eastAsia="sr-Latn-ME"/>
              </w:rPr>
              <w:t>Donošenje odluke o otvaranju Ambasade Crne Gore u Državi Izrael je od značaja za unapređenje sveukupnih bilateralnih odnosa, političkih kontakata, ekonomske saradnje.</w:t>
            </w:r>
          </w:p>
        </w:tc>
      </w:tr>
      <w:tr w:rsidR="009B5FE1" w:rsidRPr="00B80AA5" w14:paraId="7072E5FA"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15070C03" w14:textId="5B1081E7" w:rsidR="009B5FE1" w:rsidRPr="00B80AA5" w:rsidRDefault="00F715E8" w:rsidP="009B5FE1">
            <w:pPr>
              <w:spacing w:before="20" w:after="20" w:line="240" w:lineRule="auto"/>
              <w:jc w:val="both"/>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6</w:t>
            </w:r>
            <w:r w:rsidR="009B5FE1">
              <w:rPr>
                <w:rFonts w:ascii="Arial Narrow" w:eastAsia="Arial Narrow" w:hAnsi="Arial Narrow" w:cs="Arial Narrow"/>
                <w:sz w:val="20"/>
                <w:szCs w:val="20"/>
                <w:lang w:eastAsia="sr-Latn-ME"/>
              </w:rPr>
              <w:t>.</w:t>
            </w:r>
          </w:p>
        </w:tc>
        <w:tc>
          <w:tcPr>
            <w:tcW w:w="2219" w:type="dxa"/>
            <w:gridSpan w:val="7"/>
            <w:tcBorders>
              <w:top w:val="single" w:sz="4" w:space="0" w:color="000000"/>
              <w:left w:val="single" w:sz="4" w:space="0" w:color="000000"/>
              <w:bottom w:val="single" w:sz="4" w:space="0" w:color="000000"/>
              <w:right w:val="single" w:sz="4" w:space="0" w:color="000000"/>
            </w:tcBorders>
          </w:tcPr>
          <w:p w14:paraId="4A647F9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Organizovanje XV Ljetnje škole za mlade diplomate „Gavro Vuković“</w:t>
            </w:r>
          </w:p>
          <w:p w14:paraId="0C7ECB8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7752921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Tematska</w:t>
            </w:r>
          </w:p>
        </w:tc>
        <w:tc>
          <w:tcPr>
            <w:tcW w:w="2660" w:type="dxa"/>
            <w:gridSpan w:val="6"/>
            <w:tcBorders>
              <w:top w:val="single" w:sz="4" w:space="0" w:color="000000"/>
              <w:left w:val="single" w:sz="4" w:space="0" w:color="000000"/>
              <w:bottom w:val="single" w:sz="4" w:space="0" w:color="000000"/>
              <w:right w:val="single" w:sz="4" w:space="0" w:color="000000"/>
            </w:tcBorders>
          </w:tcPr>
          <w:p w14:paraId="35BB885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Najmanje 30 država koje su nominovale predstavnike za učešče na Ljetnjoj školi </w:t>
            </w:r>
          </w:p>
          <w:p w14:paraId="7669975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4BDEDCF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 xml:space="preserve">Pozitivan rezultat evaluacije Ljetnje škole od najmanje 80% polaznika </w:t>
            </w:r>
          </w:p>
        </w:tc>
        <w:tc>
          <w:tcPr>
            <w:tcW w:w="1824" w:type="dxa"/>
            <w:gridSpan w:val="12"/>
            <w:tcBorders>
              <w:top w:val="single" w:sz="4" w:space="0" w:color="000000"/>
              <w:left w:val="single" w:sz="4" w:space="0" w:color="000000"/>
              <w:bottom w:val="single" w:sz="4" w:space="0" w:color="000000"/>
              <w:right w:val="single" w:sz="4" w:space="0" w:color="000000"/>
            </w:tcBorders>
          </w:tcPr>
          <w:p w14:paraId="3FD0926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 xml:space="preserve">Ministarstvo vanjskih poslova </w:t>
            </w:r>
          </w:p>
          <w:p w14:paraId="3F8C5D1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06DD257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Partner:UNDP</w:t>
            </w:r>
          </w:p>
          <w:p w14:paraId="6CF3DAD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622041C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KPS</w:t>
            </w:r>
          </w:p>
        </w:tc>
        <w:tc>
          <w:tcPr>
            <w:tcW w:w="1686" w:type="dxa"/>
            <w:gridSpan w:val="7"/>
            <w:tcBorders>
              <w:top w:val="single" w:sz="4" w:space="0" w:color="000000"/>
              <w:left w:val="single" w:sz="4" w:space="0" w:color="000000"/>
              <w:bottom w:val="single" w:sz="4" w:space="0" w:color="000000"/>
              <w:right w:val="single" w:sz="4" w:space="0" w:color="000000"/>
            </w:tcBorders>
          </w:tcPr>
          <w:p w14:paraId="0A893682"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lastRenderedPageBreak/>
              <w:t>II, III kvartal</w:t>
            </w:r>
          </w:p>
          <w:p w14:paraId="4CFCD55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069" w:type="dxa"/>
            <w:gridSpan w:val="6"/>
            <w:tcBorders>
              <w:top w:val="single" w:sz="4" w:space="0" w:color="000000"/>
              <w:left w:val="single" w:sz="4" w:space="0" w:color="000000"/>
              <w:bottom w:val="single" w:sz="4" w:space="0" w:color="000000"/>
              <w:right w:val="single" w:sz="4" w:space="0" w:color="000000"/>
            </w:tcBorders>
          </w:tcPr>
          <w:p w14:paraId="1A90783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50.000 Eura </w:t>
            </w:r>
          </w:p>
        </w:tc>
        <w:tc>
          <w:tcPr>
            <w:tcW w:w="1310" w:type="dxa"/>
            <w:gridSpan w:val="8"/>
            <w:tcBorders>
              <w:top w:val="single" w:sz="4" w:space="0" w:color="000000"/>
              <w:left w:val="single" w:sz="4" w:space="0" w:color="000000"/>
              <w:bottom w:val="single" w:sz="4" w:space="0" w:color="000000"/>
              <w:right w:val="single" w:sz="4" w:space="0" w:color="000000"/>
            </w:tcBorders>
          </w:tcPr>
          <w:p w14:paraId="335FBBA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25.000 Eura Budžet </w:t>
            </w:r>
          </w:p>
          <w:p w14:paraId="7AADE26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7BD4991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25.000 Eura </w:t>
            </w:r>
          </w:p>
          <w:p w14:paraId="2601B60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UNDP</w:t>
            </w:r>
          </w:p>
        </w:tc>
        <w:tc>
          <w:tcPr>
            <w:tcW w:w="2388" w:type="dxa"/>
            <w:gridSpan w:val="7"/>
            <w:tcBorders>
              <w:top w:val="single" w:sz="4" w:space="0" w:color="000000"/>
              <w:left w:val="single" w:sz="4" w:space="0" w:color="000000"/>
              <w:bottom w:val="single" w:sz="4" w:space="0" w:color="000000"/>
              <w:right w:val="single" w:sz="4" w:space="0" w:color="000000"/>
            </w:tcBorders>
          </w:tcPr>
          <w:p w14:paraId="2AB1576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Ljetnja škola je globalni forum koji okuplja mlade diplomate iz cijelog svijeta i predstavlja priliku za učenje, povezivanje i promociju Crne Gore. </w:t>
            </w:r>
          </w:p>
        </w:tc>
      </w:tr>
      <w:tr w:rsidR="009B5FE1" w:rsidRPr="00B80AA5" w14:paraId="594D79BF"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02EDA6AE" w14:textId="0B771203" w:rsidR="009B5FE1" w:rsidRPr="00B80AA5" w:rsidRDefault="00F715E8" w:rsidP="009B5FE1">
            <w:pPr>
              <w:spacing w:before="20" w:after="20" w:line="240" w:lineRule="auto"/>
              <w:jc w:val="both"/>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7</w:t>
            </w:r>
            <w:r w:rsidR="009B5FE1">
              <w:rPr>
                <w:rFonts w:ascii="Arial Narrow" w:eastAsia="Arial Narrow" w:hAnsi="Arial Narrow" w:cs="Arial Narrow"/>
                <w:sz w:val="20"/>
                <w:szCs w:val="20"/>
                <w:lang w:eastAsia="sr-Latn-ME"/>
              </w:rPr>
              <w:t>.</w:t>
            </w:r>
          </w:p>
        </w:tc>
        <w:tc>
          <w:tcPr>
            <w:tcW w:w="2219" w:type="dxa"/>
            <w:gridSpan w:val="7"/>
            <w:tcBorders>
              <w:top w:val="single" w:sz="4" w:space="0" w:color="000000"/>
              <w:left w:val="single" w:sz="4" w:space="0" w:color="000000"/>
              <w:bottom w:val="single" w:sz="4" w:space="0" w:color="000000"/>
              <w:right w:val="single" w:sz="4" w:space="0" w:color="000000"/>
            </w:tcBorders>
          </w:tcPr>
          <w:p w14:paraId="7220024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Unapređivanje platforme </w:t>
            </w:r>
            <w:r w:rsidRPr="00B80AA5">
              <w:rPr>
                <w:rFonts w:ascii="Arial Narrow" w:eastAsia="Arial Narrow" w:hAnsi="Arial Narrow" w:cs="Arial Narrow"/>
                <w:i/>
                <w:sz w:val="20"/>
                <w:szCs w:val="20"/>
                <w:lang w:eastAsia="sr-Latn-ME"/>
              </w:rPr>
              <w:t xml:space="preserve">Young Diplomats </w:t>
            </w:r>
            <w:r w:rsidRPr="00B80AA5">
              <w:rPr>
                <w:rFonts w:ascii="Arial Narrow" w:eastAsia="Arial Narrow" w:hAnsi="Arial Narrow" w:cs="Arial Narrow"/>
                <w:sz w:val="20"/>
                <w:szCs w:val="20"/>
                <w:lang w:eastAsia="sr-Latn-ME"/>
              </w:rPr>
              <w:t xml:space="preserve">namijenjene diplomatama i profesionalacima međunarodnih odnosa </w:t>
            </w:r>
          </w:p>
          <w:p w14:paraId="5103556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07F1110A" w14:textId="2AD24C5F"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660" w:type="dxa"/>
            <w:gridSpan w:val="6"/>
            <w:tcBorders>
              <w:top w:val="single" w:sz="4" w:space="0" w:color="000000"/>
              <w:left w:val="single" w:sz="4" w:space="0" w:color="000000"/>
              <w:bottom w:val="single" w:sz="4" w:space="0" w:color="000000"/>
              <w:right w:val="single" w:sz="4" w:space="0" w:color="000000"/>
            </w:tcBorders>
          </w:tcPr>
          <w:p w14:paraId="4627695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Povećana posjećenost portala youngdiplomats.me za 30% u odnosu na 2021. </w:t>
            </w:r>
          </w:p>
          <w:p w14:paraId="710073EF"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396C8F6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Povećan broj pratilaca tviter naloga @YD_Montenegro za 30 % u odnosu na 2021.</w:t>
            </w:r>
          </w:p>
        </w:tc>
        <w:tc>
          <w:tcPr>
            <w:tcW w:w="1824" w:type="dxa"/>
            <w:gridSpan w:val="12"/>
            <w:tcBorders>
              <w:top w:val="single" w:sz="4" w:space="0" w:color="000000"/>
              <w:left w:val="single" w:sz="4" w:space="0" w:color="000000"/>
              <w:bottom w:val="single" w:sz="4" w:space="0" w:color="000000"/>
              <w:right w:val="single" w:sz="4" w:space="0" w:color="000000"/>
            </w:tcBorders>
          </w:tcPr>
          <w:p w14:paraId="14C6851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1EEC83F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728EA46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1686" w:type="dxa"/>
            <w:gridSpan w:val="7"/>
            <w:tcBorders>
              <w:top w:val="single" w:sz="4" w:space="0" w:color="000000"/>
              <w:left w:val="single" w:sz="4" w:space="0" w:color="000000"/>
              <w:bottom w:val="single" w:sz="4" w:space="0" w:color="000000"/>
              <w:right w:val="single" w:sz="4" w:space="0" w:color="000000"/>
            </w:tcBorders>
          </w:tcPr>
          <w:p w14:paraId="65467DFA"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I,II,III, IV kvartal</w:t>
            </w:r>
          </w:p>
          <w:p w14:paraId="5C5BC93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069" w:type="dxa"/>
            <w:gridSpan w:val="6"/>
            <w:tcBorders>
              <w:top w:val="single" w:sz="4" w:space="0" w:color="000000"/>
              <w:left w:val="single" w:sz="4" w:space="0" w:color="000000"/>
              <w:bottom w:val="single" w:sz="4" w:space="0" w:color="000000"/>
              <w:right w:val="single" w:sz="4" w:space="0" w:color="000000"/>
            </w:tcBorders>
          </w:tcPr>
          <w:p w14:paraId="48443F2B"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9.000 Eura </w:t>
            </w:r>
          </w:p>
          <w:p w14:paraId="7D3820D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6D500E1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1310" w:type="dxa"/>
            <w:gridSpan w:val="8"/>
            <w:tcBorders>
              <w:top w:val="single" w:sz="4" w:space="0" w:color="000000"/>
              <w:left w:val="single" w:sz="4" w:space="0" w:color="000000"/>
              <w:bottom w:val="single" w:sz="4" w:space="0" w:color="000000"/>
              <w:right w:val="single" w:sz="4" w:space="0" w:color="000000"/>
            </w:tcBorders>
          </w:tcPr>
          <w:p w14:paraId="3338DD6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Budžet</w:t>
            </w:r>
          </w:p>
        </w:tc>
        <w:tc>
          <w:tcPr>
            <w:tcW w:w="2388" w:type="dxa"/>
            <w:gridSpan w:val="7"/>
            <w:tcBorders>
              <w:top w:val="single" w:sz="4" w:space="0" w:color="000000"/>
              <w:left w:val="single" w:sz="4" w:space="0" w:color="000000"/>
              <w:bottom w:val="single" w:sz="4" w:space="0" w:color="000000"/>
              <w:right w:val="single" w:sz="4" w:space="0" w:color="000000"/>
            </w:tcBorders>
          </w:tcPr>
          <w:p w14:paraId="27934F1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Platforma </w:t>
            </w:r>
            <w:r w:rsidRPr="00B80AA5">
              <w:rPr>
                <w:rFonts w:ascii="Arial Narrow" w:eastAsia="Arial Narrow" w:hAnsi="Arial Narrow" w:cs="Arial Narrow"/>
                <w:i/>
                <w:sz w:val="20"/>
                <w:szCs w:val="20"/>
                <w:lang w:eastAsia="sr-Latn-ME"/>
              </w:rPr>
              <w:t>Young Diplomat</w:t>
            </w:r>
            <w:r w:rsidRPr="00B80AA5">
              <w:rPr>
                <w:rFonts w:ascii="Arial Narrow" w:eastAsia="Arial Narrow" w:hAnsi="Arial Narrow" w:cs="Arial Narrow"/>
                <w:sz w:val="20"/>
                <w:szCs w:val="20"/>
                <w:lang w:eastAsia="sr-Latn-ME"/>
              </w:rPr>
              <w:t xml:space="preserve">s pokrenuta je 2020. sa ciljem povezivanja alumnista Ljetnje škole za mlade diplomate „Gavro Vuković“ i jačanja saradnje među diplomatama i profesionlcima međunarodnih odnosa  </w:t>
            </w:r>
          </w:p>
        </w:tc>
      </w:tr>
      <w:tr w:rsidR="009B5FE1" w:rsidRPr="00B80AA5" w14:paraId="34DA35D4" w14:textId="77777777" w:rsidTr="00DF2E8E">
        <w:trPr>
          <w:gridAfter w:val="1"/>
          <w:wAfter w:w="22" w:type="dxa"/>
          <w:trHeight w:val="1475"/>
        </w:trPr>
        <w:tc>
          <w:tcPr>
            <w:tcW w:w="722" w:type="dxa"/>
            <w:gridSpan w:val="4"/>
            <w:tcBorders>
              <w:top w:val="single" w:sz="4" w:space="0" w:color="000000"/>
              <w:left w:val="single" w:sz="4" w:space="0" w:color="000000"/>
              <w:bottom w:val="single" w:sz="4" w:space="0" w:color="000000"/>
              <w:right w:val="single" w:sz="4" w:space="0" w:color="000000"/>
            </w:tcBorders>
          </w:tcPr>
          <w:p w14:paraId="0C44792B" w14:textId="0E5D42A4" w:rsidR="009B5FE1" w:rsidRPr="00B80AA5" w:rsidRDefault="00F715E8" w:rsidP="009B5FE1">
            <w:pPr>
              <w:spacing w:before="20" w:after="20" w:line="240" w:lineRule="auto"/>
              <w:jc w:val="both"/>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8</w:t>
            </w:r>
            <w:r w:rsidR="009B5FE1">
              <w:rPr>
                <w:rFonts w:ascii="Arial Narrow" w:eastAsia="Arial Narrow" w:hAnsi="Arial Narrow" w:cs="Arial Narrow"/>
                <w:sz w:val="20"/>
                <w:szCs w:val="20"/>
                <w:lang w:eastAsia="sr-Latn-ME"/>
              </w:rPr>
              <w:t>.</w:t>
            </w:r>
          </w:p>
        </w:tc>
        <w:tc>
          <w:tcPr>
            <w:tcW w:w="2219" w:type="dxa"/>
            <w:gridSpan w:val="7"/>
            <w:tcBorders>
              <w:top w:val="single" w:sz="4" w:space="0" w:color="000000"/>
              <w:left w:val="single" w:sz="4" w:space="0" w:color="000000"/>
              <w:bottom w:val="single" w:sz="4" w:space="0" w:color="000000"/>
              <w:right w:val="single" w:sz="4" w:space="0" w:color="000000"/>
            </w:tcBorders>
          </w:tcPr>
          <w:p w14:paraId="39E925D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Jačanje ugovorne baze između Diplomatske akademije i drugih srodnih institucija iz inostranstva </w:t>
            </w:r>
          </w:p>
          <w:p w14:paraId="7CF47055" w14:textId="60C8943A"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660" w:type="dxa"/>
            <w:gridSpan w:val="6"/>
            <w:tcBorders>
              <w:top w:val="single" w:sz="4" w:space="0" w:color="000000"/>
              <w:left w:val="single" w:sz="4" w:space="0" w:color="000000"/>
              <w:bottom w:val="single" w:sz="4" w:space="0" w:color="000000"/>
              <w:right w:val="single" w:sz="4" w:space="0" w:color="000000"/>
            </w:tcBorders>
          </w:tcPr>
          <w:p w14:paraId="488675E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Najmanje pet zaključenih Memoranduma o razumijevanju u oblasti obuke diplomata </w:t>
            </w:r>
          </w:p>
        </w:tc>
        <w:tc>
          <w:tcPr>
            <w:tcW w:w="1824" w:type="dxa"/>
            <w:gridSpan w:val="12"/>
            <w:tcBorders>
              <w:top w:val="single" w:sz="4" w:space="0" w:color="000000"/>
              <w:left w:val="single" w:sz="4" w:space="0" w:color="000000"/>
              <w:bottom w:val="single" w:sz="4" w:space="0" w:color="000000"/>
              <w:right w:val="single" w:sz="4" w:space="0" w:color="000000"/>
            </w:tcBorders>
          </w:tcPr>
          <w:p w14:paraId="6966C11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vanjskih poslova</w:t>
            </w:r>
          </w:p>
          <w:p w14:paraId="260B625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1DC826D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w:t>
            </w:r>
          </w:p>
        </w:tc>
        <w:tc>
          <w:tcPr>
            <w:tcW w:w="1686" w:type="dxa"/>
            <w:gridSpan w:val="7"/>
            <w:tcBorders>
              <w:top w:val="single" w:sz="4" w:space="0" w:color="000000"/>
              <w:left w:val="single" w:sz="4" w:space="0" w:color="000000"/>
              <w:bottom w:val="single" w:sz="4" w:space="0" w:color="000000"/>
              <w:right w:val="single" w:sz="4" w:space="0" w:color="000000"/>
            </w:tcBorders>
          </w:tcPr>
          <w:p w14:paraId="22866597"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I, II, III, IV kvartal</w:t>
            </w:r>
          </w:p>
          <w:p w14:paraId="18F40BC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069" w:type="dxa"/>
            <w:gridSpan w:val="6"/>
            <w:tcBorders>
              <w:top w:val="single" w:sz="4" w:space="0" w:color="000000"/>
              <w:left w:val="single" w:sz="4" w:space="0" w:color="000000"/>
              <w:bottom w:val="single" w:sz="4" w:space="0" w:color="000000"/>
              <w:right w:val="single" w:sz="4" w:space="0" w:color="000000"/>
            </w:tcBorders>
          </w:tcPr>
          <w:p w14:paraId="6574946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w:t>
            </w:r>
          </w:p>
        </w:tc>
        <w:tc>
          <w:tcPr>
            <w:tcW w:w="1310" w:type="dxa"/>
            <w:gridSpan w:val="8"/>
            <w:tcBorders>
              <w:top w:val="single" w:sz="4" w:space="0" w:color="000000"/>
              <w:left w:val="single" w:sz="4" w:space="0" w:color="000000"/>
              <w:bottom w:val="single" w:sz="4" w:space="0" w:color="000000"/>
              <w:right w:val="single" w:sz="4" w:space="0" w:color="000000"/>
            </w:tcBorders>
          </w:tcPr>
          <w:p w14:paraId="446F103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w:t>
            </w:r>
          </w:p>
        </w:tc>
        <w:tc>
          <w:tcPr>
            <w:tcW w:w="2388" w:type="dxa"/>
            <w:gridSpan w:val="7"/>
            <w:tcBorders>
              <w:top w:val="single" w:sz="4" w:space="0" w:color="000000"/>
              <w:left w:val="single" w:sz="4" w:space="0" w:color="000000"/>
              <w:bottom w:val="single" w:sz="4" w:space="0" w:color="000000"/>
              <w:right w:val="single" w:sz="4" w:space="0" w:color="000000"/>
            </w:tcBorders>
          </w:tcPr>
          <w:p w14:paraId="73CDAFB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Jačanje saradnje između Diplomatske akademije i drugih srodnih institucija iz inostranstva na bazi reciprociteta i obostrane koristi </w:t>
            </w:r>
          </w:p>
        </w:tc>
      </w:tr>
      <w:tr w:rsidR="009B5FE1" w:rsidRPr="00B80AA5" w14:paraId="199AB492"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324FCABA" w14:textId="3D10FB27" w:rsidR="009B5FE1" w:rsidRPr="00B80AA5" w:rsidRDefault="00F715E8" w:rsidP="009B5FE1">
            <w:pPr>
              <w:spacing w:before="20" w:after="20" w:line="240" w:lineRule="auto"/>
              <w:jc w:val="both"/>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9</w:t>
            </w:r>
            <w:r w:rsidR="009B5FE1">
              <w:rPr>
                <w:rFonts w:ascii="Arial Narrow" w:eastAsia="Arial Narrow" w:hAnsi="Arial Narrow" w:cs="Arial Narrow"/>
                <w:sz w:val="20"/>
                <w:szCs w:val="20"/>
                <w:lang w:eastAsia="sr-Latn-ME"/>
              </w:rPr>
              <w:t>.</w:t>
            </w:r>
          </w:p>
        </w:tc>
        <w:tc>
          <w:tcPr>
            <w:tcW w:w="2219" w:type="dxa"/>
            <w:gridSpan w:val="7"/>
            <w:tcBorders>
              <w:top w:val="single" w:sz="4" w:space="0" w:color="000000"/>
              <w:left w:val="single" w:sz="4" w:space="0" w:color="000000"/>
              <w:bottom w:val="single" w:sz="4" w:space="0" w:color="000000"/>
              <w:right w:val="single" w:sz="4" w:space="0" w:color="000000"/>
            </w:tcBorders>
          </w:tcPr>
          <w:p w14:paraId="3A210AB3" w14:textId="77777777" w:rsidR="009B5FE1" w:rsidRPr="00B80AA5" w:rsidRDefault="009B5FE1" w:rsidP="009B5FE1">
            <w:pPr>
              <w:spacing w:after="0" w:line="276"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Održavanja konsultacija sa državama sa kojima je iniciran postupak sukcesije i konsolidacije ugovornog stanja i iniciranje novih postupaka sukcesije, odnosno konsolidacije ugovornog stanja </w:t>
            </w:r>
          </w:p>
          <w:p w14:paraId="5C1059B2" w14:textId="09EB6C5C" w:rsidR="009B5FE1" w:rsidRPr="00B80AA5" w:rsidRDefault="009B5FE1" w:rsidP="009B5FE1">
            <w:pPr>
              <w:spacing w:before="20" w:after="20" w:line="240" w:lineRule="auto"/>
              <w:jc w:val="both"/>
              <w:rPr>
                <w:rFonts w:ascii="Arial Narrow" w:eastAsia="Arial Narrow" w:hAnsi="Arial Narrow" w:cs="Arial Narrow"/>
                <w:color w:val="FF0000"/>
                <w:sz w:val="20"/>
                <w:szCs w:val="20"/>
                <w:lang w:eastAsia="sr-Latn-ME"/>
              </w:rPr>
            </w:pPr>
          </w:p>
        </w:tc>
        <w:tc>
          <w:tcPr>
            <w:tcW w:w="2660" w:type="dxa"/>
            <w:gridSpan w:val="6"/>
            <w:tcBorders>
              <w:top w:val="single" w:sz="4" w:space="0" w:color="000000"/>
              <w:left w:val="single" w:sz="4" w:space="0" w:color="000000"/>
              <w:bottom w:val="single" w:sz="4" w:space="0" w:color="000000"/>
              <w:right w:val="single" w:sz="4" w:space="0" w:color="000000"/>
            </w:tcBorders>
          </w:tcPr>
          <w:p w14:paraId="7A4DEF6E" w14:textId="77777777" w:rsidR="009B5FE1" w:rsidRPr="00B80AA5" w:rsidRDefault="009B5FE1" w:rsidP="009B5FE1">
            <w:pPr>
              <w:spacing w:before="20" w:after="20" w:line="240" w:lineRule="auto"/>
              <w:jc w:val="both"/>
              <w:rPr>
                <w:rFonts w:ascii="Arial Narrow" w:eastAsia="Arial Narrow" w:hAnsi="Arial Narrow" w:cs="Arial Narrow"/>
                <w:color w:val="FF0000"/>
                <w:sz w:val="20"/>
                <w:szCs w:val="20"/>
                <w:lang w:eastAsia="sr-Latn-ME"/>
              </w:rPr>
            </w:pPr>
            <w:r w:rsidRPr="00B80AA5">
              <w:rPr>
                <w:rFonts w:ascii="Arial Narrow" w:eastAsia="Arial Narrow" w:hAnsi="Arial Narrow" w:cs="Arial Narrow"/>
                <w:sz w:val="20"/>
                <w:szCs w:val="20"/>
                <w:lang w:eastAsia="sr-Latn-ME"/>
              </w:rPr>
              <w:t>Završen proces sukcesije i konsoludacije ugovornog stanja u odnosu na međunarodne ugovore SFRJ/SRJ/SCG sa najmanje tri države</w:t>
            </w:r>
          </w:p>
        </w:tc>
        <w:tc>
          <w:tcPr>
            <w:tcW w:w="1824" w:type="dxa"/>
            <w:gridSpan w:val="12"/>
            <w:tcBorders>
              <w:top w:val="single" w:sz="4" w:space="0" w:color="000000"/>
              <w:left w:val="single" w:sz="4" w:space="0" w:color="000000"/>
              <w:bottom w:val="single" w:sz="4" w:space="0" w:color="000000"/>
              <w:right w:val="single" w:sz="4" w:space="0" w:color="000000"/>
            </w:tcBorders>
          </w:tcPr>
          <w:p w14:paraId="1AE7532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MVP</w:t>
            </w:r>
          </w:p>
          <w:p w14:paraId="376D291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71CDA30E" w14:textId="77777777" w:rsidR="009B5FE1" w:rsidRPr="00B80AA5" w:rsidRDefault="009B5FE1" w:rsidP="009B5FE1">
            <w:pPr>
              <w:spacing w:before="20" w:after="20" w:line="240" w:lineRule="auto"/>
              <w:jc w:val="both"/>
              <w:rPr>
                <w:rFonts w:ascii="Arial Narrow" w:eastAsia="Arial Narrow" w:hAnsi="Arial Narrow" w:cs="Arial Narrow"/>
                <w:i/>
                <w:color w:val="FF0000"/>
                <w:sz w:val="20"/>
                <w:szCs w:val="20"/>
                <w:lang w:eastAsia="sr-Latn-ME"/>
              </w:rPr>
            </w:pPr>
            <w:r w:rsidRPr="00B80AA5">
              <w:rPr>
                <w:rFonts w:ascii="Arial Narrow" w:eastAsia="Arial Narrow" w:hAnsi="Arial Narrow" w:cs="Arial Narrow"/>
                <w:sz w:val="20"/>
                <w:szCs w:val="20"/>
                <w:lang w:eastAsia="sr-Latn-ME"/>
              </w:rPr>
              <w:t>KPS</w:t>
            </w:r>
          </w:p>
        </w:tc>
        <w:tc>
          <w:tcPr>
            <w:tcW w:w="1686" w:type="dxa"/>
            <w:gridSpan w:val="7"/>
            <w:tcBorders>
              <w:top w:val="single" w:sz="4" w:space="0" w:color="000000"/>
              <w:left w:val="single" w:sz="4" w:space="0" w:color="000000"/>
              <w:bottom w:val="single" w:sz="4" w:space="0" w:color="000000"/>
              <w:right w:val="single" w:sz="4" w:space="0" w:color="000000"/>
            </w:tcBorders>
          </w:tcPr>
          <w:p w14:paraId="78F5322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I,II, III,IV kvartal</w:t>
            </w:r>
          </w:p>
          <w:p w14:paraId="71926C9E" w14:textId="77777777" w:rsidR="009B5FE1" w:rsidRPr="00B80AA5" w:rsidRDefault="009B5FE1" w:rsidP="009B5FE1">
            <w:pPr>
              <w:spacing w:before="20" w:after="20" w:line="240" w:lineRule="auto"/>
              <w:jc w:val="both"/>
              <w:rPr>
                <w:rFonts w:ascii="Arial Narrow" w:eastAsia="Arial Narrow" w:hAnsi="Arial Narrow" w:cs="Arial Narrow"/>
                <w:color w:val="FF0000"/>
                <w:sz w:val="20"/>
                <w:szCs w:val="20"/>
                <w:lang w:eastAsia="sr-Latn-ME"/>
              </w:rPr>
            </w:pPr>
          </w:p>
        </w:tc>
        <w:tc>
          <w:tcPr>
            <w:tcW w:w="2069" w:type="dxa"/>
            <w:gridSpan w:val="6"/>
            <w:tcBorders>
              <w:top w:val="single" w:sz="4" w:space="0" w:color="000000"/>
              <w:left w:val="single" w:sz="4" w:space="0" w:color="000000"/>
              <w:bottom w:val="single" w:sz="4" w:space="0" w:color="000000"/>
              <w:right w:val="single" w:sz="4" w:space="0" w:color="000000"/>
            </w:tcBorders>
          </w:tcPr>
          <w:p w14:paraId="195DD0E1" w14:textId="77777777" w:rsidR="009B5FE1" w:rsidRPr="00B80AA5" w:rsidRDefault="009B5FE1" w:rsidP="009B5FE1">
            <w:pPr>
              <w:spacing w:before="20" w:after="20" w:line="240" w:lineRule="auto"/>
              <w:jc w:val="both"/>
              <w:rPr>
                <w:rFonts w:ascii="Arial Narrow" w:eastAsia="Arial Narrow" w:hAnsi="Arial Narrow" w:cs="Arial Narrow"/>
                <w:color w:val="FF0000"/>
                <w:sz w:val="20"/>
                <w:szCs w:val="20"/>
                <w:lang w:eastAsia="sr-Latn-ME"/>
              </w:rPr>
            </w:pPr>
            <w:r w:rsidRPr="00B80AA5">
              <w:rPr>
                <w:rFonts w:ascii="Arial Narrow" w:eastAsia="Arial Narrow" w:hAnsi="Arial Narrow" w:cs="Arial Narrow"/>
                <w:sz w:val="20"/>
                <w:szCs w:val="20"/>
                <w:lang w:eastAsia="sr-Latn-ME"/>
              </w:rPr>
              <w:t>-</w:t>
            </w:r>
          </w:p>
        </w:tc>
        <w:tc>
          <w:tcPr>
            <w:tcW w:w="1310" w:type="dxa"/>
            <w:gridSpan w:val="8"/>
            <w:tcBorders>
              <w:top w:val="single" w:sz="4" w:space="0" w:color="000000"/>
              <w:left w:val="single" w:sz="4" w:space="0" w:color="000000"/>
              <w:bottom w:val="single" w:sz="4" w:space="0" w:color="000000"/>
              <w:right w:val="single" w:sz="4" w:space="0" w:color="000000"/>
            </w:tcBorders>
          </w:tcPr>
          <w:p w14:paraId="3F22F55F"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388" w:type="dxa"/>
            <w:gridSpan w:val="7"/>
            <w:tcBorders>
              <w:top w:val="single" w:sz="4" w:space="0" w:color="000000"/>
              <w:left w:val="single" w:sz="4" w:space="0" w:color="000000"/>
              <w:bottom w:val="single" w:sz="4" w:space="0" w:color="000000"/>
              <w:right w:val="single" w:sz="4" w:space="0" w:color="000000"/>
            </w:tcBorders>
          </w:tcPr>
          <w:p w14:paraId="28748839" w14:textId="3CBA19F0" w:rsidR="009B5FE1" w:rsidRPr="00F715E8" w:rsidRDefault="009B5FE1" w:rsidP="00F715E8">
            <w:pPr>
              <w:spacing w:after="0" w:line="276"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Konsolidacija ugovornog stanja od značaja je za primjenjivanje i preuzimanje međunarodnih ugovora i sporazuma koje su zaključile SFRJ/SRJ/SCG, a koji se odnose na Crnu Goru i koji su u</w:t>
            </w:r>
            <w:r w:rsidR="00F715E8">
              <w:rPr>
                <w:rFonts w:ascii="Arial Narrow" w:eastAsia="Arial Narrow" w:hAnsi="Arial Narrow" w:cs="Arial Narrow"/>
                <w:sz w:val="20"/>
                <w:szCs w:val="20"/>
                <w:lang w:eastAsia="sr-Latn-ME"/>
              </w:rPr>
              <w:t xml:space="preserve"> </w:t>
            </w:r>
            <w:r w:rsidRPr="00B80AA5">
              <w:rPr>
                <w:rFonts w:ascii="Arial Narrow" w:eastAsia="Arial Narrow" w:hAnsi="Arial Narrow" w:cs="Arial Narrow"/>
                <w:sz w:val="20"/>
                <w:szCs w:val="20"/>
                <w:lang w:eastAsia="sr-Latn-ME"/>
              </w:rPr>
              <w:t xml:space="preserve">saglasnosti sa njenim pravnim poretkom. </w:t>
            </w:r>
          </w:p>
        </w:tc>
      </w:tr>
      <w:tr w:rsidR="009B5FE1" w:rsidRPr="00B80AA5" w14:paraId="29C54AE1" w14:textId="77777777" w:rsidTr="00DF2E8E">
        <w:trPr>
          <w:gridAfter w:val="2"/>
          <w:wAfter w:w="63" w:type="dxa"/>
          <w:trHeight w:val="2395"/>
        </w:trPr>
        <w:tc>
          <w:tcPr>
            <w:tcW w:w="732" w:type="dxa"/>
            <w:gridSpan w:val="5"/>
            <w:tcBorders>
              <w:top w:val="single" w:sz="4" w:space="0" w:color="000000"/>
              <w:left w:val="single" w:sz="4" w:space="0" w:color="000000"/>
              <w:bottom w:val="single" w:sz="4" w:space="0" w:color="000000"/>
              <w:right w:val="single" w:sz="4" w:space="0" w:color="000000"/>
            </w:tcBorders>
          </w:tcPr>
          <w:p w14:paraId="5F0E11EA" w14:textId="77DC5BEA"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1</w:t>
            </w:r>
            <w:r w:rsidR="00F715E8">
              <w:rPr>
                <w:rFonts w:ascii="Arial Narrow" w:eastAsia="Arial Narrow" w:hAnsi="Arial Narrow" w:cs="Arial Narrow"/>
                <w:sz w:val="20"/>
                <w:szCs w:val="20"/>
                <w:lang w:eastAsia="sr-Latn-ME"/>
              </w:rPr>
              <w:t>0</w:t>
            </w:r>
            <w:r>
              <w:rPr>
                <w:rFonts w:ascii="Arial Narrow" w:eastAsia="Arial Narrow" w:hAnsi="Arial Narrow" w:cs="Arial Narrow"/>
                <w:sz w:val="20"/>
                <w:szCs w:val="20"/>
                <w:lang w:eastAsia="sr-Latn-ME"/>
              </w:rPr>
              <w:t>.</w:t>
            </w:r>
          </w:p>
        </w:tc>
        <w:tc>
          <w:tcPr>
            <w:tcW w:w="2227" w:type="dxa"/>
            <w:gridSpan w:val="7"/>
            <w:tcBorders>
              <w:top w:val="single" w:sz="4" w:space="0" w:color="000000"/>
              <w:left w:val="single" w:sz="4" w:space="0" w:color="000000"/>
              <w:bottom w:val="single" w:sz="4" w:space="0" w:color="000000"/>
              <w:right w:val="single" w:sz="4" w:space="0" w:color="000000"/>
            </w:tcBorders>
          </w:tcPr>
          <w:p w14:paraId="39D225C9" w14:textId="77777777" w:rsidR="009B5FE1" w:rsidRPr="00B80AA5" w:rsidRDefault="009B5FE1" w:rsidP="009B5FE1">
            <w:pPr>
              <w:spacing w:after="0" w:line="276"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Iniciranje postupka sukcesije, odnosno konsolidacije ugovornog stanja sa državama sa kojima postupak nije započet</w:t>
            </w:r>
          </w:p>
          <w:p w14:paraId="4E005973" w14:textId="77777777" w:rsidR="009B5FE1" w:rsidRPr="00B80AA5" w:rsidRDefault="009B5FE1" w:rsidP="009B5FE1">
            <w:pPr>
              <w:spacing w:after="0" w:line="276" w:lineRule="auto"/>
              <w:jc w:val="both"/>
              <w:rPr>
                <w:rFonts w:ascii="Arial Narrow" w:eastAsia="Arial Narrow" w:hAnsi="Arial Narrow" w:cs="Arial Narrow"/>
                <w:sz w:val="20"/>
                <w:szCs w:val="20"/>
                <w:lang w:eastAsia="sr-Latn-ME"/>
              </w:rPr>
            </w:pPr>
          </w:p>
          <w:p w14:paraId="7E746AEA" w14:textId="77777777" w:rsidR="009B5FE1" w:rsidRPr="00B80AA5" w:rsidRDefault="009B5FE1" w:rsidP="009B5FE1">
            <w:pPr>
              <w:spacing w:after="0" w:line="276"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Tematska</w:t>
            </w:r>
          </w:p>
        </w:tc>
        <w:tc>
          <w:tcPr>
            <w:tcW w:w="2677" w:type="dxa"/>
            <w:gridSpan w:val="7"/>
            <w:tcBorders>
              <w:top w:val="single" w:sz="4" w:space="0" w:color="000000"/>
              <w:left w:val="single" w:sz="4" w:space="0" w:color="000000"/>
              <w:bottom w:val="single" w:sz="4" w:space="0" w:color="000000"/>
              <w:right w:val="single" w:sz="4" w:space="0" w:color="000000"/>
            </w:tcBorders>
          </w:tcPr>
          <w:p w14:paraId="5336808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Broj dostavljenih i prihvaćenih inicijativa </w:t>
            </w:r>
          </w:p>
          <w:p w14:paraId="6CEE90A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172FC13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Broj država sa kojima je završena sukcesija ugovornog stanja u odnosu na međunarodne ugovore SFRJ/SRJ/SCG</w:t>
            </w:r>
          </w:p>
        </w:tc>
        <w:tc>
          <w:tcPr>
            <w:tcW w:w="1835" w:type="dxa"/>
            <w:gridSpan w:val="11"/>
            <w:tcBorders>
              <w:top w:val="single" w:sz="4" w:space="0" w:color="000000"/>
              <w:left w:val="single" w:sz="4" w:space="0" w:color="000000"/>
              <w:bottom w:val="single" w:sz="4" w:space="0" w:color="000000"/>
              <w:right w:val="single" w:sz="4" w:space="0" w:color="000000"/>
            </w:tcBorders>
          </w:tcPr>
          <w:p w14:paraId="1E151D1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MVP</w:t>
            </w:r>
          </w:p>
          <w:p w14:paraId="2B0A1D0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3E0954D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KPS</w:t>
            </w:r>
          </w:p>
        </w:tc>
        <w:tc>
          <w:tcPr>
            <w:tcW w:w="1692" w:type="dxa"/>
            <w:gridSpan w:val="8"/>
            <w:tcBorders>
              <w:top w:val="single" w:sz="4" w:space="0" w:color="000000"/>
              <w:left w:val="single" w:sz="4" w:space="0" w:color="000000"/>
              <w:bottom w:val="single" w:sz="4" w:space="0" w:color="000000"/>
              <w:right w:val="single" w:sz="4" w:space="0" w:color="000000"/>
            </w:tcBorders>
          </w:tcPr>
          <w:p w14:paraId="0707884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I,II, III,IV kvartal</w:t>
            </w:r>
          </w:p>
          <w:p w14:paraId="4703E80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079" w:type="dxa"/>
            <w:gridSpan w:val="6"/>
            <w:tcBorders>
              <w:top w:val="single" w:sz="4" w:space="0" w:color="000000"/>
              <w:left w:val="single" w:sz="4" w:space="0" w:color="000000"/>
              <w:bottom w:val="single" w:sz="4" w:space="0" w:color="000000"/>
              <w:right w:val="single" w:sz="4" w:space="0" w:color="000000"/>
            </w:tcBorders>
          </w:tcPr>
          <w:p w14:paraId="7BE94562" w14:textId="77777777" w:rsidR="009B5FE1" w:rsidRPr="00B80AA5" w:rsidRDefault="009B5FE1" w:rsidP="009B5FE1">
            <w:pPr>
              <w:spacing w:before="20" w:after="20" w:line="240" w:lineRule="auto"/>
              <w:jc w:val="both"/>
              <w:rPr>
                <w:rFonts w:ascii="Arial Narrow" w:eastAsia="Arial Narrow" w:hAnsi="Arial Narrow" w:cs="Arial Narrow"/>
                <w:color w:val="FF0000"/>
                <w:sz w:val="20"/>
                <w:szCs w:val="20"/>
                <w:lang w:eastAsia="sr-Latn-ME"/>
              </w:rPr>
            </w:pPr>
            <w:r w:rsidRPr="00B80AA5">
              <w:rPr>
                <w:rFonts w:ascii="Arial Narrow" w:eastAsia="Arial Narrow" w:hAnsi="Arial Narrow" w:cs="Arial Narrow"/>
                <w:sz w:val="20"/>
                <w:szCs w:val="20"/>
                <w:lang w:eastAsia="sr-Latn-ME"/>
              </w:rPr>
              <w:t>-</w:t>
            </w:r>
          </w:p>
        </w:tc>
        <w:tc>
          <w:tcPr>
            <w:tcW w:w="1300" w:type="dxa"/>
            <w:gridSpan w:val="8"/>
            <w:tcBorders>
              <w:top w:val="single" w:sz="4" w:space="0" w:color="000000"/>
              <w:left w:val="single" w:sz="4" w:space="0" w:color="000000"/>
              <w:bottom w:val="single" w:sz="4" w:space="0" w:color="000000"/>
              <w:right w:val="single" w:sz="4" w:space="0" w:color="000000"/>
            </w:tcBorders>
          </w:tcPr>
          <w:p w14:paraId="3F17AF9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Budžet</w:t>
            </w:r>
          </w:p>
        </w:tc>
        <w:tc>
          <w:tcPr>
            <w:tcW w:w="2295" w:type="dxa"/>
            <w:gridSpan w:val="4"/>
            <w:tcBorders>
              <w:top w:val="single" w:sz="4" w:space="0" w:color="000000"/>
              <w:left w:val="single" w:sz="4" w:space="0" w:color="000000"/>
              <w:bottom w:val="single" w:sz="4" w:space="0" w:color="000000"/>
              <w:right w:val="single" w:sz="4" w:space="0" w:color="000000"/>
            </w:tcBorders>
          </w:tcPr>
          <w:p w14:paraId="0AB74E55" w14:textId="77777777" w:rsidR="009B5FE1" w:rsidRPr="00B80AA5" w:rsidRDefault="009B5FE1" w:rsidP="009B5FE1">
            <w:pPr>
              <w:spacing w:after="0" w:line="276"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Konsolidacija ugovornog stanja od značaja je za primjenjivanje i preuzimanje međunarodnih ugovora i sporazuma koje su zaključile SFRJ/SRJ/SCG, a koji se odnose na Crnu Goru i koji su u</w:t>
            </w:r>
          </w:p>
          <w:p w14:paraId="3544C1A3" w14:textId="77777777" w:rsidR="009B5FE1" w:rsidRPr="00B80AA5" w:rsidRDefault="009B5FE1" w:rsidP="009B5FE1">
            <w:pPr>
              <w:spacing w:after="0" w:line="276"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saglasnosti sa njenim pravnim poretkom. </w:t>
            </w:r>
          </w:p>
        </w:tc>
      </w:tr>
      <w:tr w:rsidR="009B5FE1" w:rsidRPr="00B80AA5" w14:paraId="07E00D68" w14:textId="77777777" w:rsidTr="00DF2E8E">
        <w:trPr>
          <w:trHeight w:val="145"/>
        </w:trPr>
        <w:tc>
          <w:tcPr>
            <w:tcW w:w="2886" w:type="dxa"/>
            <w:gridSpan w:val="8"/>
            <w:tcBorders>
              <w:top w:val="single" w:sz="4" w:space="0" w:color="000000"/>
              <w:left w:val="single" w:sz="4" w:space="0" w:color="000000"/>
              <w:bottom w:val="single" w:sz="4" w:space="0" w:color="000000"/>
              <w:right w:val="single" w:sz="4" w:space="0" w:color="000000"/>
            </w:tcBorders>
            <w:shd w:val="clear" w:color="auto" w:fill="D9E2F3"/>
          </w:tcPr>
          <w:p w14:paraId="10D66A37" w14:textId="77777777" w:rsidR="009B5FE1" w:rsidRPr="002466AA" w:rsidRDefault="009B5FE1" w:rsidP="009B5FE1">
            <w:pPr>
              <w:spacing w:before="40" w:after="40" w:line="240" w:lineRule="auto"/>
              <w:jc w:val="center"/>
              <w:rPr>
                <w:rFonts w:ascii="Arial Narrow" w:eastAsia="Arial Narrow" w:hAnsi="Arial Narrow" w:cs="Arial Narrow"/>
                <w:b/>
                <w:sz w:val="20"/>
                <w:szCs w:val="20"/>
                <w:lang w:eastAsia="sr-Latn-ME"/>
              </w:rPr>
            </w:pPr>
            <w:bookmarkStart w:id="57" w:name="_Hlk89635178"/>
            <w:r w:rsidRPr="002466AA">
              <w:rPr>
                <w:rFonts w:ascii="Arial Narrow" w:eastAsia="Arial Narrow" w:hAnsi="Arial Narrow" w:cs="Arial Narrow"/>
                <w:b/>
                <w:sz w:val="20"/>
                <w:szCs w:val="20"/>
                <w:lang w:eastAsia="sr-Latn-ME"/>
              </w:rPr>
              <w:lastRenderedPageBreak/>
              <w:t>Cilj 6.6.</w:t>
            </w:r>
          </w:p>
          <w:p w14:paraId="0CB5769B" w14:textId="77777777" w:rsidR="009B5FE1" w:rsidRPr="002466AA" w:rsidRDefault="009B5FE1" w:rsidP="009B5FE1">
            <w:pPr>
              <w:spacing w:before="40" w:after="40" w:line="240" w:lineRule="auto"/>
              <w:jc w:val="center"/>
              <w:rPr>
                <w:rFonts w:ascii="Arial Narrow" w:eastAsia="Arial Narrow" w:hAnsi="Arial Narrow" w:cs="Arial Narrow"/>
                <w:b/>
                <w:sz w:val="20"/>
                <w:szCs w:val="20"/>
                <w:lang w:eastAsia="sr-Latn-ME"/>
              </w:rPr>
            </w:pPr>
          </w:p>
        </w:tc>
        <w:tc>
          <w:tcPr>
            <w:tcW w:w="12014" w:type="dxa"/>
            <w:gridSpan w:val="50"/>
            <w:tcBorders>
              <w:top w:val="single" w:sz="4" w:space="0" w:color="000000"/>
              <w:left w:val="single" w:sz="4" w:space="0" w:color="000000"/>
              <w:bottom w:val="single" w:sz="4" w:space="0" w:color="000000"/>
              <w:right w:val="single" w:sz="4" w:space="0" w:color="000000"/>
            </w:tcBorders>
            <w:shd w:val="clear" w:color="auto" w:fill="D9E2F3"/>
          </w:tcPr>
          <w:p w14:paraId="2893DBBF" w14:textId="77777777" w:rsidR="009B5FE1" w:rsidRPr="002466AA" w:rsidRDefault="009B5FE1" w:rsidP="009B5FE1">
            <w:pPr>
              <w:spacing w:before="40" w:after="40" w:line="240" w:lineRule="auto"/>
              <w:jc w:val="both"/>
              <w:rPr>
                <w:rFonts w:ascii="Arial Narrow" w:eastAsia="Arial Narrow" w:hAnsi="Arial Narrow" w:cs="Arial Narrow"/>
                <w:b/>
                <w:sz w:val="20"/>
                <w:szCs w:val="20"/>
                <w:lang w:eastAsia="sr-Latn-ME"/>
              </w:rPr>
            </w:pPr>
            <w:r w:rsidRPr="002466AA">
              <w:rPr>
                <w:rFonts w:ascii="Arial Narrow" w:eastAsia="Arial Narrow" w:hAnsi="Arial Narrow" w:cs="Arial Narrow"/>
                <w:b/>
                <w:sz w:val="20"/>
                <w:szCs w:val="20"/>
                <w:lang w:eastAsia="sr-Latn-ME"/>
              </w:rPr>
              <w:t xml:space="preserve"> Unapređenje sistema odbrane Crne Gore</w:t>
            </w:r>
          </w:p>
          <w:p w14:paraId="4B61F425" w14:textId="77777777" w:rsidR="009B5FE1" w:rsidRPr="002466AA" w:rsidRDefault="009B5FE1" w:rsidP="009B5FE1">
            <w:pPr>
              <w:spacing w:before="40" w:after="40" w:line="240" w:lineRule="auto"/>
              <w:jc w:val="both"/>
              <w:rPr>
                <w:rFonts w:ascii="Arial Narrow" w:eastAsia="Arial Narrow" w:hAnsi="Arial Narrow" w:cs="Arial Narrow"/>
                <w:b/>
                <w:sz w:val="20"/>
                <w:szCs w:val="20"/>
                <w:lang w:eastAsia="sr-Latn-ME"/>
              </w:rPr>
            </w:pPr>
          </w:p>
        </w:tc>
      </w:tr>
      <w:tr w:rsidR="009B5FE1" w:rsidRPr="00B80AA5" w14:paraId="0A6222AB" w14:textId="77777777" w:rsidTr="00DF2E8E">
        <w:trPr>
          <w:trHeight w:val="145"/>
        </w:trPr>
        <w:tc>
          <w:tcPr>
            <w:tcW w:w="2886" w:type="dxa"/>
            <w:gridSpan w:val="8"/>
            <w:tcBorders>
              <w:top w:val="single" w:sz="4" w:space="0" w:color="000000"/>
              <w:left w:val="single" w:sz="4" w:space="0" w:color="000000"/>
              <w:bottom w:val="single" w:sz="4" w:space="0" w:color="000000"/>
              <w:right w:val="single" w:sz="4" w:space="0" w:color="000000"/>
            </w:tcBorders>
            <w:shd w:val="clear" w:color="auto" w:fill="DAF2F6"/>
          </w:tcPr>
          <w:p w14:paraId="396EF9B7"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Indikator učinka</w:t>
            </w:r>
          </w:p>
        </w:tc>
        <w:tc>
          <w:tcPr>
            <w:tcW w:w="3101" w:type="dxa"/>
            <w:gridSpan w:val="13"/>
            <w:tcBorders>
              <w:top w:val="single" w:sz="4" w:space="0" w:color="000000"/>
              <w:left w:val="single" w:sz="4" w:space="0" w:color="000000"/>
              <w:bottom w:val="single" w:sz="4" w:space="0" w:color="000000"/>
              <w:right w:val="single" w:sz="4" w:space="0" w:color="000000"/>
            </w:tcBorders>
            <w:shd w:val="clear" w:color="auto" w:fill="DAF2F6"/>
          </w:tcPr>
          <w:p w14:paraId="716EBE64"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Polazna vrijednost – 2021.g</w:t>
            </w:r>
          </w:p>
        </w:tc>
        <w:tc>
          <w:tcPr>
            <w:tcW w:w="2948" w:type="dxa"/>
            <w:gridSpan w:val="13"/>
            <w:tcBorders>
              <w:top w:val="single" w:sz="4" w:space="0" w:color="000000"/>
              <w:left w:val="single" w:sz="4" w:space="0" w:color="000000"/>
              <w:bottom w:val="single" w:sz="4" w:space="0" w:color="000000"/>
              <w:right w:val="single" w:sz="4" w:space="0" w:color="000000"/>
            </w:tcBorders>
            <w:shd w:val="clear" w:color="auto" w:fill="DAF2F6"/>
            <w:vAlign w:val="center"/>
          </w:tcPr>
          <w:p w14:paraId="408AE529"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2022.g</w:t>
            </w:r>
          </w:p>
        </w:tc>
        <w:tc>
          <w:tcPr>
            <w:tcW w:w="2897" w:type="dxa"/>
            <w:gridSpan w:val="12"/>
            <w:tcBorders>
              <w:top w:val="single" w:sz="4" w:space="0" w:color="000000"/>
              <w:left w:val="single" w:sz="4" w:space="0" w:color="000000"/>
              <w:bottom w:val="single" w:sz="4" w:space="0" w:color="FFFFFF"/>
              <w:right w:val="single" w:sz="4" w:space="0" w:color="000000"/>
            </w:tcBorders>
            <w:shd w:val="clear" w:color="auto" w:fill="DAF2F6"/>
            <w:vAlign w:val="center"/>
          </w:tcPr>
          <w:p w14:paraId="2B861FDA"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2023.g</w:t>
            </w:r>
          </w:p>
        </w:tc>
        <w:tc>
          <w:tcPr>
            <w:tcW w:w="3068" w:type="dxa"/>
            <w:gridSpan w:val="12"/>
            <w:tcBorders>
              <w:top w:val="single" w:sz="4" w:space="0" w:color="000000"/>
              <w:left w:val="single" w:sz="4" w:space="0" w:color="000000"/>
              <w:bottom w:val="single" w:sz="4" w:space="0" w:color="FFFFFF"/>
              <w:right w:val="single" w:sz="4" w:space="0" w:color="000000"/>
            </w:tcBorders>
            <w:shd w:val="clear" w:color="auto" w:fill="DAF2F6"/>
            <w:vAlign w:val="center"/>
          </w:tcPr>
          <w:p w14:paraId="5380AC63"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Ciljna vrijednost - 2024.g</w:t>
            </w:r>
          </w:p>
        </w:tc>
      </w:tr>
      <w:tr w:rsidR="009B5FE1" w:rsidRPr="00B80AA5" w14:paraId="27C90AD2" w14:textId="77777777" w:rsidTr="00DF2E8E">
        <w:trPr>
          <w:trHeight w:val="967"/>
        </w:trPr>
        <w:tc>
          <w:tcPr>
            <w:tcW w:w="2886" w:type="dxa"/>
            <w:gridSpan w:val="8"/>
            <w:tcBorders>
              <w:top w:val="single" w:sz="4" w:space="0" w:color="000000"/>
              <w:left w:val="single" w:sz="4" w:space="0" w:color="000000"/>
              <w:bottom w:val="single" w:sz="4" w:space="0" w:color="000000"/>
              <w:right w:val="single" w:sz="4" w:space="0" w:color="000000"/>
            </w:tcBorders>
            <w:shd w:val="clear" w:color="auto" w:fill="DAF2F6"/>
          </w:tcPr>
          <w:p w14:paraId="367AE7CE" w14:textId="6AD2C781"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Umanjenje procenta viškova ubojnih sredstava i municije smanjene stabilnosti</w:t>
            </w:r>
          </w:p>
        </w:tc>
        <w:tc>
          <w:tcPr>
            <w:tcW w:w="3101" w:type="dxa"/>
            <w:gridSpan w:val="13"/>
            <w:tcBorders>
              <w:top w:val="single" w:sz="4" w:space="0" w:color="000000"/>
              <w:left w:val="single" w:sz="4" w:space="0" w:color="000000"/>
              <w:bottom w:val="single" w:sz="4" w:space="0" w:color="000000"/>
              <w:right w:val="single" w:sz="4" w:space="0" w:color="000000"/>
            </w:tcBorders>
            <w:shd w:val="clear" w:color="auto" w:fill="DAF2F6"/>
            <w:vAlign w:val="center"/>
          </w:tcPr>
          <w:p w14:paraId="241B8DB9"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0 %</w:t>
            </w:r>
          </w:p>
        </w:tc>
        <w:tc>
          <w:tcPr>
            <w:tcW w:w="2948" w:type="dxa"/>
            <w:gridSpan w:val="13"/>
            <w:tcBorders>
              <w:top w:val="single" w:sz="4" w:space="0" w:color="000000"/>
              <w:left w:val="single" w:sz="4" w:space="0" w:color="000000"/>
              <w:bottom w:val="single" w:sz="4" w:space="0" w:color="000000"/>
              <w:right w:val="single" w:sz="4" w:space="0" w:color="000000"/>
            </w:tcBorders>
            <w:shd w:val="clear" w:color="auto" w:fill="DAF2F6"/>
            <w:vAlign w:val="center"/>
          </w:tcPr>
          <w:p w14:paraId="5018BB69"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2 %</w:t>
            </w:r>
          </w:p>
        </w:tc>
        <w:tc>
          <w:tcPr>
            <w:tcW w:w="2897" w:type="dxa"/>
            <w:gridSpan w:val="12"/>
            <w:tcBorders>
              <w:top w:val="single" w:sz="4" w:space="0" w:color="000000"/>
              <w:left w:val="single" w:sz="4" w:space="0" w:color="000000"/>
              <w:bottom w:val="single" w:sz="4" w:space="0" w:color="000000"/>
              <w:right w:val="single" w:sz="4" w:space="0" w:color="000000"/>
            </w:tcBorders>
            <w:shd w:val="clear" w:color="auto" w:fill="DAF2F6"/>
            <w:vAlign w:val="center"/>
          </w:tcPr>
          <w:p w14:paraId="5FDA96BD"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5 %</w:t>
            </w:r>
          </w:p>
        </w:tc>
        <w:tc>
          <w:tcPr>
            <w:tcW w:w="3068" w:type="dxa"/>
            <w:gridSpan w:val="12"/>
            <w:tcBorders>
              <w:top w:val="single" w:sz="4" w:space="0" w:color="000000"/>
              <w:left w:val="single" w:sz="4" w:space="0" w:color="000000"/>
              <w:bottom w:val="single" w:sz="4" w:space="0" w:color="000000"/>
              <w:right w:val="single" w:sz="4" w:space="0" w:color="000000"/>
            </w:tcBorders>
            <w:shd w:val="clear" w:color="auto" w:fill="DAF2F6"/>
            <w:vAlign w:val="center"/>
          </w:tcPr>
          <w:p w14:paraId="5FD5CA91"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7 %</w:t>
            </w:r>
          </w:p>
        </w:tc>
      </w:tr>
      <w:bookmarkEnd w:id="57"/>
      <w:tr w:rsidR="009B5FE1" w:rsidRPr="00B80AA5" w14:paraId="2DFDE1B4" w14:textId="77777777" w:rsidTr="00DF2E8E">
        <w:trPr>
          <w:trHeight w:val="145"/>
        </w:trPr>
        <w:tc>
          <w:tcPr>
            <w:tcW w:w="2886" w:type="dxa"/>
            <w:gridSpan w:val="8"/>
            <w:tcBorders>
              <w:top w:val="single" w:sz="4" w:space="0" w:color="000000"/>
              <w:left w:val="single" w:sz="4" w:space="0" w:color="000000"/>
              <w:bottom w:val="single" w:sz="4" w:space="0" w:color="000000"/>
              <w:right w:val="single" w:sz="4" w:space="0" w:color="000000"/>
            </w:tcBorders>
            <w:shd w:val="clear" w:color="auto" w:fill="FFF2CC"/>
            <w:vAlign w:val="center"/>
          </w:tcPr>
          <w:p w14:paraId="2F566D10"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Aktivnosti</w:t>
            </w:r>
          </w:p>
        </w:tc>
        <w:tc>
          <w:tcPr>
            <w:tcW w:w="2589" w:type="dxa"/>
            <w:gridSpan w:val="8"/>
            <w:tcBorders>
              <w:top w:val="single" w:sz="4" w:space="0" w:color="000000"/>
              <w:left w:val="single" w:sz="4" w:space="0" w:color="000000"/>
              <w:bottom w:val="single" w:sz="4" w:space="0" w:color="000000"/>
              <w:right w:val="single" w:sz="4" w:space="0" w:color="000000"/>
            </w:tcBorders>
            <w:shd w:val="clear" w:color="auto" w:fill="FFF2CC"/>
            <w:vAlign w:val="center"/>
          </w:tcPr>
          <w:p w14:paraId="21A2DA87"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Indikator rezultata</w:t>
            </w:r>
          </w:p>
        </w:tc>
        <w:tc>
          <w:tcPr>
            <w:tcW w:w="1799" w:type="dxa"/>
            <w:gridSpan w:val="11"/>
            <w:tcBorders>
              <w:top w:val="single" w:sz="4" w:space="0" w:color="000000"/>
              <w:left w:val="single" w:sz="4" w:space="0" w:color="000000"/>
              <w:bottom w:val="single" w:sz="4" w:space="0" w:color="000000"/>
              <w:right w:val="single" w:sz="4" w:space="0" w:color="000000"/>
            </w:tcBorders>
            <w:shd w:val="clear" w:color="auto" w:fill="FFF2CC"/>
            <w:vAlign w:val="center"/>
          </w:tcPr>
          <w:p w14:paraId="7FA62D1A"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Nadležne institucije i nadležna komisija</w:t>
            </w:r>
          </w:p>
        </w:tc>
        <w:tc>
          <w:tcPr>
            <w:tcW w:w="1661"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251D4A43"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Planirani početak i završetak aktivnosti</w:t>
            </w:r>
          </w:p>
        </w:tc>
        <w:tc>
          <w:tcPr>
            <w:tcW w:w="2266" w:type="dxa"/>
            <w:gridSpan w:val="9"/>
            <w:tcBorders>
              <w:top w:val="single" w:sz="4" w:space="0" w:color="000000"/>
              <w:left w:val="single" w:sz="4" w:space="0" w:color="000000"/>
              <w:bottom w:val="single" w:sz="4" w:space="0" w:color="000000"/>
              <w:right w:val="single" w:sz="4" w:space="0" w:color="000000"/>
            </w:tcBorders>
            <w:shd w:val="clear" w:color="auto" w:fill="FFF2CC"/>
            <w:vAlign w:val="center"/>
          </w:tcPr>
          <w:p w14:paraId="6FB6C414"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Sredstva za realizaciju  i informacija o izradi RIA</w:t>
            </w:r>
          </w:p>
        </w:tc>
        <w:tc>
          <w:tcPr>
            <w:tcW w:w="1326" w:type="dxa"/>
            <w:gridSpan w:val="8"/>
            <w:tcBorders>
              <w:top w:val="single" w:sz="4" w:space="0" w:color="000000"/>
              <w:left w:val="single" w:sz="4" w:space="0" w:color="000000"/>
              <w:bottom w:val="single" w:sz="4" w:space="0" w:color="000000"/>
              <w:right w:val="single" w:sz="4" w:space="0" w:color="000000"/>
            </w:tcBorders>
            <w:shd w:val="clear" w:color="auto" w:fill="FFF2CC"/>
            <w:vAlign w:val="center"/>
          </w:tcPr>
          <w:p w14:paraId="518D2801"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 xml:space="preserve"> Izvor finansiranja</w:t>
            </w:r>
          </w:p>
        </w:tc>
        <w:tc>
          <w:tcPr>
            <w:tcW w:w="2373"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2F448834"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p>
          <w:p w14:paraId="732A048F"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Obrazloženje</w:t>
            </w:r>
          </w:p>
        </w:tc>
      </w:tr>
      <w:tr w:rsidR="009B5FE1" w:rsidRPr="00B80AA5" w14:paraId="61F2E917" w14:textId="77777777" w:rsidTr="00DF2E8E">
        <w:trPr>
          <w:trHeight w:val="2469"/>
        </w:trPr>
        <w:tc>
          <w:tcPr>
            <w:tcW w:w="707" w:type="dxa"/>
            <w:gridSpan w:val="3"/>
            <w:tcBorders>
              <w:top w:val="single" w:sz="4" w:space="0" w:color="000000"/>
              <w:left w:val="single" w:sz="4" w:space="0" w:color="000000"/>
              <w:bottom w:val="single" w:sz="4" w:space="0" w:color="000000"/>
              <w:right w:val="single" w:sz="4" w:space="0" w:color="000000"/>
            </w:tcBorders>
          </w:tcPr>
          <w:p w14:paraId="7FC884B0" w14:textId="77777777" w:rsidR="009B5FE1" w:rsidRPr="00C642DC" w:rsidRDefault="009B5FE1" w:rsidP="009B5FE1">
            <w:pPr>
              <w:spacing w:before="20" w:after="20" w:line="240" w:lineRule="auto"/>
              <w:rPr>
                <w:rFonts w:ascii="Arial Narrow" w:eastAsia="Calibri" w:hAnsi="Arial Narrow" w:cs="Calibri"/>
                <w:sz w:val="20"/>
                <w:szCs w:val="20"/>
                <w:lang w:eastAsia="sr-Latn-ME"/>
              </w:rPr>
            </w:pPr>
            <w:r w:rsidRPr="00C642DC">
              <w:rPr>
                <w:rFonts w:ascii="Arial Narrow" w:eastAsia="Calibri" w:hAnsi="Arial Narrow" w:cs="Calibri"/>
                <w:sz w:val="20"/>
                <w:szCs w:val="20"/>
                <w:lang w:eastAsia="sr-Latn-ME"/>
              </w:rPr>
              <w:t>1.</w:t>
            </w:r>
          </w:p>
        </w:tc>
        <w:tc>
          <w:tcPr>
            <w:tcW w:w="2179" w:type="dxa"/>
            <w:gridSpan w:val="5"/>
            <w:tcBorders>
              <w:top w:val="single" w:sz="4" w:space="0" w:color="000000"/>
              <w:left w:val="single" w:sz="4" w:space="0" w:color="000000"/>
              <w:bottom w:val="single" w:sz="4" w:space="0" w:color="000000"/>
              <w:right w:val="single" w:sz="4" w:space="0" w:color="000000"/>
            </w:tcBorders>
          </w:tcPr>
          <w:p w14:paraId="4A974D05"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Donošenje Odluke o mjerama pripravnosti nosilaca priprema za odbranu i Uputstva za izradu Plana odbrane Crne Gore i predloga</w:t>
            </w:r>
          </w:p>
        </w:tc>
        <w:tc>
          <w:tcPr>
            <w:tcW w:w="2589" w:type="dxa"/>
            <w:gridSpan w:val="8"/>
            <w:tcBorders>
              <w:top w:val="single" w:sz="4" w:space="0" w:color="000000"/>
              <w:left w:val="single" w:sz="4" w:space="0" w:color="000000"/>
              <w:bottom w:val="single" w:sz="4" w:space="0" w:color="000000"/>
              <w:right w:val="single" w:sz="4" w:space="0" w:color="000000"/>
            </w:tcBorders>
          </w:tcPr>
          <w:p w14:paraId="2972A70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Vlada je donijela  Odluku o mjerama pripravnosti nosilaca priprema za odbranu, a Ministarstvo odbrane donijelo je Uputstvo za izradu Plana odbrane Crne Gore </w:t>
            </w:r>
          </w:p>
        </w:tc>
        <w:tc>
          <w:tcPr>
            <w:tcW w:w="1799" w:type="dxa"/>
            <w:gridSpan w:val="11"/>
            <w:tcBorders>
              <w:top w:val="single" w:sz="4" w:space="0" w:color="000000"/>
              <w:left w:val="single" w:sz="4" w:space="0" w:color="000000"/>
              <w:bottom w:val="single" w:sz="4" w:space="0" w:color="000000"/>
              <w:right w:val="single" w:sz="4" w:space="0" w:color="000000"/>
            </w:tcBorders>
          </w:tcPr>
          <w:p w14:paraId="2E7EE58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tc>
        <w:tc>
          <w:tcPr>
            <w:tcW w:w="1661" w:type="dxa"/>
            <w:gridSpan w:val="7"/>
            <w:tcBorders>
              <w:top w:val="single" w:sz="4" w:space="0" w:color="000000"/>
              <w:left w:val="single" w:sz="4" w:space="0" w:color="000000"/>
              <w:bottom w:val="single" w:sz="4" w:space="0" w:color="000000"/>
              <w:right w:val="single" w:sz="4" w:space="0" w:color="000000"/>
            </w:tcBorders>
          </w:tcPr>
          <w:p w14:paraId="55383D0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 - II Q </w:t>
            </w:r>
          </w:p>
          <w:p w14:paraId="698A9008"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2022. g</w:t>
            </w:r>
          </w:p>
          <w:p w14:paraId="03C4763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266" w:type="dxa"/>
            <w:gridSpan w:val="9"/>
            <w:tcBorders>
              <w:top w:val="single" w:sz="4" w:space="0" w:color="000000"/>
              <w:left w:val="single" w:sz="4" w:space="0" w:color="000000"/>
              <w:bottom w:val="single" w:sz="4" w:space="0" w:color="000000"/>
              <w:right w:val="single" w:sz="4" w:space="0" w:color="000000"/>
            </w:tcBorders>
          </w:tcPr>
          <w:p w14:paraId="22F83117"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Za realizaciju aktivnosti nijesu potrebna finansijska sredstva</w:t>
            </w:r>
          </w:p>
        </w:tc>
        <w:tc>
          <w:tcPr>
            <w:tcW w:w="1326" w:type="dxa"/>
            <w:gridSpan w:val="8"/>
            <w:tcBorders>
              <w:top w:val="single" w:sz="4" w:space="0" w:color="000000"/>
              <w:left w:val="single" w:sz="4" w:space="0" w:color="000000"/>
              <w:bottom w:val="single" w:sz="4" w:space="0" w:color="000000"/>
              <w:right w:val="single" w:sz="4" w:space="0" w:color="000000"/>
            </w:tcBorders>
          </w:tcPr>
          <w:p w14:paraId="268004AB"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w:t>
            </w:r>
          </w:p>
        </w:tc>
        <w:tc>
          <w:tcPr>
            <w:tcW w:w="2373" w:type="dxa"/>
            <w:gridSpan w:val="7"/>
            <w:tcBorders>
              <w:top w:val="single" w:sz="4" w:space="0" w:color="000000"/>
              <w:left w:val="single" w:sz="4" w:space="0" w:color="000000"/>
              <w:bottom w:val="single" w:sz="4" w:space="0" w:color="000000"/>
              <w:right w:val="single" w:sz="4" w:space="0" w:color="000000"/>
            </w:tcBorders>
          </w:tcPr>
          <w:p w14:paraId="183FC846"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Donošenjem ovih podzakonskih akata stvoriće se uslovi da Plan odbrane Crne Gore bude usklađen sa NATO standardima</w:t>
            </w:r>
          </w:p>
        </w:tc>
      </w:tr>
      <w:tr w:rsidR="009B5FE1" w:rsidRPr="00B80AA5" w14:paraId="42359378" w14:textId="77777777" w:rsidTr="00DF2E8E">
        <w:trPr>
          <w:trHeight w:val="145"/>
        </w:trPr>
        <w:tc>
          <w:tcPr>
            <w:tcW w:w="707" w:type="dxa"/>
            <w:gridSpan w:val="3"/>
            <w:tcBorders>
              <w:top w:val="single" w:sz="4" w:space="0" w:color="000000"/>
              <w:left w:val="single" w:sz="4" w:space="0" w:color="000000"/>
              <w:bottom w:val="single" w:sz="4" w:space="0" w:color="000000"/>
              <w:right w:val="single" w:sz="4" w:space="0" w:color="000000"/>
            </w:tcBorders>
          </w:tcPr>
          <w:p w14:paraId="3EE4F205" w14:textId="77777777" w:rsidR="009B5FE1" w:rsidRPr="00C642DC" w:rsidRDefault="009B5FE1" w:rsidP="009B5FE1">
            <w:pPr>
              <w:spacing w:before="20" w:after="20" w:line="240" w:lineRule="auto"/>
              <w:rPr>
                <w:rFonts w:ascii="Arial Narrow" w:eastAsia="Arial Narrow" w:hAnsi="Arial Narrow" w:cs="Arial Narrow"/>
                <w:sz w:val="20"/>
                <w:szCs w:val="20"/>
                <w:lang w:eastAsia="sr-Latn-ME"/>
              </w:rPr>
            </w:pPr>
            <w:r w:rsidRPr="00C642DC">
              <w:rPr>
                <w:rFonts w:ascii="Arial Narrow" w:eastAsia="Arial Narrow" w:hAnsi="Arial Narrow" w:cs="Arial Narrow"/>
                <w:sz w:val="20"/>
                <w:szCs w:val="20"/>
                <w:lang w:eastAsia="sr-Latn-ME"/>
              </w:rPr>
              <w:t>2.</w:t>
            </w:r>
          </w:p>
        </w:tc>
        <w:tc>
          <w:tcPr>
            <w:tcW w:w="2179" w:type="dxa"/>
            <w:gridSpan w:val="5"/>
            <w:tcBorders>
              <w:top w:val="single" w:sz="4" w:space="0" w:color="000000"/>
              <w:left w:val="single" w:sz="4" w:space="0" w:color="000000"/>
              <w:bottom w:val="single" w:sz="4" w:space="0" w:color="000000"/>
              <w:right w:val="single" w:sz="4" w:space="0" w:color="000000"/>
            </w:tcBorders>
          </w:tcPr>
          <w:p w14:paraId="70257B6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Usaglašavanje forme i sadržaja Plana odbrane sa NATO standardima</w:t>
            </w:r>
          </w:p>
        </w:tc>
        <w:tc>
          <w:tcPr>
            <w:tcW w:w="2589" w:type="dxa"/>
            <w:gridSpan w:val="8"/>
            <w:tcBorders>
              <w:top w:val="single" w:sz="4" w:space="0" w:color="000000"/>
              <w:left w:val="single" w:sz="4" w:space="0" w:color="000000"/>
              <w:bottom w:val="single" w:sz="4" w:space="0" w:color="000000"/>
              <w:right w:val="single" w:sz="4" w:space="0" w:color="000000"/>
            </w:tcBorders>
          </w:tcPr>
          <w:p w14:paraId="68FC63E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Forma i sadržaj Plana odbrane su u skladu sa NATO standardima</w:t>
            </w:r>
          </w:p>
        </w:tc>
        <w:tc>
          <w:tcPr>
            <w:tcW w:w="1799" w:type="dxa"/>
            <w:gridSpan w:val="11"/>
            <w:tcBorders>
              <w:top w:val="single" w:sz="4" w:space="0" w:color="000000"/>
              <w:left w:val="single" w:sz="4" w:space="0" w:color="000000"/>
              <w:bottom w:val="single" w:sz="4" w:space="0" w:color="000000"/>
              <w:right w:val="single" w:sz="4" w:space="0" w:color="000000"/>
            </w:tcBorders>
          </w:tcPr>
          <w:p w14:paraId="359273CF"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tc>
        <w:tc>
          <w:tcPr>
            <w:tcW w:w="1661" w:type="dxa"/>
            <w:gridSpan w:val="7"/>
            <w:tcBorders>
              <w:top w:val="single" w:sz="4" w:space="0" w:color="000000"/>
              <w:left w:val="single" w:sz="4" w:space="0" w:color="000000"/>
              <w:bottom w:val="single" w:sz="4" w:space="0" w:color="000000"/>
              <w:right w:val="single" w:sz="4" w:space="0" w:color="000000"/>
            </w:tcBorders>
          </w:tcPr>
          <w:p w14:paraId="4E71979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III – IV Q</w:t>
            </w:r>
          </w:p>
          <w:p w14:paraId="76D0D84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 2022. g</w:t>
            </w:r>
          </w:p>
        </w:tc>
        <w:tc>
          <w:tcPr>
            <w:tcW w:w="2266" w:type="dxa"/>
            <w:gridSpan w:val="9"/>
            <w:tcBorders>
              <w:top w:val="single" w:sz="4" w:space="0" w:color="000000"/>
              <w:left w:val="single" w:sz="4" w:space="0" w:color="000000"/>
              <w:bottom w:val="single" w:sz="4" w:space="0" w:color="000000"/>
              <w:right w:val="single" w:sz="4" w:space="0" w:color="000000"/>
            </w:tcBorders>
          </w:tcPr>
          <w:p w14:paraId="450577D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Redovni troškovi planirani budžetom</w:t>
            </w:r>
          </w:p>
        </w:tc>
        <w:tc>
          <w:tcPr>
            <w:tcW w:w="1326" w:type="dxa"/>
            <w:gridSpan w:val="8"/>
            <w:tcBorders>
              <w:top w:val="single" w:sz="4" w:space="0" w:color="000000"/>
              <w:left w:val="single" w:sz="4" w:space="0" w:color="000000"/>
              <w:bottom w:val="single" w:sz="4" w:space="0" w:color="000000"/>
              <w:right w:val="single" w:sz="4" w:space="0" w:color="000000"/>
            </w:tcBorders>
          </w:tcPr>
          <w:p w14:paraId="7DD2D2A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Budžet</w:t>
            </w:r>
          </w:p>
        </w:tc>
        <w:tc>
          <w:tcPr>
            <w:tcW w:w="2373" w:type="dxa"/>
            <w:gridSpan w:val="7"/>
            <w:tcBorders>
              <w:top w:val="single" w:sz="4" w:space="0" w:color="000000"/>
              <w:left w:val="single" w:sz="4" w:space="0" w:color="000000"/>
              <w:bottom w:val="single" w:sz="4" w:space="0" w:color="000000"/>
              <w:right w:val="single" w:sz="4" w:space="0" w:color="000000"/>
            </w:tcBorders>
          </w:tcPr>
          <w:p w14:paraId="1BE884A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Usaglašena forma Plana odbrane zadovoljava postojeće NATO standarde</w:t>
            </w:r>
          </w:p>
        </w:tc>
      </w:tr>
      <w:tr w:rsidR="009B5FE1" w:rsidRPr="00B80AA5" w14:paraId="62028563" w14:textId="77777777" w:rsidTr="00DF2E8E">
        <w:trPr>
          <w:trHeight w:val="145"/>
        </w:trPr>
        <w:tc>
          <w:tcPr>
            <w:tcW w:w="707" w:type="dxa"/>
            <w:gridSpan w:val="3"/>
            <w:tcBorders>
              <w:top w:val="single" w:sz="4" w:space="0" w:color="000000"/>
              <w:left w:val="single" w:sz="4" w:space="0" w:color="000000"/>
              <w:bottom w:val="single" w:sz="4" w:space="0" w:color="000000"/>
              <w:right w:val="single" w:sz="4" w:space="0" w:color="000000"/>
            </w:tcBorders>
          </w:tcPr>
          <w:p w14:paraId="1C67412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3.</w:t>
            </w:r>
          </w:p>
        </w:tc>
        <w:tc>
          <w:tcPr>
            <w:tcW w:w="2179" w:type="dxa"/>
            <w:gridSpan w:val="5"/>
            <w:tcBorders>
              <w:top w:val="single" w:sz="4" w:space="0" w:color="000000"/>
              <w:left w:val="single" w:sz="4" w:space="0" w:color="000000"/>
              <w:bottom w:val="single" w:sz="4" w:space="0" w:color="000000"/>
              <w:right w:val="single" w:sz="4" w:space="0" w:color="000000"/>
            </w:tcBorders>
          </w:tcPr>
          <w:p w14:paraId="403B57D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Projekat izgradnje radarskog položaja na planini Bjelasica</w:t>
            </w:r>
          </w:p>
        </w:tc>
        <w:tc>
          <w:tcPr>
            <w:tcW w:w="2589" w:type="dxa"/>
            <w:gridSpan w:val="8"/>
            <w:tcBorders>
              <w:top w:val="single" w:sz="4" w:space="0" w:color="000000"/>
              <w:left w:val="single" w:sz="4" w:space="0" w:color="000000"/>
              <w:bottom w:val="single" w:sz="4" w:space="0" w:color="000000"/>
              <w:right w:val="single" w:sz="4" w:space="0" w:color="000000"/>
            </w:tcBorders>
          </w:tcPr>
          <w:p w14:paraId="3FA6022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Uspostavljen sistem nadzora vazdušnog prostora Crne Gore u skladu sa NATO preporukama, integrisan u NATO sistem zaštite vazdušnog prostora i unaprijeđena sigurnost vazdušnog saobraćaja Crne Gore</w:t>
            </w:r>
          </w:p>
        </w:tc>
        <w:tc>
          <w:tcPr>
            <w:tcW w:w="1799" w:type="dxa"/>
            <w:gridSpan w:val="11"/>
            <w:tcBorders>
              <w:top w:val="single" w:sz="4" w:space="0" w:color="000000"/>
              <w:left w:val="single" w:sz="4" w:space="0" w:color="000000"/>
              <w:bottom w:val="single" w:sz="4" w:space="0" w:color="000000"/>
              <w:right w:val="single" w:sz="4" w:space="0" w:color="000000"/>
            </w:tcBorders>
          </w:tcPr>
          <w:p w14:paraId="5EACDE8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 i</w:t>
            </w:r>
          </w:p>
          <w:p w14:paraId="28E24E9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Uprava javnih radova</w:t>
            </w:r>
          </w:p>
        </w:tc>
        <w:tc>
          <w:tcPr>
            <w:tcW w:w="1661" w:type="dxa"/>
            <w:gridSpan w:val="7"/>
            <w:tcBorders>
              <w:top w:val="single" w:sz="4" w:space="0" w:color="000000"/>
              <w:left w:val="single" w:sz="4" w:space="0" w:color="000000"/>
              <w:bottom w:val="single" w:sz="4" w:space="0" w:color="000000"/>
              <w:right w:val="single" w:sz="4" w:space="0" w:color="000000"/>
            </w:tcBorders>
          </w:tcPr>
          <w:p w14:paraId="0CECE2E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I-IV Q </w:t>
            </w:r>
          </w:p>
          <w:p w14:paraId="76C868D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2022. g</w:t>
            </w:r>
          </w:p>
        </w:tc>
        <w:tc>
          <w:tcPr>
            <w:tcW w:w="2266" w:type="dxa"/>
            <w:gridSpan w:val="9"/>
            <w:tcBorders>
              <w:top w:val="single" w:sz="4" w:space="0" w:color="000000"/>
              <w:left w:val="single" w:sz="4" w:space="0" w:color="000000"/>
              <w:bottom w:val="single" w:sz="4" w:space="0" w:color="000000"/>
              <w:right w:val="single" w:sz="4" w:space="0" w:color="000000"/>
            </w:tcBorders>
          </w:tcPr>
          <w:p w14:paraId="0169F1A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110.000,00 € za izradu tehničke dokumentacije i reviziju iste</w:t>
            </w:r>
          </w:p>
          <w:p w14:paraId="5868FB9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1.200.000,00 € za izgradnju radarskog položaja</w:t>
            </w:r>
          </w:p>
          <w:p w14:paraId="4E87F0B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300.000,00 € za modernizaciju radara</w:t>
            </w:r>
          </w:p>
        </w:tc>
        <w:tc>
          <w:tcPr>
            <w:tcW w:w="1326" w:type="dxa"/>
            <w:gridSpan w:val="8"/>
            <w:tcBorders>
              <w:top w:val="single" w:sz="4" w:space="0" w:color="000000"/>
              <w:left w:val="single" w:sz="4" w:space="0" w:color="000000"/>
              <w:bottom w:val="single" w:sz="4" w:space="0" w:color="000000"/>
              <w:right w:val="single" w:sz="4" w:space="0" w:color="000000"/>
            </w:tcBorders>
          </w:tcPr>
          <w:p w14:paraId="5029CE1B"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Kapitalne investicije</w:t>
            </w:r>
          </w:p>
          <w:p w14:paraId="6ED4BBC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800.000,00</w:t>
            </w:r>
          </w:p>
          <w:p w14:paraId="723560B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04CC43FF"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Budžet opšti prihodi</w:t>
            </w:r>
          </w:p>
          <w:p w14:paraId="2B59365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410.000,00</w:t>
            </w:r>
          </w:p>
        </w:tc>
        <w:tc>
          <w:tcPr>
            <w:tcW w:w="2373" w:type="dxa"/>
            <w:gridSpan w:val="7"/>
            <w:tcBorders>
              <w:top w:val="single" w:sz="4" w:space="0" w:color="000000"/>
              <w:left w:val="single" w:sz="4" w:space="0" w:color="000000"/>
              <w:bottom w:val="single" w:sz="4" w:space="0" w:color="000000"/>
              <w:right w:val="single" w:sz="4" w:space="0" w:color="000000"/>
            </w:tcBorders>
          </w:tcPr>
          <w:p w14:paraId="1885D9D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Izgradnjom radarskog položaja Crna Gora će postati dio integrisanog sistema zaštite vazdušnog prostora NATO-a, čime se povećava bezbjednost  teritorije Crne Gore</w:t>
            </w:r>
          </w:p>
        </w:tc>
      </w:tr>
      <w:tr w:rsidR="009B5FE1" w:rsidRPr="00B80AA5" w14:paraId="6A1508FA" w14:textId="77777777" w:rsidTr="00DF2E8E">
        <w:trPr>
          <w:trHeight w:val="145"/>
        </w:trPr>
        <w:tc>
          <w:tcPr>
            <w:tcW w:w="707" w:type="dxa"/>
            <w:gridSpan w:val="3"/>
            <w:tcBorders>
              <w:top w:val="single" w:sz="4" w:space="0" w:color="000000"/>
              <w:left w:val="single" w:sz="4" w:space="0" w:color="000000"/>
              <w:bottom w:val="single" w:sz="4" w:space="0" w:color="000000"/>
              <w:right w:val="single" w:sz="4" w:space="0" w:color="000000"/>
            </w:tcBorders>
          </w:tcPr>
          <w:p w14:paraId="15C40BF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4.</w:t>
            </w:r>
          </w:p>
        </w:tc>
        <w:tc>
          <w:tcPr>
            <w:tcW w:w="2179" w:type="dxa"/>
            <w:gridSpan w:val="5"/>
            <w:tcBorders>
              <w:top w:val="single" w:sz="4" w:space="0" w:color="000000"/>
              <w:left w:val="single" w:sz="4" w:space="0" w:color="000000"/>
              <w:bottom w:val="single" w:sz="4" w:space="0" w:color="000000"/>
              <w:right w:val="single" w:sz="4" w:space="0" w:color="000000"/>
            </w:tcBorders>
          </w:tcPr>
          <w:p w14:paraId="1D0BFD3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Realizacija programa za rješavanje viškova ubojnih sredstava sa međunarodnim subjektima (ITF fond )</w:t>
            </w:r>
          </w:p>
          <w:p w14:paraId="6FFEE65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589" w:type="dxa"/>
            <w:gridSpan w:val="8"/>
            <w:tcBorders>
              <w:top w:val="single" w:sz="4" w:space="0" w:color="000000"/>
              <w:left w:val="single" w:sz="4" w:space="0" w:color="000000"/>
              <w:bottom w:val="single" w:sz="4" w:space="0" w:color="000000"/>
              <w:right w:val="single" w:sz="4" w:space="0" w:color="000000"/>
            </w:tcBorders>
          </w:tcPr>
          <w:p w14:paraId="20D6DDD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Izvršeno uništavanje 172,96 tone</w:t>
            </w:r>
          </w:p>
        </w:tc>
        <w:tc>
          <w:tcPr>
            <w:tcW w:w="1799" w:type="dxa"/>
            <w:gridSpan w:val="11"/>
            <w:tcBorders>
              <w:top w:val="single" w:sz="4" w:space="0" w:color="000000"/>
              <w:left w:val="single" w:sz="4" w:space="0" w:color="000000"/>
              <w:bottom w:val="single" w:sz="4" w:space="0" w:color="000000"/>
              <w:right w:val="single" w:sz="4" w:space="0" w:color="000000"/>
            </w:tcBorders>
          </w:tcPr>
          <w:p w14:paraId="6E0932E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p w14:paraId="71F3CCA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30FEBD4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1661" w:type="dxa"/>
            <w:gridSpan w:val="7"/>
            <w:tcBorders>
              <w:top w:val="single" w:sz="4" w:space="0" w:color="000000"/>
              <w:left w:val="single" w:sz="4" w:space="0" w:color="000000"/>
              <w:bottom w:val="single" w:sz="4" w:space="0" w:color="000000"/>
              <w:right w:val="single" w:sz="4" w:space="0" w:color="000000"/>
            </w:tcBorders>
          </w:tcPr>
          <w:p w14:paraId="37AFC62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I-IV Q </w:t>
            </w:r>
          </w:p>
          <w:p w14:paraId="6D508D1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2022. g</w:t>
            </w:r>
          </w:p>
          <w:p w14:paraId="4641B8E5" w14:textId="77777777" w:rsidR="009B5FE1" w:rsidRPr="00B80AA5" w:rsidRDefault="009B5FE1" w:rsidP="009B5FE1">
            <w:pPr>
              <w:spacing w:before="20" w:after="20" w:line="240" w:lineRule="auto"/>
              <w:jc w:val="both"/>
              <w:rPr>
                <w:rFonts w:ascii="Arial Narrow" w:eastAsia="Arial Narrow" w:hAnsi="Arial Narrow" w:cs="Arial Narrow"/>
                <w:color w:val="FF0000"/>
                <w:sz w:val="20"/>
                <w:szCs w:val="20"/>
                <w:lang w:eastAsia="sr-Latn-ME"/>
              </w:rPr>
            </w:pPr>
          </w:p>
        </w:tc>
        <w:tc>
          <w:tcPr>
            <w:tcW w:w="2266" w:type="dxa"/>
            <w:gridSpan w:val="9"/>
            <w:tcBorders>
              <w:top w:val="single" w:sz="4" w:space="0" w:color="000000"/>
              <w:left w:val="single" w:sz="4" w:space="0" w:color="000000"/>
              <w:bottom w:val="single" w:sz="4" w:space="0" w:color="000000"/>
              <w:right w:val="single" w:sz="4" w:space="0" w:color="000000"/>
            </w:tcBorders>
          </w:tcPr>
          <w:p w14:paraId="625F07AD" w14:textId="77777777" w:rsidR="009B5FE1" w:rsidRPr="00B80AA5" w:rsidRDefault="009B5FE1" w:rsidP="009B5FE1">
            <w:pPr>
              <w:spacing w:before="20" w:after="20" w:line="240" w:lineRule="auto"/>
              <w:jc w:val="both"/>
              <w:rPr>
                <w:rFonts w:ascii="Arial Narrow" w:eastAsia="Arial Narrow" w:hAnsi="Arial Narrow" w:cs="Arial Narrow"/>
                <w:color w:val="FF0000"/>
                <w:sz w:val="20"/>
                <w:szCs w:val="20"/>
                <w:lang w:eastAsia="sr-Latn-ME"/>
              </w:rPr>
            </w:pPr>
          </w:p>
        </w:tc>
        <w:tc>
          <w:tcPr>
            <w:tcW w:w="1326" w:type="dxa"/>
            <w:gridSpan w:val="8"/>
            <w:tcBorders>
              <w:top w:val="single" w:sz="4" w:space="0" w:color="000000"/>
              <w:left w:val="single" w:sz="4" w:space="0" w:color="000000"/>
              <w:bottom w:val="single" w:sz="4" w:space="0" w:color="000000"/>
              <w:right w:val="single" w:sz="4" w:space="0" w:color="000000"/>
            </w:tcBorders>
          </w:tcPr>
          <w:p w14:paraId="72B6538F" w14:textId="77777777" w:rsidR="009B5FE1" w:rsidRPr="00B80AA5" w:rsidRDefault="009B5FE1" w:rsidP="009B5FE1">
            <w:pPr>
              <w:spacing w:before="20" w:after="20" w:line="240" w:lineRule="auto"/>
              <w:jc w:val="both"/>
              <w:rPr>
                <w:rFonts w:ascii="Arial Narrow" w:eastAsia="Arial Narrow" w:hAnsi="Arial Narrow" w:cs="Arial Narrow"/>
                <w:color w:val="FF0000"/>
                <w:sz w:val="20"/>
                <w:szCs w:val="20"/>
                <w:lang w:eastAsia="sr-Latn-ME"/>
              </w:rPr>
            </w:pPr>
          </w:p>
          <w:p w14:paraId="57B07B60" w14:textId="77777777" w:rsidR="009B5FE1" w:rsidRPr="00B80AA5" w:rsidRDefault="009B5FE1" w:rsidP="009B5FE1">
            <w:pPr>
              <w:spacing w:before="20" w:after="20" w:line="240" w:lineRule="auto"/>
              <w:jc w:val="both"/>
              <w:rPr>
                <w:rFonts w:ascii="Arial Narrow" w:eastAsia="Arial Narrow" w:hAnsi="Arial Narrow" w:cs="Arial Narrow"/>
                <w:color w:val="FF0000"/>
                <w:sz w:val="20"/>
                <w:szCs w:val="20"/>
                <w:lang w:eastAsia="sr-Latn-ME"/>
              </w:rPr>
            </w:pPr>
            <w:r w:rsidRPr="00B80AA5">
              <w:rPr>
                <w:rFonts w:ascii="Arial Narrow" w:eastAsia="Arial Narrow" w:hAnsi="Arial Narrow" w:cs="Arial Narrow"/>
                <w:sz w:val="20"/>
                <w:szCs w:val="20"/>
                <w:lang w:eastAsia="sr-Latn-ME"/>
              </w:rPr>
              <w:t>ITF fond</w:t>
            </w:r>
          </w:p>
        </w:tc>
        <w:tc>
          <w:tcPr>
            <w:tcW w:w="2373" w:type="dxa"/>
            <w:gridSpan w:val="7"/>
            <w:tcBorders>
              <w:top w:val="single" w:sz="4" w:space="0" w:color="000000"/>
              <w:left w:val="single" w:sz="4" w:space="0" w:color="000000"/>
              <w:bottom w:val="single" w:sz="4" w:space="0" w:color="000000"/>
              <w:right w:val="single" w:sz="4" w:space="0" w:color="000000"/>
            </w:tcBorders>
          </w:tcPr>
          <w:p w14:paraId="2879F768"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 xml:space="preserve">Umanjenjem stanja viškova ubojnih sredstava značajno će se umanjiti mogućnost za ugrožavanje bezbjednosnog rizika za građane, prilikom čega će se rasteretiti skladišni </w:t>
            </w:r>
            <w:r w:rsidRPr="00B80AA5">
              <w:rPr>
                <w:rFonts w:ascii="Arial Narrow" w:eastAsia="Arial Narrow" w:hAnsi="Arial Narrow" w:cs="Arial Narrow"/>
                <w:sz w:val="20"/>
                <w:szCs w:val="20"/>
                <w:lang w:eastAsia="sr-Latn-ME"/>
              </w:rPr>
              <w:lastRenderedPageBreak/>
              <w:t>prostor kapaciteta Vojske Crne Gore</w:t>
            </w:r>
            <w:r w:rsidRPr="00B80AA5">
              <w:rPr>
                <w:rFonts w:ascii="Arial Narrow" w:eastAsia="Arial Narrow" w:hAnsi="Arial Narrow" w:cs="Arial Narrow"/>
                <w:b/>
                <w:sz w:val="20"/>
                <w:szCs w:val="20"/>
                <w:lang w:eastAsia="sr-Latn-ME"/>
              </w:rPr>
              <w:t>.</w:t>
            </w:r>
          </w:p>
        </w:tc>
      </w:tr>
      <w:tr w:rsidR="009B5FE1" w:rsidRPr="00B80AA5" w14:paraId="025CBB32" w14:textId="77777777" w:rsidTr="00DF2E8E">
        <w:trPr>
          <w:trHeight w:val="145"/>
        </w:trPr>
        <w:tc>
          <w:tcPr>
            <w:tcW w:w="707" w:type="dxa"/>
            <w:gridSpan w:val="3"/>
            <w:tcBorders>
              <w:top w:val="single" w:sz="4" w:space="0" w:color="000000"/>
              <w:left w:val="single" w:sz="4" w:space="0" w:color="000000"/>
              <w:bottom w:val="single" w:sz="4" w:space="0" w:color="000000"/>
              <w:right w:val="single" w:sz="4" w:space="0" w:color="000000"/>
            </w:tcBorders>
          </w:tcPr>
          <w:p w14:paraId="4406418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5.</w:t>
            </w:r>
          </w:p>
        </w:tc>
        <w:tc>
          <w:tcPr>
            <w:tcW w:w="2179" w:type="dxa"/>
            <w:gridSpan w:val="5"/>
            <w:tcBorders>
              <w:top w:val="single" w:sz="4" w:space="0" w:color="000000"/>
              <w:left w:val="single" w:sz="4" w:space="0" w:color="000000"/>
              <w:bottom w:val="single" w:sz="4" w:space="0" w:color="000000"/>
              <w:right w:val="single" w:sz="4" w:space="0" w:color="000000"/>
            </w:tcBorders>
          </w:tcPr>
          <w:p w14:paraId="3F0BADC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Rješavanje viškova ubojnih sredstava postupcima prodaje po Zaključcima Vlade</w:t>
            </w:r>
          </w:p>
        </w:tc>
        <w:tc>
          <w:tcPr>
            <w:tcW w:w="2589" w:type="dxa"/>
            <w:gridSpan w:val="8"/>
            <w:tcBorders>
              <w:top w:val="single" w:sz="4" w:space="0" w:color="000000"/>
              <w:left w:val="single" w:sz="4" w:space="0" w:color="000000"/>
              <w:bottom w:val="single" w:sz="4" w:space="0" w:color="000000"/>
              <w:right w:val="single" w:sz="4" w:space="0" w:color="000000"/>
            </w:tcBorders>
          </w:tcPr>
          <w:p w14:paraId="3E179DA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Potpisani ugovori za prodaju viškova ubojnih sredstava</w:t>
            </w:r>
          </w:p>
        </w:tc>
        <w:tc>
          <w:tcPr>
            <w:tcW w:w="1799" w:type="dxa"/>
            <w:gridSpan w:val="11"/>
            <w:tcBorders>
              <w:top w:val="single" w:sz="4" w:space="0" w:color="000000"/>
              <w:left w:val="single" w:sz="4" w:space="0" w:color="000000"/>
              <w:bottom w:val="single" w:sz="4" w:space="0" w:color="000000"/>
              <w:right w:val="single" w:sz="4" w:space="0" w:color="000000"/>
            </w:tcBorders>
          </w:tcPr>
          <w:p w14:paraId="2B0856D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p w14:paraId="79F7D53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33BB5C6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1661" w:type="dxa"/>
            <w:gridSpan w:val="7"/>
            <w:tcBorders>
              <w:top w:val="single" w:sz="4" w:space="0" w:color="000000"/>
              <w:left w:val="single" w:sz="4" w:space="0" w:color="000000"/>
              <w:bottom w:val="single" w:sz="4" w:space="0" w:color="000000"/>
              <w:right w:val="single" w:sz="4" w:space="0" w:color="000000"/>
            </w:tcBorders>
          </w:tcPr>
          <w:p w14:paraId="35D572F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I-IV Q </w:t>
            </w:r>
          </w:p>
          <w:p w14:paraId="58A8AF3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2022. g</w:t>
            </w:r>
          </w:p>
          <w:p w14:paraId="5A55EAD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2D1F974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266" w:type="dxa"/>
            <w:gridSpan w:val="9"/>
            <w:tcBorders>
              <w:top w:val="single" w:sz="4" w:space="0" w:color="000000"/>
              <w:left w:val="single" w:sz="4" w:space="0" w:color="000000"/>
              <w:bottom w:val="single" w:sz="4" w:space="0" w:color="000000"/>
              <w:right w:val="single" w:sz="4" w:space="0" w:color="000000"/>
            </w:tcBorders>
          </w:tcPr>
          <w:p w14:paraId="2FFBF9E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Za realizaciju aktivnosti nijesu potrebna finansijska sredstva</w:t>
            </w:r>
          </w:p>
        </w:tc>
        <w:tc>
          <w:tcPr>
            <w:tcW w:w="1326" w:type="dxa"/>
            <w:gridSpan w:val="8"/>
            <w:tcBorders>
              <w:top w:val="single" w:sz="4" w:space="0" w:color="000000"/>
              <w:left w:val="single" w:sz="4" w:space="0" w:color="000000"/>
              <w:bottom w:val="single" w:sz="4" w:space="0" w:color="000000"/>
              <w:right w:val="single" w:sz="4" w:space="0" w:color="000000"/>
            </w:tcBorders>
          </w:tcPr>
          <w:p w14:paraId="70ADFA3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w:t>
            </w:r>
          </w:p>
        </w:tc>
        <w:tc>
          <w:tcPr>
            <w:tcW w:w="2373" w:type="dxa"/>
            <w:gridSpan w:val="7"/>
            <w:tcBorders>
              <w:top w:val="single" w:sz="4" w:space="0" w:color="000000"/>
              <w:left w:val="single" w:sz="4" w:space="0" w:color="000000"/>
              <w:bottom w:val="single" w:sz="4" w:space="0" w:color="000000"/>
              <w:right w:val="single" w:sz="4" w:space="0" w:color="000000"/>
            </w:tcBorders>
          </w:tcPr>
          <w:p w14:paraId="5D64E2C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r>
      <w:tr w:rsidR="009B5FE1" w:rsidRPr="00B80AA5" w14:paraId="3075C8CE" w14:textId="77777777" w:rsidTr="00DF2E8E">
        <w:trPr>
          <w:trHeight w:val="145"/>
        </w:trPr>
        <w:tc>
          <w:tcPr>
            <w:tcW w:w="707" w:type="dxa"/>
            <w:gridSpan w:val="3"/>
            <w:tcBorders>
              <w:top w:val="single" w:sz="4" w:space="0" w:color="000000"/>
              <w:left w:val="single" w:sz="4" w:space="0" w:color="000000"/>
              <w:bottom w:val="single" w:sz="4" w:space="0" w:color="000000"/>
              <w:right w:val="single" w:sz="4" w:space="0" w:color="000000"/>
            </w:tcBorders>
          </w:tcPr>
          <w:p w14:paraId="3A862AE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6.</w:t>
            </w:r>
          </w:p>
        </w:tc>
        <w:tc>
          <w:tcPr>
            <w:tcW w:w="2179" w:type="dxa"/>
            <w:gridSpan w:val="5"/>
            <w:tcBorders>
              <w:top w:val="single" w:sz="4" w:space="0" w:color="000000"/>
              <w:left w:val="single" w:sz="4" w:space="0" w:color="000000"/>
              <w:bottom w:val="single" w:sz="4" w:space="0" w:color="000000"/>
              <w:right w:val="single" w:sz="4" w:space="0" w:color="000000"/>
            </w:tcBorders>
          </w:tcPr>
          <w:p w14:paraId="4828D38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Uništavanje ubojnih sredstava smanjene stabilnosti putem javnih nabavki usluge</w:t>
            </w:r>
          </w:p>
        </w:tc>
        <w:tc>
          <w:tcPr>
            <w:tcW w:w="2589" w:type="dxa"/>
            <w:gridSpan w:val="8"/>
            <w:tcBorders>
              <w:top w:val="single" w:sz="4" w:space="0" w:color="000000"/>
              <w:left w:val="single" w:sz="4" w:space="0" w:color="000000"/>
              <w:bottom w:val="single" w:sz="4" w:space="0" w:color="000000"/>
              <w:right w:val="single" w:sz="4" w:space="0" w:color="000000"/>
            </w:tcBorders>
          </w:tcPr>
          <w:p w14:paraId="614803A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Potpisani ugovori za uništavanje ubojnih sredstava smanjene stabilnosti</w:t>
            </w:r>
          </w:p>
        </w:tc>
        <w:tc>
          <w:tcPr>
            <w:tcW w:w="1799" w:type="dxa"/>
            <w:gridSpan w:val="11"/>
            <w:tcBorders>
              <w:top w:val="single" w:sz="4" w:space="0" w:color="000000"/>
              <w:left w:val="single" w:sz="4" w:space="0" w:color="000000"/>
              <w:bottom w:val="single" w:sz="4" w:space="0" w:color="000000"/>
              <w:right w:val="single" w:sz="4" w:space="0" w:color="000000"/>
            </w:tcBorders>
          </w:tcPr>
          <w:p w14:paraId="22C162E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p w14:paraId="6FFB2E9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1236994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1661" w:type="dxa"/>
            <w:gridSpan w:val="7"/>
            <w:tcBorders>
              <w:top w:val="single" w:sz="4" w:space="0" w:color="000000"/>
              <w:left w:val="single" w:sz="4" w:space="0" w:color="000000"/>
              <w:bottom w:val="single" w:sz="4" w:space="0" w:color="000000"/>
              <w:right w:val="single" w:sz="4" w:space="0" w:color="000000"/>
            </w:tcBorders>
          </w:tcPr>
          <w:p w14:paraId="53A293D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I-II Q </w:t>
            </w:r>
          </w:p>
          <w:p w14:paraId="1F0EFD5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2022. g</w:t>
            </w:r>
          </w:p>
          <w:p w14:paraId="1D19E91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060F11B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266" w:type="dxa"/>
            <w:gridSpan w:val="9"/>
            <w:tcBorders>
              <w:top w:val="single" w:sz="4" w:space="0" w:color="000000"/>
              <w:left w:val="single" w:sz="4" w:space="0" w:color="000000"/>
              <w:bottom w:val="single" w:sz="4" w:space="0" w:color="000000"/>
              <w:right w:val="single" w:sz="4" w:space="0" w:color="000000"/>
            </w:tcBorders>
          </w:tcPr>
          <w:p w14:paraId="0B263E9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20.000,00</w:t>
            </w:r>
          </w:p>
        </w:tc>
        <w:tc>
          <w:tcPr>
            <w:tcW w:w="1326" w:type="dxa"/>
            <w:gridSpan w:val="8"/>
            <w:tcBorders>
              <w:top w:val="single" w:sz="4" w:space="0" w:color="000000"/>
              <w:left w:val="single" w:sz="4" w:space="0" w:color="000000"/>
              <w:bottom w:val="single" w:sz="4" w:space="0" w:color="000000"/>
              <w:right w:val="single" w:sz="4" w:space="0" w:color="000000"/>
            </w:tcBorders>
          </w:tcPr>
          <w:p w14:paraId="553CF74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Tekuća budžetska sredstva</w:t>
            </w:r>
          </w:p>
        </w:tc>
        <w:tc>
          <w:tcPr>
            <w:tcW w:w="2373" w:type="dxa"/>
            <w:gridSpan w:val="7"/>
            <w:tcBorders>
              <w:top w:val="single" w:sz="4" w:space="0" w:color="000000"/>
              <w:left w:val="single" w:sz="4" w:space="0" w:color="000000"/>
              <w:bottom w:val="single" w:sz="4" w:space="0" w:color="000000"/>
              <w:right w:val="single" w:sz="4" w:space="0" w:color="000000"/>
            </w:tcBorders>
          </w:tcPr>
          <w:p w14:paraId="1EE774B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r>
      <w:tr w:rsidR="009B5FE1" w:rsidRPr="00B80AA5" w14:paraId="67FEF038" w14:textId="77777777" w:rsidTr="00DF2E8E">
        <w:trPr>
          <w:trHeight w:val="145"/>
        </w:trPr>
        <w:tc>
          <w:tcPr>
            <w:tcW w:w="707" w:type="dxa"/>
            <w:gridSpan w:val="3"/>
            <w:tcBorders>
              <w:top w:val="single" w:sz="4" w:space="0" w:color="000000"/>
              <w:left w:val="single" w:sz="4" w:space="0" w:color="000000"/>
              <w:bottom w:val="single" w:sz="4" w:space="0" w:color="000000"/>
              <w:right w:val="single" w:sz="4" w:space="0" w:color="000000"/>
            </w:tcBorders>
          </w:tcPr>
          <w:p w14:paraId="31A55A6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7.</w:t>
            </w:r>
          </w:p>
        </w:tc>
        <w:tc>
          <w:tcPr>
            <w:tcW w:w="2179" w:type="dxa"/>
            <w:gridSpan w:val="5"/>
            <w:tcBorders>
              <w:top w:val="single" w:sz="4" w:space="0" w:color="000000"/>
              <w:left w:val="single" w:sz="4" w:space="0" w:color="000000"/>
              <w:bottom w:val="single" w:sz="4" w:space="0" w:color="000000"/>
              <w:right w:val="single" w:sz="4" w:space="0" w:color="000000"/>
            </w:tcBorders>
          </w:tcPr>
          <w:p w14:paraId="2F892962"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Izrada Predloga zakona o izmjenama i dopunama Zakona o odbrani </w:t>
            </w:r>
          </w:p>
        </w:tc>
        <w:tc>
          <w:tcPr>
            <w:tcW w:w="2589" w:type="dxa"/>
            <w:gridSpan w:val="8"/>
            <w:tcBorders>
              <w:top w:val="single" w:sz="4" w:space="0" w:color="000000"/>
              <w:left w:val="single" w:sz="4" w:space="0" w:color="000000"/>
              <w:bottom w:val="single" w:sz="4" w:space="0" w:color="000000"/>
              <w:right w:val="single" w:sz="4" w:space="0" w:color="000000"/>
            </w:tcBorders>
          </w:tcPr>
          <w:p w14:paraId="3C056EE4"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Utvrđen Predlog zakona o izmjenama i dopunama Zakona o odbrani </w:t>
            </w:r>
          </w:p>
          <w:p w14:paraId="377BF5F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1799" w:type="dxa"/>
            <w:gridSpan w:val="11"/>
            <w:tcBorders>
              <w:top w:val="single" w:sz="4" w:space="0" w:color="000000"/>
              <w:left w:val="single" w:sz="4" w:space="0" w:color="000000"/>
              <w:bottom w:val="single" w:sz="4" w:space="0" w:color="000000"/>
              <w:right w:val="single" w:sz="4" w:space="0" w:color="000000"/>
            </w:tcBorders>
          </w:tcPr>
          <w:p w14:paraId="29972BF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tc>
        <w:tc>
          <w:tcPr>
            <w:tcW w:w="1661" w:type="dxa"/>
            <w:gridSpan w:val="7"/>
            <w:tcBorders>
              <w:top w:val="single" w:sz="4" w:space="0" w:color="000000"/>
              <w:left w:val="single" w:sz="4" w:space="0" w:color="000000"/>
              <w:bottom w:val="single" w:sz="4" w:space="0" w:color="000000"/>
              <w:right w:val="single" w:sz="4" w:space="0" w:color="000000"/>
            </w:tcBorders>
          </w:tcPr>
          <w:p w14:paraId="277D8D0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1697FC2B"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I-IV Q 2022. g</w:t>
            </w:r>
          </w:p>
        </w:tc>
        <w:tc>
          <w:tcPr>
            <w:tcW w:w="2266" w:type="dxa"/>
            <w:gridSpan w:val="9"/>
            <w:tcBorders>
              <w:top w:val="single" w:sz="4" w:space="0" w:color="000000"/>
              <w:left w:val="single" w:sz="4" w:space="0" w:color="000000"/>
              <w:bottom w:val="single" w:sz="4" w:space="0" w:color="000000"/>
              <w:right w:val="single" w:sz="4" w:space="0" w:color="000000"/>
            </w:tcBorders>
          </w:tcPr>
          <w:p w14:paraId="5FB1C10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Za realizaciju aktivnosti nijesu potrebna finansijska sredstva</w:t>
            </w:r>
          </w:p>
          <w:p w14:paraId="4148223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0755293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Za predlog zakona biće izrađen detaljan RIA obrazac</w:t>
            </w:r>
          </w:p>
        </w:tc>
        <w:tc>
          <w:tcPr>
            <w:tcW w:w="1326" w:type="dxa"/>
            <w:gridSpan w:val="8"/>
            <w:tcBorders>
              <w:top w:val="single" w:sz="4" w:space="0" w:color="000000"/>
              <w:left w:val="single" w:sz="4" w:space="0" w:color="000000"/>
              <w:bottom w:val="single" w:sz="4" w:space="0" w:color="000000"/>
              <w:right w:val="single" w:sz="4" w:space="0" w:color="000000"/>
            </w:tcBorders>
          </w:tcPr>
          <w:p w14:paraId="691AF44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w:t>
            </w:r>
          </w:p>
        </w:tc>
        <w:tc>
          <w:tcPr>
            <w:tcW w:w="2373" w:type="dxa"/>
            <w:gridSpan w:val="7"/>
            <w:tcBorders>
              <w:top w:val="single" w:sz="4" w:space="0" w:color="000000"/>
              <w:left w:val="single" w:sz="4" w:space="0" w:color="000000"/>
              <w:bottom w:val="single" w:sz="4" w:space="0" w:color="000000"/>
              <w:right w:val="single" w:sz="4" w:space="0" w:color="000000"/>
            </w:tcBorders>
          </w:tcPr>
          <w:p w14:paraId="4A1A24B4"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Predlogom zakona izvršiće se poboljšanje važećeg zakona, a naročito u dijelu koji se odnosi na integritet, vojnu disciplinu, radno-pravne odnose lica u službi u Vojsci Crne Gore, upravljanje vojnog vazdušnog saobraćaja, inspekcijski nadzor i unutrašnju kontrolu u oblasti odbrane itd.</w:t>
            </w:r>
          </w:p>
        </w:tc>
      </w:tr>
      <w:tr w:rsidR="009B5FE1" w:rsidRPr="00B80AA5" w14:paraId="72FC68A7" w14:textId="77777777" w:rsidTr="00DF2E8E">
        <w:trPr>
          <w:trHeight w:val="145"/>
        </w:trPr>
        <w:tc>
          <w:tcPr>
            <w:tcW w:w="707" w:type="dxa"/>
            <w:gridSpan w:val="3"/>
            <w:tcBorders>
              <w:top w:val="single" w:sz="4" w:space="0" w:color="000000"/>
              <w:left w:val="single" w:sz="4" w:space="0" w:color="000000"/>
              <w:bottom w:val="single" w:sz="4" w:space="0" w:color="000000"/>
              <w:right w:val="single" w:sz="4" w:space="0" w:color="000000"/>
            </w:tcBorders>
          </w:tcPr>
          <w:p w14:paraId="3A52849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8.</w:t>
            </w:r>
          </w:p>
        </w:tc>
        <w:tc>
          <w:tcPr>
            <w:tcW w:w="2179" w:type="dxa"/>
            <w:gridSpan w:val="5"/>
            <w:tcBorders>
              <w:top w:val="single" w:sz="4" w:space="0" w:color="000000"/>
              <w:left w:val="single" w:sz="4" w:space="0" w:color="000000"/>
              <w:bottom w:val="single" w:sz="4" w:space="0" w:color="000000"/>
              <w:right w:val="single" w:sz="4" w:space="0" w:color="000000"/>
            </w:tcBorders>
          </w:tcPr>
          <w:p w14:paraId="0AB54C15"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Izrada Predloga zakona o izmjenama i dopunama Zakona o Vojsci Crne Gore</w:t>
            </w:r>
          </w:p>
          <w:p w14:paraId="68347015"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p>
        </w:tc>
        <w:tc>
          <w:tcPr>
            <w:tcW w:w="2589" w:type="dxa"/>
            <w:gridSpan w:val="8"/>
            <w:tcBorders>
              <w:top w:val="single" w:sz="4" w:space="0" w:color="000000"/>
              <w:left w:val="single" w:sz="4" w:space="0" w:color="000000"/>
              <w:bottom w:val="single" w:sz="4" w:space="0" w:color="000000"/>
              <w:right w:val="single" w:sz="4" w:space="0" w:color="000000"/>
            </w:tcBorders>
          </w:tcPr>
          <w:p w14:paraId="3EBCC725"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Utvrđen Predlog zakona o izmjenama i dopunama Zakona o Vojsci Crne Gore</w:t>
            </w:r>
          </w:p>
        </w:tc>
        <w:tc>
          <w:tcPr>
            <w:tcW w:w="1799" w:type="dxa"/>
            <w:gridSpan w:val="11"/>
            <w:tcBorders>
              <w:top w:val="single" w:sz="4" w:space="0" w:color="000000"/>
              <w:left w:val="single" w:sz="4" w:space="0" w:color="000000"/>
              <w:bottom w:val="single" w:sz="4" w:space="0" w:color="000000"/>
              <w:right w:val="single" w:sz="4" w:space="0" w:color="000000"/>
            </w:tcBorders>
          </w:tcPr>
          <w:p w14:paraId="6B30B76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tc>
        <w:tc>
          <w:tcPr>
            <w:tcW w:w="1661" w:type="dxa"/>
            <w:gridSpan w:val="7"/>
            <w:tcBorders>
              <w:top w:val="single" w:sz="4" w:space="0" w:color="000000"/>
              <w:left w:val="single" w:sz="4" w:space="0" w:color="000000"/>
              <w:bottom w:val="single" w:sz="4" w:space="0" w:color="000000"/>
              <w:right w:val="single" w:sz="4" w:space="0" w:color="000000"/>
            </w:tcBorders>
          </w:tcPr>
          <w:p w14:paraId="46F89F8B"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4B0D691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I-IV Q 2022. g</w:t>
            </w:r>
          </w:p>
        </w:tc>
        <w:tc>
          <w:tcPr>
            <w:tcW w:w="2266" w:type="dxa"/>
            <w:gridSpan w:val="9"/>
            <w:tcBorders>
              <w:top w:val="single" w:sz="4" w:space="0" w:color="000000"/>
              <w:left w:val="single" w:sz="4" w:space="0" w:color="000000"/>
              <w:bottom w:val="single" w:sz="4" w:space="0" w:color="000000"/>
              <w:right w:val="single" w:sz="4" w:space="0" w:color="000000"/>
            </w:tcBorders>
          </w:tcPr>
          <w:p w14:paraId="5C85902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Za realizaciju aktivnosti nijesu potrebna finansijska sredstva</w:t>
            </w:r>
          </w:p>
          <w:p w14:paraId="0AF7876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55132BF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Za predlog zakona biće izrađen detaljan RIA obrazac</w:t>
            </w:r>
          </w:p>
        </w:tc>
        <w:tc>
          <w:tcPr>
            <w:tcW w:w="1326" w:type="dxa"/>
            <w:gridSpan w:val="8"/>
            <w:tcBorders>
              <w:top w:val="single" w:sz="4" w:space="0" w:color="000000"/>
              <w:left w:val="single" w:sz="4" w:space="0" w:color="000000"/>
              <w:bottom w:val="single" w:sz="4" w:space="0" w:color="000000"/>
              <w:right w:val="single" w:sz="4" w:space="0" w:color="000000"/>
            </w:tcBorders>
          </w:tcPr>
          <w:p w14:paraId="5B8AE55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w:t>
            </w:r>
          </w:p>
        </w:tc>
        <w:tc>
          <w:tcPr>
            <w:tcW w:w="2373" w:type="dxa"/>
            <w:gridSpan w:val="7"/>
            <w:tcBorders>
              <w:top w:val="single" w:sz="4" w:space="0" w:color="000000"/>
              <w:left w:val="single" w:sz="4" w:space="0" w:color="000000"/>
              <w:bottom w:val="single" w:sz="4" w:space="0" w:color="000000"/>
              <w:right w:val="single" w:sz="4" w:space="0" w:color="000000"/>
            </w:tcBorders>
          </w:tcPr>
          <w:p w14:paraId="7A8C49E9"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Predlogom zakona izvršiće se poboljšanje važećeg zakona, a naročito u dijelu koji se odnosi na integritet, vojnu disciplinu, radno-pravne odnose lica u službi u Vojsci Crne Gore.</w:t>
            </w:r>
          </w:p>
        </w:tc>
      </w:tr>
      <w:tr w:rsidR="009B5FE1" w:rsidRPr="00B80AA5" w14:paraId="3544ED74" w14:textId="77777777" w:rsidTr="00DF2E8E">
        <w:trPr>
          <w:trHeight w:val="278"/>
        </w:trPr>
        <w:tc>
          <w:tcPr>
            <w:tcW w:w="2895" w:type="dxa"/>
            <w:gridSpan w:val="9"/>
            <w:tcBorders>
              <w:top w:val="single" w:sz="4" w:space="0" w:color="000000"/>
              <w:left w:val="single" w:sz="4" w:space="0" w:color="000000"/>
              <w:bottom w:val="single" w:sz="4" w:space="0" w:color="000000"/>
              <w:right w:val="single" w:sz="4" w:space="0" w:color="000000"/>
            </w:tcBorders>
            <w:shd w:val="clear" w:color="auto" w:fill="D9E2F3"/>
          </w:tcPr>
          <w:p w14:paraId="5847B5FE" w14:textId="77777777" w:rsidR="009B5FE1" w:rsidRPr="002466AA" w:rsidRDefault="009B5FE1" w:rsidP="009B5FE1">
            <w:pPr>
              <w:spacing w:before="40" w:after="40" w:line="240" w:lineRule="auto"/>
              <w:jc w:val="center"/>
              <w:rPr>
                <w:rFonts w:ascii="Arial Narrow" w:eastAsia="Arial Narrow" w:hAnsi="Arial Narrow" w:cs="Arial Narrow"/>
                <w:b/>
                <w:sz w:val="20"/>
                <w:szCs w:val="20"/>
                <w:lang w:eastAsia="sr-Latn-ME"/>
              </w:rPr>
            </w:pPr>
            <w:bookmarkStart w:id="58" w:name="_Hlk89635194"/>
            <w:r w:rsidRPr="002466AA">
              <w:rPr>
                <w:rFonts w:ascii="Arial Narrow" w:eastAsia="Arial Narrow" w:hAnsi="Arial Narrow" w:cs="Arial Narrow"/>
                <w:b/>
                <w:sz w:val="20"/>
                <w:szCs w:val="20"/>
                <w:lang w:eastAsia="sr-Latn-ME"/>
              </w:rPr>
              <w:t>Cilj 6.7.</w:t>
            </w:r>
          </w:p>
          <w:p w14:paraId="521DBDB2" w14:textId="77777777" w:rsidR="009B5FE1" w:rsidRPr="002466AA" w:rsidRDefault="009B5FE1" w:rsidP="009B5FE1">
            <w:pPr>
              <w:spacing w:before="40" w:after="40" w:line="240" w:lineRule="auto"/>
              <w:jc w:val="center"/>
              <w:rPr>
                <w:rFonts w:ascii="Arial Narrow" w:eastAsia="Arial Narrow" w:hAnsi="Arial Narrow" w:cs="Arial Narrow"/>
                <w:b/>
                <w:sz w:val="20"/>
                <w:szCs w:val="20"/>
                <w:lang w:eastAsia="sr-Latn-ME"/>
              </w:rPr>
            </w:pPr>
          </w:p>
        </w:tc>
        <w:tc>
          <w:tcPr>
            <w:tcW w:w="12005" w:type="dxa"/>
            <w:gridSpan w:val="49"/>
            <w:tcBorders>
              <w:top w:val="single" w:sz="4" w:space="0" w:color="000000"/>
              <w:left w:val="single" w:sz="4" w:space="0" w:color="000000"/>
              <w:bottom w:val="single" w:sz="4" w:space="0" w:color="000000"/>
              <w:right w:val="single" w:sz="4" w:space="0" w:color="000000"/>
            </w:tcBorders>
            <w:shd w:val="clear" w:color="auto" w:fill="D9E2F3"/>
          </w:tcPr>
          <w:p w14:paraId="5A032922" w14:textId="77777777" w:rsidR="009B5FE1" w:rsidRPr="002466AA" w:rsidRDefault="009B5FE1" w:rsidP="009B5FE1">
            <w:pPr>
              <w:spacing w:before="40" w:after="40" w:line="240" w:lineRule="auto"/>
              <w:jc w:val="both"/>
              <w:rPr>
                <w:rFonts w:ascii="Arial Narrow" w:eastAsia="Arial Narrow" w:hAnsi="Arial Narrow" w:cs="Arial Narrow"/>
                <w:b/>
                <w:sz w:val="20"/>
                <w:szCs w:val="20"/>
                <w:lang w:eastAsia="sr-Latn-ME"/>
              </w:rPr>
            </w:pPr>
            <w:r w:rsidRPr="002466AA">
              <w:rPr>
                <w:rFonts w:ascii="Arial Narrow" w:eastAsia="Arial Narrow" w:hAnsi="Arial Narrow" w:cs="Arial Narrow"/>
                <w:b/>
                <w:sz w:val="20"/>
                <w:szCs w:val="20"/>
                <w:lang w:eastAsia="sr-Latn-ME"/>
              </w:rPr>
              <w:t xml:space="preserve"> Uspostavljanje sistema kriznog upravljanja</w:t>
            </w:r>
          </w:p>
          <w:p w14:paraId="464DE487" w14:textId="77777777" w:rsidR="009B5FE1" w:rsidRPr="002466AA" w:rsidRDefault="009B5FE1" w:rsidP="009B5FE1">
            <w:pPr>
              <w:spacing w:before="40" w:after="40" w:line="240" w:lineRule="auto"/>
              <w:jc w:val="both"/>
              <w:rPr>
                <w:rFonts w:ascii="Arial Narrow" w:eastAsia="Arial Narrow" w:hAnsi="Arial Narrow" w:cs="Arial Narrow"/>
                <w:b/>
                <w:sz w:val="20"/>
                <w:szCs w:val="20"/>
                <w:lang w:eastAsia="sr-Latn-ME"/>
              </w:rPr>
            </w:pPr>
          </w:p>
        </w:tc>
      </w:tr>
      <w:tr w:rsidR="009B5FE1" w:rsidRPr="00B80AA5" w14:paraId="346799A1" w14:textId="77777777" w:rsidTr="00DF2E8E">
        <w:trPr>
          <w:trHeight w:val="145"/>
        </w:trPr>
        <w:tc>
          <w:tcPr>
            <w:tcW w:w="2895" w:type="dxa"/>
            <w:gridSpan w:val="9"/>
            <w:tcBorders>
              <w:top w:val="single" w:sz="4" w:space="0" w:color="000000"/>
              <w:left w:val="single" w:sz="4" w:space="0" w:color="000000"/>
              <w:bottom w:val="single" w:sz="4" w:space="0" w:color="000000"/>
              <w:right w:val="single" w:sz="4" w:space="0" w:color="000000"/>
            </w:tcBorders>
            <w:shd w:val="clear" w:color="auto" w:fill="DAF2F6"/>
          </w:tcPr>
          <w:p w14:paraId="30564FE3"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Indikator učinka</w:t>
            </w:r>
          </w:p>
        </w:tc>
        <w:tc>
          <w:tcPr>
            <w:tcW w:w="3129" w:type="dxa"/>
            <w:gridSpan w:val="13"/>
            <w:tcBorders>
              <w:top w:val="single" w:sz="4" w:space="0" w:color="000000"/>
              <w:left w:val="single" w:sz="4" w:space="0" w:color="000000"/>
              <w:bottom w:val="single" w:sz="4" w:space="0" w:color="000000"/>
              <w:right w:val="single" w:sz="4" w:space="0" w:color="000000"/>
            </w:tcBorders>
            <w:shd w:val="clear" w:color="auto" w:fill="DAF2F6"/>
          </w:tcPr>
          <w:p w14:paraId="7A437BA5"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Polazna vrijednost – 2021.g</w:t>
            </w:r>
          </w:p>
        </w:tc>
        <w:tc>
          <w:tcPr>
            <w:tcW w:w="3108" w:type="dxa"/>
            <w:gridSpan w:val="15"/>
            <w:tcBorders>
              <w:top w:val="single" w:sz="4" w:space="0" w:color="000000"/>
              <w:left w:val="single" w:sz="4" w:space="0" w:color="000000"/>
              <w:bottom w:val="single" w:sz="4" w:space="0" w:color="000000"/>
              <w:right w:val="single" w:sz="4" w:space="0" w:color="000000"/>
            </w:tcBorders>
            <w:shd w:val="clear" w:color="auto" w:fill="DAF2F6"/>
            <w:vAlign w:val="center"/>
          </w:tcPr>
          <w:p w14:paraId="09EB7463"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2022.g</w:t>
            </w:r>
          </w:p>
        </w:tc>
        <w:tc>
          <w:tcPr>
            <w:tcW w:w="2726" w:type="dxa"/>
            <w:gridSpan w:val="11"/>
            <w:tcBorders>
              <w:top w:val="single" w:sz="4" w:space="0" w:color="000000"/>
              <w:left w:val="single" w:sz="4" w:space="0" w:color="000000"/>
              <w:bottom w:val="single" w:sz="4" w:space="0" w:color="FFFFFF"/>
              <w:right w:val="single" w:sz="4" w:space="0" w:color="000000"/>
            </w:tcBorders>
            <w:shd w:val="clear" w:color="auto" w:fill="DAF2F6"/>
            <w:vAlign w:val="center"/>
          </w:tcPr>
          <w:p w14:paraId="28DCAECB"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2023.g</w:t>
            </w:r>
          </w:p>
        </w:tc>
        <w:tc>
          <w:tcPr>
            <w:tcW w:w="3042" w:type="dxa"/>
            <w:gridSpan w:val="10"/>
            <w:tcBorders>
              <w:top w:val="single" w:sz="4" w:space="0" w:color="000000"/>
              <w:left w:val="single" w:sz="4" w:space="0" w:color="000000"/>
              <w:bottom w:val="single" w:sz="4" w:space="0" w:color="FFFFFF"/>
              <w:right w:val="single" w:sz="4" w:space="0" w:color="000000"/>
            </w:tcBorders>
            <w:shd w:val="clear" w:color="auto" w:fill="DAF2F6"/>
            <w:vAlign w:val="center"/>
          </w:tcPr>
          <w:p w14:paraId="352A5765"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Ciljna vrijednost - 2024.g</w:t>
            </w:r>
          </w:p>
        </w:tc>
      </w:tr>
      <w:tr w:rsidR="009B5FE1" w:rsidRPr="00B80AA5" w14:paraId="1A844DDF" w14:textId="77777777" w:rsidTr="00DF2E8E">
        <w:trPr>
          <w:trHeight w:val="3385"/>
        </w:trPr>
        <w:tc>
          <w:tcPr>
            <w:tcW w:w="2895" w:type="dxa"/>
            <w:gridSpan w:val="9"/>
            <w:tcBorders>
              <w:top w:val="single" w:sz="4" w:space="0" w:color="000000"/>
              <w:left w:val="single" w:sz="4" w:space="0" w:color="000000"/>
              <w:bottom w:val="single" w:sz="4" w:space="0" w:color="000000"/>
              <w:right w:val="single" w:sz="4" w:space="0" w:color="000000"/>
            </w:tcBorders>
            <w:shd w:val="clear" w:color="auto" w:fill="DAF2F6"/>
          </w:tcPr>
          <w:p w14:paraId="057D8A76" w14:textId="395BF1DD" w:rsidR="009B5FE1" w:rsidRPr="00B80AA5" w:rsidRDefault="00A52361" w:rsidP="009B5FE1">
            <w:pPr>
              <w:spacing w:before="40" w:after="40" w:line="240" w:lineRule="auto"/>
              <w:jc w:val="both"/>
              <w:rPr>
                <w:rFonts w:ascii="Arial Narrow" w:eastAsia="Arial Narrow" w:hAnsi="Arial Narrow" w:cs="Arial Narrow"/>
                <w:b/>
                <w:sz w:val="20"/>
                <w:szCs w:val="20"/>
                <w:lang w:eastAsia="sr-Latn-ME"/>
              </w:rPr>
            </w:pPr>
            <w:sdt>
              <w:sdtPr>
                <w:rPr>
                  <w:rFonts w:ascii="Arial Narrow" w:eastAsia="Arial Narrow" w:hAnsi="Arial Narrow" w:cs="Arial Narrow"/>
                  <w:sz w:val="24"/>
                  <w:szCs w:val="24"/>
                  <w:lang w:eastAsia="sr-Latn-ME"/>
                </w:rPr>
                <w:tag w:val="goog_rdk_7"/>
                <w:id w:val="-1109356839"/>
              </w:sdtPr>
              <w:sdtEndPr/>
              <w:sdtContent/>
            </w:sdt>
            <w:r w:rsidR="009B5FE1" w:rsidRPr="002466AA">
              <w:rPr>
                <w:rFonts w:ascii="Arial Narrow" w:eastAsia="Arial Narrow" w:hAnsi="Arial Narrow" w:cs="Arial Narrow"/>
                <w:sz w:val="20"/>
                <w:szCs w:val="20"/>
                <w:lang w:eastAsia="sr-Latn-ME"/>
              </w:rPr>
              <w:t>Stvaranje normativnih i institucionalnih uslova za razvoj sistema kriznog upravljanja u Crnoj Gori i dostizanje interoperabilnosti u okviru NATO sistema kriznog upravljanja.</w:t>
            </w:r>
          </w:p>
          <w:p w14:paraId="3C358398"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p>
        </w:tc>
        <w:tc>
          <w:tcPr>
            <w:tcW w:w="3129" w:type="dxa"/>
            <w:gridSpan w:val="13"/>
            <w:tcBorders>
              <w:top w:val="single" w:sz="4" w:space="0" w:color="000000"/>
              <w:left w:val="single" w:sz="4" w:space="0" w:color="000000"/>
              <w:bottom w:val="single" w:sz="4" w:space="0" w:color="000000"/>
              <w:right w:val="single" w:sz="4" w:space="0" w:color="000000"/>
            </w:tcBorders>
            <w:shd w:val="clear" w:color="auto" w:fill="DAF2F6"/>
          </w:tcPr>
          <w:p w14:paraId="6C0636EE"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Propisima Crne Gore nije definisan pojam krize i kriznog upravljanja,  niti je prepoznat jedinstven sistem upravljanja. Ova oblast posredno je uređena Ustavom Crne Gore i većim brojem zakona.</w:t>
            </w:r>
          </w:p>
          <w:p w14:paraId="45764B10"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Takođe, način postupanja u kriznim situacijama nije kompatibilan NATO sistemu kriznog upravljanja.</w:t>
            </w:r>
          </w:p>
        </w:tc>
        <w:tc>
          <w:tcPr>
            <w:tcW w:w="3108" w:type="dxa"/>
            <w:gridSpan w:val="15"/>
            <w:tcBorders>
              <w:top w:val="single" w:sz="4" w:space="0" w:color="000000"/>
              <w:left w:val="single" w:sz="4" w:space="0" w:color="000000"/>
              <w:bottom w:val="single" w:sz="4" w:space="0" w:color="000000"/>
              <w:right w:val="single" w:sz="4" w:space="0" w:color="000000"/>
            </w:tcBorders>
            <w:shd w:val="clear" w:color="auto" w:fill="DAF2F6"/>
          </w:tcPr>
          <w:p w14:paraId="662A6F5D"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Interresorna radna grupa pripremila je analizu propisa Crne Gore koji uređuju postupanja u situacijama koje mogu izazvati krizu i predložila rješenja za cjelovito i jedinstveno normativno uređenje ove oblasti</w:t>
            </w:r>
          </w:p>
          <w:p w14:paraId="04FF38BA" w14:textId="77777777" w:rsidR="009B5FE1" w:rsidRPr="00B80AA5" w:rsidRDefault="009B5FE1" w:rsidP="009B5FE1">
            <w:pPr>
              <w:spacing w:before="40" w:after="40" w:line="240" w:lineRule="auto"/>
              <w:jc w:val="center"/>
              <w:rPr>
                <w:rFonts w:ascii="Arial Narrow" w:eastAsia="Arial Narrow" w:hAnsi="Arial Narrow" w:cs="Arial Narrow"/>
                <w:strike/>
                <w:sz w:val="20"/>
                <w:szCs w:val="20"/>
                <w:lang w:eastAsia="sr-Latn-ME"/>
              </w:rPr>
            </w:pPr>
          </w:p>
        </w:tc>
        <w:tc>
          <w:tcPr>
            <w:tcW w:w="2726" w:type="dxa"/>
            <w:gridSpan w:val="11"/>
            <w:tcBorders>
              <w:top w:val="single" w:sz="4" w:space="0" w:color="000000"/>
              <w:left w:val="single" w:sz="4" w:space="0" w:color="000000"/>
              <w:bottom w:val="single" w:sz="4" w:space="0" w:color="000000"/>
              <w:right w:val="single" w:sz="4" w:space="0" w:color="000000"/>
            </w:tcBorders>
            <w:shd w:val="clear" w:color="auto" w:fill="DAF2F6"/>
          </w:tcPr>
          <w:p w14:paraId="4E2FE74D"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Donijet Zakon o kriznom upravljanju i podzakonski akti za njegovo sprovođenje.</w:t>
            </w:r>
          </w:p>
          <w:p w14:paraId="1EC94380"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p>
          <w:p w14:paraId="2A2F46C4"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p>
          <w:p w14:paraId="72BA88B2" w14:textId="77777777" w:rsidR="009B5FE1" w:rsidRPr="00B80AA5" w:rsidRDefault="009B5FE1" w:rsidP="009B5FE1">
            <w:pPr>
              <w:spacing w:before="40" w:after="40" w:line="240" w:lineRule="auto"/>
              <w:jc w:val="center"/>
              <w:rPr>
                <w:rFonts w:ascii="Arial Narrow" w:eastAsia="Arial Narrow" w:hAnsi="Arial Narrow" w:cs="Arial Narrow"/>
                <w:strike/>
                <w:sz w:val="20"/>
                <w:szCs w:val="20"/>
                <w:lang w:eastAsia="sr-Latn-ME"/>
              </w:rPr>
            </w:pPr>
          </w:p>
        </w:tc>
        <w:tc>
          <w:tcPr>
            <w:tcW w:w="3042" w:type="dxa"/>
            <w:gridSpan w:val="10"/>
            <w:tcBorders>
              <w:top w:val="single" w:sz="4" w:space="0" w:color="000000"/>
              <w:left w:val="single" w:sz="4" w:space="0" w:color="000000"/>
              <w:bottom w:val="single" w:sz="4" w:space="0" w:color="000000"/>
              <w:right w:val="single" w:sz="4" w:space="0" w:color="000000"/>
            </w:tcBorders>
            <w:shd w:val="clear" w:color="auto" w:fill="DAF2F6"/>
          </w:tcPr>
          <w:p w14:paraId="791AF70B"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Uspostavljen sistem kriznog upravljanja koji je kompatibilan sa NATO sistemom kriznog upravljanja.</w:t>
            </w:r>
          </w:p>
        </w:tc>
      </w:tr>
      <w:bookmarkEnd w:id="58"/>
      <w:tr w:rsidR="009B5FE1" w:rsidRPr="00B80AA5" w14:paraId="1DC1E5DF" w14:textId="77777777" w:rsidTr="00DF2E8E">
        <w:trPr>
          <w:trHeight w:val="145"/>
        </w:trPr>
        <w:tc>
          <w:tcPr>
            <w:tcW w:w="2895" w:type="dxa"/>
            <w:gridSpan w:val="9"/>
            <w:tcBorders>
              <w:top w:val="single" w:sz="4" w:space="0" w:color="000000"/>
              <w:left w:val="single" w:sz="4" w:space="0" w:color="000000"/>
              <w:bottom w:val="single" w:sz="4" w:space="0" w:color="000000"/>
              <w:right w:val="single" w:sz="4" w:space="0" w:color="000000"/>
            </w:tcBorders>
            <w:shd w:val="clear" w:color="auto" w:fill="FFF2CC"/>
            <w:vAlign w:val="center"/>
          </w:tcPr>
          <w:p w14:paraId="60AC14A3"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Aktivnosti</w:t>
            </w:r>
          </w:p>
        </w:tc>
        <w:tc>
          <w:tcPr>
            <w:tcW w:w="2727" w:type="dxa"/>
            <w:gridSpan w:val="9"/>
            <w:tcBorders>
              <w:top w:val="single" w:sz="4" w:space="0" w:color="000000"/>
              <w:left w:val="single" w:sz="4" w:space="0" w:color="000000"/>
              <w:bottom w:val="single" w:sz="4" w:space="0" w:color="000000"/>
              <w:right w:val="single" w:sz="4" w:space="0" w:color="000000"/>
            </w:tcBorders>
            <w:shd w:val="clear" w:color="auto" w:fill="FFF2CC"/>
            <w:vAlign w:val="center"/>
          </w:tcPr>
          <w:p w14:paraId="44A0ACFF"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Indikator rezultata</w:t>
            </w:r>
          </w:p>
        </w:tc>
        <w:tc>
          <w:tcPr>
            <w:tcW w:w="1700" w:type="dxa"/>
            <w:gridSpan w:val="10"/>
            <w:tcBorders>
              <w:top w:val="single" w:sz="4" w:space="0" w:color="000000"/>
              <w:left w:val="single" w:sz="4" w:space="0" w:color="000000"/>
              <w:bottom w:val="single" w:sz="4" w:space="0" w:color="000000"/>
              <w:right w:val="single" w:sz="4" w:space="0" w:color="000000"/>
            </w:tcBorders>
            <w:shd w:val="clear" w:color="auto" w:fill="FFF2CC"/>
            <w:vAlign w:val="center"/>
          </w:tcPr>
          <w:p w14:paraId="63198F2C"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Nadležne institucije i nadležna komisija</w:t>
            </w:r>
          </w:p>
        </w:tc>
        <w:tc>
          <w:tcPr>
            <w:tcW w:w="1810" w:type="dxa"/>
            <w:gridSpan w:val="9"/>
            <w:tcBorders>
              <w:top w:val="single" w:sz="4" w:space="0" w:color="000000"/>
              <w:left w:val="single" w:sz="4" w:space="0" w:color="000000"/>
              <w:bottom w:val="single" w:sz="4" w:space="0" w:color="000000"/>
              <w:right w:val="single" w:sz="4" w:space="0" w:color="000000"/>
            </w:tcBorders>
            <w:shd w:val="clear" w:color="auto" w:fill="FFF2CC"/>
            <w:vAlign w:val="center"/>
          </w:tcPr>
          <w:p w14:paraId="66967156"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Planirani početak i završetak aktivnosti</w:t>
            </w:r>
          </w:p>
        </w:tc>
        <w:tc>
          <w:tcPr>
            <w:tcW w:w="2069" w:type="dxa"/>
            <w:gridSpan w:val="6"/>
            <w:tcBorders>
              <w:top w:val="single" w:sz="4" w:space="0" w:color="000000"/>
              <w:left w:val="single" w:sz="4" w:space="0" w:color="000000"/>
              <w:bottom w:val="single" w:sz="4" w:space="0" w:color="000000"/>
              <w:right w:val="single" w:sz="4" w:space="0" w:color="000000"/>
            </w:tcBorders>
            <w:shd w:val="clear" w:color="auto" w:fill="FFF2CC"/>
            <w:vAlign w:val="center"/>
          </w:tcPr>
          <w:p w14:paraId="3486CEBA"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Sredstva za realizaciju  i informacija o izradi RIA</w:t>
            </w:r>
          </w:p>
        </w:tc>
        <w:tc>
          <w:tcPr>
            <w:tcW w:w="1260" w:type="dxa"/>
            <w:gridSpan w:val="6"/>
            <w:tcBorders>
              <w:top w:val="single" w:sz="4" w:space="0" w:color="000000"/>
              <w:left w:val="single" w:sz="4" w:space="0" w:color="000000"/>
              <w:bottom w:val="single" w:sz="4" w:space="0" w:color="000000"/>
              <w:right w:val="single" w:sz="4" w:space="0" w:color="000000"/>
            </w:tcBorders>
            <w:shd w:val="clear" w:color="auto" w:fill="FFF2CC"/>
            <w:vAlign w:val="center"/>
          </w:tcPr>
          <w:p w14:paraId="32B59149"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 xml:space="preserve"> Izvor finansiranja</w:t>
            </w:r>
          </w:p>
        </w:tc>
        <w:tc>
          <w:tcPr>
            <w:tcW w:w="2439" w:type="dxa"/>
            <w:gridSpan w:val="9"/>
            <w:tcBorders>
              <w:top w:val="single" w:sz="4" w:space="0" w:color="000000"/>
              <w:left w:val="single" w:sz="4" w:space="0" w:color="000000"/>
              <w:bottom w:val="single" w:sz="4" w:space="0" w:color="000000"/>
              <w:right w:val="single" w:sz="4" w:space="0" w:color="000000"/>
            </w:tcBorders>
            <w:shd w:val="clear" w:color="auto" w:fill="FFF2CC"/>
            <w:vAlign w:val="center"/>
          </w:tcPr>
          <w:p w14:paraId="7A935D94"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p>
          <w:p w14:paraId="027A0296" w14:textId="77777777" w:rsidR="009B5FE1" w:rsidRPr="00B80AA5" w:rsidRDefault="009B5FE1" w:rsidP="009B5FE1">
            <w:pPr>
              <w:spacing w:before="20" w:after="2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Obrazloženje</w:t>
            </w:r>
          </w:p>
        </w:tc>
      </w:tr>
      <w:tr w:rsidR="009B5FE1" w:rsidRPr="00B80AA5" w14:paraId="64B93AED" w14:textId="77777777" w:rsidTr="00DF2E8E">
        <w:trPr>
          <w:trHeight w:val="145"/>
        </w:trPr>
        <w:tc>
          <w:tcPr>
            <w:tcW w:w="707" w:type="dxa"/>
            <w:gridSpan w:val="3"/>
            <w:tcBorders>
              <w:top w:val="single" w:sz="4" w:space="0" w:color="000000"/>
              <w:left w:val="single" w:sz="4" w:space="0" w:color="000000"/>
              <w:bottom w:val="single" w:sz="4" w:space="0" w:color="000000"/>
              <w:right w:val="single" w:sz="4" w:space="0" w:color="000000"/>
            </w:tcBorders>
          </w:tcPr>
          <w:p w14:paraId="329C6A6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1.</w:t>
            </w:r>
          </w:p>
        </w:tc>
        <w:tc>
          <w:tcPr>
            <w:tcW w:w="2188" w:type="dxa"/>
            <w:gridSpan w:val="6"/>
            <w:tcBorders>
              <w:top w:val="single" w:sz="4" w:space="0" w:color="000000"/>
              <w:left w:val="single" w:sz="4" w:space="0" w:color="000000"/>
              <w:bottom w:val="single" w:sz="4" w:space="0" w:color="000000"/>
              <w:right w:val="single" w:sz="4" w:space="0" w:color="000000"/>
            </w:tcBorders>
          </w:tcPr>
          <w:p w14:paraId="35AA48A8"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Izrada analize propisa Crne Gore koji uređuju postupanja u situacijama koje mogu izazvati krizu i predložena rješenja za cjelovito i jedinstveno normativno uređenje ove oblasti</w:t>
            </w:r>
          </w:p>
          <w:p w14:paraId="60B2361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2FD0E645"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p>
          <w:p w14:paraId="7C1EB27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727" w:type="dxa"/>
            <w:gridSpan w:val="9"/>
            <w:tcBorders>
              <w:top w:val="single" w:sz="4" w:space="0" w:color="000000"/>
              <w:left w:val="single" w:sz="4" w:space="0" w:color="000000"/>
              <w:bottom w:val="single" w:sz="4" w:space="0" w:color="000000"/>
              <w:right w:val="single" w:sz="4" w:space="0" w:color="000000"/>
            </w:tcBorders>
          </w:tcPr>
          <w:p w14:paraId="40B1716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Izrađena analiza i predložena rješenja za normativno uređenje oblasti kriznog upravljanja</w:t>
            </w:r>
          </w:p>
        </w:tc>
        <w:tc>
          <w:tcPr>
            <w:tcW w:w="1700" w:type="dxa"/>
            <w:gridSpan w:val="10"/>
            <w:tcBorders>
              <w:top w:val="single" w:sz="4" w:space="0" w:color="000000"/>
              <w:left w:val="single" w:sz="4" w:space="0" w:color="000000"/>
              <w:bottom w:val="single" w:sz="4" w:space="0" w:color="000000"/>
              <w:right w:val="single" w:sz="4" w:space="0" w:color="000000"/>
            </w:tcBorders>
          </w:tcPr>
          <w:p w14:paraId="72590F2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 i Interresorna radna grupa</w:t>
            </w:r>
          </w:p>
        </w:tc>
        <w:tc>
          <w:tcPr>
            <w:tcW w:w="1810" w:type="dxa"/>
            <w:gridSpan w:val="9"/>
            <w:tcBorders>
              <w:top w:val="single" w:sz="4" w:space="0" w:color="000000"/>
              <w:left w:val="single" w:sz="4" w:space="0" w:color="000000"/>
              <w:bottom w:val="single" w:sz="4" w:space="0" w:color="000000"/>
              <w:right w:val="single" w:sz="4" w:space="0" w:color="000000"/>
            </w:tcBorders>
          </w:tcPr>
          <w:p w14:paraId="5DA8347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 – IV Q </w:t>
            </w:r>
          </w:p>
          <w:p w14:paraId="18F1DB01"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2022. g</w:t>
            </w:r>
          </w:p>
          <w:p w14:paraId="116B6F10"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069" w:type="dxa"/>
            <w:gridSpan w:val="6"/>
            <w:tcBorders>
              <w:top w:val="single" w:sz="4" w:space="0" w:color="000000"/>
              <w:left w:val="single" w:sz="4" w:space="0" w:color="000000"/>
              <w:bottom w:val="single" w:sz="4" w:space="0" w:color="000000"/>
              <w:right w:val="single" w:sz="4" w:space="0" w:color="000000"/>
            </w:tcBorders>
          </w:tcPr>
          <w:p w14:paraId="6190670B"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Za realizaciju aktivnosti nijesu potrebna finansijska sredstva</w:t>
            </w:r>
          </w:p>
        </w:tc>
        <w:tc>
          <w:tcPr>
            <w:tcW w:w="1260" w:type="dxa"/>
            <w:gridSpan w:val="6"/>
            <w:tcBorders>
              <w:top w:val="single" w:sz="4" w:space="0" w:color="000000"/>
              <w:left w:val="single" w:sz="4" w:space="0" w:color="000000"/>
              <w:bottom w:val="single" w:sz="4" w:space="0" w:color="000000"/>
              <w:right w:val="single" w:sz="4" w:space="0" w:color="000000"/>
            </w:tcBorders>
          </w:tcPr>
          <w:p w14:paraId="7BCDED9B"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w:t>
            </w:r>
          </w:p>
        </w:tc>
        <w:tc>
          <w:tcPr>
            <w:tcW w:w="2439" w:type="dxa"/>
            <w:gridSpan w:val="9"/>
            <w:tcBorders>
              <w:top w:val="single" w:sz="4" w:space="0" w:color="000000"/>
              <w:left w:val="single" w:sz="4" w:space="0" w:color="000000"/>
              <w:bottom w:val="single" w:sz="4" w:space="0" w:color="000000"/>
              <w:right w:val="single" w:sz="4" w:space="0" w:color="000000"/>
            </w:tcBorders>
          </w:tcPr>
          <w:p w14:paraId="262140A2"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Analizom propisa Crne Gore koji uređuju postupanja u situacijama koje mogu izazvati krizu, utvrdiće sve propise koji uređuju ovu oblast i njihovu međusobnu usklađenost. Na osnovu ove analize Interresorna radna grupa će predložiti optimalan model za pravno uobličavanje sistema kriznog upravljanja</w:t>
            </w:r>
          </w:p>
        </w:tc>
      </w:tr>
      <w:tr w:rsidR="009B5FE1" w:rsidRPr="00B80AA5" w14:paraId="38104DEB" w14:textId="77777777" w:rsidTr="00DF2E8E">
        <w:trPr>
          <w:trHeight w:val="145"/>
        </w:trPr>
        <w:tc>
          <w:tcPr>
            <w:tcW w:w="707" w:type="dxa"/>
            <w:gridSpan w:val="3"/>
            <w:tcBorders>
              <w:top w:val="single" w:sz="4" w:space="0" w:color="000000"/>
              <w:left w:val="single" w:sz="4" w:space="0" w:color="000000"/>
              <w:bottom w:val="single" w:sz="4" w:space="0" w:color="000000"/>
              <w:right w:val="single" w:sz="4" w:space="0" w:color="000000"/>
            </w:tcBorders>
          </w:tcPr>
          <w:p w14:paraId="3116792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w:t>
            </w:r>
          </w:p>
        </w:tc>
        <w:tc>
          <w:tcPr>
            <w:tcW w:w="2188" w:type="dxa"/>
            <w:gridSpan w:val="6"/>
            <w:tcBorders>
              <w:top w:val="single" w:sz="4" w:space="0" w:color="000000"/>
              <w:left w:val="single" w:sz="4" w:space="0" w:color="000000"/>
              <w:bottom w:val="single" w:sz="4" w:space="0" w:color="000000"/>
              <w:right w:val="single" w:sz="4" w:space="0" w:color="000000"/>
            </w:tcBorders>
          </w:tcPr>
          <w:p w14:paraId="4632ABF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Ažuriranje Kataloga nacionalnih mjera za odgovore na NATO mjere odgovora na krize</w:t>
            </w:r>
          </w:p>
        </w:tc>
        <w:tc>
          <w:tcPr>
            <w:tcW w:w="2727" w:type="dxa"/>
            <w:gridSpan w:val="9"/>
            <w:tcBorders>
              <w:top w:val="single" w:sz="4" w:space="0" w:color="000000"/>
              <w:left w:val="single" w:sz="4" w:space="0" w:color="000000"/>
              <w:bottom w:val="single" w:sz="4" w:space="0" w:color="000000"/>
              <w:right w:val="single" w:sz="4" w:space="0" w:color="000000"/>
            </w:tcBorders>
          </w:tcPr>
          <w:p w14:paraId="20FB80D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Usklađen Plan odbrane Crne Gore sa Katalogom nacionalnih mjera za odgovore na NATO mjere odgovora na krize, obuka predstavnika MO i VCG na NATO vježbi CMX 22</w:t>
            </w:r>
          </w:p>
        </w:tc>
        <w:tc>
          <w:tcPr>
            <w:tcW w:w="1700" w:type="dxa"/>
            <w:gridSpan w:val="10"/>
            <w:tcBorders>
              <w:top w:val="single" w:sz="4" w:space="0" w:color="000000"/>
              <w:left w:val="single" w:sz="4" w:space="0" w:color="000000"/>
              <w:bottom w:val="single" w:sz="4" w:space="0" w:color="000000"/>
              <w:right w:val="single" w:sz="4" w:space="0" w:color="000000"/>
            </w:tcBorders>
          </w:tcPr>
          <w:p w14:paraId="6B8B743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tc>
        <w:tc>
          <w:tcPr>
            <w:tcW w:w="1810" w:type="dxa"/>
            <w:gridSpan w:val="9"/>
            <w:tcBorders>
              <w:top w:val="single" w:sz="4" w:space="0" w:color="000000"/>
              <w:left w:val="single" w:sz="4" w:space="0" w:color="000000"/>
              <w:bottom w:val="single" w:sz="4" w:space="0" w:color="000000"/>
              <w:right w:val="single" w:sz="4" w:space="0" w:color="000000"/>
            </w:tcBorders>
          </w:tcPr>
          <w:p w14:paraId="5FF6BC0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I-IV Q </w:t>
            </w:r>
          </w:p>
          <w:p w14:paraId="1797FBD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2022. g</w:t>
            </w:r>
          </w:p>
          <w:p w14:paraId="3CA5096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069" w:type="dxa"/>
            <w:gridSpan w:val="6"/>
            <w:tcBorders>
              <w:top w:val="single" w:sz="4" w:space="0" w:color="000000"/>
              <w:left w:val="single" w:sz="4" w:space="0" w:color="000000"/>
              <w:bottom w:val="single" w:sz="4" w:space="0" w:color="000000"/>
              <w:right w:val="single" w:sz="4" w:space="0" w:color="000000"/>
            </w:tcBorders>
          </w:tcPr>
          <w:p w14:paraId="2267556B"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Redovni troškovi planirani budžetom</w:t>
            </w:r>
          </w:p>
        </w:tc>
        <w:tc>
          <w:tcPr>
            <w:tcW w:w="1260" w:type="dxa"/>
            <w:gridSpan w:val="6"/>
            <w:tcBorders>
              <w:top w:val="single" w:sz="4" w:space="0" w:color="000000"/>
              <w:left w:val="single" w:sz="4" w:space="0" w:color="000000"/>
              <w:bottom w:val="single" w:sz="4" w:space="0" w:color="000000"/>
              <w:right w:val="single" w:sz="4" w:space="0" w:color="000000"/>
            </w:tcBorders>
          </w:tcPr>
          <w:p w14:paraId="7144B3E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Budžet</w:t>
            </w:r>
          </w:p>
        </w:tc>
        <w:tc>
          <w:tcPr>
            <w:tcW w:w="2439" w:type="dxa"/>
            <w:gridSpan w:val="9"/>
            <w:tcBorders>
              <w:top w:val="single" w:sz="4" w:space="0" w:color="000000"/>
              <w:left w:val="single" w:sz="4" w:space="0" w:color="000000"/>
              <w:bottom w:val="single" w:sz="4" w:space="0" w:color="000000"/>
              <w:right w:val="single" w:sz="4" w:space="0" w:color="000000"/>
            </w:tcBorders>
          </w:tcPr>
          <w:p w14:paraId="73B66A1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Ažurirani Katalog nacionalnih mjera usklađen sa NATO priručnikom mjera za odgovor na krize (NCRSM 22)</w:t>
            </w:r>
          </w:p>
        </w:tc>
      </w:tr>
      <w:tr w:rsidR="009B5FE1" w:rsidRPr="00B80AA5" w14:paraId="67EECC00" w14:textId="77777777" w:rsidTr="00DF2E8E">
        <w:trPr>
          <w:trHeight w:val="470"/>
        </w:trPr>
        <w:tc>
          <w:tcPr>
            <w:tcW w:w="2941" w:type="dxa"/>
            <w:gridSpan w:val="11"/>
            <w:tcBorders>
              <w:top w:val="single" w:sz="4" w:space="0" w:color="000000"/>
              <w:left w:val="single" w:sz="4" w:space="0" w:color="000000"/>
              <w:bottom w:val="single" w:sz="4" w:space="0" w:color="000000"/>
              <w:right w:val="single" w:sz="4" w:space="0" w:color="000000"/>
            </w:tcBorders>
            <w:shd w:val="clear" w:color="auto" w:fill="D9E2F3"/>
          </w:tcPr>
          <w:p w14:paraId="648A0351" w14:textId="77777777" w:rsidR="009B5FE1" w:rsidRPr="002466AA" w:rsidRDefault="009B5FE1" w:rsidP="009B5FE1">
            <w:pPr>
              <w:spacing w:before="40" w:after="40" w:line="240" w:lineRule="auto"/>
              <w:jc w:val="center"/>
              <w:rPr>
                <w:rFonts w:ascii="Arial Narrow" w:eastAsia="Arial Narrow" w:hAnsi="Arial Narrow" w:cs="Arial Narrow"/>
                <w:b/>
                <w:sz w:val="20"/>
                <w:szCs w:val="20"/>
                <w:lang w:eastAsia="sr-Latn-ME"/>
              </w:rPr>
            </w:pPr>
            <w:bookmarkStart w:id="59" w:name="_Hlk89635213"/>
            <w:r w:rsidRPr="002466AA">
              <w:rPr>
                <w:rFonts w:ascii="Arial Narrow" w:eastAsia="Arial Narrow" w:hAnsi="Arial Narrow" w:cs="Arial Narrow"/>
                <w:b/>
                <w:sz w:val="20"/>
                <w:szCs w:val="20"/>
                <w:lang w:eastAsia="sr-Latn-ME"/>
              </w:rPr>
              <w:t>Cilj 6.8.</w:t>
            </w:r>
          </w:p>
          <w:p w14:paraId="1DAE1730" w14:textId="77777777" w:rsidR="009B5FE1" w:rsidRPr="002466AA" w:rsidRDefault="009B5FE1" w:rsidP="009B5FE1">
            <w:pPr>
              <w:spacing w:before="40" w:after="40" w:line="240" w:lineRule="auto"/>
              <w:jc w:val="center"/>
              <w:rPr>
                <w:rFonts w:ascii="Arial Narrow" w:eastAsia="Arial Narrow" w:hAnsi="Arial Narrow" w:cs="Arial Narrow"/>
                <w:b/>
                <w:sz w:val="20"/>
                <w:szCs w:val="20"/>
                <w:lang w:eastAsia="sr-Latn-ME"/>
              </w:rPr>
            </w:pPr>
          </w:p>
        </w:tc>
        <w:tc>
          <w:tcPr>
            <w:tcW w:w="11959" w:type="dxa"/>
            <w:gridSpan w:val="47"/>
            <w:tcBorders>
              <w:top w:val="single" w:sz="4" w:space="0" w:color="000000"/>
              <w:left w:val="single" w:sz="4" w:space="0" w:color="000000"/>
              <w:bottom w:val="single" w:sz="4" w:space="0" w:color="000000"/>
              <w:right w:val="single" w:sz="4" w:space="0" w:color="000000"/>
            </w:tcBorders>
            <w:shd w:val="clear" w:color="auto" w:fill="D9E2F3"/>
          </w:tcPr>
          <w:p w14:paraId="3ABC6155" w14:textId="77777777" w:rsidR="009B5FE1" w:rsidRPr="002466AA" w:rsidRDefault="009B5FE1" w:rsidP="009B5FE1">
            <w:pPr>
              <w:spacing w:before="40" w:after="40" w:line="240" w:lineRule="auto"/>
              <w:jc w:val="both"/>
              <w:rPr>
                <w:rFonts w:ascii="Arial Narrow" w:eastAsia="Arial Narrow" w:hAnsi="Arial Narrow" w:cs="Arial Narrow"/>
                <w:b/>
                <w:sz w:val="20"/>
                <w:szCs w:val="20"/>
                <w:lang w:eastAsia="sr-Latn-ME"/>
              </w:rPr>
            </w:pPr>
            <w:r w:rsidRPr="002466AA">
              <w:rPr>
                <w:rFonts w:ascii="Arial Narrow" w:eastAsia="Arial Narrow" w:hAnsi="Arial Narrow" w:cs="Arial Narrow"/>
                <w:b/>
                <w:sz w:val="20"/>
                <w:szCs w:val="20"/>
                <w:lang w:eastAsia="sr-Latn-ME"/>
              </w:rPr>
              <w:t xml:space="preserve"> Aktivan doprinos kolektivnom sistemu odbrane, učešće u NATO, EU i UN misijama i operacijama</w:t>
            </w:r>
          </w:p>
        </w:tc>
      </w:tr>
      <w:tr w:rsidR="009B5FE1" w:rsidRPr="00B80AA5" w14:paraId="65B04F32" w14:textId="77777777" w:rsidTr="00DF2E8E">
        <w:trPr>
          <w:trHeight w:val="145"/>
        </w:trPr>
        <w:tc>
          <w:tcPr>
            <w:tcW w:w="2941" w:type="dxa"/>
            <w:gridSpan w:val="11"/>
            <w:tcBorders>
              <w:top w:val="single" w:sz="4" w:space="0" w:color="000000"/>
              <w:left w:val="single" w:sz="4" w:space="0" w:color="000000"/>
              <w:bottom w:val="single" w:sz="4" w:space="0" w:color="000000"/>
              <w:right w:val="single" w:sz="4" w:space="0" w:color="000000"/>
            </w:tcBorders>
            <w:shd w:val="clear" w:color="auto" w:fill="DAF2F6"/>
          </w:tcPr>
          <w:p w14:paraId="4F14F8D6"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Indikator učinka</w:t>
            </w:r>
          </w:p>
        </w:tc>
        <w:tc>
          <w:tcPr>
            <w:tcW w:w="3178" w:type="dxa"/>
            <w:gridSpan w:val="12"/>
            <w:tcBorders>
              <w:top w:val="single" w:sz="4" w:space="0" w:color="000000"/>
              <w:left w:val="single" w:sz="4" w:space="0" w:color="000000"/>
              <w:bottom w:val="single" w:sz="4" w:space="0" w:color="000000"/>
              <w:right w:val="single" w:sz="4" w:space="0" w:color="000000"/>
            </w:tcBorders>
            <w:shd w:val="clear" w:color="auto" w:fill="DAF2F6"/>
          </w:tcPr>
          <w:p w14:paraId="729B059A"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Polazna vrijednost – 2021.g</w:t>
            </w:r>
          </w:p>
        </w:tc>
        <w:tc>
          <w:tcPr>
            <w:tcW w:w="2985" w:type="dxa"/>
            <w:gridSpan w:val="12"/>
            <w:tcBorders>
              <w:top w:val="single" w:sz="4" w:space="0" w:color="000000"/>
              <w:left w:val="single" w:sz="4" w:space="0" w:color="000000"/>
              <w:bottom w:val="single" w:sz="4" w:space="0" w:color="000000"/>
              <w:right w:val="single" w:sz="4" w:space="0" w:color="000000"/>
            </w:tcBorders>
            <w:shd w:val="clear" w:color="auto" w:fill="DAF2F6"/>
            <w:vAlign w:val="center"/>
          </w:tcPr>
          <w:p w14:paraId="4032D94F"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2022.g</w:t>
            </w:r>
          </w:p>
        </w:tc>
        <w:tc>
          <w:tcPr>
            <w:tcW w:w="2746" w:type="dxa"/>
            <w:gridSpan w:val="12"/>
            <w:tcBorders>
              <w:top w:val="single" w:sz="4" w:space="0" w:color="000000"/>
              <w:left w:val="single" w:sz="4" w:space="0" w:color="000000"/>
              <w:bottom w:val="single" w:sz="4" w:space="0" w:color="FFFFFF"/>
              <w:right w:val="single" w:sz="4" w:space="0" w:color="000000"/>
            </w:tcBorders>
            <w:shd w:val="clear" w:color="auto" w:fill="DAF2F6"/>
            <w:vAlign w:val="center"/>
          </w:tcPr>
          <w:p w14:paraId="79C788FB"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Prelazna vrijednost – 2023.g</w:t>
            </w:r>
          </w:p>
        </w:tc>
        <w:tc>
          <w:tcPr>
            <w:tcW w:w="3050" w:type="dxa"/>
            <w:gridSpan w:val="11"/>
            <w:tcBorders>
              <w:top w:val="single" w:sz="4" w:space="0" w:color="000000"/>
              <w:left w:val="single" w:sz="4" w:space="0" w:color="000000"/>
              <w:bottom w:val="single" w:sz="4" w:space="0" w:color="FFFFFF"/>
              <w:right w:val="single" w:sz="4" w:space="0" w:color="000000"/>
            </w:tcBorders>
            <w:shd w:val="clear" w:color="auto" w:fill="DAF2F6"/>
            <w:vAlign w:val="center"/>
          </w:tcPr>
          <w:p w14:paraId="76DF0ADA"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Ciljna vrijednost - 2024.g</w:t>
            </w:r>
          </w:p>
        </w:tc>
      </w:tr>
      <w:tr w:rsidR="009B5FE1" w:rsidRPr="00B80AA5" w14:paraId="26D5F715" w14:textId="77777777" w:rsidTr="00DF2E8E">
        <w:trPr>
          <w:trHeight w:val="145"/>
        </w:trPr>
        <w:tc>
          <w:tcPr>
            <w:tcW w:w="2941" w:type="dxa"/>
            <w:gridSpan w:val="11"/>
            <w:tcBorders>
              <w:top w:val="single" w:sz="4" w:space="0" w:color="000000"/>
              <w:left w:val="single" w:sz="4" w:space="0" w:color="000000"/>
              <w:bottom w:val="single" w:sz="4" w:space="0" w:color="000000"/>
              <w:right w:val="single" w:sz="4" w:space="0" w:color="000000"/>
            </w:tcBorders>
            <w:shd w:val="clear" w:color="auto" w:fill="DAF2F6"/>
          </w:tcPr>
          <w:p w14:paraId="37DB10B3" w14:textId="77777777" w:rsidR="009B5FE1" w:rsidRPr="00B80AA5" w:rsidRDefault="009B5FE1" w:rsidP="009B5FE1">
            <w:pPr>
              <w:pBdr>
                <w:top w:val="nil"/>
                <w:left w:val="nil"/>
                <w:bottom w:val="nil"/>
                <w:right w:val="nil"/>
                <w:between w:val="nil"/>
              </w:pBdr>
              <w:spacing w:before="40" w:after="40"/>
              <w:jc w:val="both"/>
              <w:rPr>
                <w:rFonts w:ascii="Arial Narrow" w:eastAsia="Arial Narrow" w:hAnsi="Arial Narrow" w:cs="Arial Narrow"/>
                <w:b/>
                <w:color w:val="000000"/>
                <w:sz w:val="20"/>
                <w:szCs w:val="20"/>
                <w:lang w:eastAsia="sr-Latn-ME"/>
              </w:rPr>
            </w:pPr>
            <w:r w:rsidRPr="00B80AA5">
              <w:rPr>
                <w:rFonts w:ascii="Arial Narrow" w:eastAsia="Arial Narrow" w:hAnsi="Arial Narrow" w:cs="Arial Narrow"/>
                <w:color w:val="000000"/>
                <w:sz w:val="20"/>
                <w:szCs w:val="20"/>
                <w:lang w:eastAsia="sr-Latn-ME"/>
              </w:rPr>
              <w:lastRenderedPageBreak/>
              <w:t>1. Učešće pripadnika Vojske Crne Gore u NATO, EU i UN misijama, operacijama i aktivnostima</w:t>
            </w:r>
          </w:p>
          <w:p w14:paraId="6A1C6D34" w14:textId="77777777" w:rsidR="009B5FE1" w:rsidRPr="00B80AA5" w:rsidRDefault="009B5FE1" w:rsidP="009B5FE1">
            <w:pPr>
              <w:spacing w:before="40" w:after="40" w:line="240" w:lineRule="auto"/>
              <w:jc w:val="both"/>
              <w:rPr>
                <w:rFonts w:ascii="Arial Narrow" w:eastAsia="Arial Narrow" w:hAnsi="Arial Narrow" w:cs="Arial Narrow"/>
                <w:b/>
                <w:sz w:val="20"/>
                <w:szCs w:val="20"/>
                <w:lang w:eastAsia="sr-Latn-ME"/>
              </w:rPr>
            </w:pPr>
          </w:p>
        </w:tc>
        <w:tc>
          <w:tcPr>
            <w:tcW w:w="3178" w:type="dxa"/>
            <w:gridSpan w:val="12"/>
            <w:tcBorders>
              <w:top w:val="single" w:sz="4" w:space="0" w:color="000000"/>
              <w:left w:val="single" w:sz="4" w:space="0" w:color="000000"/>
              <w:bottom w:val="single" w:sz="4" w:space="0" w:color="000000"/>
              <w:right w:val="single" w:sz="4" w:space="0" w:color="000000"/>
            </w:tcBorders>
            <w:shd w:val="clear" w:color="auto" w:fill="DAF2F6"/>
          </w:tcPr>
          <w:p w14:paraId="5F965D59"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Učešće u KFOR, eFP, NMI, EUTM, EU ATALANTA i UN MINURSO (dva odjeljenja i do 5 štabnih oficira)</w:t>
            </w:r>
          </w:p>
        </w:tc>
        <w:tc>
          <w:tcPr>
            <w:tcW w:w="2985" w:type="dxa"/>
            <w:gridSpan w:val="12"/>
            <w:tcBorders>
              <w:top w:val="single" w:sz="4" w:space="0" w:color="000000"/>
              <w:left w:val="single" w:sz="4" w:space="0" w:color="000000"/>
              <w:bottom w:val="single" w:sz="4" w:space="0" w:color="000000"/>
              <w:right w:val="single" w:sz="4" w:space="0" w:color="000000"/>
            </w:tcBorders>
            <w:shd w:val="clear" w:color="auto" w:fill="DAF2F6"/>
          </w:tcPr>
          <w:p w14:paraId="26880A08"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Učešće u KFOR, eFP, NMI, EUTM, EU ATALANTA i UN MINURSO (dva odjeljenja i do 5 štabnih oficira)</w:t>
            </w:r>
          </w:p>
        </w:tc>
        <w:tc>
          <w:tcPr>
            <w:tcW w:w="2746" w:type="dxa"/>
            <w:gridSpan w:val="12"/>
            <w:tcBorders>
              <w:top w:val="single" w:sz="4" w:space="0" w:color="000000"/>
              <w:left w:val="single" w:sz="4" w:space="0" w:color="000000"/>
              <w:bottom w:val="single" w:sz="4" w:space="0" w:color="FFFFFF"/>
              <w:right w:val="single" w:sz="4" w:space="0" w:color="000000"/>
            </w:tcBorders>
            <w:shd w:val="clear" w:color="auto" w:fill="DAF2F6"/>
          </w:tcPr>
          <w:p w14:paraId="4BF5A18F"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Učešće u KFOR, eFP, NMI, EUTM, EU ATALANTA i UN MINURSO (jedan vod, jedno odjeljenje i do 5 štabnih oficira)</w:t>
            </w:r>
          </w:p>
        </w:tc>
        <w:tc>
          <w:tcPr>
            <w:tcW w:w="3050" w:type="dxa"/>
            <w:gridSpan w:val="11"/>
            <w:tcBorders>
              <w:top w:val="single" w:sz="4" w:space="0" w:color="000000"/>
              <w:left w:val="single" w:sz="4" w:space="0" w:color="000000"/>
              <w:bottom w:val="single" w:sz="4" w:space="0" w:color="FFFFFF"/>
              <w:right w:val="single" w:sz="4" w:space="0" w:color="000000"/>
            </w:tcBorders>
            <w:shd w:val="clear" w:color="auto" w:fill="DAF2F6"/>
          </w:tcPr>
          <w:p w14:paraId="2943BDD2" w14:textId="77777777" w:rsidR="009B5FE1" w:rsidRPr="00B80AA5" w:rsidRDefault="009B5FE1" w:rsidP="009B5FE1">
            <w:pPr>
              <w:spacing w:before="40" w:after="40" w:line="240" w:lineRule="auto"/>
              <w:jc w:val="center"/>
              <w:rPr>
                <w:rFonts w:ascii="Arial Narrow" w:eastAsia="Arial Narrow" w:hAnsi="Arial Narrow" w:cs="Arial Narrow"/>
                <w:b/>
                <w:sz w:val="20"/>
                <w:szCs w:val="20"/>
                <w:lang w:eastAsia="sr-Latn-ME"/>
              </w:rPr>
            </w:pPr>
            <w:r w:rsidRPr="00B80AA5">
              <w:rPr>
                <w:rFonts w:ascii="Arial Narrow" w:eastAsia="Arial Narrow" w:hAnsi="Arial Narrow" w:cs="Arial Narrow"/>
                <w:sz w:val="20"/>
                <w:szCs w:val="20"/>
                <w:lang w:eastAsia="sr-Latn-ME"/>
              </w:rPr>
              <w:t>Učešće u KFOR, eFP, NMI, EUTM, EU ATALANTA i UN MINURSO (jedan vod, jedno odjeljenje i do 5 štabnih oficira)</w:t>
            </w:r>
          </w:p>
        </w:tc>
      </w:tr>
      <w:tr w:rsidR="009B5FE1" w:rsidRPr="00B80AA5" w14:paraId="209A84F7" w14:textId="77777777" w:rsidTr="00DF2E8E">
        <w:trPr>
          <w:trHeight w:val="3204"/>
        </w:trPr>
        <w:tc>
          <w:tcPr>
            <w:tcW w:w="2941" w:type="dxa"/>
            <w:gridSpan w:val="11"/>
            <w:tcBorders>
              <w:top w:val="single" w:sz="4" w:space="0" w:color="000000"/>
              <w:left w:val="single" w:sz="4" w:space="0" w:color="000000"/>
              <w:bottom w:val="single" w:sz="4" w:space="0" w:color="000000"/>
              <w:right w:val="single" w:sz="4" w:space="0" w:color="000000"/>
            </w:tcBorders>
            <w:shd w:val="clear" w:color="auto" w:fill="DAF2F6"/>
          </w:tcPr>
          <w:p w14:paraId="7974B9A4" w14:textId="77777777" w:rsidR="009B5FE1" w:rsidRPr="00B80AA5" w:rsidRDefault="009B5FE1" w:rsidP="009B5FE1">
            <w:pPr>
              <w:pBdr>
                <w:top w:val="nil"/>
                <w:left w:val="nil"/>
                <w:bottom w:val="nil"/>
                <w:right w:val="nil"/>
                <w:between w:val="nil"/>
              </w:pBdr>
              <w:spacing w:before="40" w:after="40"/>
              <w:jc w:val="both"/>
              <w:rPr>
                <w:rFonts w:ascii="Arial Narrow" w:eastAsia="Arial Narrow" w:hAnsi="Arial Narrow" w:cs="Arial Narrow"/>
                <w:color w:val="000000"/>
                <w:sz w:val="20"/>
                <w:szCs w:val="20"/>
                <w:lang w:eastAsia="sr-Latn-ME"/>
              </w:rPr>
            </w:pPr>
            <w:r w:rsidRPr="00B80AA5">
              <w:rPr>
                <w:rFonts w:ascii="Arial Narrow" w:eastAsia="Arial Narrow" w:hAnsi="Arial Narrow" w:cs="Arial Narrow"/>
                <w:color w:val="000000"/>
                <w:sz w:val="20"/>
                <w:szCs w:val="20"/>
                <w:lang w:eastAsia="sr-Latn-ME"/>
              </w:rPr>
              <w:t>2. Doprinos Vojske Crne Gore NATO komandnoj strukturi i NATO strukturi snaga</w:t>
            </w:r>
          </w:p>
        </w:tc>
        <w:tc>
          <w:tcPr>
            <w:tcW w:w="3178" w:type="dxa"/>
            <w:gridSpan w:val="12"/>
            <w:tcBorders>
              <w:top w:val="single" w:sz="4" w:space="0" w:color="000000"/>
              <w:left w:val="single" w:sz="4" w:space="0" w:color="000000"/>
              <w:bottom w:val="single" w:sz="4" w:space="0" w:color="000000"/>
              <w:right w:val="single" w:sz="4" w:space="0" w:color="000000"/>
            </w:tcBorders>
            <w:shd w:val="clear" w:color="auto" w:fill="DAF2F6"/>
          </w:tcPr>
          <w:p w14:paraId="0E02C0B1"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NATO snagama za brzo reagovanje (VJTF) 2020-2022 (jedan vod) i 1-2 štabna oficira.</w:t>
            </w:r>
          </w:p>
          <w:p w14:paraId="1AA7005F"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NATO komandnoj strukturi na strateškom nivou (dva predstavnika), operativnom (jedan predstavnik) i taktičkom (jedan predstavnik)</w:t>
            </w:r>
          </w:p>
        </w:tc>
        <w:tc>
          <w:tcPr>
            <w:tcW w:w="2985" w:type="dxa"/>
            <w:gridSpan w:val="12"/>
            <w:tcBorders>
              <w:top w:val="single" w:sz="4" w:space="0" w:color="000000"/>
              <w:left w:val="single" w:sz="4" w:space="0" w:color="000000"/>
              <w:bottom w:val="single" w:sz="4" w:space="0" w:color="000000"/>
              <w:right w:val="single" w:sz="4" w:space="0" w:color="000000"/>
            </w:tcBorders>
            <w:shd w:val="clear" w:color="auto" w:fill="DAF2F6"/>
          </w:tcPr>
          <w:p w14:paraId="13C60D96"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NATO snagama za brzo reagovanje (VJTF) 2020-2022 (jedan vod) i VJTF 2022-2024 (jedno odjeljenje) i 1-2 štabna oficira.</w:t>
            </w:r>
          </w:p>
          <w:p w14:paraId="3003FB80"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NATO komandnoj strukturi na strateškom nivou (dva predstavnika), operativnom (jedan predstavnik) i taktičkom (jedan predstavnik)</w:t>
            </w:r>
          </w:p>
        </w:tc>
        <w:tc>
          <w:tcPr>
            <w:tcW w:w="2746" w:type="dxa"/>
            <w:gridSpan w:val="12"/>
            <w:tcBorders>
              <w:top w:val="single" w:sz="4" w:space="0" w:color="000000"/>
              <w:left w:val="single" w:sz="4" w:space="0" w:color="000000"/>
              <w:bottom w:val="single" w:sz="4" w:space="0" w:color="FFFFFF"/>
              <w:right w:val="single" w:sz="4" w:space="0" w:color="000000"/>
            </w:tcBorders>
            <w:shd w:val="clear" w:color="auto" w:fill="DAF2F6"/>
          </w:tcPr>
          <w:p w14:paraId="23D42655"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VJTF 2022-2024 (jedno odjeljenje) i 1-2 štabna oficira.</w:t>
            </w:r>
          </w:p>
          <w:p w14:paraId="1CCF53A3"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NATO komandnoj strukturi na strateškom nivou (dva predstavnika), operativnom (jedan predstavnik) i taktičkom (jedan predstavnik)</w:t>
            </w:r>
          </w:p>
        </w:tc>
        <w:tc>
          <w:tcPr>
            <w:tcW w:w="3050" w:type="dxa"/>
            <w:gridSpan w:val="11"/>
            <w:tcBorders>
              <w:top w:val="single" w:sz="4" w:space="0" w:color="000000"/>
              <w:left w:val="single" w:sz="4" w:space="0" w:color="000000"/>
              <w:bottom w:val="single" w:sz="4" w:space="0" w:color="FFFFFF"/>
              <w:right w:val="single" w:sz="4" w:space="0" w:color="000000"/>
            </w:tcBorders>
            <w:shd w:val="clear" w:color="auto" w:fill="DAF2F6"/>
          </w:tcPr>
          <w:p w14:paraId="58C85600"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VJTF 2022-2024 (jedno odjeljenje) i NRI (jedna pješadijska četa) i 1-2 štabna oficira.</w:t>
            </w:r>
          </w:p>
          <w:p w14:paraId="18982A46" w14:textId="77777777" w:rsidR="009B5FE1" w:rsidRPr="00B80AA5" w:rsidRDefault="009B5FE1" w:rsidP="009B5FE1">
            <w:pPr>
              <w:spacing w:before="40" w:after="40" w:line="240" w:lineRule="auto"/>
              <w:jc w:val="center"/>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NATO komandnoj strukturi na strateškom nivou (dva predstavnika), operativnom (jedan predstavnik) i taktičkom (jedan predstavnik)</w:t>
            </w:r>
          </w:p>
        </w:tc>
      </w:tr>
      <w:bookmarkEnd w:id="59"/>
      <w:tr w:rsidR="009B5FE1" w:rsidRPr="00B80AA5" w14:paraId="55A5AE88" w14:textId="77777777" w:rsidTr="00DF2E8E">
        <w:trPr>
          <w:trHeight w:val="145"/>
        </w:trPr>
        <w:tc>
          <w:tcPr>
            <w:tcW w:w="2941" w:type="dxa"/>
            <w:gridSpan w:val="11"/>
            <w:tcBorders>
              <w:top w:val="single" w:sz="4" w:space="0" w:color="000000"/>
              <w:left w:val="single" w:sz="4" w:space="0" w:color="000000"/>
              <w:bottom w:val="single" w:sz="4" w:space="0" w:color="000000"/>
              <w:right w:val="single" w:sz="4" w:space="0" w:color="000000"/>
            </w:tcBorders>
            <w:shd w:val="clear" w:color="auto" w:fill="FFF2CC"/>
            <w:vAlign w:val="center"/>
          </w:tcPr>
          <w:p w14:paraId="62EBC0C9"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Aktivnosti</w:t>
            </w:r>
          </w:p>
        </w:tc>
        <w:tc>
          <w:tcPr>
            <w:tcW w:w="2681" w:type="dxa"/>
            <w:gridSpan w:val="7"/>
            <w:tcBorders>
              <w:top w:val="single" w:sz="4" w:space="0" w:color="000000"/>
              <w:left w:val="single" w:sz="4" w:space="0" w:color="000000"/>
              <w:bottom w:val="single" w:sz="4" w:space="0" w:color="000000"/>
              <w:right w:val="single" w:sz="4" w:space="0" w:color="000000"/>
            </w:tcBorders>
            <w:shd w:val="clear" w:color="auto" w:fill="FFF2CC"/>
            <w:vAlign w:val="center"/>
          </w:tcPr>
          <w:p w14:paraId="094FBCAF"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Indikator rezultata</w:t>
            </w:r>
          </w:p>
        </w:tc>
        <w:tc>
          <w:tcPr>
            <w:tcW w:w="1803" w:type="dxa"/>
            <w:gridSpan w:val="11"/>
            <w:tcBorders>
              <w:top w:val="single" w:sz="4" w:space="0" w:color="000000"/>
              <w:left w:val="single" w:sz="4" w:space="0" w:color="000000"/>
              <w:bottom w:val="single" w:sz="4" w:space="0" w:color="000000"/>
              <w:right w:val="single" w:sz="4" w:space="0" w:color="000000"/>
            </w:tcBorders>
            <w:shd w:val="clear" w:color="auto" w:fill="FFF2CC"/>
            <w:vAlign w:val="center"/>
          </w:tcPr>
          <w:p w14:paraId="53063AFF"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Nadležne institucije i nadležna komisija</w:t>
            </w:r>
          </w:p>
        </w:tc>
        <w:tc>
          <w:tcPr>
            <w:tcW w:w="1679" w:type="dxa"/>
            <w:gridSpan w:val="6"/>
            <w:tcBorders>
              <w:top w:val="single" w:sz="4" w:space="0" w:color="000000"/>
              <w:left w:val="single" w:sz="4" w:space="0" w:color="000000"/>
              <w:bottom w:val="single" w:sz="4" w:space="0" w:color="000000"/>
              <w:right w:val="single" w:sz="4" w:space="0" w:color="000000"/>
            </w:tcBorders>
            <w:shd w:val="clear" w:color="auto" w:fill="FFF2CC"/>
            <w:vAlign w:val="center"/>
          </w:tcPr>
          <w:p w14:paraId="31123609"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Planirani početak i završetak aktivnosti</w:t>
            </w:r>
          </w:p>
        </w:tc>
        <w:tc>
          <w:tcPr>
            <w:tcW w:w="2097" w:type="dxa"/>
            <w:gridSpan w:val="8"/>
            <w:tcBorders>
              <w:top w:val="single" w:sz="4" w:space="0" w:color="000000"/>
              <w:left w:val="single" w:sz="4" w:space="0" w:color="000000"/>
              <w:bottom w:val="single" w:sz="4" w:space="0" w:color="000000"/>
              <w:right w:val="single" w:sz="4" w:space="0" w:color="000000"/>
            </w:tcBorders>
            <w:shd w:val="clear" w:color="auto" w:fill="FFF2CC"/>
            <w:vAlign w:val="center"/>
          </w:tcPr>
          <w:p w14:paraId="22AFB23D"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Sredstva za realizaciju  i informacija o izradi RIA</w:t>
            </w:r>
          </w:p>
        </w:tc>
        <w:tc>
          <w:tcPr>
            <w:tcW w:w="1260" w:type="dxa"/>
            <w:gridSpan w:val="6"/>
            <w:tcBorders>
              <w:top w:val="single" w:sz="4" w:space="0" w:color="000000"/>
              <w:left w:val="single" w:sz="4" w:space="0" w:color="000000"/>
              <w:bottom w:val="single" w:sz="4" w:space="0" w:color="000000"/>
              <w:right w:val="single" w:sz="4" w:space="0" w:color="000000"/>
            </w:tcBorders>
            <w:shd w:val="clear" w:color="auto" w:fill="FFF2CC"/>
            <w:vAlign w:val="center"/>
          </w:tcPr>
          <w:p w14:paraId="4955A620"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 xml:space="preserve"> Izvor finansiranja</w:t>
            </w:r>
          </w:p>
        </w:tc>
        <w:tc>
          <w:tcPr>
            <w:tcW w:w="2439" w:type="dxa"/>
            <w:gridSpan w:val="9"/>
            <w:tcBorders>
              <w:top w:val="single" w:sz="4" w:space="0" w:color="000000"/>
              <w:left w:val="single" w:sz="4" w:space="0" w:color="000000"/>
              <w:bottom w:val="single" w:sz="4" w:space="0" w:color="000000"/>
              <w:right w:val="single" w:sz="4" w:space="0" w:color="000000"/>
            </w:tcBorders>
            <w:shd w:val="clear" w:color="auto" w:fill="FFF2CC"/>
            <w:vAlign w:val="center"/>
          </w:tcPr>
          <w:p w14:paraId="75D2FCE7"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p>
          <w:p w14:paraId="3A3D1D9C" w14:textId="77777777" w:rsidR="009B5FE1" w:rsidRPr="00B80AA5" w:rsidRDefault="009B5FE1" w:rsidP="009B5FE1">
            <w:pPr>
              <w:spacing w:before="20" w:after="20" w:line="240" w:lineRule="auto"/>
              <w:jc w:val="both"/>
              <w:rPr>
                <w:rFonts w:ascii="Arial Narrow" w:eastAsia="Arial Narrow" w:hAnsi="Arial Narrow" w:cs="Arial Narrow"/>
                <w:b/>
                <w:sz w:val="20"/>
                <w:szCs w:val="20"/>
                <w:lang w:eastAsia="sr-Latn-ME"/>
              </w:rPr>
            </w:pPr>
            <w:r w:rsidRPr="00B80AA5">
              <w:rPr>
                <w:rFonts w:ascii="Arial Narrow" w:eastAsia="Arial Narrow" w:hAnsi="Arial Narrow" w:cs="Arial Narrow"/>
                <w:b/>
                <w:sz w:val="20"/>
                <w:szCs w:val="20"/>
                <w:lang w:eastAsia="sr-Latn-ME"/>
              </w:rPr>
              <w:t>Obrazloženje</w:t>
            </w:r>
          </w:p>
        </w:tc>
      </w:tr>
      <w:tr w:rsidR="009B5FE1" w:rsidRPr="00B80AA5" w14:paraId="672C4DE5" w14:textId="77777777" w:rsidTr="00DF2E8E">
        <w:trPr>
          <w:trHeight w:val="2383"/>
        </w:trPr>
        <w:tc>
          <w:tcPr>
            <w:tcW w:w="722" w:type="dxa"/>
            <w:gridSpan w:val="4"/>
            <w:tcBorders>
              <w:top w:val="single" w:sz="4" w:space="0" w:color="000000"/>
              <w:left w:val="single" w:sz="4" w:space="0" w:color="000000"/>
              <w:bottom w:val="single" w:sz="4" w:space="0" w:color="000000"/>
              <w:right w:val="single" w:sz="4" w:space="0" w:color="auto"/>
            </w:tcBorders>
          </w:tcPr>
          <w:p w14:paraId="50256E7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Pr>
                <w:rFonts w:ascii="Arial Narrow" w:eastAsia="Arial Narrow" w:hAnsi="Arial Narrow" w:cs="Arial Narrow"/>
                <w:sz w:val="20"/>
                <w:szCs w:val="20"/>
                <w:lang w:eastAsia="sr-Latn-ME"/>
              </w:rPr>
              <w:t xml:space="preserve">1. </w:t>
            </w:r>
          </w:p>
        </w:tc>
        <w:tc>
          <w:tcPr>
            <w:tcW w:w="2197" w:type="dxa"/>
            <w:gridSpan w:val="6"/>
            <w:tcBorders>
              <w:top w:val="single" w:sz="4" w:space="0" w:color="000000"/>
              <w:left w:val="single" w:sz="4" w:space="0" w:color="auto"/>
              <w:bottom w:val="single" w:sz="4" w:space="0" w:color="000000"/>
              <w:right w:val="single" w:sz="4" w:space="0" w:color="000000"/>
            </w:tcBorders>
          </w:tcPr>
          <w:p w14:paraId="470BF45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2466AA">
              <w:rPr>
                <w:rFonts w:ascii="Arial Narrow" w:eastAsia="Arial Narrow" w:hAnsi="Arial Narrow" w:cs="Arial Narrow"/>
                <w:sz w:val="20"/>
                <w:szCs w:val="20"/>
                <w:lang w:eastAsia="sr-Latn-ME"/>
              </w:rPr>
              <w:t>Predsjedavanje regionalnom inicijativom- Američko-jadranska povelja (A5)</w:t>
            </w:r>
          </w:p>
        </w:tc>
        <w:tc>
          <w:tcPr>
            <w:tcW w:w="2703" w:type="dxa"/>
            <w:gridSpan w:val="8"/>
            <w:tcBorders>
              <w:top w:val="single" w:sz="4" w:space="0" w:color="000000"/>
              <w:left w:val="single" w:sz="4" w:space="0" w:color="000000"/>
              <w:bottom w:val="single" w:sz="4" w:space="0" w:color="000000"/>
              <w:right w:val="single" w:sz="4" w:space="0" w:color="000000"/>
            </w:tcBorders>
          </w:tcPr>
          <w:p w14:paraId="30A9AC6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Realizacija aktivnosti predviđenih akcionim planom predsjedavanja Crne Gore Američko-jadranskom poveljom (A5)</w:t>
            </w:r>
          </w:p>
        </w:tc>
        <w:tc>
          <w:tcPr>
            <w:tcW w:w="1803" w:type="dxa"/>
            <w:gridSpan w:val="11"/>
            <w:tcBorders>
              <w:top w:val="single" w:sz="4" w:space="0" w:color="000000"/>
              <w:left w:val="single" w:sz="4" w:space="0" w:color="000000"/>
              <w:bottom w:val="single" w:sz="4" w:space="0" w:color="000000"/>
              <w:right w:val="single" w:sz="4" w:space="0" w:color="000000"/>
            </w:tcBorders>
          </w:tcPr>
          <w:p w14:paraId="7847125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MVP i MO</w:t>
            </w:r>
          </w:p>
        </w:tc>
        <w:tc>
          <w:tcPr>
            <w:tcW w:w="1707" w:type="dxa"/>
            <w:gridSpan w:val="8"/>
            <w:tcBorders>
              <w:top w:val="single" w:sz="4" w:space="0" w:color="000000"/>
              <w:left w:val="single" w:sz="4" w:space="0" w:color="000000"/>
              <w:bottom w:val="single" w:sz="4" w:space="0" w:color="000000"/>
              <w:right w:val="single" w:sz="4" w:space="0" w:color="000000"/>
            </w:tcBorders>
          </w:tcPr>
          <w:p w14:paraId="5996FB7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I-IV Q </w:t>
            </w:r>
          </w:p>
          <w:p w14:paraId="103A64F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2022. g</w:t>
            </w:r>
          </w:p>
          <w:p w14:paraId="2B3F416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069" w:type="dxa"/>
            <w:gridSpan w:val="6"/>
            <w:tcBorders>
              <w:top w:val="single" w:sz="4" w:space="0" w:color="000000"/>
              <w:left w:val="single" w:sz="4" w:space="0" w:color="000000"/>
              <w:bottom w:val="single" w:sz="4" w:space="0" w:color="000000"/>
              <w:right w:val="single" w:sz="4" w:space="0" w:color="000000"/>
            </w:tcBorders>
          </w:tcPr>
          <w:p w14:paraId="34BDBE3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Ministarstvo odbrane: 37500Eura</w:t>
            </w:r>
          </w:p>
          <w:p w14:paraId="6E368EE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MVP: 12 000 Eura za potrebe zakupa sala za organizovanje sastanaka, rezervaciju hotelskog smještaja, organizovanje radnog ručka, izrada promotivnog materijala</w:t>
            </w:r>
          </w:p>
        </w:tc>
        <w:tc>
          <w:tcPr>
            <w:tcW w:w="1260" w:type="dxa"/>
            <w:gridSpan w:val="6"/>
            <w:tcBorders>
              <w:top w:val="single" w:sz="4" w:space="0" w:color="000000"/>
              <w:left w:val="single" w:sz="4" w:space="0" w:color="000000"/>
              <w:bottom w:val="single" w:sz="4" w:space="0" w:color="000000"/>
              <w:right w:val="single" w:sz="4" w:space="0" w:color="000000"/>
            </w:tcBorders>
          </w:tcPr>
          <w:p w14:paraId="3E16299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Tekuća budžetska sredstva</w:t>
            </w:r>
          </w:p>
        </w:tc>
        <w:tc>
          <w:tcPr>
            <w:tcW w:w="2439" w:type="dxa"/>
            <w:gridSpan w:val="9"/>
            <w:tcBorders>
              <w:top w:val="single" w:sz="4" w:space="0" w:color="000000"/>
              <w:left w:val="single" w:sz="4" w:space="0" w:color="000000"/>
              <w:bottom w:val="single" w:sz="4" w:space="0" w:color="000000"/>
              <w:right w:val="single" w:sz="4" w:space="0" w:color="000000"/>
            </w:tcBorders>
          </w:tcPr>
          <w:p w14:paraId="7346335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Jačanje vidljivosti regionalne saradnje i pospješivanje odbrambenih kapaciteta u skladu sa konceptom pametne odbrane, povećanje nivoa interoperabilnosti odbrambenih kapaciteta zemalja članica, povezivanje aktera iz bezbjednosnog i sektora odbrane, jačanje saradnje u integracionim procesima u regionu</w:t>
            </w:r>
          </w:p>
        </w:tc>
      </w:tr>
      <w:tr w:rsidR="009B5FE1" w:rsidRPr="00B80AA5" w14:paraId="7611D7D4"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29B53A8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w:t>
            </w:r>
          </w:p>
        </w:tc>
        <w:tc>
          <w:tcPr>
            <w:tcW w:w="2219" w:type="dxa"/>
            <w:gridSpan w:val="7"/>
            <w:tcBorders>
              <w:top w:val="single" w:sz="4" w:space="0" w:color="000000"/>
              <w:left w:val="single" w:sz="4" w:space="0" w:color="000000"/>
              <w:bottom w:val="single" w:sz="4" w:space="0" w:color="000000"/>
              <w:right w:val="single" w:sz="4" w:space="0" w:color="000000"/>
            </w:tcBorders>
          </w:tcPr>
          <w:p w14:paraId="289271C8"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Priprema i upućivanje pripadnika Vojske Crne Gore u međunarodne misije i operacije</w:t>
            </w:r>
          </w:p>
        </w:tc>
        <w:tc>
          <w:tcPr>
            <w:tcW w:w="2681" w:type="dxa"/>
            <w:gridSpan w:val="7"/>
            <w:tcBorders>
              <w:top w:val="single" w:sz="4" w:space="0" w:color="000000"/>
              <w:left w:val="single" w:sz="4" w:space="0" w:color="000000"/>
              <w:bottom w:val="single" w:sz="4" w:space="0" w:color="000000"/>
              <w:right w:val="single" w:sz="4" w:space="0" w:color="000000"/>
            </w:tcBorders>
          </w:tcPr>
          <w:p w14:paraId="1523D65B"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KFOR (do 2 pripadnika), eFP (jedno odjeljenje), NMI (1 pripadnik), EUTM (1 pripadnik), EU ATALANTA (jedan tim), UN MINURSO (1 pripadnik)</w:t>
            </w:r>
          </w:p>
        </w:tc>
        <w:tc>
          <w:tcPr>
            <w:tcW w:w="1803" w:type="dxa"/>
            <w:gridSpan w:val="11"/>
            <w:tcBorders>
              <w:top w:val="single" w:sz="4" w:space="0" w:color="000000"/>
              <w:left w:val="single" w:sz="4" w:space="0" w:color="000000"/>
              <w:bottom w:val="single" w:sz="4" w:space="0" w:color="000000"/>
              <w:right w:val="single" w:sz="4" w:space="0" w:color="000000"/>
            </w:tcBorders>
          </w:tcPr>
          <w:p w14:paraId="1AE32C9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tc>
        <w:tc>
          <w:tcPr>
            <w:tcW w:w="1679" w:type="dxa"/>
            <w:gridSpan w:val="6"/>
            <w:tcBorders>
              <w:top w:val="single" w:sz="4" w:space="0" w:color="000000"/>
              <w:left w:val="single" w:sz="4" w:space="0" w:color="000000"/>
              <w:bottom w:val="single" w:sz="4" w:space="0" w:color="000000"/>
              <w:right w:val="single" w:sz="4" w:space="0" w:color="000000"/>
            </w:tcBorders>
          </w:tcPr>
          <w:p w14:paraId="183253E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I-IV Q </w:t>
            </w:r>
          </w:p>
          <w:p w14:paraId="5DCA985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2022. g</w:t>
            </w:r>
          </w:p>
          <w:p w14:paraId="40433B5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097" w:type="dxa"/>
            <w:gridSpan w:val="8"/>
            <w:tcBorders>
              <w:top w:val="single" w:sz="4" w:space="0" w:color="000000"/>
              <w:left w:val="single" w:sz="4" w:space="0" w:color="000000"/>
              <w:bottom w:val="single" w:sz="4" w:space="0" w:color="000000"/>
              <w:right w:val="single" w:sz="4" w:space="0" w:color="000000"/>
            </w:tcBorders>
          </w:tcPr>
          <w:p w14:paraId="6E493EF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815.476,00 EUR</w:t>
            </w:r>
          </w:p>
        </w:tc>
        <w:tc>
          <w:tcPr>
            <w:tcW w:w="1260" w:type="dxa"/>
            <w:gridSpan w:val="6"/>
            <w:tcBorders>
              <w:top w:val="single" w:sz="4" w:space="0" w:color="000000"/>
              <w:left w:val="single" w:sz="4" w:space="0" w:color="000000"/>
              <w:bottom w:val="single" w:sz="4" w:space="0" w:color="000000"/>
              <w:right w:val="single" w:sz="4" w:space="0" w:color="000000"/>
            </w:tcBorders>
          </w:tcPr>
          <w:p w14:paraId="0B0278CF"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Tekuća budžetska sredstva</w:t>
            </w:r>
          </w:p>
        </w:tc>
        <w:tc>
          <w:tcPr>
            <w:tcW w:w="2417" w:type="dxa"/>
            <w:gridSpan w:val="8"/>
            <w:tcBorders>
              <w:top w:val="single" w:sz="4" w:space="0" w:color="000000"/>
              <w:left w:val="single" w:sz="4" w:space="0" w:color="000000"/>
              <w:bottom w:val="single" w:sz="4" w:space="0" w:color="000000"/>
              <w:right w:val="single" w:sz="4" w:space="0" w:color="000000"/>
            </w:tcBorders>
          </w:tcPr>
          <w:p w14:paraId="78E14B47"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Doprinos Crne Gore, kao članice NATO, kolektivnom sistemu bezbjednosti i uspostavljanju i održavanju mira na regionalnom i globalnom planu</w:t>
            </w:r>
          </w:p>
        </w:tc>
      </w:tr>
      <w:tr w:rsidR="009B5FE1" w:rsidRPr="00B80AA5" w14:paraId="089DD330"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2591D5BB"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lastRenderedPageBreak/>
              <w:t>3.</w:t>
            </w:r>
          </w:p>
        </w:tc>
        <w:tc>
          <w:tcPr>
            <w:tcW w:w="2219" w:type="dxa"/>
            <w:gridSpan w:val="7"/>
            <w:tcBorders>
              <w:top w:val="single" w:sz="4" w:space="0" w:color="000000"/>
              <w:left w:val="single" w:sz="4" w:space="0" w:color="000000"/>
              <w:bottom w:val="single" w:sz="4" w:space="0" w:color="000000"/>
              <w:right w:val="single" w:sz="4" w:space="0" w:color="000000"/>
            </w:tcBorders>
          </w:tcPr>
          <w:p w14:paraId="66C1283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Vojske Crne Gore u NATO komandnoj strukturi i NATO strukturi snaga</w:t>
            </w:r>
          </w:p>
        </w:tc>
        <w:tc>
          <w:tcPr>
            <w:tcW w:w="2681" w:type="dxa"/>
            <w:gridSpan w:val="7"/>
            <w:tcBorders>
              <w:top w:val="single" w:sz="4" w:space="0" w:color="000000"/>
              <w:left w:val="single" w:sz="4" w:space="0" w:color="000000"/>
              <w:bottom w:val="single" w:sz="4" w:space="0" w:color="000000"/>
              <w:right w:val="single" w:sz="4" w:space="0" w:color="000000"/>
            </w:tcBorders>
          </w:tcPr>
          <w:p w14:paraId="1B2FE806"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NATO snagama za brzo reagovanje (VJTF) 2020-2022 (jedan vod) i VJTF 2022-2024 (jedno odjeljenje) i 1-2 štabna oficira.</w:t>
            </w:r>
          </w:p>
          <w:p w14:paraId="17E4EA3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NATO komandnoj strukturi na strateškom nivou (dva predstavnika), operativnom (jedan predstavnik) i taktičkom (jedan predstavnik)</w:t>
            </w:r>
          </w:p>
        </w:tc>
        <w:tc>
          <w:tcPr>
            <w:tcW w:w="1803" w:type="dxa"/>
            <w:gridSpan w:val="11"/>
            <w:tcBorders>
              <w:top w:val="single" w:sz="4" w:space="0" w:color="000000"/>
              <w:left w:val="single" w:sz="4" w:space="0" w:color="000000"/>
              <w:bottom w:val="single" w:sz="4" w:space="0" w:color="000000"/>
              <w:right w:val="single" w:sz="4" w:space="0" w:color="000000"/>
            </w:tcBorders>
          </w:tcPr>
          <w:p w14:paraId="43F96CF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tc>
        <w:tc>
          <w:tcPr>
            <w:tcW w:w="1679" w:type="dxa"/>
            <w:gridSpan w:val="6"/>
            <w:tcBorders>
              <w:top w:val="single" w:sz="4" w:space="0" w:color="000000"/>
              <w:left w:val="single" w:sz="4" w:space="0" w:color="000000"/>
              <w:bottom w:val="single" w:sz="4" w:space="0" w:color="000000"/>
              <w:right w:val="single" w:sz="4" w:space="0" w:color="000000"/>
            </w:tcBorders>
          </w:tcPr>
          <w:p w14:paraId="52D5E95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I-IV Q </w:t>
            </w:r>
          </w:p>
          <w:p w14:paraId="73649AFE"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2022. g</w:t>
            </w:r>
          </w:p>
        </w:tc>
        <w:tc>
          <w:tcPr>
            <w:tcW w:w="2097" w:type="dxa"/>
            <w:gridSpan w:val="8"/>
            <w:tcBorders>
              <w:top w:val="single" w:sz="4" w:space="0" w:color="000000"/>
              <w:left w:val="single" w:sz="4" w:space="0" w:color="000000"/>
              <w:bottom w:val="single" w:sz="4" w:space="0" w:color="000000"/>
              <w:right w:val="single" w:sz="4" w:space="0" w:color="000000"/>
            </w:tcBorders>
          </w:tcPr>
          <w:p w14:paraId="759B08EB"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500.000,00 EUR</w:t>
            </w:r>
          </w:p>
        </w:tc>
        <w:tc>
          <w:tcPr>
            <w:tcW w:w="1260" w:type="dxa"/>
            <w:gridSpan w:val="6"/>
            <w:tcBorders>
              <w:top w:val="single" w:sz="4" w:space="0" w:color="000000"/>
              <w:left w:val="single" w:sz="4" w:space="0" w:color="000000"/>
              <w:bottom w:val="single" w:sz="4" w:space="0" w:color="000000"/>
              <w:right w:val="single" w:sz="4" w:space="0" w:color="000000"/>
            </w:tcBorders>
          </w:tcPr>
          <w:p w14:paraId="57B208F2"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Tekuća budžetska sredstva</w:t>
            </w:r>
          </w:p>
        </w:tc>
        <w:tc>
          <w:tcPr>
            <w:tcW w:w="2417" w:type="dxa"/>
            <w:gridSpan w:val="8"/>
            <w:tcBorders>
              <w:top w:val="single" w:sz="4" w:space="0" w:color="000000"/>
              <w:left w:val="single" w:sz="4" w:space="0" w:color="000000"/>
              <w:bottom w:val="single" w:sz="4" w:space="0" w:color="000000"/>
              <w:right w:val="single" w:sz="4" w:space="0" w:color="000000"/>
            </w:tcBorders>
          </w:tcPr>
          <w:p w14:paraId="640E0334"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Doprinos Crne Gore u izvršavanju misija i zadataka NATO, u dijelu jačanja kapaciteta NATO komandi i aktivnostima u očuvanju mira i odbrane članica</w:t>
            </w:r>
          </w:p>
        </w:tc>
      </w:tr>
      <w:tr w:rsidR="009B5FE1" w:rsidRPr="00B80AA5" w14:paraId="380DE6E1"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29BB7E2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4.</w:t>
            </w:r>
          </w:p>
        </w:tc>
        <w:tc>
          <w:tcPr>
            <w:tcW w:w="2219" w:type="dxa"/>
            <w:gridSpan w:val="7"/>
            <w:tcBorders>
              <w:top w:val="single" w:sz="4" w:space="0" w:color="000000"/>
              <w:left w:val="single" w:sz="4" w:space="0" w:color="000000"/>
              <w:bottom w:val="single" w:sz="4" w:space="0" w:color="000000"/>
              <w:right w:val="single" w:sz="4" w:space="0" w:color="000000"/>
            </w:tcBorders>
          </w:tcPr>
          <w:p w14:paraId="18E2797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Opremanje i modernizacija deklarisanih jedinica u skladu sa NATO ciljevima sposobnosti</w:t>
            </w:r>
          </w:p>
        </w:tc>
        <w:tc>
          <w:tcPr>
            <w:tcW w:w="2681" w:type="dxa"/>
            <w:gridSpan w:val="7"/>
            <w:tcBorders>
              <w:top w:val="single" w:sz="4" w:space="0" w:color="000000"/>
              <w:left w:val="single" w:sz="4" w:space="0" w:color="000000"/>
              <w:bottom w:val="single" w:sz="4" w:space="0" w:color="000000"/>
              <w:right w:val="single" w:sz="4" w:space="0" w:color="000000"/>
            </w:tcBorders>
          </w:tcPr>
          <w:p w14:paraId="435B0DB8"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Isporuka i uvođenje u operativnu upotrebu 37 lako oklopnih pješadijskih motornih vozila (JLTV), 25  samoupravljivih oružnih stanica i druge opreme</w:t>
            </w:r>
          </w:p>
        </w:tc>
        <w:tc>
          <w:tcPr>
            <w:tcW w:w="1803" w:type="dxa"/>
            <w:gridSpan w:val="11"/>
            <w:tcBorders>
              <w:top w:val="single" w:sz="4" w:space="0" w:color="000000"/>
              <w:left w:val="single" w:sz="4" w:space="0" w:color="000000"/>
              <w:bottom w:val="single" w:sz="4" w:space="0" w:color="000000"/>
              <w:right w:val="single" w:sz="4" w:space="0" w:color="000000"/>
            </w:tcBorders>
          </w:tcPr>
          <w:p w14:paraId="172A21DD"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p w14:paraId="4661E2D7" w14:textId="77777777" w:rsidR="009B5FE1" w:rsidRPr="00B80AA5" w:rsidRDefault="009B5FE1" w:rsidP="009B5FE1">
            <w:pPr>
              <w:spacing w:before="20" w:after="20" w:line="240" w:lineRule="auto"/>
              <w:ind w:left="720"/>
              <w:jc w:val="both"/>
              <w:rPr>
                <w:rFonts w:ascii="Arial Narrow" w:eastAsia="Arial Narrow" w:hAnsi="Arial Narrow" w:cs="Arial Narrow"/>
                <w:sz w:val="20"/>
                <w:szCs w:val="20"/>
                <w:lang w:eastAsia="sr-Latn-ME"/>
              </w:rPr>
            </w:pPr>
          </w:p>
        </w:tc>
        <w:tc>
          <w:tcPr>
            <w:tcW w:w="1679" w:type="dxa"/>
            <w:gridSpan w:val="6"/>
            <w:tcBorders>
              <w:top w:val="single" w:sz="4" w:space="0" w:color="000000"/>
              <w:left w:val="single" w:sz="4" w:space="0" w:color="000000"/>
              <w:bottom w:val="single" w:sz="4" w:space="0" w:color="000000"/>
              <w:right w:val="single" w:sz="4" w:space="0" w:color="000000"/>
            </w:tcBorders>
          </w:tcPr>
          <w:p w14:paraId="34483DDA" w14:textId="77777777" w:rsidR="009B5FE1" w:rsidRPr="00B80AA5" w:rsidRDefault="009B5FE1" w:rsidP="009B5FE1">
            <w:pPr>
              <w:spacing w:after="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I-IV Q</w:t>
            </w:r>
          </w:p>
          <w:p w14:paraId="5279B5AD" w14:textId="77777777" w:rsidR="009B5FE1" w:rsidRPr="00B80AA5" w:rsidRDefault="009B5FE1" w:rsidP="009B5FE1">
            <w:pPr>
              <w:spacing w:after="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 2022. g</w:t>
            </w:r>
          </w:p>
          <w:p w14:paraId="223B93C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p w14:paraId="62A007C9"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p>
        </w:tc>
        <w:tc>
          <w:tcPr>
            <w:tcW w:w="2097" w:type="dxa"/>
            <w:gridSpan w:val="8"/>
            <w:tcBorders>
              <w:top w:val="single" w:sz="4" w:space="0" w:color="000000"/>
              <w:left w:val="single" w:sz="4" w:space="0" w:color="000000"/>
              <w:bottom w:val="single" w:sz="4" w:space="0" w:color="000000"/>
              <w:right w:val="single" w:sz="4" w:space="0" w:color="000000"/>
            </w:tcBorders>
          </w:tcPr>
          <w:p w14:paraId="30579E7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1.150.000,00 EUR</w:t>
            </w:r>
          </w:p>
        </w:tc>
        <w:tc>
          <w:tcPr>
            <w:tcW w:w="1260" w:type="dxa"/>
            <w:gridSpan w:val="6"/>
            <w:tcBorders>
              <w:top w:val="single" w:sz="4" w:space="0" w:color="000000"/>
              <w:left w:val="single" w:sz="4" w:space="0" w:color="000000"/>
              <w:bottom w:val="single" w:sz="4" w:space="0" w:color="000000"/>
              <w:right w:val="single" w:sz="4" w:space="0" w:color="000000"/>
            </w:tcBorders>
          </w:tcPr>
          <w:p w14:paraId="2C66D2AF"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Tekuća budžetska sredstva</w:t>
            </w:r>
          </w:p>
        </w:tc>
        <w:tc>
          <w:tcPr>
            <w:tcW w:w="2417" w:type="dxa"/>
            <w:gridSpan w:val="8"/>
            <w:tcBorders>
              <w:top w:val="single" w:sz="4" w:space="0" w:color="000000"/>
              <w:left w:val="single" w:sz="4" w:space="0" w:color="000000"/>
              <w:bottom w:val="single" w:sz="4" w:space="0" w:color="000000"/>
              <w:right w:val="single" w:sz="4" w:space="0" w:color="000000"/>
            </w:tcBorders>
          </w:tcPr>
          <w:p w14:paraId="7FAD57CA"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Dalje unapređene sposobnosti Vojske Crne Gore u skladu sa zahtjevima NATO ciljeva sposobnosti</w:t>
            </w:r>
          </w:p>
        </w:tc>
      </w:tr>
      <w:tr w:rsidR="009B5FE1" w:rsidRPr="00B80AA5" w14:paraId="54C59A46"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085F216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5.</w:t>
            </w:r>
          </w:p>
        </w:tc>
        <w:tc>
          <w:tcPr>
            <w:tcW w:w="2219" w:type="dxa"/>
            <w:gridSpan w:val="7"/>
            <w:tcBorders>
              <w:top w:val="single" w:sz="4" w:space="0" w:color="000000"/>
              <w:left w:val="single" w:sz="4" w:space="0" w:color="000000"/>
              <w:bottom w:val="single" w:sz="4" w:space="0" w:color="000000"/>
              <w:right w:val="single" w:sz="4" w:space="0" w:color="000000"/>
            </w:tcBorders>
          </w:tcPr>
          <w:p w14:paraId="44903F5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Obuka pripadnika i jedinica Vojske Crne Gore kroz učešće u nacionalnim i međunarodnim vježbama</w:t>
            </w:r>
          </w:p>
        </w:tc>
        <w:tc>
          <w:tcPr>
            <w:tcW w:w="2681" w:type="dxa"/>
            <w:gridSpan w:val="7"/>
            <w:tcBorders>
              <w:top w:val="single" w:sz="4" w:space="0" w:color="000000"/>
              <w:left w:val="single" w:sz="4" w:space="0" w:color="000000"/>
              <w:bottom w:val="single" w:sz="4" w:space="0" w:color="000000"/>
              <w:right w:val="single" w:sz="4" w:space="0" w:color="000000"/>
            </w:tcBorders>
          </w:tcPr>
          <w:p w14:paraId="6CDA8973"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na 12 međunarodnih vježbi.</w:t>
            </w:r>
          </w:p>
          <w:p w14:paraId="16D7FE5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Učešće u tri međunarodne vježbe na teritoriji Crne Gore.</w:t>
            </w:r>
          </w:p>
          <w:p w14:paraId="7745D361" w14:textId="77777777" w:rsidR="009B5FE1" w:rsidRPr="00B80AA5" w:rsidRDefault="009B5FE1" w:rsidP="009B5FE1">
            <w:pPr>
              <w:spacing w:before="40" w:after="4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Realizacija jedne nacionalne vježbe u Crnoj Gori</w:t>
            </w:r>
          </w:p>
        </w:tc>
        <w:tc>
          <w:tcPr>
            <w:tcW w:w="1803" w:type="dxa"/>
            <w:gridSpan w:val="11"/>
            <w:tcBorders>
              <w:top w:val="single" w:sz="4" w:space="0" w:color="000000"/>
              <w:left w:val="single" w:sz="4" w:space="0" w:color="000000"/>
              <w:bottom w:val="single" w:sz="4" w:space="0" w:color="000000"/>
              <w:right w:val="single" w:sz="4" w:space="0" w:color="000000"/>
            </w:tcBorders>
          </w:tcPr>
          <w:p w14:paraId="4CCB26C6"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tc>
        <w:tc>
          <w:tcPr>
            <w:tcW w:w="1679" w:type="dxa"/>
            <w:gridSpan w:val="6"/>
            <w:tcBorders>
              <w:top w:val="single" w:sz="4" w:space="0" w:color="000000"/>
              <w:left w:val="single" w:sz="4" w:space="0" w:color="000000"/>
              <w:bottom w:val="single" w:sz="4" w:space="0" w:color="000000"/>
              <w:right w:val="single" w:sz="4" w:space="0" w:color="000000"/>
            </w:tcBorders>
          </w:tcPr>
          <w:p w14:paraId="289B618F"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I-IV Q </w:t>
            </w:r>
          </w:p>
          <w:p w14:paraId="6BFA667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2022. g</w:t>
            </w:r>
          </w:p>
          <w:p w14:paraId="0038DF70" w14:textId="77777777" w:rsidR="009B5FE1" w:rsidRPr="00B80AA5" w:rsidRDefault="009B5FE1" w:rsidP="009B5FE1">
            <w:pPr>
              <w:spacing w:after="0" w:line="240" w:lineRule="auto"/>
              <w:jc w:val="both"/>
              <w:rPr>
                <w:rFonts w:ascii="Arial Narrow" w:eastAsia="Arial Narrow" w:hAnsi="Arial Narrow" w:cs="Arial Narrow"/>
                <w:sz w:val="20"/>
                <w:szCs w:val="20"/>
                <w:lang w:eastAsia="sr-Latn-ME"/>
              </w:rPr>
            </w:pPr>
          </w:p>
        </w:tc>
        <w:tc>
          <w:tcPr>
            <w:tcW w:w="2097" w:type="dxa"/>
            <w:gridSpan w:val="8"/>
            <w:tcBorders>
              <w:top w:val="single" w:sz="4" w:space="0" w:color="000000"/>
              <w:left w:val="single" w:sz="4" w:space="0" w:color="000000"/>
              <w:bottom w:val="single" w:sz="4" w:space="0" w:color="000000"/>
              <w:right w:val="single" w:sz="4" w:space="0" w:color="000000"/>
            </w:tcBorders>
          </w:tcPr>
          <w:p w14:paraId="20E06BD5"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350.000,00 EUR</w:t>
            </w:r>
          </w:p>
        </w:tc>
        <w:tc>
          <w:tcPr>
            <w:tcW w:w="1260" w:type="dxa"/>
            <w:gridSpan w:val="6"/>
            <w:tcBorders>
              <w:top w:val="single" w:sz="4" w:space="0" w:color="000000"/>
              <w:left w:val="single" w:sz="4" w:space="0" w:color="000000"/>
              <w:bottom w:val="single" w:sz="4" w:space="0" w:color="000000"/>
              <w:right w:val="single" w:sz="4" w:space="0" w:color="000000"/>
            </w:tcBorders>
          </w:tcPr>
          <w:p w14:paraId="5C95A14C"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Tekuća budžetska sredstva</w:t>
            </w:r>
          </w:p>
        </w:tc>
        <w:tc>
          <w:tcPr>
            <w:tcW w:w="2417" w:type="dxa"/>
            <w:gridSpan w:val="8"/>
            <w:tcBorders>
              <w:top w:val="single" w:sz="4" w:space="0" w:color="000000"/>
              <w:left w:val="single" w:sz="4" w:space="0" w:color="000000"/>
              <w:bottom w:val="single" w:sz="4" w:space="0" w:color="000000"/>
              <w:right w:val="single" w:sz="4" w:space="0" w:color="000000"/>
            </w:tcBorders>
          </w:tcPr>
          <w:p w14:paraId="7359BD71" w14:textId="77777777" w:rsidR="009B5FE1" w:rsidRPr="00B80AA5" w:rsidRDefault="009B5FE1" w:rsidP="009B5FE1">
            <w:pPr>
              <w:spacing w:before="20" w:after="20" w:line="240" w:lineRule="auto"/>
              <w:jc w:val="both"/>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Dalje unaprijeđenje sposobnosti i kapaciteta u procesu planiranja i realizacije vježbi, kao i procesu donošenja vojnih odluka</w:t>
            </w:r>
          </w:p>
        </w:tc>
      </w:tr>
      <w:tr w:rsidR="009B5FE1" w:rsidRPr="00B80AA5" w14:paraId="6734D680" w14:textId="77777777" w:rsidTr="00DF2E8E">
        <w:trPr>
          <w:gridAfter w:val="1"/>
          <w:wAfter w:w="22" w:type="dxa"/>
        </w:trPr>
        <w:tc>
          <w:tcPr>
            <w:tcW w:w="722" w:type="dxa"/>
            <w:gridSpan w:val="4"/>
            <w:tcBorders>
              <w:top w:val="single" w:sz="4" w:space="0" w:color="000000"/>
              <w:left w:val="single" w:sz="4" w:space="0" w:color="000000"/>
              <w:bottom w:val="single" w:sz="4" w:space="0" w:color="000000"/>
              <w:right w:val="single" w:sz="4" w:space="0" w:color="000000"/>
            </w:tcBorders>
          </w:tcPr>
          <w:p w14:paraId="3BBC63F2"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6.</w:t>
            </w:r>
          </w:p>
        </w:tc>
        <w:tc>
          <w:tcPr>
            <w:tcW w:w="2219" w:type="dxa"/>
            <w:gridSpan w:val="7"/>
            <w:tcBorders>
              <w:top w:val="single" w:sz="4" w:space="0" w:color="000000"/>
              <w:left w:val="single" w:sz="4" w:space="0" w:color="000000"/>
              <w:bottom w:val="single" w:sz="4" w:space="0" w:color="000000"/>
              <w:right w:val="single" w:sz="4" w:space="0" w:color="000000"/>
            </w:tcBorders>
          </w:tcPr>
          <w:p w14:paraId="4552FFB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Ocjenjivanje jedinica Vojske Crne Gore u skladu sa NATO CREVAL metodologijom</w:t>
            </w:r>
          </w:p>
        </w:tc>
        <w:tc>
          <w:tcPr>
            <w:tcW w:w="2681" w:type="dxa"/>
            <w:gridSpan w:val="7"/>
            <w:tcBorders>
              <w:top w:val="single" w:sz="4" w:space="0" w:color="000000"/>
              <w:left w:val="single" w:sz="4" w:space="0" w:color="000000"/>
              <w:bottom w:val="single" w:sz="4" w:space="0" w:color="000000"/>
              <w:right w:val="single" w:sz="4" w:space="0" w:color="000000"/>
            </w:tcBorders>
          </w:tcPr>
          <w:p w14:paraId="1C284621"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Ocjenjivanje jedne pješadijske čete u skladu sa NATO CREVAL metodologijom ocjenom ‚‚Spremni za misiju‚‚</w:t>
            </w:r>
          </w:p>
        </w:tc>
        <w:tc>
          <w:tcPr>
            <w:tcW w:w="1803" w:type="dxa"/>
            <w:gridSpan w:val="11"/>
            <w:tcBorders>
              <w:top w:val="single" w:sz="4" w:space="0" w:color="000000"/>
              <w:left w:val="single" w:sz="4" w:space="0" w:color="000000"/>
              <w:bottom w:val="single" w:sz="4" w:space="0" w:color="000000"/>
              <w:right w:val="single" w:sz="4" w:space="0" w:color="000000"/>
            </w:tcBorders>
          </w:tcPr>
          <w:p w14:paraId="50171A22"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MO</w:t>
            </w:r>
          </w:p>
        </w:tc>
        <w:tc>
          <w:tcPr>
            <w:tcW w:w="1679" w:type="dxa"/>
            <w:gridSpan w:val="6"/>
            <w:tcBorders>
              <w:top w:val="single" w:sz="4" w:space="0" w:color="000000"/>
              <w:left w:val="single" w:sz="4" w:space="0" w:color="000000"/>
              <w:bottom w:val="single" w:sz="4" w:space="0" w:color="000000"/>
              <w:right w:val="single" w:sz="4" w:space="0" w:color="000000"/>
            </w:tcBorders>
          </w:tcPr>
          <w:p w14:paraId="21526265"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 xml:space="preserve">III-IV Q </w:t>
            </w:r>
          </w:p>
          <w:p w14:paraId="7095809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2022. g</w:t>
            </w:r>
          </w:p>
        </w:tc>
        <w:tc>
          <w:tcPr>
            <w:tcW w:w="2097" w:type="dxa"/>
            <w:gridSpan w:val="8"/>
            <w:tcBorders>
              <w:top w:val="single" w:sz="4" w:space="0" w:color="000000"/>
              <w:left w:val="single" w:sz="4" w:space="0" w:color="000000"/>
              <w:bottom w:val="single" w:sz="4" w:space="0" w:color="000000"/>
              <w:right w:val="single" w:sz="4" w:space="0" w:color="000000"/>
            </w:tcBorders>
          </w:tcPr>
          <w:p w14:paraId="327276F9"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Sredstva su uračunata u okviru prethodne aktivnosti</w:t>
            </w:r>
          </w:p>
        </w:tc>
        <w:tc>
          <w:tcPr>
            <w:tcW w:w="1260" w:type="dxa"/>
            <w:gridSpan w:val="6"/>
            <w:tcBorders>
              <w:top w:val="single" w:sz="4" w:space="0" w:color="000000"/>
              <w:left w:val="single" w:sz="4" w:space="0" w:color="000000"/>
              <w:bottom w:val="single" w:sz="4" w:space="0" w:color="000000"/>
              <w:right w:val="single" w:sz="4" w:space="0" w:color="000000"/>
            </w:tcBorders>
          </w:tcPr>
          <w:p w14:paraId="6C4AF3C3"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Tekuća budžetska sredstva</w:t>
            </w:r>
          </w:p>
        </w:tc>
        <w:tc>
          <w:tcPr>
            <w:tcW w:w="2417" w:type="dxa"/>
            <w:gridSpan w:val="8"/>
            <w:tcBorders>
              <w:top w:val="single" w:sz="4" w:space="0" w:color="000000"/>
              <w:left w:val="single" w:sz="4" w:space="0" w:color="000000"/>
              <w:bottom w:val="single" w:sz="4" w:space="0" w:color="000000"/>
              <w:right w:val="single" w:sz="4" w:space="0" w:color="000000"/>
            </w:tcBorders>
          </w:tcPr>
          <w:p w14:paraId="127680B8" w14:textId="77777777" w:rsidR="009B5FE1" w:rsidRPr="00B80AA5" w:rsidRDefault="009B5FE1" w:rsidP="009B5FE1">
            <w:pPr>
              <w:spacing w:before="20" w:after="20" w:line="240" w:lineRule="auto"/>
              <w:rPr>
                <w:rFonts w:ascii="Arial Narrow" w:eastAsia="Arial Narrow" w:hAnsi="Arial Narrow" w:cs="Arial Narrow"/>
                <w:sz w:val="20"/>
                <w:szCs w:val="20"/>
                <w:lang w:eastAsia="sr-Latn-ME"/>
              </w:rPr>
            </w:pPr>
            <w:r w:rsidRPr="00B80AA5">
              <w:rPr>
                <w:rFonts w:ascii="Arial Narrow" w:eastAsia="Arial Narrow" w:hAnsi="Arial Narrow" w:cs="Arial Narrow"/>
                <w:sz w:val="20"/>
                <w:szCs w:val="20"/>
                <w:lang w:eastAsia="sr-Latn-ME"/>
              </w:rPr>
              <w:t>Provjera sposobnosti deklarisane jedinice u skladu sa NATO metodologijom i standardima</w:t>
            </w:r>
          </w:p>
        </w:tc>
      </w:tr>
    </w:tbl>
    <w:p w14:paraId="7115ED86" w14:textId="77777777" w:rsidR="00B80AA5" w:rsidRPr="00B80AA5" w:rsidRDefault="00B80AA5" w:rsidP="00B80AA5">
      <w:pPr>
        <w:jc w:val="both"/>
        <w:rPr>
          <w:rFonts w:ascii="Arial Narrow" w:eastAsia="Arial Narrow" w:hAnsi="Arial Narrow" w:cs="Arial Narrow"/>
          <w:sz w:val="20"/>
          <w:szCs w:val="20"/>
          <w:lang w:eastAsia="sr-Latn-ME"/>
        </w:rPr>
      </w:pPr>
    </w:p>
    <w:p w14:paraId="714625A3" w14:textId="77777777" w:rsidR="00B80AA5" w:rsidRPr="005803CE" w:rsidRDefault="00B80AA5" w:rsidP="005803CE">
      <w:pPr>
        <w:jc w:val="both"/>
        <w:rPr>
          <w:rFonts w:ascii="Arial Narrow" w:hAnsi="Arial Narrow"/>
          <w:lang w:val="en-GB" w:eastAsia="en-GB"/>
        </w:rPr>
        <w:sectPr w:rsidR="00B80AA5" w:rsidRPr="005803CE" w:rsidSect="005803CE">
          <w:pgSz w:w="15840" w:h="12240" w:orient="landscape"/>
          <w:pgMar w:top="1440" w:right="1440" w:bottom="1440" w:left="1440" w:header="720" w:footer="720" w:gutter="0"/>
          <w:pgNumType w:start="0"/>
          <w:cols w:space="720"/>
          <w:titlePg/>
          <w:docGrid w:linePitch="360"/>
        </w:sectPr>
      </w:pPr>
    </w:p>
    <w:p w14:paraId="2B1ED713" w14:textId="77777777" w:rsidR="00A34D26" w:rsidRPr="00A34D26" w:rsidRDefault="00A34D26" w:rsidP="005803CE">
      <w:pPr>
        <w:pStyle w:val="Heading1"/>
        <w:jc w:val="center"/>
        <w:rPr>
          <w:rFonts w:ascii="Arial Narrow" w:eastAsia="Tahoma" w:hAnsi="Arial Narrow"/>
          <w:lang w:val="en-GB"/>
        </w:rPr>
      </w:pPr>
      <w:proofErr w:type="spellStart"/>
      <w:r w:rsidRPr="00A34D26">
        <w:rPr>
          <w:rFonts w:ascii="Arial Narrow" w:eastAsia="Tahoma" w:hAnsi="Arial Narrow"/>
          <w:lang w:val="en-GB"/>
        </w:rPr>
        <w:lastRenderedPageBreak/>
        <w:t>Okvir</w:t>
      </w:r>
      <w:proofErr w:type="spellEnd"/>
      <w:r w:rsidRPr="00A34D26">
        <w:rPr>
          <w:rFonts w:ascii="Arial Narrow" w:eastAsia="Tahoma" w:hAnsi="Arial Narrow"/>
          <w:lang w:val="en-GB"/>
        </w:rPr>
        <w:t xml:space="preserve"> za </w:t>
      </w:r>
      <w:proofErr w:type="spellStart"/>
      <w:r w:rsidRPr="00A34D26">
        <w:rPr>
          <w:rFonts w:ascii="Arial Narrow" w:eastAsia="Tahoma" w:hAnsi="Arial Narrow"/>
          <w:lang w:val="en-GB"/>
        </w:rPr>
        <w:t>praćenje</w:t>
      </w:r>
      <w:proofErr w:type="spellEnd"/>
      <w:r w:rsidRPr="00A34D26">
        <w:rPr>
          <w:rFonts w:ascii="Arial Narrow" w:eastAsia="Tahoma" w:hAnsi="Arial Narrow"/>
          <w:lang w:val="en-GB"/>
        </w:rPr>
        <w:t xml:space="preserve"> </w:t>
      </w:r>
      <w:proofErr w:type="spellStart"/>
      <w:r w:rsidRPr="00A34D26">
        <w:rPr>
          <w:rFonts w:ascii="Arial Narrow" w:eastAsia="Tahoma" w:hAnsi="Arial Narrow"/>
          <w:lang w:val="en-GB"/>
        </w:rPr>
        <w:t>i</w:t>
      </w:r>
      <w:proofErr w:type="spellEnd"/>
      <w:r w:rsidRPr="00A34D26">
        <w:rPr>
          <w:rFonts w:ascii="Arial Narrow" w:eastAsia="Tahoma" w:hAnsi="Arial Narrow"/>
          <w:lang w:val="en-GB"/>
        </w:rPr>
        <w:t xml:space="preserve"> </w:t>
      </w:r>
      <w:proofErr w:type="spellStart"/>
      <w:r w:rsidRPr="00A34D26">
        <w:rPr>
          <w:rFonts w:ascii="Arial Narrow" w:eastAsia="Tahoma" w:hAnsi="Arial Narrow"/>
          <w:lang w:val="en-GB"/>
        </w:rPr>
        <w:t>izvještavanje</w:t>
      </w:r>
      <w:proofErr w:type="spellEnd"/>
      <w:r w:rsidRPr="00A34D26">
        <w:rPr>
          <w:rFonts w:ascii="Arial Narrow" w:eastAsia="Tahoma" w:hAnsi="Arial Narrow"/>
          <w:lang w:val="en-GB"/>
        </w:rPr>
        <w:t xml:space="preserve"> o </w:t>
      </w:r>
      <w:proofErr w:type="spellStart"/>
      <w:r w:rsidRPr="00A34D26">
        <w:rPr>
          <w:rFonts w:ascii="Arial Narrow" w:eastAsia="Tahoma" w:hAnsi="Arial Narrow"/>
          <w:lang w:val="en-GB"/>
        </w:rPr>
        <w:t>sprovođenju</w:t>
      </w:r>
      <w:proofErr w:type="spellEnd"/>
      <w:r w:rsidRPr="00A34D26">
        <w:rPr>
          <w:rFonts w:ascii="Arial Narrow" w:eastAsia="Tahoma" w:hAnsi="Arial Narrow"/>
          <w:lang w:val="en-GB"/>
        </w:rPr>
        <w:t xml:space="preserve"> </w:t>
      </w:r>
      <w:proofErr w:type="spellStart"/>
      <w:r w:rsidRPr="00A34D26">
        <w:rPr>
          <w:rFonts w:ascii="Arial Narrow" w:eastAsia="Tahoma" w:hAnsi="Arial Narrow"/>
          <w:lang w:val="en-GB"/>
        </w:rPr>
        <w:t>programa</w:t>
      </w:r>
      <w:proofErr w:type="spellEnd"/>
    </w:p>
    <w:p w14:paraId="592DCD4A" w14:textId="77777777" w:rsidR="000E7AA0" w:rsidRDefault="000E7AA0" w:rsidP="00A34D26">
      <w:pPr>
        <w:tabs>
          <w:tab w:val="left" w:pos="1095"/>
        </w:tabs>
        <w:jc w:val="both"/>
        <w:rPr>
          <w:rFonts w:ascii="Arial Narrow" w:eastAsia="Tahoma" w:hAnsi="Arial Narrow" w:cs="Arial"/>
          <w:sz w:val="24"/>
          <w:szCs w:val="24"/>
          <w:lang w:val="en-GB"/>
        </w:rPr>
      </w:pPr>
    </w:p>
    <w:p w14:paraId="4D298479" w14:textId="77777777" w:rsidR="00A34D26" w:rsidRPr="000E7AA0" w:rsidRDefault="00A34D26" w:rsidP="00A34D26">
      <w:pPr>
        <w:tabs>
          <w:tab w:val="left" w:pos="1095"/>
        </w:tabs>
        <w:jc w:val="both"/>
        <w:rPr>
          <w:rFonts w:ascii="Arial Narrow" w:eastAsia="Tahoma" w:hAnsi="Arial Narrow" w:cs="Arial"/>
          <w:bCs/>
          <w:sz w:val="24"/>
          <w:szCs w:val="24"/>
          <w:lang w:val="en-GB"/>
        </w:rPr>
      </w:pPr>
      <w:r w:rsidRPr="000E7AA0">
        <w:rPr>
          <w:rFonts w:ascii="Arial Narrow" w:eastAsia="Tahoma" w:hAnsi="Arial Narrow" w:cs="Arial"/>
          <w:bCs/>
          <w:sz w:val="24"/>
          <w:szCs w:val="24"/>
          <w:lang w:val="en-GB"/>
        </w:rPr>
        <w:t xml:space="preserve">Za </w:t>
      </w:r>
      <w:proofErr w:type="spellStart"/>
      <w:r w:rsidRPr="000E7AA0">
        <w:rPr>
          <w:rFonts w:ascii="Arial Narrow" w:eastAsia="Tahoma" w:hAnsi="Arial Narrow" w:cs="Arial"/>
          <w:bCs/>
          <w:sz w:val="24"/>
          <w:szCs w:val="24"/>
          <w:lang w:val="en-GB"/>
        </w:rPr>
        <w:t>potrebe</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praćenja</w:t>
      </w:r>
      <w:proofErr w:type="spellEnd"/>
      <w:r w:rsidRPr="000E7AA0">
        <w:rPr>
          <w:rFonts w:ascii="Arial Narrow" w:eastAsia="Tahoma" w:hAnsi="Arial Narrow" w:cs="Arial"/>
          <w:bCs/>
          <w:sz w:val="24"/>
          <w:szCs w:val="24"/>
          <w:lang w:val="en-GB"/>
        </w:rPr>
        <w:t xml:space="preserve"> SPRV </w:t>
      </w:r>
      <w:proofErr w:type="spellStart"/>
      <w:r w:rsidR="000E7AA0" w:rsidRPr="000E7AA0">
        <w:rPr>
          <w:rFonts w:ascii="Arial Narrow" w:eastAsia="Tahoma" w:hAnsi="Arial Narrow" w:cs="Arial"/>
          <w:bCs/>
          <w:sz w:val="24"/>
          <w:szCs w:val="24"/>
          <w:lang w:val="en-GB"/>
        </w:rPr>
        <w:t>će</w:t>
      </w:r>
      <w:proofErr w:type="spellEnd"/>
      <w:r w:rsidR="000E7AA0" w:rsidRPr="000E7AA0">
        <w:rPr>
          <w:rFonts w:ascii="Arial Narrow" w:eastAsia="Tahoma" w:hAnsi="Arial Narrow" w:cs="Arial"/>
          <w:bCs/>
          <w:sz w:val="24"/>
          <w:szCs w:val="24"/>
          <w:lang w:val="en-GB"/>
        </w:rPr>
        <w:t xml:space="preserve"> </w:t>
      </w:r>
      <w:proofErr w:type="spellStart"/>
      <w:r w:rsidR="000E7AA0" w:rsidRPr="000E7AA0">
        <w:rPr>
          <w:rFonts w:ascii="Arial Narrow" w:eastAsia="Tahoma" w:hAnsi="Arial Narrow" w:cs="Arial"/>
          <w:bCs/>
          <w:sz w:val="24"/>
          <w:szCs w:val="24"/>
          <w:lang w:val="en-GB"/>
        </w:rPr>
        <w:t>biti</w:t>
      </w:r>
      <w:proofErr w:type="spellEnd"/>
      <w:r w:rsidR="000E7AA0" w:rsidRPr="000E7AA0">
        <w:rPr>
          <w:rFonts w:ascii="Arial Narrow" w:eastAsia="Tahoma" w:hAnsi="Arial Narrow" w:cs="Arial"/>
          <w:bCs/>
          <w:sz w:val="24"/>
          <w:szCs w:val="24"/>
          <w:lang w:val="en-GB"/>
        </w:rPr>
        <w:t xml:space="preserve"> </w:t>
      </w:r>
      <w:proofErr w:type="spellStart"/>
      <w:r w:rsidR="000E7AA0" w:rsidRPr="000E7AA0">
        <w:rPr>
          <w:rFonts w:ascii="Arial Narrow" w:eastAsia="Tahoma" w:hAnsi="Arial Narrow" w:cs="Arial"/>
          <w:bCs/>
          <w:sz w:val="24"/>
          <w:szCs w:val="24"/>
          <w:lang w:val="en-GB"/>
        </w:rPr>
        <w:t>formirano</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posebno</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tijelo</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sastavljeno</w:t>
      </w:r>
      <w:proofErr w:type="spellEnd"/>
      <w:r w:rsidRPr="000E7AA0">
        <w:rPr>
          <w:rFonts w:ascii="Arial Narrow" w:eastAsia="Tahoma" w:hAnsi="Arial Narrow" w:cs="Arial"/>
          <w:bCs/>
          <w:sz w:val="24"/>
          <w:szCs w:val="24"/>
          <w:lang w:val="en-GB"/>
        </w:rPr>
        <w:t xml:space="preserve"> od </w:t>
      </w:r>
      <w:proofErr w:type="spellStart"/>
      <w:r w:rsidRPr="000E7AA0">
        <w:rPr>
          <w:rFonts w:ascii="Arial Narrow" w:eastAsia="Tahoma" w:hAnsi="Arial Narrow" w:cs="Arial"/>
          <w:bCs/>
          <w:sz w:val="24"/>
          <w:szCs w:val="24"/>
          <w:lang w:val="en-GB"/>
        </w:rPr>
        <w:t>visok</w:t>
      </w:r>
      <w:r w:rsidR="000E7AA0" w:rsidRPr="000E7AA0">
        <w:rPr>
          <w:rFonts w:ascii="Arial Narrow" w:eastAsia="Tahoma" w:hAnsi="Arial Narrow" w:cs="Arial"/>
          <w:bCs/>
          <w:sz w:val="24"/>
          <w:szCs w:val="24"/>
          <w:lang w:val="en-GB"/>
        </w:rPr>
        <w:t>ih</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funckionera</w:t>
      </w:r>
      <w:proofErr w:type="spellEnd"/>
      <w:r w:rsidRPr="000E7AA0">
        <w:rPr>
          <w:rFonts w:ascii="Arial Narrow" w:eastAsia="Tahoma" w:hAnsi="Arial Narrow" w:cs="Arial"/>
          <w:bCs/>
          <w:sz w:val="24"/>
          <w:szCs w:val="24"/>
          <w:lang w:val="en-GB"/>
        </w:rPr>
        <w:t xml:space="preserve"> koji bi </w:t>
      </w:r>
      <w:proofErr w:type="spellStart"/>
      <w:r w:rsidRPr="000E7AA0">
        <w:rPr>
          <w:rFonts w:ascii="Arial Narrow" w:eastAsia="Tahoma" w:hAnsi="Arial Narrow" w:cs="Arial"/>
          <w:bCs/>
          <w:sz w:val="24"/>
          <w:szCs w:val="24"/>
          <w:lang w:val="en-GB"/>
        </w:rPr>
        <w:t>mogli</w:t>
      </w:r>
      <w:proofErr w:type="spellEnd"/>
      <w:r w:rsidRPr="000E7AA0">
        <w:rPr>
          <w:rFonts w:ascii="Arial Narrow" w:eastAsia="Tahoma" w:hAnsi="Arial Narrow" w:cs="Arial"/>
          <w:bCs/>
          <w:sz w:val="24"/>
          <w:szCs w:val="24"/>
          <w:lang w:val="en-GB"/>
        </w:rPr>
        <w:t xml:space="preserve"> da </w:t>
      </w:r>
      <w:proofErr w:type="spellStart"/>
      <w:r w:rsidRPr="000E7AA0">
        <w:rPr>
          <w:rFonts w:ascii="Arial Narrow" w:eastAsia="Tahoma" w:hAnsi="Arial Narrow" w:cs="Arial"/>
          <w:bCs/>
          <w:sz w:val="24"/>
          <w:szCs w:val="24"/>
          <w:lang w:val="en-GB"/>
        </w:rPr>
        <w:t>odlučuju</w:t>
      </w:r>
      <w:proofErr w:type="spellEnd"/>
      <w:r w:rsidRPr="000E7AA0">
        <w:rPr>
          <w:rFonts w:ascii="Arial Narrow" w:eastAsia="Tahoma" w:hAnsi="Arial Narrow" w:cs="Arial"/>
          <w:bCs/>
          <w:sz w:val="24"/>
          <w:szCs w:val="24"/>
          <w:lang w:val="en-GB"/>
        </w:rPr>
        <w:t xml:space="preserve"> o </w:t>
      </w:r>
      <w:proofErr w:type="spellStart"/>
      <w:r w:rsidRPr="000E7AA0">
        <w:rPr>
          <w:rFonts w:ascii="Arial Narrow" w:eastAsia="Tahoma" w:hAnsi="Arial Narrow" w:cs="Arial"/>
          <w:bCs/>
          <w:sz w:val="24"/>
          <w:szCs w:val="24"/>
          <w:lang w:val="en-GB"/>
        </w:rPr>
        <w:t>pravcu</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djelovanja</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i</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utvrđivanju</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prioriteta</w:t>
      </w:r>
      <w:proofErr w:type="spellEnd"/>
      <w:r w:rsidRPr="000E7AA0">
        <w:rPr>
          <w:rFonts w:ascii="Arial Narrow" w:eastAsia="Tahoma" w:hAnsi="Arial Narrow" w:cs="Arial"/>
          <w:bCs/>
          <w:sz w:val="24"/>
          <w:szCs w:val="24"/>
          <w:lang w:val="en-GB"/>
        </w:rPr>
        <w:t xml:space="preserve">. </w:t>
      </w:r>
      <w:r w:rsidR="000E7AA0" w:rsidRPr="000E7AA0">
        <w:rPr>
          <w:rFonts w:ascii="Arial Narrow" w:eastAsia="Tahoma" w:hAnsi="Arial Narrow" w:cs="Arial"/>
          <w:bCs/>
          <w:sz w:val="24"/>
          <w:szCs w:val="24"/>
          <w:lang w:val="en-GB"/>
        </w:rPr>
        <w:t xml:space="preserve">Radom </w:t>
      </w:r>
      <w:proofErr w:type="spellStart"/>
      <w:r w:rsidR="000E7AA0" w:rsidRPr="000E7AA0">
        <w:rPr>
          <w:rFonts w:ascii="Arial Narrow" w:eastAsia="Tahoma" w:hAnsi="Arial Narrow" w:cs="Arial"/>
          <w:bCs/>
          <w:sz w:val="24"/>
          <w:szCs w:val="24"/>
          <w:lang w:val="en-GB"/>
        </w:rPr>
        <w:t>tijela</w:t>
      </w:r>
      <w:proofErr w:type="spellEnd"/>
      <w:r w:rsidR="000E7AA0" w:rsidRPr="000E7AA0">
        <w:rPr>
          <w:rFonts w:ascii="Arial Narrow" w:eastAsia="Tahoma" w:hAnsi="Arial Narrow" w:cs="Arial"/>
          <w:bCs/>
          <w:sz w:val="24"/>
          <w:szCs w:val="24"/>
          <w:lang w:val="en-GB"/>
        </w:rPr>
        <w:t xml:space="preserve"> </w:t>
      </w:r>
      <w:proofErr w:type="spellStart"/>
      <w:r w:rsidR="000E7AA0" w:rsidRPr="000E7AA0">
        <w:rPr>
          <w:rFonts w:ascii="Arial Narrow" w:eastAsia="Tahoma" w:hAnsi="Arial Narrow" w:cs="Arial"/>
          <w:bCs/>
          <w:sz w:val="24"/>
          <w:szCs w:val="24"/>
          <w:lang w:val="en-GB"/>
        </w:rPr>
        <w:t>će</w:t>
      </w:r>
      <w:proofErr w:type="spellEnd"/>
      <w:r w:rsidR="000E7AA0" w:rsidRPr="000E7AA0">
        <w:rPr>
          <w:rFonts w:ascii="Arial Narrow" w:eastAsia="Tahoma" w:hAnsi="Arial Narrow" w:cs="Arial"/>
          <w:bCs/>
          <w:sz w:val="24"/>
          <w:szCs w:val="24"/>
          <w:lang w:val="en-GB"/>
        </w:rPr>
        <w:t xml:space="preserve"> </w:t>
      </w:r>
      <w:proofErr w:type="spellStart"/>
      <w:r w:rsidR="000E7AA0" w:rsidRPr="000E7AA0">
        <w:rPr>
          <w:rFonts w:ascii="Arial Narrow" w:eastAsia="Tahoma" w:hAnsi="Arial Narrow" w:cs="Arial"/>
          <w:bCs/>
          <w:sz w:val="24"/>
          <w:szCs w:val="24"/>
          <w:lang w:val="en-GB"/>
        </w:rPr>
        <w:t>predsjedvati</w:t>
      </w:r>
      <w:proofErr w:type="spellEnd"/>
      <w:r w:rsidR="000E7AA0" w:rsidRPr="000E7AA0">
        <w:rPr>
          <w:rFonts w:ascii="Arial Narrow" w:eastAsia="Tahoma" w:hAnsi="Arial Narrow" w:cs="Arial"/>
          <w:bCs/>
          <w:sz w:val="24"/>
          <w:szCs w:val="24"/>
          <w:lang w:val="en-GB"/>
        </w:rPr>
        <w:t xml:space="preserve"> </w:t>
      </w:r>
      <w:proofErr w:type="spellStart"/>
      <w:r w:rsidR="000E7AA0" w:rsidRPr="000E7AA0">
        <w:rPr>
          <w:rFonts w:ascii="Arial Narrow" w:eastAsia="Tahoma" w:hAnsi="Arial Narrow" w:cs="Arial"/>
          <w:bCs/>
          <w:sz w:val="24"/>
          <w:szCs w:val="24"/>
          <w:lang w:val="en-GB"/>
        </w:rPr>
        <w:t>generalni</w:t>
      </w:r>
      <w:proofErr w:type="spellEnd"/>
      <w:r w:rsidR="000E7AA0" w:rsidRPr="000E7AA0">
        <w:rPr>
          <w:rFonts w:ascii="Arial Narrow" w:eastAsia="Tahoma" w:hAnsi="Arial Narrow" w:cs="Arial"/>
          <w:bCs/>
          <w:sz w:val="24"/>
          <w:szCs w:val="24"/>
          <w:lang w:val="en-GB"/>
        </w:rPr>
        <w:t xml:space="preserve"> </w:t>
      </w:r>
      <w:proofErr w:type="spellStart"/>
      <w:r w:rsidR="000E7AA0" w:rsidRPr="000E7AA0">
        <w:rPr>
          <w:rFonts w:ascii="Arial Narrow" w:eastAsia="Tahoma" w:hAnsi="Arial Narrow" w:cs="Arial"/>
          <w:bCs/>
          <w:sz w:val="24"/>
          <w:szCs w:val="24"/>
          <w:lang w:val="en-GB"/>
        </w:rPr>
        <w:t>sekretar</w:t>
      </w:r>
      <w:proofErr w:type="spellEnd"/>
      <w:r w:rsidR="000E7AA0" w:rsidRPr="000E7AA0">
        <w:rPr>
          <w:rFonts w:ascii="Arial Narrow" w:eastAsia="Tahoma" w:hAnsi="Arial Narrow" w:cs="Arial"/>
          <w:bCs/>
          <w:sz w:val="24"/>
          <w:szCs w:val="24"/>
          <w:lang w:val="en-GB"/>
        </w:rPr>
        <w:t xml:space="preserve"> Vlade, a u </w:t>
      </w:r>
      <w:proofErr w:type="spellStart"/>
      <w:r w:rsidR="000E7AA0" w:rsidRPr="000E7AA0">
        <w:rPr>
          <w:rFonts w:ascii="Arial Narrow" w:eastAsia="Tahoma" w:hAnsi="Arial Narrow" w:cs="Arial"/>
          <w:bCs/>
          <w:sz w:val="24"/>
          <w:szCs w:val="24"/>
          <w:lang w:val="en-GB"/>
        </w:rPr>
        <w:t>obavljanju</w:t>
      </w:r>
      <w:proofErr w:type="spellEnd"/>
      <w:r w:rsidR="000E7AA0" w:rsidRPr="000E7AA0">
        <w:rPr>
          <w:rFonts w:ascii="Arial Narrow" w:eastAsia="Tahoma" w:hAnsi="Arial Narrow" w:cs="Arial"/>
          <w:bCs/>
          <w:sz w:val="24"/>
          <w:szCs w:val="24"/>
          <w:lang w:val="en-GB"/>
        </w:rPr>
        <w:t xml:space="preserve"> </w:t>
      </w:r>
      <w:proofErr w:type="spellStart"/>
      <w:r w:rsidR="000E7AA0" w:rsidRPr="000E7AA0">
        <w:rPr>
          <w:rFonts w:ascii="Arial Narrow" w:eastAsia="Tahoma" w:hAnsi="Arial Narrow" w:cs="Arial"/>
          <w:bCs/>
          <w:sz w:val="24"/>
          <w:szCs w:val="24"/>
          <w:lang w:val="en-GB"/>
        </w:rPr>
        <w:t>poslova</w:t>
      </w:r>
      <w:proofErr w:type="spellEnd"/>
      <w:r w:rsidR="000E7AA0" w:rsidRPr="000E7AA0">
        <w:rPr>
          <w:rFonts w:ascii="Arial Narrow" w:eastAsia="Tahoma" w:hAnsi="Arial Narrow" w:cs="Arial"/>
          <w:bCs/>
          <w:sz w:val="24"/>
          <w:szCs w:val="24"/>
          <w:lang w:val="en-GB"/>
        </w:rPr>
        <w:t xml:space="preserve"> </w:t>
      </w:r>
      <w:proofErr w:type="spellStart"/>
      <w:r w:rsidR="000E7AA0" w:rsidRPr="000E7AA0">
        <w:rPr>
          <w:rFonts w:ascii="Arial Narrow" w:eastAsia="Tahoma" w:hAnsi="Arial Narrow" w:cs="Arial"/>
          <w:bCs/>
          <w:sz w:val="24"/>
          <w:szCs w:val="24"/>
          <w:lang w:val="en-GB"/>
        </w:rPr>
        <w:t>će</w:t>
      </w:r>
      <w:proofErr w:type="spellEnd"/>
      <w:r w:rsidR="000E7AA0" w:rsidRPr="000E7AA0">
        <w:rPr>
          <w:rFonts w:ascii="Arial Narrow" w:eastAsia="Tahoma" w:hAnsi="Arial Narrow" w:cs="Arial"/>
          <w:bCs/>
          <w:sz w:val="24"/>
          <w:szCs w:val="24"/>
          <w:lang w:val="en-GB"/>
        </w:rPr>
        <w:t xml:space="preserve"> mu </w:t>
      </w:r>
      <w:proofErr w:type="spellStart"/>
      <w:r w:rsidR="000E7AA0" w:rsidRPr="000E7AA0">
        <w:rPr>
          <w:rFonts w:ascii="Arial Narrow" w:eastAsia="Tahoma" w:hAnsi="Arial Narrow" w:cs="Arial"/>
          <w:bCs/>
          <w:sz w:val="24"/>
          <w:szCs w:val="24"/>
          <w:lang w:val="en-GB"/>
        </w:rPr>
        <w:t>pomagati</w:t>
      </w:r>
      <w:proofErr w:type="spellEnd"/>
      <w:r w:rsidR="000E7AA0" w:rsidRPr="000E7AA0">
        <w:rPr>
          <w:rFonts w:ascii="Arial Narrow" w:eastAsia="Tahoma" w:hAnsi="Arial Narrow" w:cs="Arial"/>
          <w:bCs/>
          <w:sz w:val="24"/>
          <w:szCs w:val="24"/>
          <w:lang w:val="en-GB"/>
        </w:rPr>
        <w:t xml:space="preserve"> </w:t>
      </w:r>
      <w:proofErr w:type="spellStart"/>
      <w:r w:rsidR="000E7AA0" w:rsidRPr="000E7AA0">
        <w:rPr>
          <w:rFonts w:ascii="Arial Narrow" w:eastAsia="Tahoma" w:hAnsi="Arial Narrow" w:cs="Arial"/>
          <w:bCs/>
          <w:sz w:val="24"/>
          <w:szCs w:val="24"/>
          <w:lang w:val="en-GB"/>
        </w:rPr>
        <w:t>sekretar</w:t>
      </w:r>
      <w:proofErr w:type="spellEnd"/>
      <w:r w:rsidR="000E7AA0" w:rsidRPr="000E7AA0">
        <w:rPr>
          <w:rFonts w:ascii="Arial Narrow" w:eastAsia="Tahoma" w:hAnsi="Arial Narrow" w:cs="Arial"/>
          <w:bCs/>
          <w:sz w:val="24"/>
          <w:szCs w:val="24"/>
          <w:lang w:val="en-GB"/>
        </w:rPr>
        <w:t xml:space="preserve">/ka, </w:t>
      </w:r>
      <w:proofErr w:type="spellStart"/>
      <w:r w:rsidR="000E7AA0" w:rsidRPr="000E7AA0">
        <w:rPr>
          <w:rFonts w:ascii="Arial Narrow" w:eastAsia="Tahoma" w:hAnsi="Arial Narrow" w:cs="Arial"/>
          <w:bCs/>
          <w:sz w:val="24"/>
          <w:szCs w:val="24"/>
          <w:lang w:val="en-GB"/>
        </w:rPr>
        <w:t>delegirana</w:t>
      </w:r>
      <w:proofErr w:type="spellEnd"/>
      <w:r w:rsidR="000E7AA0" w:rsidRPr="000E7AA0">
        <w:rPr>
          <w:rFonts w:ascii="Arial Narrow" w:eastAsia="Tahoma" w:hAnsi="Arial Narrow" w:cs="Arial"/>
          <w:bCs/>
          <w:sz w:val="24"/>
          <w:szCs w:val="24"/>
          <w:lang w:val="en-GB"/>
        </w:rPr>
        <w:t xml:space="preserve"> </w:t>
      </w:r>
      <w:proofErr w:type="spellStart"/>
      <w:r w:rsidR="000E7AA0" w:rsidRPr="000E7AA0">
        <w:rPr>
          <w:rFonts w:ascii="Arial Narrow" w:eastAsia="Tahoma" w:hAnsi="Arial Narrow" w:cs="Arial"/>
          <w:bCs/>
          <w:sz w:val="24"/>
          <w:szCs w:val="24"/>
          <w:lang w:val="en-GB"/>
        </w:rPr>
        <w:t>takođe</w:t>
      </w:r>
      <w:proofErr w:type="spellEnd"/>
      <w:r w:rsidR="000E7AA0" w:rsidRPr="000E7AA0">
        <w:rPr>
          <w:rFonts w:ascii="Arial Narrow" w:eastAsia="Tahoma" w:hAnsi="Arial Narrow" w:cs="Arial"/>
          <w:bCs/>
          <w:sz w:val="24"/>
          <w:szCs w:val="24"/>
          <w:lang w:val="en-GB"/>
        </w:rPr>
        <w:t xml:space="preserve"> </w:t>
      </w:r>
      <w:proofErr w:type="spellStart"/>
      <w:r w:rsidR="000E7AA0" w:rsidRPr="000E7AA0">
        <w:rPr>
          <w:rFonts w:ascii="Arial Narrow" w:eastAsia="Tahoma" w:hAnsi="Arial Narrow" w:cs="Arial"/>
          <w:bCs/>
          <w:sz w:val="24"/>
          <w:szCs w:val="24"/>
          <w:lang w:val="en-GB"/>
        </w:rPr>
        <w:t>iz</w:t>
      </w:r>
      <w:proofErr w:type="spellEnd"/>
      <w:r w:rsidR="000E7AA0" w:rsidRPr="000E7AA0">
        <w:rPr>
          <w:rFonts w:ascii="Arial Narrow" w:eastAsia="Tahoma" w:hAnsi="Arial Narrow" w:cs="Arial"/>
          <w:bCs/>
          <w:sz w:val="24"/>
          <w:szCs w:val="24"/>
          <w:lang w:val="en-GB"/>
        </w:rPr>
        <w:t xml:space="preserve"> GSV, </w:t>
      </w:r>
      <w:proofErr w:type="spellStart"/>
      <w:r w:rsidRPr="000E7AA0">
        <w:rPr>
          <w:rFonts w:ascii="Arial Narrow" w:eastAsia="Tahoma" w:hAnsi="Arial Narrow" w:cs="Arial"/>
          <w:bCs/>
          <w:sz w:val="24"/>
          <w:szCs w:val="24"/>
          <w:lang w:val="en-GB"/>
        </w:rPr>
        <w:t>Sektora</w:t>
      </w:r>
      <w:proofErr w:type="spellEnd"/>
      <w:r w:rsidRPr="000E7AA0">
        <w:rPr>
          <w:rFonts w:ascii="Arial Narrow" w:eastAsia="Tahoma" w:hAnsi="Arial Narrow" w:cs="Arial"/>
          <w:bCs/>
          <w:sz w:val="24"/>
          <w:szCs w:val="24"/>
          <w:lang w:val="en-GB"/>
        </w:rPr>
        <w:t xml:space="preserve"> za </w:t>
      </w:r>
      <w:proofErr w:type="spellStart"/>
      <w:r w:rsidRPr="000E7AA0">
        <w:rPr>
          <w:rFonts w:ascii="Arial Narrow" w:eastAsia="Tahoma" w:hAnsi="Arial Narrow" w:cs="Arial"/>
          <w:bCs/>
          <w:sz w:val="24"/>
          <w:szCs w:val="24"/>
          <w:lang w:val="en-GB"/>
        </w:rPr>
        <w:t>koordinaciju</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praćenje</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usklađenosti</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i</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praćenje</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sprovođenja</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strategija</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kojima</w:t>
      </w:r>
      <w:proofErr w:type="spellEnd"/>
      <w:r w:rsidRPr="000E7AA0">
        <w:rPr>
          <w:rFonts w:ascii="Arial Narrow" w:eastAsia="Tahoma" w:hAnsi="Arial Narrow" w:cs="Arial"/>
          <w:bCs/>
          <w:sz w:val="24"/>
          <w:szCs w:val="24"/>
          <w:lang w:val="en-GB"/>
        </w:rPr>
        <w:t xml:space="preserve"> se </w:t>
      </w:r>
      <w:proofErr w:type="spellStart"/>
      <w:r w:rsidRPr="000E7AA0">
        <w:rPr>
          <w:rFonts w:ascii="Arial Narrow" w:eastAsia="Tahoma" w:hAnsi="Arial Narrow" w:cs="Arial"/>
          <w:bCs/>
          <w:sz w:val="24"/>
          <w:szCs w:val="24"/>
          <w:lang w:val="en-GB"/>
        </w:rPr>
        <w:t>utvrđuju</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javne</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politike</w:t>
      </w:r>
      <w:proofErr w:type="spellEnd"/>
      <w:r w:rsidRPr="000E7AA0">
        <w:rPr>
          <w:rFonts w:ascii="Arial Narrow" w:eastAsia="Tahoma" w:hAnsi="Arial Narrow" w:cs="Arial"/>
          <w:bCs/>
          <w:sz w:val="24"/>
          <w:szCs w:val="24"/>
          <w:lang w:val="en-GB"/>
        </w:rPr>
        <w:t xml:space="preserve">, a koji je </w:t>
      </w:r>
      <w:proofErr w:type="spellStart"/>
      <w:r w:rsidRPr="000E7AA0">
        <w:rPr>
          <w:rFonts w:ascii="Arial Narrow" w:eastAsia="Tahoma" w:hAnsi="Arial Narrow" w:cs="Arial"/>
          <w:bCs/>
          <w:sz w:val="24"/>
          <w:szCs w:val="24"/>
          <w:lang w:val="en-GB"/>
        </w:rPr>
        <w:t>zadužen</w:t>
      </w:r>
      <w:proofErr w:type="spellEnd"/>
      <w:r w:rsidRPr="000E7AA0">
        <w:rPr>
          <w:rFonts w:ascii="Arial Narrow" w:eastAsia="Tahoma" w:hAnsi="Arial Narrow" w:cs="Arial"/>
          <w:bCs/>
          <w:sz w:val="24"/>
          <w:szCs w:val="24"/>
          <w:lang w:val="en-GB"/>
        </w:rPr>
        <w:t xml:space="preserve"> za </w:t>
      </w:r>
      <w:proofErr w:type="spellStart"/>
      <w:r w:rsidRPr="000E7AA0">
        <w:rPr>
          <w:rFonts w:ascii="Arial Narrow" w:eastAsia="Tahoma" w:hAnsi="Arial Narrow" w:cs="Arial"/>
          <w:bCs/>
          <w:sz w:val="24"/>
          <w:szCs w:val="24"/>
          <w:lang w:val="en-GB"/>
        </w:rPr>
        <w:t>izradu</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i</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praćenje</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programa</w:t>
      </w:r>
      <w:proofErr w:type="spellEnd"/>
      <w:r w:rsidRPr="000E7AA0">
        <w:rPr>
          <w:rFonts w:ascii="Arial Narrow" w:eastAsia="Tahoma" w:hAnsi="Arial Narrow" w:cs="Arial"/>
          <w:bCs/>
          <w:sz w:val="24"/>
          <w:szCs w:val="24"/>
          <w:lang w:val="en-GB"/>
        </w:rPr>
        <w:t xml:space="preserve"> </w:t>
      </w:r>
      <w:proofErr w:type="spellStart"/>
      <w:r w:rsidRPr="000E7AA0">
        <w:rPr>
          <w:rFonts w:ascii="Arial Narrow" w:eastAsia="Tahoma" w:hAnsi="Arial Narrow" w:cs="Arial"/>
          <w:bCs/>
          <w:sz w:val="24"/>
          <w:szCs w:val="24"/>
          <w:lang w:val="en-GB"/>
        </w:rPr>
        <w:t>rada</w:t>
      </w:r>
      <w:proofErr w:type="spellEnd"/>
      <w:r w:rsidRPr="000E7AA0">
        <w:rPr>
          <w:rFonts w:ascii="Arial Narrow" w:eastAsia="Tahoma" w:hAnsi="Arial Narrow" w:cs="Arial"/>
          <w:bCs/>
          <w:sz w:val="24"/>
          <w:szCs w:val="24"/>
          <w:lang w:val="en-GB"/>
        </w:rPr>
        <w:t xml:space="preserve"> Vlade.</w:t>
      </w:r>
    </w:p>
    <w:p w14:paraId="4CCBE1B6" w14:textId="77777777" w:rsidR="000E7AA0" w:rsidRDefault="00A34D26" w:rsidP="00A34D26">
      <w:pPr>
        <w:tabs>
          <w:tab w:val="left" w:pos="1095"/>
        </w:tabs>
        <w:jc w:val="both"/>
        <w:rPr>
          <w:rFonts w:ascii="Arial Narrow" w:eastAsia="Tahoma" w:hAnsi="Arial Narrow" w:cs="Arial"/>
          <w:sz w:val="24"/>
          <w:szCs w:val="24"/>
          <w:lang w:val="en-GB"/>
        </w:rPr>
      </w:pPr>
      <w:r w:rsidRPr="00A34D26">
        <w:rPr>
          <w:rFonts w:ascii="Arial Narrow" w:eastAsia="Tahoma" w:hAnsi="Arial Narrow" w:cs="Arial"/>
          <w:b/>
          <w:sz w:val="24"/>
          <w:szCs w:val="24"/>
          <w:lang w:val="en-GB"/>
        </w:rPr>
        <w:t xml:space="preserve">Na </w:t>
      </w:r>
      <w:proofErr w:type="spellStart"/>
      <w:r w:rsidRPr="00A34D26">
        <w:rPr>
          <w:rFonts w:ascii="Arial Narrow" w:eastAsia="Tahoma" w:hAnsi="Arial Narrow" w:cs="Arial"/>
          <w:b/>
          <w:sz w:val="24"/>
          <w:szCs w:val="24"/>
          <w:lang w:val="en-GB"/>
        </w:rPr>
        <w:t>operativnom</w:t>
      </w:r>
      <w:proofErr w:type="spellEnd"/>
      <w:r w:rsidRPr="00A34D26">
        <w:rPr>
          <w:rFonts w:ascii="Arial Narrow" w:eastAsia="Tahoma" w:hAnsi="Arial Narrow" w:cs="Arial"/>
          <w:b/>
          <w:sz w:val="24"/>
          <w:szCs w:val="24"/>
          <w:lang w:val="en-GB"/>
        </w:rPr>
        <w:t xml:space="preserve"> </w:t>
      </w:r>
      <w:proofErr w:type="spellStart"/>
      <w:r w:rsidRPr="00A34D26">
        <w:rPr>
          <w:rFonts w:ascii="Arial Narrow" w:eastAsia="Tahoma" w:hAnsi="Arial Narrow" w:cs="Arial"/>
          <w:b/>
          <w:sz w:val="24"/>
          <w:szCs w:val="24"/>
          <w:lang w:val="en-GB"/>
        </w:rPr>
        <w:t>nivou</w:t>
      </w:r>
      <w:proofErr w:type="spellEnd"/>
      <w:r w:rsidRPr="00A34D26">
        <w:rPr>
          <w:rFonts w:ascii="Arial Narrow" w:eastAsia="Tahoma" w:hAnsi="Arial Narrow" w:cs="Arial"/>
          <w:b/>
          <w:sz w:val="24"/>
          <w:szCs w:val="24"/>
          <w:lang w:val="en-GB"/>
        </w:rPr>
        <w:t xml:space="preserve"> bi </w:t>
      </w:r>
      <w:proofErr w:type="spellStart"/>
      <w:r w:rsidRPr="00A34D26">
        <w:rPr>
          <w:rFonts w:ascii="Arial Narrow" w:eastAsia="Tahoma" w:hAnsi="Arial Narrow" w:cs="Arial"/>
          <w:b/>
          <w:sz w:val="24"/>
          <w:szCs w:val="24"/>
          <w:lang w:val="en-GB"/>
        </w:rPr>
        <w:t>bilo</w:t>
      </w:r>
      <w:proofErr w:type="spellEnd"/>
      <w:r w:rsidRPr="00A34D26">
        <w:rPr>
          <w:rFonts w:ascii="Arial Narrow" w:eastAsia="Tahoma" w:hAnsi="Arial Narrow" w:cs="Arial"/>
          <w:b/>
          <w:sz w:val="24"/>
          <w:szCs w:val="24"/>
          <w:lang w:val="en-GB"/>
        </w:rPr>
        <w:t xml:space="preserve"> </w:t>
      </w:r>
      <w:proofErr w:type="spellStart"/>
      <w:r w:rsidRPr="00A34D26">
        <w:rPr>
          <w:rFonts w:ascii="Arial Narrow" w:eastAsia="Tahoma" w:hAnsi="Arial Narrow" w:cs="Arial"/>
          <w:b/>
          <w:sz w:val="24"/>
          <w:szCs w:val="24"/>
          <w:lang w:val="en-GB"/>
        </w:rPr>
        <w:t>korisno</w:t>
      </w:r>
      <w:proofErr w:type="spellEnd"/>
      <w:r w:rsidRPr="00A34D26">
        <w:rPr>
          <w:rFonts w:ascii="Arial Narrow" w:eastAsia="Tahoma" w:hAnsi="Arial Narrow" w:cs="Arial"/>
          <w:b/>
          <w:sz w:val="24"/>
          <w:szCs w:val="24"/>
          <w:lang w:val="en-GB"/>
        </w:rPr>
        <w:t xml:space="preserve"> </w:t>
      </w:r>
      <w:proofErr w:type="spellStart"/>
      <w:r w:rsidRPr="00A34D26">
        <w:rPr>
          <w:rFonts w:ascii="Arial Narrow" w:eastAsia="Tahoma" w:hAnsi="Arial Narrow" w:cs="Arial"/>
          <w:b/>
          <w:sz w:val="24"/>
          <w:szCs w:val="24"/>
          <w:lang w:val="en-GB"/>
        </w:rPr>
        <w:t>iskoristiti</w:t>
      </w:r>
      <w:proofErr w:type="spellEnd"/>
      <w:r w:rsidRPr="00A34D26">
        <w:rPr>
          <w:rFonts w:ascii="Arial Narrow" w:eastAsia="Tahoma" w:hAnsi="Arial Narrow" w:cs="Arial"/>
          <w:b/>
          <w:sz w:val="24"/>
          <w:szCs w:val="24"/>
          <w:lang w:val="en-GB"/>
        </w:rPr>
        <w:t xml:space="preserve"> </w:t>
      </w:r>
      <w:proofErr w:type="spellStart"/>
      <w:r w:rsidRPr="00A34D26">
        <w:rPr>
          <w:rFonts w:ascii="Arial Narrow" w:eastAsia="Tahoma" w:hAnsi="Arial Narrow" w:cs="Arial"/>
          <w:b/>
          <w:sz w:val="24"/>
          <w:szCs w:val="24"/>
          <w:lang w:val="en-GB"/>
        </w:rPr>
        <w:t>Mrežu</w:t>
      </w:r>
      <w:proofErr w:type="spellEnd"/>
      <w:r w:rsidRPr="00A34D26">
        <w:rPr>
          <w:rFonts w:ascii="Arial Narrow" w:eastAsia="Tahoma" w:hAnsi="Arial Narrow" w:cs="Arial"/>
          <w:b/>
          <w:sz w:val="24"/>
          <w:szCs w:val="24"/>
          <w:lang w:val="en-GB"/>
        </w:rPr>
        <w:t xml:space="preserve"> </w:t>
      </w:r>
      <w:proofErr w:type="spellStart"/>
      <w:r w:rsidRPr="00A34D26">
        <w:rPr>
          <w:rFonts w:ascii="Arial Narrow" w:eastAsia="Tahoma" w:hAnsi="Arial Narrow" w:cs="Arial"/>
          <w:b/>
          <w:sz w:val="24"/>
          <w:szCs w:val="24"/>
          <w:lang w:val="en-GB"/>
        </w:rPr>
        <w:t>državnih</w:t>
      </w:r>
      <w:proofErr w:type="spellEnd"/>
      <w:r w:rsidRPr="00A34D26">
        <w:rPr>
          <w:rFonts w:ascii="Arial Narrow" w:eastAsia="Tahoma" w:hAnsi="Arial Narrow" w:cs="Arial"/>
          <w:b/>
          <w:sz w:val="24"/>
          <w:szCs w:val="24"/>
          <w:lang w:val="en-GB"/>
        </w:rPr>
        <w:t xml:space="preserve"> </w:t>
      </w:r>
      <w:proofErr w:type="spellStart"/>
      <w:r w:rsidRPr="00A34D26">
        <w:rPr>
          <w:rFonts w:ascii="Arial Narrow" w:eastAsia="Tahoma" w:hAnsi="Arial Narrow" w:cs="Arial"/>
          <w:b/>
          <w:sz w:val="24"/>
          <w:szCs w:val="24"/>
          <w:lang w:val="en-GB"/>
        </w:rPr>
        <w:t>službenika</w:t>
      </w:r>
      <w:proofErr w:type="spellEnd"/>
      <w:r w:rsidRPr="00A34D26">
        <w:rPr>
          <w:rFonts w:ascii="Arial Narrow" w:eastAsia="Tahoma" w:hAnsi="Arial Narrow" w:cs="Arial"/>
          <w:b/>
          <w:sz w:val="24"/>
          <w:szCs w:val="24"/>
          <w:lang w:val="en-GB"/>
        </w:rPr>
        <w:t xml:space="preserve"> za </w:t>
      </w:r>
      <w:proofErr w:type="spellStart"/>
      <w:r w:rsidRPr="00A34D26">
        <w:rPr>
          <w:rFonts w:ascii="Arial Narrow" w:eastAsia="Tahoma" w:hAnsi="Arial Narrow" w:cs="Arial"/>
          <w:b/>
          <w:sz w:val="24"/>
          <w:szCs w:val="24"/>
          <w:lang w:val="en-GB"/>
        </w:rPr>
        <w:t>strateško</w:t>
      </w:r>
      <w:proofErr w:type="spellEnd"/>
      <w:r w:rsidRPr="00A34D26">
        <w:rPr>
          <w:rFonts w:ascii="Arial Narrow" w:eastAsia="Tahoma" w:hAnsi="Arial Narrow" w:cs="Arial"/>
          <w:b/>
          <w:sz w:val="24"/>
          <w:szCs w:val="24"/>
          <w:lang w:val="en-GB"/>
        </w:rPr>
        <w:t xml:space="preserve"> </w:t>
      </w:r>
      <w:proofErr w:type="spellStart"/>
      <w:r w:rsidRPr="00A34D26">
        <w:rPr>
          <w:rFonts w:ascii="Arial Narrow" w:eastAsia="Tahoma" w:hAnsi="Arial Narrow" w:cs="Arial"/>
          <w:b/>
          <w:sz w:val="24"/>
          <w:szCs w:val="24"/>
          <w:lang w:val="en-GB"/>
        </w:rPr>
        <w:t>planiranje</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b/>
          <w:sz w:val="24"/>
          <w:szCs w:val="24"/>
          <w:lang w:val="en-GB"/>
        </w:rPr>
        <w:t>koju</w:t>
      </w:r>
      <w:proofErr w:type="spellEnd"/>
      <w:r w:rsidRPr="00A34D26">
        <w:rPr>
          <w:rFonts w:ascii="Arial Narrow" w:eastAsia="Tahoma" w:hAnsi="Arial Narrow" w:cs="Arial"/>
          <w:b/>
          <w:sz w:val="24"/>
          <w:szCs w:val="24"/>
          <w:lang w:val="en-GB"/>
        </w:rPr>
        <w:t xml:space="preserve"> </w:t>
      </w:r>
      <w:proofErr w:type="spellStart"/>
      <w:r w:rsidRPr="00A34D26">
        <w:rPr>
          <w:rFonts w:ascii="Arial Narrow" w:eastAsia="Tahoma" w:hAnsi="Arial Narrow" w:cs="Arial"/>
          <w:b/>
          <w:sz w:val="24"/>
          <w:szCs w:val="24"/>
          <w:lang w:val="en-GB"/>
        </w:rPr>
        <w:t>treba</w:t>
      </w:r>
      <w:proofErr w:type="spellEnd"/>
      <w:r w:rsidRPr="00A34D26">
        <w:rPr>
          <w:rFonts w:ascii="Arial Narrow" w:eastAsia="Tahoma" w:hAnsi="Arial Narrow" w:cs="Arial"/>
          <w:b/>
          <w:sz w:val="24"/>
          <w:szCs w:val="24"/>
          <w:lang w:val="en-GB"/>
        </w:rPr>
        <w:t xml:space="preserve"> </w:t>
      </w:r>
      <w:proofErr w:type="spellStart"/>
      <w:r w:rsidRPr="00A34D26">
        <w:rPr>
          <w:rFonts w:ascii="Arial Narrow" w:eastAsia="Tahoma" w:hAnsi="Arial Narrow" w:cs="Arial"/>
          <w:b/>
          <w:sz w:val="24"/>
          <w:szCs w:val="24"/>
          <w:lang w:val="en-GB"/>
        </w:rPr>
        <w:t>što</w:t>
      </w:r>
      <w:proofErr w:type="spellEnd"/>
      <w:r w:rsidRPr="00A34D26">
        <w:rPr>
          <w:rFonts w:ascii="Arial Narrow" w:eastAsia="Tahoma" w:hAnsi="Arial Narrow" w:cs="Arial"/>
          <w:b/>
          <w:sz w:val="24"/>
          <w:szCs w:val="24"/>
          <w:lang w:val="en-GB"/>
        </w:rPr>
        <w:t xml:space="preserve"> </w:t>
      </w:r>
      <w:proofErr w:type="spellStart"/>
      <w:r w:rsidRPr="00A34D26">
        <w:rPr>
          <w:rFonts w:ascii="Arial Narrow" w:eastAsia="Tahoma" w:hAnsi="Arial Narrow" w:cs="Arial"/>
          <w:b/>
          <w:sz w:val="24"/>
          <w:szCs w:val="24"/>
          <w:lang w:val="en-GB"/>
        </w:rPr>
        <w:t>prije</w:t>
      </w:r>
      <w:proofErr w:type="spellEnd"/>
      <w:r w:rsidRPr="00A34D26">
        <w:rPr>
          <w:rFonts w:ascii="Arial Narrow" w:eastAsia="Tahoma" w:hAnsi="Arial Narrow" w:cs="Arial"/>
          <w:b/>
          <w:sz w:val="24"/>
          <w:szCs w:val="24"/>
          <w:lang w:val="en-GB"/>
        </w:rPr>
        <w:t xml:space="preserve"> </w:t>
      </w:r>
      <w:proofErr w:type="spellStart"/>
      <w:r w:rsidRPr="00A34D26">
        <w:rPr>
          <w:rFonts w:ascii="Arial Narrow" w:eastAsia="Tahoma" w:hAnsi="Arial Narrow" w:cs="Arial"/>
          <w:b/>
          <w:sz w:val="24"/>
          <w:szCs w:val="24"/>
          <w:lang w:val="en-GB"/>
        </w:rPr>
        <w:t>formalizovati</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Mreža</w:t>
      </w:r>
      <w:proofErr w:type="spellEnd"/>
      <w:r w:rsidRPr="00A34D26">
        <w:rPr>
          <w:rFonts w:ascii="Arial Narrow" w:eastAsia="Tahoma" w:hAnsi="Arial Narrow" w:cs="Arial"/>
          <w:sz w:val="24"/>
          <w:szCs w:val="24"/>
          <w:lang w:val="en-GB"/>
        </w:rPr>
        <w:t xml:space="preserve"> bi </w:t>
      </w:r>
      <w:proofErr w:type="spellStart"/>
      <w:r w:rsidRPr="00A34D26">
        <w:rPr>
          <w:rFonts w:ascii="Arial Narrow" w:eastAsia="Tahoma" w:hAnsi="Arial Narrow" w:cs="Arial"/>
          <w:sz w:val="24"/>
          <w:szCs w:val="24"/>
          <w:lang w:val="en-GB"/>
        </w:rPr>
        <w:t>bila</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sastavljena</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od</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predstavnika</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svih</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ministarstava</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i</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imala</w:t>
      </w:r>
      <w:proofErr w:type="spellEnd"/>
      <w:r w:rsidRPr="00A34D26">
        <w:rPr>
          <w:rFonts w:ascii="Arial Narrow" w:eastAsia="Tahoma" w:hAnsi="Arial Narrow" w:cs="Arial"/>
          <w:sz w:val="24"/>
          <w:szCs w:val="24"/>
          <w:lang w:val="en-GB"/>
        </w:rPr>
        <w:t xml:space="preserve"> bi </w:t>
      </w:r>
      <w:proofErr w:type="spellStart"/>
      <w:r w:rsidRPr="00A34D26">
        <w:rPr>
          <w:rFonts w:ascii="Arial Narrow" w:eastAsia="Tahoma" w:hAnsi="Arial Narrow" w:cs="Arial"/>
          <w:sz w:val="24"/>
          <w:szCs w:val="24"/>
          <w:lang w:val="en-GB"/>
        </w:rPr>
        <w:t>zadatak</w:t>
      </w:r>
      <w:proofErr w:type="spellEnd"/>
      <w:r w:rsidRPr="00A34D26">
        <w:rPr>
          <w:rFonts w:ascii="Arial Narrow" w:eastAsia="Tahoma" w:hAnsi="Arial Narrow" w:cs="Arial"/>
          <w:sz w:val="24"/>
          <w:szCs w:val="24"/>
          <w:lang w:val="en-GB"/>
        </w:rPr>
        <w:t xml:space="preserve"> da </w:t>
      </w:r>
      <w:proofErr w:type="spellStart"/>
      <w:r w:rsidRPr="00A34D26">
        <w:rPr>
          <w:rFonts w:ascii="Arial Narrow" w:eastAsia="Tahoma" w:hAnsi="Arial Narrow" w:cs="Arial"/>
          <w:sz w:val="24"/>
          <w:szCs w:val="24"/>
          <w:lang w:val="en-GB"/>
        </w:rPr>
        <w:t>na</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operativnom</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nivou</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koordinira</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izradom</w:t>
      </w:r>
      <w:proofErr w:type="spellEnd"/>
      <w:r w:rsidRPr="00A34D26">
        <w:rPr>
          <w:rFonts w:ascii="Arial Narrow" w:eastAsia="Tahoma" w:hAnsi="Arial Narrow" w:cs="Arial"/>
          <w:sz w:val="24"/>
          <w:szCs w:val="24"/>
          <w:lang w:val="en-GB"/>
        </w:rPr>
        <w:t xml:space="preserve"> SPRV u </w:t>
      </w:r>
      <w:proofErr w:type="spellStart"/>
      <w:r w:rsidRPr="00A34D26">
        <w:rPr>
          <w:rFonts w:ascii="Arial Narrow" w:eastAsia="Tahoma" w:hAnsi="Arial Narrow" w:cs="Arial"/>
          <w:sz w:val="24"/>
          <w:szCs w:val="24"/>
          <w:lang w:val="en-GB"/>
        </w:rPr>
        <w:t>ministarstvima</w:t>
      </w:r>
      <w:proofErr w:type="spellEnd"/>
      <w:r w:rsidR="000E7AA0">
        <w:rPr>
          <w:rFonts w:ascii="Arial Narrow" w:eastAsia="Tahoma" w:hAnsi="Arial Narrow" w:cs="Arial"/>
          <w:sz w:val="24"/>
          <w:szCs w:val="24"/>
          <w:lang w:val="en-GB"/>
        </w:rPr>
        <w:t xml:space="preserve">, a </w:t>
      </w:r>
      <w:proofErr w:type="spellStart"/>
      <w:r w:rsidRPr="00A34D26">
        <w:rPr>
          <w:rFonts w:ascii="Arial Narrow" w:eastAsia="Tahoma" w:hAnsi="Arial Narrow" w:cs="Arial"/>
          <w:sz w:val="24"/>
          <w:szCs w:val="24"/>
          <w:lang w:val="en-GB"/>
        </w:rPr>
        <w:t>bila</w:t>
      </w:r>
      <w:proofErr w:type="spellEnd"/>
      <w:r w:rsidRPr="00A34D26">
        <w:rPr>
          <w:rFonts w:ascii="Arial Narrow" w:eastAsia="Tahoma" w:hAnsi="Arial Narrow" w:cs="Arial"/>
          <w:sz w:val="24"/>
          <w:szCs w:val="24"/>
          <w:lang w:val="en-GB"/>
        </w:rPr>
        <w:t xml:space="preserve"> bi u </w:t>
      </w:r>
      <w:proofErr w:type="spellStart"/>
      <w:r w:rsidRPr="00A34D26">
        <w:rPr>
          <w:rFonts w:ascii="Arial Narrow" w:eastAsia="Tahoma" w:hAnsi="Arial Narrow" w:cs="Arial"/>
          <w:sz w:val="24"/>
          <w:szCs w:val="24"/>
          <w:lang w:val="en-GB"/>
        </w:rPr>
        <w:t>redovnoj</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komunikaciji</w:t>
      </w:r>
      <w:proofErr w:type="spellEnd"/>
      <w:r w:rsidRPr="00A34D26">
        <w:rPr>
          <w:rFonts w:ascii="Arial Narrow" w:eastAsia="Tahoma" w:hAnsi="Arial Narrow" w:cs="Arial"/>
          <w:sz w:val="24"/>
          <w:szCs w:val="24"/>
          <w:lang w:val="en-GB"/>
        </w:rPr>
        <w:t xml:space="preserve"> s GSV/ </w:t>
      </w:r>
      <w:proofErr w:type="spellStart"/>
      <w:r w:rsidRPr="00A34D26">
        <w:rPr>
          <w:rFonts w:ascii="Arial Narrow" w:eastAsia="Tahoma" w:hAnsi="Arial Narrow" w:cs="Arial"/>
          <w:sz w:val="24"/>
          <w:szCs w:val="24"/>
          <w:lang w:val="en-GB"/>
        </w:rPr>
        <w:t>Sektorom</w:t>
      </w:r>
      <w:proofErr w:type="spellEnd"/>
      <w:r w:rsidRPr="00A34D26">
        <w:rPr>
          <w:rFonts w:ascii="Arial Narrow" w:eastAsia="Tahoma" w:hAnsi="Arial Narrow" w:cs="Arial"/>
          <w:sz w:val="24"/>
          <w:szCs w:val="24"/>
          <w:lang w:val="en-GB"/>
        </w:rPr>
        <w:t xml:space="preserve"> za </w:t>
      </w:r>
      <w:proofErr w:type="spellStart"/>
      <w:r w:rsidRPr="00A34D26">
        <w:rPr>
          <w:rFonts w:ascii="Arial Narrow" w:eastAsia="Tahoma" w:hAnsi="Arial Narrow" w:cs="Arial"/>
          <w:sz w:val="24"/>
          <w:szCs w:val="24"/>
          <w:lang w:val="en-GB"/>
        </w:rPr>
        <w:t>koordinaciju</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strategija</w:t>
      </w:r>
      <w:proofErr w:type="spellEnd"/>
      <w:r w:rsidRPr="00A34D26">
        <w:rPr>
          <w:rFonts w:ascii="Arial Narrow" w:eastAsia="Tahoma" w:hAnsi="Arial Narrow" w:cs="Arial"/>
          <w:sz w:val="24"/>
          <w:szCs w:val="24"/>
          <w:lang w:val="en-GB"/>
        </w:rPr>
        <w:t xml:space="preserve"> u </w:t>
      </w:r>
      <w:proofErr w:type="spellStart"/>
      <w:r w:rsidRPr="00A34D26">
        <w:rPr>
          <w:rFonts w:ascii="Arial Narrow" w:eastAsia="Tahoma" w:hAnsi="Arial Narrow" w:cs="Arial"/>
          <w:sz w:val="24"/>
          <w:szCs w:val="24"/>
          <w:lang w:val="en-GB"/>
        </w:rPr>
        <w:t>cilju</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efikasnog</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rada</w:t>
      </w:r>
      <w:proofErr w:type="spellEnd"/>
      <w:r w:rsidRPr="00A34D26">
        <w:rPr>
          <w:rFonts w:ascii="Arial Narrow" w:eastAsia="Tahoma" w:hAnsi="Arial Narrow" w:cs="Arial"/>
          <w:sz w:val="24"/>
          <w:szCs w:val="24"/>
          <w:lang w:val="en-GB"/>
        </w:rPr>
        <w:t xml:space="preserve"> </w:t>
      </w:r>
      <w:proofErr w:type="spellStart"/>
      <w:r w:rsidRPr="00A34D26">
        <w:rPr>
          <w:rFonts w:ascii="Arial Narrow" w:eastAsia="Tahoma" w:hAnsi="Arial Narrow" w:cs="Arial"/>
          <w:sz w:val="24"/>
          <w:szCs w:val="24"/>
          <w:lang w:val="en-GB"/>
        </w:rPr>
        <w:t>na</w:t>
      </w:r>
      <w:proofErr w:type="spellEnd"/>
      <w:r w:rsidR="000E7AA0">
        <w:rPr>
          <w:rFonts w:ascii="Arial Narrow" w:eastAsia="Tahoma" w:hAnsi="Arial Narrow" w:cs="Arial"/>
          <w:sz w:val="24"/>
          <w:szCs w:val="24"/>
          <w:lang w:val="en-GB"/>
        </w:rPr>
        <w:t xml:space="preserve"> </w:t>
      </w:r>
      <w:proofErr w:type="spellStart"/>
      <w:r w:rsidR="000E7AA0">
        <w:rPr>
          <w:rFonts w:ascii="Arial Narrow" w:eastAsia="Tahoma" w:hAnsi="Arial Narrow" w:cs="Arial"/>
          <w:sz w:val="24"/>
          <w:szCs w:val="24"/>
          <w:lang w:val="en-GB"/>
        </w:rPr>
        <w:t>praćenju</w:t>
      </w:r>
      <w:proofErr w:type="spellEnd"/>
      <w:r w:rsidR="000E7AA0">
        <w:rPr>
          <w:rFonts w:ascii="Arial Narrow" w:eastAsia="Tahoma" w:hAnsi="Arial Narrow" w:cs="Arial"/>
          <w:sz w:val="24"/>
          <w:szCs w:val="24"/>
          <w:lang w:val="en-GB"/>
        </w:rPr>
        <w:t xml:space="preserve"> </w:t>
      </w:r>
      <w:proofErr w:type="spellStart"/>
      <w:r w:rsidR="000E7AA0">
        <w:rPr>
          <w:rFonts w:ascii="Arial Narrow" w:eastAsia="Tahoma" w:hAnsi="Arial Narrow" w:cs="Arial"/>
          <w:sz w:val="24"/>
          <w:szCs w:val="24"/>
          <w:lang w:val="en-GB"/>
        </w:rPr>
        <w:t>realizacije</w:t>
      </w:r>
      <w:proofErr w:type="spellEnd"/>
      <w:r w:rsidR="000E7AA0">
        <w:rPr>
          <w:rFonts w:ascii="Arial Narrow" w:eastAsia="Tahoma" w:hAnsi="Arial Narrow" w:cs="Arial"/>
          <w:sz w:val="24"/>
          <w:szCs w:val="24"/>
          <w:lang w:val="en-GB"/>
        </w:rPr>
        <w:t xml:space="preserve"> </w:t>
      </w:r>
      <w:proofErr w:type="spellStart"/>
      <w:r w:rsidR="000E7AA0">
        <w:rPr>
          <w:rFonts w:ascii="Arial Narrow" w:eastAsia="Tahoma" w:hAnsi="Arial Narrow" w:cs="Arial"/>
          <w:sz w:val="24"/>
          <w:szCs w:val="24"/>
          <w:lang w:val="en-GB"/>
        </w:rPr>
        <w:t>i</w:t>
      </w:r>
      <w:proofErr w:type="spellEnd"/>
      <w:r w:rsidR="000E7AA0">
        <w:rPr>
          <w:rFonts w:ascii="Arial Narrow" w:eastAsia="Tahoma" w:hAnsi="Arial Narrow" w:cs="Arial"/>
          <w:sz w:val="24"/>
          <w:szCs w:val="24"/>
          <w:lang w:val="en-GB"/>
        </w:rPr>
        <w:t xml:space="preserve"> </w:t>
      </w:r>
      <w:proofErr w:type="spellStart"/>
      <w:r w:rsidR="000E7AA0">
        <w:rPr>
          <w:rFonts w:ascii="Arial Narrow" w:eastAsia="Tahoma" w:hAnsi="Arial Narrow" w:cs="Arial"/>
          <w:sz w:val="24"/>
          <w:szCs w:val="24"/>
          <w:lang w:val="en-GB"/>
        </w:rPr>
        <w:t>izrade</w:t>
      </w:r>
      <w:proofErr w:type="spellEnd"/>
      <w:r w:rsidR="000E7AA0">
        <w:rPr>
          <w:rFonts w:ascii="Arial Narrow" w:eastAsia="Tahoma" w:hAnsi="Arial Narrow" w:cs="Arial"/>
          <w:sz w:val="24"/>
          <w:szCs w:val="24"/>
          <w:lang w:val="en-GB"/>
        </w:rPr>
        <w:t xml:space="preserve"> </w:t>
      </w:r>
      <w:proofErr w:type="spellStart"/>
      <w:r w:rsidR="000E7AA0">
        <w:rPr>
          <w:rFonts w:ascii="Arial Narrow" w:eastAsia="Tahoma" w:hAnsi="Arial Narrow" w:cs="Arial"/>
          <w:sz w:val="24"/>
          <w:szCs w:val="24"/>
          <w:lang w:val="en-GB"/>
        </w:rPr>
        <w:t>izvještaja</w:t>
      </w:r>
      <w:proofErr w:type="spellEnd"/>
      <w:r w:rsidR="000E7AA0">
        <w:rPr>
          <w:rFonts w:ascii="Arial Narrow" w:eastAsia="Tahoma" w:hAnsi="Arial Narrow" w:cs="Arial"/>
          <w:sz w:val="24"/>
          <w:szCs w:val="24"/>
          <w:lang w:val="en-GB"/>
        </w:rPr>
        <w:t>.</w:t>
      </w:r>
    </w:p>
    <w:p w14:paraId="449ECF18" w14:textId="77777777" w:rsidR="000E7AA0" w:rsidRPr="00A34D26" w:rsidRDefault="000E7AA0" w:rsidP="00A34D26">
      <w:pPr>
        <w:tabs>
          <w:tab w:val="left" w:pos="1095"/>
        </w:tabs>
        <w:jc w:val="both"/>
        <w:rPr>
          <w:rFonts w:ascii="Arial Narrow" w:eastAsia="Tahoma" w:hAnsi="Arial Narrow" w:cs="Arial"/>
          <w:sz w:val="24"/>
          <w:szCs w:val="24"/>
          <w:lang w:val="en-GB"/>
        </w:rPr>
      </w:pPr>
      <w:proofErr w:type="spellStart"/>
      <w:r>
        <w:rPr>
          <w:rFonts w:ascii="Arial Narrow" w:eastAsia="Tahoma" w:hAnsi="Arial Narrow" w:cs="Arial"/>
          <w:sz w:val="24"/>
          <w:szCs w:val="24"/>
          <w:lang w:val="en-GB"/>
        </w:rPr>
        <w:t>Shodno</w:t>
      </w:r>
      <w:proofErr w:type="spellEnd"/>
      <w:r>
        <w:rPr>
          <w:rFonts w:ascii="Arial Narrow" w:eastAsia="Tahoma" w:hAnsi="Arial Narrow" w:cs="Arial"/>
          <w:sz w:val="24"/>
          <w:szCs w:val="24"/>
          <w:lang w:val="en-GB"/>
        </w:rPr>
        <w:t xml:space="preserve"> </w:t>
      </w:r>
      <w:proofErr w:type="spellStart"/>
      <w:r>
        <w:rPr>
          <w:rFonts w:ascii="Arial Narrow" w:eastAsia="Tahoma" w:hAnsi="Arial Narrow" w:cs="Arial"/>
          <w:sz w:val="24"/>
          <w:szCs w:val="24"/>
          <w:lang w:val="en-GB"/>
        </w:rPr>
        <w:t>čl</w:t>
      </w:r>
      <w:proofErr w:type="spellEnd"/>
      <w:r>
        <w:rPr>
          <w:rFonts w:ascii="Arial Narrow" w:eastAsia="Tahoma" w:hAnsi="Arial Narrow" w:cs="Arial"/>
          <w:sz w:val="24"/>
          <w:szCs w:val="24"/>
          <w:lang w:val="en-GB"/>
        </w:rPr>
        <w:t xml:space="preserve">. 31 </w:t>
      </w:r>
      <w:proofErr w:type="spellStart"/>
      <w:r>
        <w:rPr>
          <w:rFonts w:ascii="Arial Narrow" w:eastAsia="Tahoma" w:hAnsi="Arial Narrow" w:cs="Arial"/>
          <w:sz w:val="24"/>
          <w:szCs w:val="24"/>
          <w:lang w:val="en-GB"/>
        </w:rPr>
        <w:t>Poslovnika</w:t>
      </w:r>
      <w:proofErr w:type="spellEnd"/>
      <w:r>
        <w:rPr>
          <w:rFonts w:ascii="Arial Narrow" w:eastAsia="Tahoma" w:hAnsi="Arial Narrow" w:cs="Arial"/>
          <w:sz w:val="24"/>
          <w:szCs w:val="24"/>
          <w:lang w:val="en-GB"/>
        </w:rPr>
        <w:t xml:space="preserve"> Vlade </w:t>
      </w:r>
      <w:proofErr w:type="spellStart"/>
      <w:r>
        <w:rPr>
          <w:rFonts w:ascii="Arial Narrow" w:eastAsia="Tahoma" w:hAnsi="Arial Narrow" w:cs="Arial"/>
          <w:sz w:val="24"/>
          <w:szCs w:val="24"/>
          <w:lang w:val="en-GB"/>
        </w:rPr>
        <w:t>Crne</w:t>
      </w:r>
      <w:proofErr w:type="spellEnd"/>
      <w:r>
        <w:rPr>
          <w:rFonts w:ascii="Arial Narrow" w:eastAsia="Tahoma" w:hAnsi="Arial Narrow" w:cs="Arial"/>
          <w:sz w:val="24"/>
          <w:szCs w:val="24"/>
          <w:lang w:val="en-GB"/>
        </w:rPr>
        <w:t xml:space="preserve"> Gore, </w:t>
      </w:r>
      <w:proofErr w:type="spellStart"/>
      <w:r>
        <w:rPr>
          <w:rFonts w:ascii="Arial Narrow" w:eastAsia="Tahoma" w:hAnsi="Arial Narrow" w:cs="Arial"/>
          <w:sz w:val="24"/>
          <w:szCs w:val="24"/>
          <w:lang w:val="en-GB"/>
        </w:rPr>
        <w:t>realizaciju</w:t>
      </w:r>
      <w:proofErr w:type="spellEnd"/>
      <w:r>
        <w:rPr>
          <w:rFonts w:ascii="Arial Narrow" w:eastAsia="Tahoma" w:hAnsi="Arial Narrow" w:cs="Arial"/>
          <w:sz w:val="24"/>
          <w:szCs w:val="24"/>
          <w:lang w:val="en-GB"/>
        </w:rPr>
        <w:t xml:space="preserve"> </w:t>
      </w:r>
      <w:proofErr w:type="spellStart"/>
      <w:r>
        <w:rPr>
          <w:rFonts w:ascii="Arial Narrow" w:eastAsia="Tahoma" w:hAnsi="Arial Narrow" w:cs="Arial"/>
          <w:sz w:val="24"/>
          <w:szCs w:val="24"/>
          <w:lang w:val="en-GB"/>
        </w:rPr>
        <w:t>srednjoročnog</w:t>
      </w:r>
      <w:proofErr w:type="spellEnd"/>
      <w:r>
        <w:rPr>
          <w:rFonts w:ascii="Arial Narrow" w:eastAsia="Tahoma" w:hAnsi="Arial Narrow" w:cs="Arial"/>
          <w:sz w:val="24"/>
          <w:szCs w:val="24"/>
          <w:lang w:val="en-GB"/>
        </w:rPr>
        <w:t xml:space="preserve"> I </w:t>
      </w:r>
      <w:proofErr w:type="spellStart"/>
      <w:r>
        <w:rPr>
          <w:rFonts w:ascii="Arial Narrow" w:eastAsia="Tahoma" w:hAnsi="Arial Narrow" w:cs="Arial"/>
          <w:sz w:val="24"/>
          <w:szCs w:val="24"/>
          <w:lang w:val="en-GB"/>
        </w:rPr>
        <w:t>godišnjeg</w:t>
      </w:r>
      <w:proofErr w:type="spellEnd"/>
      <w:r>
        <w:rPr>
          <w:rFonts w:ascii="Arial Narrow" w:eastAsia="Tahoma" w:hAnsi="Arial Narrow" w:cs="Arial"/>
          <w:sz w:val="24"/>
          <w:szCs w:val="24"/>
          <w:lang w:val="en-GB"/>
        </w:rPr>
        <w:t xml:space="preserve"> </w:t>
      </w:r>
      <w:proofErr w:type="spellStart"/>
      <w:r>
        <w:rPr>
          <w:rFonts w:ascii="Arial Narrow" w:eastAsia="Tahoma" w:hAnsi="Arial Narrow" w:cs="Arial"/>
          <w:sz w:val="24"/>
          <w:szCs w:val="24"/>
          <w:lang w:val="en-GB"/>
        </w:rPr>
        <w:t>programa</w:t>
      </w:r>
      <w:proofErr w:type="spellEnd"/>
      <w:r>
        <w:rPr>
          <w:rFonts w:ascii="Arial Narrow" w:eastAsia="Tahoma" w:hAnsi="Arial Narrow" w:cs="Arial"/>
          <w:sz w:val="24"/>
          <w:szCs w:val="24"/>
          <w:lang w:val="en-GB"/>
        </w:rPr>
        <w:t xml:space="preserve"> </w:t>
      </w:r>
      <w:proofErr w:type="spellStart"/>
      <w:r>
        <w:rPr>
          <w:rFonts w:ascii="Arial Narrow" w:eastAsia="Tahoma" w:hAnsi="Arial Narrow" w:cs="Arial"/>
          <w:sz w:val="24"/>
          <w:szCs w:val="24"/>
          <w:lang w:val="en-GB"/>
        </w:rPr>
        <w:t>rada</w:t>
      </w:r>
      <w:proofErr w:type="spellEnd"/>
      <w:r>
        <w:rPr>
          <w:rFonts w:ascii="Arial Narrow" w:eastAsia="Tahoma" w:hAnsi="Arial Narrow" w:cs="Arial"/>
          <w:sz w:val="24"/>
          <w:szCs w:val="24"/>
          <w:lang w:val="en-GB"/>
        </w:rPr>
        <w:t xml:space="preserve"> Vlade </w:t>
      </w:r>
      <w:proofErr w:type="spellStart"/>
      <w:r w:rsidR="0019681B">
        <w:rPr>
          <w:rFonts w:ascii="Arial Narrow" w:eastAsia="Tahoma" w:hAnsi="Arial Narrow" w:cs="Arial"/>
          <w:sz w:val="24"/>
          <w:szCs w:val="24"/>
          <w:lang w:val="en-GB"/>
        </w:rPr>
        <w:t>prati</w:t>
      </w:r>
      <w:proofErr w:type="spellEnd"/>
      <w:r w:rsidR="0019681B">
        <w:rPr>
          <w:rFonts w:ascii="Arial Narrow" w:eastAsia="Tahoma" w:hAnsi="Arial Narrow" w:cs="Arial"/>
          <w:sz w:val="24"/>
          <w:szCs w:val="24"/>
          <w:lang w:val="en-GB"/>
        </w:rPr>
        <w:t xml:space="preserve"> GSV I </w:t>
      </w:r>
      <w:proofErr w:type="spellStart"/>
      <w:r w:rsidR="0019681B">
        <w:rPr>
          <w:rFonts w:ascii="Arial Narrow" w:eastAsia="Tahoma" w:hAnsi="Arial Narrow" w:cs="Arial"/>
          <w:sz w:val="24"/>
          <w:szCs w:val="24"/>
          <w:lang w:val="en-GB"/>
        </w:rPr>
        <w:t>priprema</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izvještaje</w:t>
      </w:r>
      <w:proofErr w:type="spellEnd"/>
      <w:r w:rsidR="0019681B">
        <w:rPr>
          <w:rFonts w:ascii="Arial Narrow" w:eastAsia="Tahoma" w:hAnsi="Arial Narrow" w:cs="Arial"/>
          <w:sz w:val="24"/>
          <w:szCs w:val="24"/>
          <w:lang w:val="en-GB"/>
        </w:rPr>
        <w:t xml:space="preserve"> o </w:t>
      </w:r>
      <w:proofErr w:type="spellStart"/>
      <w:r w:rsidR="0019681B">
        <w:rPr>
          <w:rFonts w:ascii="Arial Narrow" w:eastAsia="Tahoma" w:hAnsi="Arial Narrow" w:cs="Arial"/>
          <w:sz w:val="24"/>
          <w:szCs w:val="24"/>
          <w:lang w:val="en-GB"/>
        </w:rPr>
        <w:t>njihovoj</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realizaciji</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koje</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dostavlja</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Vladi</w:t>
      </w:r>
      <w:proofErr w:type="spellEnd"/>
      <w:r w:rsidR="0019681B">
        <w:rPr>
          <w:rFonts w:ascii="Arial Narrow" w:eastAsia="Tahoma" w:hAnsi="Arial Narrow" w:cs="Arial"/>
          <w:sz w:val="24"/>
          <w:szCs w:val="24"/>
          <w:lang w:val="en-GB"/>
        </w:rPr>
        <w:t xml:space="preserve">. </w:t>
      </w:r>
      <w:proofErr w:type="spellStart"/>
      <w:r>
        <w:rPr>
          <w:rFonts w:ascii="Arial Narrow" w:eastAsia="Tahoma" w:hAnsi="Arial Narrow" w:cs="Arial"/>
          <w:sz w:val="24"/>
          <w:szCs w:val="24"/>
          <w:lang w:val="en-GB"/>
        </w:rPr>
        <w:t>Izvještaji</w:t>
      </w:r>
      <w:proofErr w:type="spellEnd"/>
      <w:r>
        <w:rPr>
          <w:rFonts w:ascii="Arial Narrow" w:eastAsia="Tahoma" w:hAnsi="Arial Narrow" w:cs="Arial"/>
          <w:sz w:val="24"/>
          <w:szCs w:val="24"/>
          <w:lang w:val="en-GB"/>
        </w:rPr>
        <w:t xml:space="preserve"> za </w:t>
      </w:r>
      <w:proofErr w:type="spellStart"/>
      <w:r w:rsidR="0019681B">
        <w:rPr>
          <w:rFonts w:ascii="Arial Narrow" w:eastAsia="Tahoma" w:hAnsi="Arial Narrow" w:cs="Arial"/>
          <w:sz w:val="24"/>
          <w:szCs w:val="24"/>
          <w:lang w:val="en-GB"/>
        </w:rPr>
        <w:t>godišnji</w:t>
      </w:r>
      <w:proofErr w:type="spellEnd"/>
      <w:r w:rsidR="0019681B">
        <w:rPr>
          <w:rFonts w:ascii="Arial Narrow" w:eastAsia="Tahoma" w:hAnsi="Arial Narrow" w:cs="Arial"/>
          <w:sz w:val="24"/>
          <w:szCs w:val="24"/>
          <w:lang w:val="en-GB"/>
        </w:rPr>
        <w:t xml:space="preserve"> Program </w:t>
      </w:r>
      <w:proofErr w:type="spellStart"/>
      <w:r w:rsidR="0019681B">
        <w:rPr>
          <w:rFonts w:ascii="Arial Narrow" w:eastAsia="Tahoma" w:hAnsi="Arial Narrow" w:cs="Arial"/>
          <w:sz w:val="24"/>
          <w:szCs w:val="24"/>
          <w:lang w:val="en-GB"/>
        </w:rPr>
        <w:t>rada</w:t>
      </w:r>
      <w:proofErr w:type="spellEnd"/>
      <w:r w:rsidR="0019681B">
        <w:rPr>
          <w:rFonts w:ascii="Arial Narrow" w:eastAsia="Tahoma" w:hAnsi="Arial Narrow" w:cs="Arial"/>
          <w:sz w:val="24"/>
          <w:szCs w:val="24"/>
          <w:lang w:val="en-GB"/>
        </w:rPr>
        <w:t xml:space="preserve"> Vlade se </w:t>
      </w:r>
      <w:proofErr w:type="spellStart"/>
      <w:r w:rsidR="0019681B">
        <w:rPr>
          <w:rFonts w:ascii="Arial Narrow" w:eastAsia="Tahoma" w:hAnsi="Arial Narrow" w:cs="Arial"/>
          <w:sz w:val="24"/>
          <w:szCs w:val="24"/>
          <w:lang w:val="en-GB"/>
        </w:rPr>
        <w:t>pripremaju</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kvartalno</w:t>
      </w:r>
      <w:proofErr w:type="spellEnd"/>
      <w:r w:rsidR="0019681B">
        <w:rPr>
          <w:rFonts w:ascii="Arial Narrow" w:eastAsia="Tahoma" w:hAnsi="Arial Narrow" w:cs="Arial"/>
          <w:sz w:val="24"/>
          <w:szCs w:val="24"/>
          <w:lang w:val="en-GB"/>
        </w:rPr>
        <w:t xml:space="preserve"> I </w:t>
      </w:r>
      <w:proofErr w:type="spellStart"/>
      <w:r w:rsidR="0019681B">
        <w:rPr>
          <w:rFonts w:ascii="Arial Narrow" w:eastAsia="Tahoma" w:hAnsi="Arial Narrow" w:cs="Arial"/>
          <w:sz w:val="24"/>
          <w:szCs w:val="24"/>
          <w:lang w:val="en-GB"/>
        </w:rPr>
        <w:t>obuhvataju</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pregled</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realizovanih</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obaveza</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odnosno</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njihov</w:t>
      </w:r>
      <w:proofErr w:type="spellEnd"/>
      <w:r w:rsidR="0019681B">
        <w:rPr>
          <w:rFonts w:ascii="Arial Narrow" w:eastAsia="Tahoma" w:hAnsi="Arial Narrow" w:cs="Arial"/>
          <w:sz w:val="24"/>
          <w:szCs w:val="24"/>
          <w:lang w:val="en-GB"/>
        </w:rPr>
        <w:t xml:space="preserve"> status </w:t>
      </w:r>
      <w:proofErr w:type="spellStart"/>
      <w:r w:rsidR="0019681B">
        <w:rPr>
          <w:rFonts w:ascii="Arial Narrow" w:eastAsia="Tahoma" w:hAnsi="Arial Narrow" w:cs="Arial"/>
          <w:sz w:val="24"/>
          <w:szCs w:val="24"/>
          <w:lang w:val="en-GB"/>
        </w:rPr>
        <w:t>realizacije</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Posljednji</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tj</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završni</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izvještaj</w:t>
      </w:r>
      <w:proofErr w:type="spellEnd"/>
      <w:r w:rsidR="0019681B">
        <w:rPr>
          <w:rFonts w:ascii="Arial Narrow" w:eastAsia="Tahoma" w:hAnsi="Arial Narrow" w:cs="Arial"/>
          <w:sz w:val="24"/>
          <w:szCs w:val="24"/>
          <w:lang w:val="en-GB"/>
        </w:rPr>
        <w:t xml:space="preserve"> o </w:t>
      </w:r>
      <w:proofErr w:type="spellStart"/>
      <w:r w:rsidR="0019681B">
        <w:rPr>
          <w:rFonts w:ascii="Arial Narrow" w:eastAsia="Tahoma" w:hAnsi="Arial Narrow" w:cs="Arial"/>
          <w:sz w:val="24"/>
          <w:szCs w:val="24"/>
          <w:lang w:val="en-GB"/>
        </w:rPr>
        <w:t>realizaciji</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godišnjeg</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Programa</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rada</w:t>
      </w:r>
      <w:proofErr w:type="spellEnd"/>
      <w:r w:rsidR="0019681B">
        <w:rPr>
          <w:rFonts w:ascii="Arial Narrow" w:eastAsia="Tahoma" w:hAnsi="Arial Narrow" w:cs="Arial"/>
          <w:sz w:val="24"/>
          <w:szCs w:val="24"/>
          <w:lang w:val="en-GB"/>
        </w:rPr>
        <w:t xml:space="preserve"> Vlade je </w:t>
      </w:r>
      <w:proofErr w:type="spellStart"/>
      <w:r w:rsidR="0019681B">
        <w:rPr>
          <w:rFonts w:ascii="Arial Narrow" w:eastAsia="Tahoma" w:hAnsi="Arial Narrow" w:cs="Arial"/>
          <w:sz w:val="24"/>
          <w:szCs w:val="24"/>
          <w:lang w:val="en-GB"/>
        </w:rPr>
        <w:t>ujedno</w:t>
      </w:r>
      <w:proofErr w:type="spellEnd"/>
      <w:r w:rsidR="0019681B">
        <w:rPr>
          <w:rFonts w:ascii="Arial Narrow" w:eastAsia="Tahoma" w:hAnsi="Arial Narrow" w:cs="Arial"/>
          <w:sz w:val="24"/>
          <w:szCs w:val="24"/>
          <w:lang w:val="en-GB"/>
        </w:rPr>
        <w:t xml:space="preserve"> i </w:t>
      </w:r>
      <w:proofErr w:type="spellStart"/>
      <w:r w:rsidR="0019681B">
        <w:rPr>
          <w:rFonts w:ascii="Arial Narrow" w:eastAsia="Tahoma" w:hAnsi="Arial Narrow" w:cs="Arial"/>
          <w:sz w:val="24"/>
          <w:szCs w:val="24"/>
          <w:lang w:val="en-GB"/>
        </w:rPr>
        <w:t>godišnji</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izvještaj</w:t>
      </w:r>
      <w:proofErr w:type="spellEnd"/>
      <w:r w:rsidR="0019681B">
        <w:rPr>
          <w:rFonts w:ascii="Arial Narrow" w:eastAsia="Tahoma" w:hAnsi="Arial Narrow" w:cs="Arial"/>
          <w:sz w:val="24"/>
          <w:szCs w:val="24"/>
          <w:lang w:val="en-GB"/>
        </w:rPr>
        <w:t xml:space="preserve"> o </w:t>
      </w:r>
      <w:proofErr w:type="spellStart"/>
      <w:r w:rsidR="0019681B">
        <w:rPr>
          <w:rFonts w:ascii="Arial Narrow" w:eastAsia="Tahoma" w:hAnsi="Arial Narrow" w:cs="Arial"/>
          <w:sz w:val="24"/>
          <w:szCs w:val="24"/>
          <w:lang w:val="en-GB"/>
        </w:rPr>
        <w:t>realizaciji</w:t>
      </w:r>
      <w:proofErr w:type="spellEnd"/>
      <w:r w:rsidR="0019681B">
        <w:rPr>
          <w:rFonts w:ascii="Arial Narrow" w:eastAsia="Tahoma" w:hAnsi="Arial Narrow" w:cs="Arial"/>
          <w:sz w:val="24"/>
          <w:szCs w:val="24"/>
          <w:lang w:val="en-GB"/>
        </w:rPr>
        <w:t xml:space="preserve"> </w:t>
      </w:r>
      <w:proofErr w:type="spellStart"/>
      <w:r>
        <w:rPr>
          <w:rFonts w:ascii="Arial Narrow" w:eastAsia="Tahoma" w:hAnsi="Arial Narrow" w:cs="Arial"/>
          <w:sz w:val="24"/>
          <w:szCs w:val="24"/>
          <w:lang w:val="en-GB"/>
        </w:rPr>
        <w:t>Srednjoročn</w:t>
      </w:r>
      <w:r w:rsidR="0019681B">
        <w:rPr>
          <w:rFonts w:ascii="Arial Narrow" w:eastAsia="Tahoma" w:hAnsi="Arial Narrow" w:cs="Arial"/>
          <w:sz w:val="24"/>
          <w:szCs w:val="24"/>
          <w:lang w:val="en-GB"/>
        </w:rPr>
        <w:t>og</w:t>
      </w:r>
      <w:proofErr w:type="spellEnd"/>
      <w:r>
        <w:rPr>
          <w:rFonts w:ascii="Arial Narrow" w:eastAsia="Tahoma" w:hAnsi="Arial Narrow" w:cs="Arial"/>
          <w:sz w:val="24"/>
          <w:szCs w:val="24"/>
          <w:lang w:val="en-GB"/>
        </w:rPr>
        <w:t xml:space="preserve"> </w:t>
      </w:r>
      <w:proofErr w:type="spellStart"/>
      <w:r>
        <w:rPr>
          <w:rFonts w:ascii="Arial Narrow" w:eastAsia="Tahoma" w:hAnsi="Arial Narrow" w:cs="Arial"/>
          <w:sz w:val="24"/>
          <w:szCs w:val="24"/>
          <w:lang w:val="en-GB"/>
        </w:rPr>
        <w:t>program</w:t>
      </w:r>
      <w:r w:rsidR="0019681B">
        <w:rPr>
          <w:rFonts w:ascii="Arial Narrow" w:eastAsia="Tahoma" w:hAnsi="Arial Narrow" w:cs="Arial"/>
          <w:sz w:val="24"/>
          <w:szCs w:val="24"/>
          <w:lang w:val="en-GB"/>
        </w:rPr>
        <w:t>a</w:t>
      </w:r>
      <w:proofErr w:type="spellEnd"/>
      <w:r>
        <w:rPr>
          <w:rFonts w:ascii="Arial Narrow" w:eastAsia="Tahoma" w:hAnsi="Arial Narrow" w:cs="Arial"/>
          <w:sz w:val="24"/>
          <w:szCs w:val="24"/>
          <w:lang w:val="en-GB"/>
        </w:rPr>
        <w:t xml:space="preserve"> </w:t>
      </w:r>
      <w:proofErr w:type="spellStart"/>
      <w:r>
        <w:rPr>
          <w:rFonts w:ascii="Arial Narrow" w:eastAsia="Tahoma" w:hAnsi="Arial Narrow" w:cs="Arial"/>
          <w:sz w:val="24"/>
          <w:szCs w:val="24"/>
          <w:lang w:val="en-GB"/>
        </w:rPr>
        <w:t>rada</w:t>
      </w:r>
      <w:proofErr w:type="spellEnd"/>
      <w:r>
        <w:rPr>
          <w:rFonts w:ascii="Arial Narrow" w:eastAsia="Tahoma" w:hAnsi="Arial Narrow" w:cs="Arial"/>
          <w:sz w:val="24"/>
          <w:szCs w:val="24"/>
          <w:lang w:val="en-GB"/>
        </w:rPr>
        <w:t xml:space="preserve"> Vlade</w:t>
      </w:r>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i</w:t>
      </w:r>
      <w:proofErr w:type="spellEnd"/>
      <w:r w:rsidR="0019681B">
        <w:rPr>
          <w:rFonts w:ascii="Arial Narrow" w:eastAsia="Tahoma" w:hAnsi="Arial Narrow" w:cs="Arial"/>
          <w:sz w:val="24"/>
          <w:szCs w:val="24"/>
          <w:lang w:val="en-GB"/>
        </w:rPr>
        <w:t xml:space="preserve"> on, pored </w:t>
      </w:r>
      <w:proofErr w:type="spellStart"/>
      <w:r w:rsidR="0019681B">
        <w:rPr>
          <w:rFonts w:ascii="Arial Narrow" w:eastAsia="Tahoma" w:hAnsi="Arial Narrow" w:cs="Arial"/>
          <w:sz w:val="24"/>
          <w:szCs w:val="24"/>
          <w:lang w:val="en-GB"/>
        </w:rPr>
        <w:t>statusa</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realizacije</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obaveza</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daje</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pregled</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ostvarenja</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ciljeva</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i</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dostizanja</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planiranih</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vrijednosti</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indikatora</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učinka</w:t>
      </w:r>
      <w:proofErr w:type="spellEnd"/>
      <w:r w:rsidR="0019681B">
        <w:rPr>
          <w:rFonts w:ascii="Arial Narrow" w:eastAsia="Tahoma" w:hAnsi="Arial Narrow" w:cs="Arial"/>
          <w:sz w:val="24"/>
          <w:szCs w:val="24"/>
          <w:lang w:val="en-GB"/>
        </w:rPr>
        <w:t xml:space="preserve">. Na </w:t>
      </w:r>
      <w:proofErr w:type="spellStart"/>
      <w:r w:rsidR="0019681B">
        <w:rPr>
          <w:rFonts w:ascii="Arial Narrow" w:eastAsia="Tahoma" w:hAnsi="Arial Narrow" w:cs="Arial"/>
          <w:sz w:val="24"/>
          <w:szCs w:val="24"/>
          <w:lang w:val="en-GB"/>
        </w:rPr>
        <w:t>osnovu</w:t>
      </w:r>
      <w:proofErr w:type="spellEnd"/>
      <w:r w:rsidR="0019681B">
        <w:rPr>
          <w:rFonts w:ascii="Arial Narrow" w:eastAsia="Tahoma" w:hAnsi="Arial Narrow" w:cs="Arial"/>
          <w:sz w:val="24"/>
          <w:szCs w:val="24"/>
          <w:lang w:val="en-GB"/>
        </w:rPr>
        <w:t xml:space="preserve"> toga je </w:t>
      </w:r>
      <w:proofErr w:type="spellStart"/>
      <w:r w:rsidR="0019681B">
        <w:rPr>
          <w:rFonts w:ascii="Arial Narrow" w:eastAsia="Tahoma" w:hAnsi="Arial Narrow" w:cs="Arial"/>
          <w:sz w:val="24"/>
          <w:szCs w:val="24"/>
          <w:lang w:val="en-GB"/>
        </w:rPr>
        <w:t>moguće</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precizno</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mjeriti</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učinak</w:t>
      </w:r>
      <w:proofErr w:type="spellEnd"/>
      <w:r w:rsidR="0019681B">
        <w:rPr>
          <w:rFonts w:ascii="Arial Narrow" w:eastAsia="Tahoma" w:hAnsi="Arial Narrow" w:cs="Arial"/>
          <w:sz w:val="24"/>
          <w:szCs w:val="24"/>
          <w:lang w:val="en-GB"/>
        </w:rPr>
        <w:t xml:space="preserve"> Vlade </w:t>
      </w:r>
      <w:proofErr w:type="spellStart"/>
      <w:r w:rsidR="0019681B">
        <w:rPr>
          <w:rFonts w:ascii="Arial Narrow" w:eastAsia="Tahoma" w:hAnsi="Arial Narrow" w:cs="Arial"/>
          <w:sz w:val="24"/>
          <w:szCs w:val="24"/>
          <w:lang w:val="en-GB"/>
        </w:rPr>
        <w:t>na</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godišnjem</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nivou</w:t>
      </w:r>
      <w:proofErr w:type="spellEnd"/>
      <w:r w:rsidR="0019681B">
        <w:rPr>
          <w:rFonts w:ascii="Arial Narrow" w:eastAsia="Tahoma" w:hAnsi="Arial Narrow" w:cs="Arial"/>
          <w:sz w:val="24"/>
          <w:szCs w:val="24"/>
          <w:lang w:val="en-GB"/>
        </w:rPr>
        <w:t xml:space="preserve">. </w:t>
      </w:r>
      <w:proofErr w:type="spellStart"/>
      <w:r w:rsidR="0019681B">
        <w:rPr>
          <w:rFonts w:ascii="Arial Narrow" w:eastAsia="Tahoma" w:hAnsi="Arial Narrow" w:cs="Arial"/>
          <w:sz w:val="24"/>
          <w:szCs w:val="24"/>
          <w:lang w:val="en-GB"/>
        </w:rPr>
        <w:t>Dodatno</w:t>
      </w:r>
      <w:proofErr w:type="spellEnd"/>
      <w:r w:rsidR="0019681B">
        <w:rPr>
          <w:rFonts w:ascii="Arial Narrow" w:eastAsia="Tahoma" w:hAnsi="Arial Narrow" w:cs="Arial"/>
          <w:sz w:val="24"/>
          <w:szCs w:val="24"/>
          <w:lang w:val="en-GB"/>
        </w:rPr>
        <w:t xml:space="preserve">, za </w:t>
      </w:r>
      <w:proofErr w:type="spellStart"/>
      <w:r w:rsidR="0019681B">
        <w:rPr>
          <w:rFonts w:ascii="Arial Narrow" w:eastAsia="Tahoma" w:hAnsi="Arial Narrow" w:cs="Arial"/>
          <w:sz w:val="24"/>
          <w:szCs w:val="24"/>
          <w:lang w:val="en-GB"/>
        </w:rPr>
        <w:t>potrebe</w:t>
      </w:r>
      <w:proofErr w:type="spellEnd"/>
      <w:r w:rsidR="0019681B">
        <w:rPr>
          <w:rFonts w:ascii="Arial Narrow" w:eastAsia="Tahoma" w:hAnsi="Arial Narrow" w:cs="Arial"/>
          <w:sz w:val="24"/>
          <w:szCs w:val="24"/>
          <w:lang w:val="en-GB"/>
        </w:rPr>
        <w:t xml:space="preserve"> Vlade, </w:t>
      </w:r>
      <w:proofErr w:type="spellStart"/>
      <w:r w:rsidR="00E1353B">
        <w:rPr>
          <w:rFonts w:ascii="Arial Narrow" w:eastAsia="Tahoma" w:hAnsi="Arial Narrow" w:cs="Arial"/>
          <w:sz w:val="24"/>
          <w:szCs w:val="24"/>
          <w:lang w:val="en-GB"/>
        </w:rPr>
        <w:t>biće</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izrađivani</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polugodišnji</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izvještaji</w:t>
      </w:r>
      <w:proofErr w:type="spellEnd"/>
      <w:r w:rsidR="00E1353B">
        <w:rPr>
          <w:rFonts w:ascii="Arial Narrow" w:eastAsia="Tahoma" w:hAnsi="Arial Narrow" w:cs="Arial"/>
          <w:sz w:val="24"/>
          <w:szCs w:val="24"/>
          <w:lang w:val="en-GB"/>
        </w:rPr>
        <w:t xml:space="preserve"> o </w:t>
      </w:r>
      <w:proofErr w:type="spellStart"/>
      <w:r w:rsidR="00E1353B">
        <w:rPr>
          <w:rFonts w:ascii="Arial Narrow" w:eastAsia="Tahoma" w:hAnsi="Arial Narrow" w:cs="Arial"/>
          <w:sz w:val="24"/>
          <w:szCs w:val="24"/>
          <w:lang w:val="en-GB"/>
        </w:rPr>
        <w:t>realizaciji</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Srednjoročnog</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programa</w:t>
      </w:r>
      <w:proofErr w:type="spellEnd"/>
      <w:r w:rsidR="00E1353B">
        <w:rPr>
          <w:rFonts w:ascii="Arial Narrow" w:eastAsia="Tahoma" w:hAnsi="Arial Narrow" w:cs="Arial"/>
          <w:sz w:val="24"/>
          <w:szCs w:val="24"/>
          <w:lang w:val="en-GB"/>
        </w:rPr>
        <w:t xml:space="preserve">, koji </w:t>
      </w:r>
      <w:proofErr w:type="spellStart"/>
      <w:r w:rsidR="00E1353B">
        <w:rPr>
          <w:rFonts w:ascii="Arial Narrow" w:eastAsia="Tahoma" w:hAnsi="Arial Narrow" w:cs="Arial"/>
          <w:sz w:val="24"/>
          <w:szCs w:val="24"/>
          <w:lang w:val="en-GB"/>
        </w:rPr>
        <w:t>će</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dati</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presjek</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stanja</w:t>
      </w:r>
      <w:proofErr w:type="spellEnd"/>
      <w:r w:rsidR="00E1353B">
        <w:rPr>
          <w:rFonts w:ascii="Arial Narrow" w:eastAsia="Tahoma" w:hAnsi="Arial Narrow" w:cs="Arial"/>
          <w:sz w:val="24"/>
          <w:szCs w:val="24"/>
          <w:lang w:val="en-GB"/>
        </w:rPr>
        <w:t xml:space="preserve"> u </w:t>
      </w:r>
      <w:proofErr w:type="spellStart"/>
      <w:r w:rsidR="00E1353B">
        <w:rPr>
          <w:rFonts w:ascii="Arial Narrow" w:eastAsia="Tahoma" w:hAnsi="Arial Narrow" w:cs="Arial"/>
          <w:sz w:val="24"/>
          <w:szCs w:val="24"/>
          <w:lang w:val="en-GB"/>
        </w:rPr>
        <w:t>toku</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realizacije</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i</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ukazati</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na</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trendove</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kretanja</w:t>
      </w:r>
      <w:proofErr w:type="spellEnd"/>
      <w:r w:rsidR="00E1353B">
        <w:rPr>
          <w:rFonts w:ascii="Arial Narrow" w:eastAsia="Tahoma" w:hAnsi="Arial Narrow" w:cs="Arial"/>
          <w:sz w:val="24"/>
          <w:szCs w:val="24"/>
          <w:lang w:val="en-GB"/>
        </w:rPr>
        <w:t xml:space="preserve"> u </w:t>
      </w:r>
      <w:proofErr w:type="spellStart"/>
      <w:r w:rsidR="00E1353B">
        <w:rPr>
          <w:rFonts w:ascii="Arial Narrow" w:eastAsia="Tahoma" w:hAnsi="Arial Narrow" w:cs="Arial"/>
          <w:sz w:val="24"/>
          <w:szCs w:val="24"/>
          <w:lang w:val="en-GB"/>
        </w:rPr>
        <w:t>određenim</w:t>
      </w:r>
      <w:proofErr w:type="spellEnd"/>
      <w:r w:rsidR="00E1353B">
        <w:rPr>
          <w:rFonts w:ascii="Arial Narrow" w:eastAsia="Tahoma" w:hAnsi="Arial Narrow" w:cs="Arial"/>
          <w:sz w:val="24"/>
          <w:szCs w:val="24"/>
          <w:lang w:val="en-GB"/>
        </w:rPr>
        <w:t xml:space="preserve"> </w:t>
      </w:r>
      <w:proofErr w:type="spellStart"/>
      <w:r w:rsidR="00E1353B">
        <w:rPr>
          <w:rFonts w:ascii="Arial Narrow" w:eastAsia="Tahoma" w:hAnsi="Arial Narrow" w:cs="Arial"/>
          <w:sz w:val="24"/>
          <w:szCs w:val="24"/>
          <w:lang w:val="en-GB"/>
        </w:rPr>
        <w:t>oblastima</w:t>
      </w:r>
      <w:proofErr w:type="spellEnd"/>
      <w:r w:rsidR="00E1353B">
        <w:rPr>
          <w:rFonts w:ascii="Arial Narrow" w:eastAsia="Tahoma" w:hAnsi="Arial Narrow" w:cs="Arial"/>
          <w:sz w:val="24"/>
          <w:szCs w:val="24"/>
          <w:lang w:val="en-GB"/>
        </w:rPr>
        <w:t>.</w:t>
      </w:r>
    </w:p>
    <w:p w14:paraId="1B7BAC9B" w14:textId="77777777" w:rsidR="00A34D26" w:rsidRPr="00A34D26" w:rsidRDefault="00A34D26" w:rsidP="00A34D26">
      <w:pPr>
        <w:rPr>
          <w:lang w:val="en-GB" w:eastAsia="en-GB"/>
        </w:rPr>
      </w:pPr>
    </w:p>
    <w:sectPr w:rsidR="00A34D26" w:rsidRPr="00A34D26" w:rsidSect="006459B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FFB4" w14:textId="77777777" w:rsidR="00A52361" w:rsidRDefault="00A52361" w:rsidP="007C3A34">
      <w:pPr>
        <w:spacing w:after="0" w:line="240" w:lineRule="auto"/>
      </w:pPr>
      <w:r>
        <w:separator/>
      </w:r>
    </w:p>
  </w:endnote>
  <w:endnote w:type="continuationSeparator" w:id="0">
    <w:p w14:paraId="30EEA319" w14:textId="77777777" w:rsidR="00A52361" w:rsidRDefault="00A52361" w:rsidP="007C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035157"/>
      <w:docPartObj>
        <w:docPartGallery w:val="Page Numbers (Bottom of Page)"/>
        <w:docPartUnique/>
      </w:docPartObj>
    </w:sdtPr>
    <w:sdtEndPr>
      <w:rPr>
        <w:rFonts w:ascii="Arial Narrow" w:hAnsi="Arial Narrow"/>
        <w:noProof/>
      </w:rPr>
    </w:sdtEndPr>
    <w:sdtContent>
      <w:p w14:paraId="7A9711F7" w14:textId="77777777" w:rsidR="00591FB8" w:rsidRPr="00572D26" w:rsidRDefault="00591FB8">
        <w:pPr>
          <w:pStyle w:val="Footer"/>
          <w:jc w:val="right"/>
          <w:rPr>
            <w:rFonts w:ascii="Arial Narrow" w:hAnsi="Arial Narrow"/>
          </w:rPr>
        </w:pPr>
        <w:r w:rsidRPr="00572D26">
          <w:rPr>
            <w:rFonts w:ascii="Arial Narrow" w:hAnsi="Arial Narrow"/>
          </w:rPr>
          <w:fldChar w:fldCharType="begin"/>
        </w:r>
        <w:r w:rsidRPr="00572D26">
          <w:rPr>
            <w:rFonts w:ascii="Arial Narrow" w:hAnsi="Arial Narrow"/>
          </w:rPr>
          <w:instrText xml:space="preserve"> PAGE   \* MERGEFORMAT </w:instrText>
        </w:r>
        <w:r w:rsidRPr="00572D26">
          <w:rPr>
            <w:rFonts w:ascii="Arial Narrow" w:hAnsi="Arial Narrow"/>
          </w:rPr>
          <w:fldChar w:fldCharType="separate"/>
        </w:r>
        <w:r w:rsidR="00DF2E8E">
          <w:rPr>
            <w:rFonts w:ascii="Arial Narrow" w:hAnsi="Arial Narrow"/>
            <w:noProof/>
          </w:rPr>
          <w:t>140</w:t>
        </w:r>
        <w:r w:rsidRPr="00572D26">
          <w:rPr>
            <w:rFonts w:ascii="Arial Narrow" w:hAnsi="Arial Narrow"/>
            <w:noProof/>
          </w:rPr>
          <w:fldChar w:fldCharType="end"/>
        </w:r>
      </w:p>
    </w:sdtContent>
  </w:sdt>
  <w:p w14:paraId="10991A4F" w14:textId="77777777" w:rsidR="00591FB8" w:rsidRDefault="00591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EA18" w14:textId="77777777" w:rsidR="00A52361" w:rsidRDefault="00A52361" w:rsidP="007C3A34">
      <w:pPr>
        <w:spacing w:after="0" w:line="240" w:lineRule="auto"/>
      </w:pPr>
      <w:r>
        <w:separator/>
      </w:r>
    </w:p>
  </w:footnote>
  <w:footnote w:type="continuationSeparator" w:id="0">
    <w:p w14:paraId="7F4B8D2C" w14:textId="77777777" w:rsidR="00A52361" w:rsidRDefault="00A52361" w:rsidP="007C3A34">
      <w:pPr>
        <w:spacing w:after="0" w:line="240" w:lineRule="auto"/>
      </w:pPr>
      <w:r>
        <w:continuationSeparator/>
      </w:r>
    </w:p>
  </w:footnote>
  <w:footnote w:id="1">
    <w:p w14:paraId="6AA2B4EC" w14:textId="77777777" w:rsidR="00591FB8" w:rsidRPr="00823656" w:rsidRDefault="00591FB8" w:rsidP="00DD290C">
      <w:pPr>
        <w:rPr>
          <w:rFonts w:ascii="Arial Narrow" w:hAnsi="Arial Narrow"/>
          <w:sz w:val="20"/>
          <w:szCs w:val="20"/>
        </w:rPr>
      </w:pPr>
      <w:r w:rsidRPr="00823656">
        <w:rPr>
          <w:rStyle w:val="FootnoteReference"/>
          <w:rFonts w:ascii="Arial Narrow" w:hAnsi="Arial Narrow"/>
          <w:sz w:val="20"/>
          <w:szCs w:val="20"/>
        </w:rPr>
        <w:footnoteRef/>
      </w:r>
      <w:r w:rsidRPr="00823656">
        <w:rPr>
          <w:rFonts w:ascii="Arial Narrow" w:hAnsi="Arial Narrow"/>
          <w:sz w:val="20"/>
          <w:szCs w:val="20"/>
        </w:rPr>
        <w:t xml:space="preserve"> Izvor podataka Izvještaj o sprovođenju Nacionalne strategije održivog razvoja do 2030. godine</w:t>
      </w:r>
      <w:r>
        <w:rPr>
          <w:rFonts w:ascii="Arial Narrow" w:hAnsi="Arial Narrow"/>
          <w:sz w:val="20"/>
          <w:szCs w:val="20"/>
        </w:rPr>
        <w:t>.</w:t>
      </w:r>
    </w:p>
  </w:footnote>
  <w:footnote w:id="2">
    <w:p w14:paraId="7F03A995" w14:textId="77777777" w:rsidR="00591FB8" w:rsidRPr="00605A99" w:rsidRDefault="00591FB8">
      <w:pPr>
        <w:pStyle w:val="FootnoteText"/>
        <w:rPr>
          <w:rFonts w:ascii="Arial Narrow" w:hAnsi="Arial Narrow"/>
          <w:lang w:val="en-US"/>
        </w:rPr>
      </w:pPr>
      <w:r w:rsidRPr="00605A99">
        <w:rPr>
          <w:rStyle w:val="FootnoteReference"/>
          <w:rFonts w:ascii="Arial Narrow" w:hAnsi="Arial Narrow"/>
        </w:rPr>
        <w:footnoteRef/>
      </w:r>
      <w:r w:rsidRPr="00605A99">
        <w:rPr>
          <w:rFonts w:ascii="Arial Narrow" w:hAnsi="Arial Narrow"/>
        </w:rPr>
        <w:t xml:space="preserve"> </w:t>
      </w:r>
      <w:r w:rsidRPr="00605A99">
        <w:rPr>
          <w:rFonts w:ascii="Arial Narrow" w:hAnsi="Arial Narrow"/>
          <w:lang w:val="en-US"/>
        </w:rPr>
        <w:t xml:space="preserve">Za </w:t>
      </w:r>
      <w:proofErr w:type="spellStart"/>
      <w:r w:rsidRPr="00605A99">
        <w:rPr>
          <w:rFonts w:ascii="Arial Narrow" w:hAnsi="Arial Narrow"/>
          <w:lang w:val="en-US"/>
        </w:rPr>
        <w:t>potrebe</w:t>
      </w:r>
      <w:proofErr w:type="spellEnd"/>
      <w:r w:rsidRPr="00605A99">
        <w:rPr>
          <w:rFonts w:ascii="Arial Narrow" w:hAnsi="Arial Narrow"/>
          <w:lang w:val="en-US"/>
        </w:rPr>
        <w:t xml:space="preserve"> </w:t>
      </w:r>
      <w:proofErr w:type="spellStart"/>
      <w:r w:rsidRPr="00605A99">
        <w:rPr>
          <w:rFonts w:ascii="Arial Narrow" w:hAnsi="Arial Narrow"/>
          <w:lang w:val="en-US"/>
        </w:rPr>
        <w:t>angažovanja</w:t>
      </w:r>
      <w:proofErr w:type="spellEnd"/>
      <w:r w:rsidRPr="00605A99">
        <w:rPr>
          <w:rFonts w:ascii="Arial Narrow" w:hAnsi="Arial Narrow"/>
          <w:lang w:val="en-US"/>
        </w:rPr>
        <w:t xml:space="preserve"> </w:t>
      </w:r>
      <w:proofErr w:type="spellStart"/>
      <w:r w:rsidRPr="00605A99">
        <w:rPr>
          <w:rFonts w:ascii="Arial Narrow" w:hAnsi="Arial Narrow"/>
          <w:lang w:val="en-US"/>
        </w:rPr>
        <w:t>lokalnog</w:t>
      </w:r>
      <w:proofErr w:type="spellEnd"/>
      <w:r w:rsidRPr="00605A99">
        <w:rPr>
          <w:rFonts w:ascii="Arial Narrow" w:hAnsi="Arial Narrow"/>
          <w:lang w:val="en-US"/>
        </w:rPr>
        <w:t xml:space="preserve"> </w:t>
      </w:r>
      <w:proofErr w:type="spellStart"/>
      <w:r w:rsidRPr="00605A99">
        <w:rPr>
          <w:rFonts w:ascii="Arial Narrow" w:hAnsi="Arial Narrow"/>
          <w:lang w:val="en-US"/>
        </w:rPr>
        <w:t>konsultanta</w:t>
      </w:r>
      <w:proofErr w:type="spellEnd"/>
      <w:r w:rsidRPr="00605A99">
        <w:rPr>
          <w:rFonts w:ascii="Arial Narrow" w:hAnsi="Arial Narrow"/>
          <w:lang w:val="en-US"/>
        </w:rPr>
        <w:t xml:space="preserve"> </w:t>
      </w:r>
      <w:proofErr w:type="spellStart"/>
      <w:r w:rsidRPr="00605A99">
        <w:rPr>
          <w:rFonts w:ascii="Arial Narrow" w:hAnsi="Arial Narrow"/>
          <w:lang w:val="en-US"/>
        </w:rPr>
        <w:t>i</w:t>
      </w:r>
      <w:proofErr w:type="spellEnd"/>
      <w:r w:rsidRPr="00605A99">
        <w:rPr>
          <w:rFonts w:ascii="Arial Narrow" w:hAnsi="Arial Narrow"/>
          <w:lang w:val="en-US"/>
        </w:rPr>
        <w:t xml:space="preserve"> </w:t>
      </w:r>
      <w:proofErr w:type="spellStart"/>
      <w:r w:rsidRPr="00605A99">
        <w:rPr>
          <w:rFonts w:ascii="Arial Narrow" w:hAnsi="Arial Narrow"/>
          <w:lang w:val="en-US"/>
        </w:rPr>
        <w:t>sprovođenje</w:t>
      </w:r>
      <w:proofErr w:type="spellEnd"/>
      <w:r w:rsidRPr="00605A99">
        <w:rPr>
          <w:rFonts w:ascii="Arial Narrow" w:hAnsi="Arial Narrow"/>
          <w:lang w:val="en-US"/>
        </w:rPr>
        <w:t xml:space="preserve"> </w:t>
      </w:r>
      <w:proofErr w:type="spellStart"/>
      <w:r w:rsidRPr="00605A99">
        <w:rPr>
          <w:rFonts w:ascii="Arial Narrow" w:hAnsi="Arial Narrow"/>
          <w:lang w:val="en-US"/>
        </w:rPr>
        <w:t>konsultativnog</w:t>
      </w:r>
      <w:proofErr w:type="spellEnd"/>
      <w:r w:rsidRPr="00605A99">
        <w:rPr>
          <w:rFonts w:ascii="Arial Narrow" w:hAnsi="Arial Narrow"/>
          <w:lang w:val="en-US"/>
        </w:rPr>
        <w:t xml:space="preserve"> </w:t>
      </w:r>
      <w:proofErr w:type="spellStart"/>
      <w:r w:rsidRPr="00605A99">
        <w:rPr>
          <w:rFonts w:ascii="Arial Narrow" w:hAnsi="Arial Narrow"/>
          <w:lang w:val="en-US"/>
        </w:rPr>
        <w:t>procesa</w:t>
      </w:r>
      <w:proofErr w:type="spellEnd"/>
      <w:r>
        <w:rPr>
          <w:rFonts w:ascii="Arial Narrow" w:hAnsi="Arial Narrow"/>
          <w:lang w:val="en-US"/>
        </w:rPr>
        <w:t>.</w:t>
      </w:r>
    </w:p>
  </w:footnote>
  <w:footnote w:id="3">
    <w:p w14:paraId="4A8DAFE4" w14:textId="77777777" w:rsidR="00591FB8" w:rsidRPr="00B80EC6" w:rsidRDefault="00591FB8" w:rsidP="00DD290C">
      <w:pPr>
        <w:pStyle w:val="Cha1"/>
        <w:rPr>
          <w:lang w:val="sr-Latn-ME"/>
        </w:rPr>
      </w:pPr>
      <w:r w:rsidRPr="00823656">
        <w:rPr>
          <w:rStyle w:val="FootnoteReference"/>
          <w:rFonts w:ascii="Arial Narrow" w:hAnsi="Arial Narrow"/>
        </w:rPr>
        <w:footnoteRef/>
      </w:r>
      <w:r w:rsidRPr="00823656">
        <w:rPr>
          <w:rFonts w:ascii="Arial Narrow" w:hAnsi="Arial Narrow"/>
        </w:rPr>
        <w:t xml:space="preserve"> </w:t>
      </w:r>
      <w:proofErr w:type="spellStart"/>
      <w:r w:rsidRPr="00823656">
        <w:rPr>
          <w:rFonts w:ascii="Arial Narrow" w:hAnsi="Arial Narrow"/>
        </w:rPr>
        <w:t>Izvor</w:t>
      </w:r>
      <w:proofErr w:type="spellEnd"/>
      <w:r w:rsidRPr="00823656">
        <w:rPr>
          <w:rFonts w:ascii="Arial Narrow" w:hAnsi="Arial Narrow"/>
        </w:rPr>
        <w:t xml:space="preserve"> </w:t>
      </w:r>
      <w:proofErr w:type="spellStart"/>
      <w:r w:rsidRPr="00823656">
        <w:rPr>
          <w:rFonts w:ascii="Arial Narrow" w:hAnsi="Arial Narrow"/>
        </w:rPr>
        <w:t>podataka</w:t>
      </w:r>
      <w:proofErr w:type="spellEnd"/>
      <w:r w:rsidRPr="00823656">
        <w:rPr>
          <w:rFonts w:ascii="Arial Narrow" w:hAnsi="Arial Narrow"/>
        </w:rPr>
        <w:t xml:space="preserve"> </w:t>
      </w:r>
      <w:proofErr w:type="spellStart"/>
      <w:r w:rsidRPr="00823656">
        <w:rPr>
          <w:rFonts w:ascii="Arial Narrow" w:hAnsi="Arial Narrow"/>
        </w:rPr>
        <w:t>Izvještaj</w:t>
      </w:r>
      <w:proofErr w:type="spellEnd"/>
      <w:r w:rsidRPr="00823656">
        <w:rPr>
          <w:rFonts w:ascii="Arial Narrow" w:hAnsi="Arial Narrow"/>
        </w:rPr>
        <w:t xml:space="preserve"> </w:t>
      </w:r>
      <w:proofErr w:type="spellStart"/>
      <w:r w:rsidRPr="00823656">
        <w:rPr>
          <w:rFonts w:ascii="Arial Narrow" w:hAnsi="Arial Narrow"/>
        </w:rPr>
        <w:t>Generalnog</w:t>
      </w:r>
      <w:proofErr w:type="spellEnd"/>
      <w:r w:rsidRPr="00823656">
        <w:rPr>
          <w:rFonts w:ascii="Arial Narrow" w:hAnsi="Arial Narrow"/>
        </w:rPr>
        <w:t xml:space="preserve"> </w:t>
      </w:r>
      <w:proofErr w:type="spellStart"/>
      <w:r w:rsidRPr="00823656">
        <w:rPr>
          <w:rFonts w:ascii="Arial Narrow" w:hAnsi="Arial Narrow"/>
        </w:rPr>
        <w:t>sekretara</w:t>
      </w:r>
      <w:proofErr w:type="spellEnd"/>
      <w:r w:rsidRPr="00823656">
        <w:rPr>
          <w:rFonts w:ascii="Arial Narrow" w:hAnsi="Arial Narrow"/>
        </w:rPr>
        <w:t xml:space="preserve"> UN-a o </w:t>
      </w:r>
      <w:proofErr w:type="spellStart"/>
      <w:r w:rsidRPr="00823656">
        <w:rPr>
          <w:rFonts w:ascii="Arial Narrow" w:hAnsi="Arial Narrow"/>
        </w:rPr>
        <w:t>sprovođenju</w:t>
      </w:r>
      <w:proofErr w:type="spellEnd"/>
      <w:r w:rsidRPr="00823656">
        <w:rPr>
          <w:rFonts w:ascii="Arial Narrow" w:hAnsi="Arial Narrow"/>
        </w:rPr>
        <w:t xml:space="preserve"> </w:t>
      </w:r>
      <w:proofErr w:type="spellStart"/>
      <w:r w:rsidRPr="00823656">
        <w:rPr>
          <w:rFonts w:ascii="Arial Narrow" w:hAnsi="Arial Narrow"/>
        </w:rPr>
        <w:t>Ciljeva</w:t>
      </w:r>
      <w:proofErr w:type="spellEnd"/>
      <w:r w:rsidRPr="00823656">
        <w:rPr>
          <w:rFonts w:ascii="Arial Narrow" w:hAnsi="Arial Narrow"/>
        </w:rPr>
        <w:t xml:space="preserve"> </w:t>
      </w:r>
      <w:proofErr w:type="spellStart"/>
      <w:r w:rsidRPr="00823656">
        <w:rPr>
          <w:rFonts w:ascii="Arial Narrow" w:hAnsi="Arial Narrow"/>
        </w:rPr>
        <w:t>održivog</w:t>
      </w:r>
      <w:proofErr w:type="spellEnd"/>
      <w:r w:rsidRPr="00823656">
        <w:rPr>
          <w:rFonts w:ascii="Arial Narrow" w:hAnsi="Arial Narrow"/>
        </w:rPr>
        <w:t xml:space="preserve"> </w:t>
      </w:r>
      <w:proofErr w:type="spellStart"/>
      <w:r w:rsidRPr="00823656">
        <w:rPr>
          <w:rFonts w:ascii="Arial Narrow" w:hAnsi="Arial Narrow"/>
        </w:rPr>
        <w:t>r</w:t>
      </w:r>
      <w:r>
        <w:rPr>
          <w:rFonts w:ascii="Arial Narrow" w:hAnsi="Arial Narrow"/>
        </w:rPr>
        <w:t>a</w:t>
      </w:r>
      <w:r w:rsidRPr="00823656">
        <w:rPr>
          <w:rFonts w:ascii="Arial Narrow" w:hAnsi="Arial Narrow"/>
        </w:rPr>
        <w:t>zvoja</w:t>
      </w:r>
      <w:proofErr w:type="spellEnd"/>
      <w:r>
        <w:rPr>
          <w:rFonts w:ascii="Arial Narrow" w:hAnsi="Arial Narrow"/>
        </w:rPr>
        <w:t>.</w:t>
      </w:r>
    </w:p>
  </w:footnote>
  <w:footnote w:id="4">
    <w:p w14:paraId="29B49343" w14:textId="77777777" w:rsidR="00591FB8" w:rsidRPr="008868E3" w:rsidRDefault="00591FB8" w:rsidP="003D6416">
      <w:pPr>
        <w:pStyle w:val="FootnoteText"/>
        <w:rPr>
          <w:lang w:val="en-US"/>
        </w:rPr>
      </w:pPr>
      <w:r>
        <w:rPr>
          <w:rStyle w:val="FootnoteReference"/>
        </w:rPr>
        <w:footnoteRef/>
      </w:r>
      <w:r>
        <w:t xml:space="preserve"> </w:t>
      </w:r>
      <w:r>
        <w:t>N</w:t>
      </w:r>
      <w:r w:rsidRPr="008868E3">
        <w:t>a ljestvici od 0 do 1</w:t>
      </w:r>
      <w:r>
        <w:t>.</w:t>
      </w:r>
    </w:p>
  </w:footnote>
  <w:footnote w:id="5">
    <w:p w14:paraId="0F82329B" w14:textId="77777777" w:rsidR="00591FB8" w:rsidRPr="00BD760C" w:rsidRDefault="00591FB8" w:rsidP="00153252">
      <w:pPr>
        <w:pBdr>
          <w:top w:val="nil"/>
          <w:left w:val="nil"/>
          <w:bottom w:val="nil"/>
          <w:right w:val="nil"/>
          <w:between w:val="nil"/>
        </w:pBdr>
        <w:spacing w:after="0" w:line="240" w:lineRule="auto"/>
        <w:rPr>
          <w:rFonts w:ascii="Arial Narrow" w:hAnsi="Arial Narrow"/>
          <w:color w:val="000000"/>
          <w:sz w:val="20"/>
          <w:szCs w:val="20"/>
        </w:rPr>
      </w:pPr>
      <w:r w:rsidRPr="00BD760C">
        <w:rPr>
          <w:rStyle w:val="FootnoteReference"/>
          <w:rFonts w:ascii="Arial Narrow" w:hAnsi="Arial Narrow"/>
        </w:rPr>
        <w:footnoteRef/>
      </w:r>
      <w:r w:rsidRPr="00BD760C">
        <w:rPr>
          <w:rFonts w:ascii="Arial Narrow" w:hAnsi="Arial Narrow"/>
          <w:color w:val="000000"/>
          <w:sz w:val="20"/>
          <w:szCs w:val="20"/>
        </w:rPr>
        <w:t xml:space="preserve"> </w:t>
      </w:r>
      <w:hyperlink r:id="rId1">
        <w:r w:rsidRPr="00BD760C">
          <w:rPr>
            <w:rFonts w:ascii="Arial Narrow" w:hAnsi="Arial Narrow"/>
            <w:color w:val="0563C1"/>
            <w:sz w:val="20"/>
            <w:szCs w:val="20"/>
            <w:u w:val="single"/>
          </w:rPr>
          <w:t>https://www.cedem.me/publikacije/istrazivanja/ostala-istrazivanja/send/31-ostala-istrazivanja/1980-obrasci-i-stepen-diskriminacije-u-crnoj-gori-u-2020-godini</w:t>
        </w:r>
      </w:hyperlink>
      <w:r w:rsidRPr="00BD760C">
        <w:rPr>
          <w:rFonts w:ascii="Arial Narrow" w:hAnsi="Arial Narrow"/>
          <w:color w:val="000000"/>
          <w:sz w:val="20"/>
          <w:szCs w:val="20"/>
        </w:rPr>
        <w:t xml:space="preserve"> </w:t>
      </w:r>
    </w:p>
  </w:footnote>
  <w:footnote w:id="6">
    <w:p w14:paraId="10DC1FCE" w14:textId="77777777" w:rsidR="00591FB8" w:rsidRPr="00E60FD5" w:rsidRDefault="00591FB8" w:rsidP="00153252">
      <w:pPr>
        <w:pBdr>
          <w:top w:val="nil"/>
          <w:left w:val="nil"/>
          <w:bottom w:val="nil"/>
          <w:right w:val="nil"/>
          <w:between w:val="nil"/>
        </w:pBdr>
        <w:spacing w:after="0" w:line="240" w:lineRule="auto"/>
        <w:rPr>
          <w:color w:val="000000"/>
          <w:sz w:val="20"/>
          <w:szCs w:val="20"/>
        </w:rPr>
      </w:pPr>
      <w:r w:rsidRPr="00E60FD5">
        <w:rPr>
          <w:rStyle w:val="FootnoteReference"/>
          <w:rFonts w:ascii="Arial Narrow" w:hAnsi="Arial Narrow"/>
          <w:sz w:val="20"/>
          <w:szCs w:val="20"/>
        </w:rPr>
        <w:footnoteRef/>
      </w:r>
      <w:r w:rsidRPr="00E60FD5">
        <w:rPr>
          <w:rFonts w:ascii="Arial Narrow" w:hAnsi="Arial Narrow"/>
          <w:color w:val="000000"/>
          <w:sz w:val="20"/>
          <w:szCs w:val="20"/>
        </w:rPr>
        <w:t xml:space="preserve"> Indeks Rodne Ravnopravnosti, Crna Gora 2019, EU, EIGE, Ministarstvo za ljudska i manjinska prava, MONSTAT,UNDP;</w:t>
      </w:r>
    </w:p>
  </w:footnote>
  <w:footnote w:id="7">
    <w:p w14:paraId="67BCDDDA" w14:textId="77777777" w:rsidR="00591FB8" w:rsidRPr="00F27DB4" w:rsidRDefault="00591FB8">
      <w:pPr>
        <w:pStyle w:val="FootnoteText"/>
        <w:rPr>
          <w:rFonts w:ascii="Arial Narrow" w:hAnsi="Arial Narrow"/>
        </w:rPr>
      </w:pPr>
      <w:r>
        <w:rPr>
          <w:rStyle w:val="FootnoteReference"/>
        </w:rPr>
        <w:footnoteRef/>
      </w:r>
      <w:r>
        <w:t xml:space="preserve"> </w:t>
      </w:r>
      <w:proofErr w:type="spellStart"/>
      <w:r w:rsidRPr="00F27DB4">
        <w:rPr>
          <w:rFonts w:ascii="Arial Narrow" w:hAnsi="Arial Narrow"/>
          <w:lang w:val="en-US"/>
        </w:rPr>
        <w:t>Iz</w:t>
      </w:r>
      <w:proofErr w:type="spellEnd"/>
      <w:r w:rsidRPr="00F27DB4">
        <w:rPr>
          <w:rFonts w:ascii="Arial Narrow" w:hAnsi="Arial Narrow"/>
          <w:lang w:val="en-US"/>
        </w:rPr>
        <w:t xml:space="preserve"> </w:t>
      </w:r>
      <w:proofErr w:type="spellStart"/>
      <w:r w:rsidRPr="00F27DB4">
        <w:rPr>
          <w:rFonts w:ascii="Arial Narrow" w:hAnsi="Arial Narrow"/>
          <w:lang w:val="en-US"/>
        </w:rPr>
        <w:t>Izvještaja</w:t>
      </w:r>
      <w:proofErr w:type="spellEnd"/>
      <w:r w:rsidRPr="00F27DB4">
        <w:rPr>
          <w:rFonts w:ascii="Arial Narrow" w:hAnsi="Arial Narrow"/>
          <w:lang w:val="en-US"/>
        </w:rPr>
        <w:t xml:space="preserve"> </w:t>
      </w:r>
      <w:proofErr w:type="spellStart"/>
      <w:r w:rsidRPr="00F27DB4">
        <w:rPr>
          <w:rFonts w:ascii="Arial Narrow" w:hAnsi="Arial Narrow"/>
          <w:lang w:val="en-US"/>
        </w:rPr>
        <w:t>Agencije</w:t>
      </w:r>
      <w:proofErr w:type="spellEnd"/>
      <w:r w:rsidRPr="00F27DB4">
        <w:rPr>
          <w:rFonts w:ascii="Arial Narrow" w:hAnsi="Arial Narrow"/>
          <w:lang w:val="en-US"/>
        </w:rPr>
        <w:t xml:space="preserve"> za SPI za 2019, Za 2020. g </w:t>
      </w:r>
      <w:proofErr w:type="spellStart"/>
      <w:r w:rsidRPr="00F27DB4">
        <w:rPr>
          <w:rFonts w:ascii="Arial Narrow" w:hAnsi="Arial Narrow"/>
          <w:lang w:val="en-US"/>
        </w:rPr>
        <w:t>će</w:t>
      </w:r>
      <w:proofErr w:type="spellEnd"/>
      <w:r w:rsidRPr="00F27DB4">
        <w:rPr>
          <w:rFonts w:ascii="Arial Narrow" w:hAnsi="Arial Narrow"/>
          <w:lang w:val="en-US"/>
        </w:rPr>
        <w:t xml:space="preserve"> </w:t>
      </w:r>
      <w:proofErr w:type="spellStart"/>
      <w:r w:rsidRPr="00F27DB4">
        <w:rPr>
          <w:rFonts w:ascii="Arial Narrow" w:hAnsi="Arial Narrow"/>
          <w:lang w:val="en-US"/>
        </w:rPr>
        <w:t>biti</w:t>
      </w:r>
      <w:proofErr w:type="spellEnd"/>
      <w:r w:rsidRPr="00F27DB4">
        <w:rPr>
          <w:rFonts w:ascii="Arial Narrow" w:hAnsi="Arial Narrow"/>
          <w:lang w:val="en-US"/>
        </w:rPr>
        <w:t xml:space="preserve"> </w:t>
      </w:r>
      <w:proofErr w:type="spellStart"/>
      <w:r w:rsidRPr="00F27DB4">
        <w:rPr>
          <w:rFonts w:ascii="Arial Narrow" w:hAnsi="Arial Narrow"/>
          <w:lang w:val="en-US"/>
        </w:rPr>
        <w:t>poznata</w:t>
      </w:r>
      <w:proofErr w:type="spellEnd"/>
      <w:r w:rsidRPr="00F27DB4">
        <w:rPr>
          <w:rFonts w:ascii="Arial Narrow" w:hAnsi="Arial Narrow"/>
          <w:lang w:val="en-US"/>
        </w:rPr>
        <w:t xml:space="preserve"> </w:t>
      </w:r>
      <w:proofErr w:type="spellStart"/>
      <w:r w:rsidRPr="00F27DB4">
        <w:rPr>
          <w:rFonts w:ascii="Arial Narrow" w:hAnsi="Arial Narrow"/>
          <w:lang w:val="en-US"/>
        </w:rPr>
        <w:t>vrijednost</w:t>
      </w:r>
      <w:proofErr w:type="spellEnd"/>
      <w:r w:rsidRPr="00F27DB4">
        <w:rPr>
          <w:rFonts w:ascii="Arial Narrow" w:hAnsi="Arial Narrow"/>
          <w:lang w:val="en-US"/>
        </w:rPr>
        <w:t xml:space="preserve"> do </w:t>
      </w:r>
      <w:proofErr w:type="spellStart"/>
      <w:r w:rsidRPr="00F27DB4">
        <w:rPr>
          <w:rFonts w:ascii="Arial Narrow" w:hAnsi="Arial Narrow"/>
          <w:lang w:val="en-US"/>
        </w:rPr>
        <w:t>kraja</w:t>
      </w:r>
      <w:proofErr w:type="spellEnd"/>
      <w:r w:rsidRPr="00F27DB4">
        <w:rPr>
          <w:rFonts w:ascii="Arial Narrow" w:hAnsi="Arial Narrow"/>
          <w:lang w:val="en-US"/>
        </w:rPr>
        <w:t xml:space="preserve"> I </w:t>
      </w:r>
      <w:proofErr w:type="spellStart"/>
      <w:r w:rsidRPr="00F27DB4">
        <w:rPr>
          <w:rFonts w:ascii="Arial Narrow" w:hAnsi="Arial Narrow"/>
          <w:lang w:val="en-US"/>
        </w:rPr>
        <w:t>kvartala</w:t>
      </w:r>
      <w:proofErr w:type="spellEnd"/>
      <w:r w:rsidRPr="00F27DB4">
        <w:rPr>
          <w:rFonts w:ascii="Arial Narrow" w:hAnsi="Arial Narrow"/>
          <w:lang w:val="en-US"/>
        </w:rPr>
        <w:t xml:space="preserve"> 2021.g</w:t>
      </w:r>
    </w:p>
  </w:footnote>
  <w:footnote w:id="8">
    <w:p w14:paraId="5397E0FE" w14:textId="77777777" w:rsidR="00591FB8" w:rsidRPr="00F27DB4" w:rsidRDefault="00591FB8">
      <w:pPr>
        <w:pStyle w:val="FootnoteText"/>
        <w:rPr>
          <w:rFonts w:ascii="Arial Narrow" w:hAnsi="Arial Narrow"/>
        </w:rPr>
      </w:pPr>
      <w:r w:rsidRPr="00F27DB4">
        <w:rPr>
          <w:rStyle w:val="FootnoteReference"/>
          <w:rFonts w:ascii="Arial Narrow" w:hAnsi="Arial Narrow"/>
        </w:rPr>
        <w:footnoteRef/>
      </w:r>
      <w:r w:rsidRPr="00F27DB4">
        <w:rPr>
          <w:rFonts w:ascii="Arial Narrow" w:hAnsi="Arial Narrow"/>
        </w:rPr>
        <w:t xml:space="preserve"> </w:t>
      </w:r>
      <w:r w:rsidRPr="00F27DB4">
        <w:rPr>
          <w:rFonts w:ascii="Arial Narrow" w:eastAsia="Arial Narrow" w:hAnsi="Arial Narrow" w:cs="Arial Narrow"/>
        </w:rPr>
        <w:t>novembar 2021-podatak Agencije za SPI</w:t>
      </w:r>
    </w:p>
  </w:footnote>
  <w:footnote w:id="9">
    <w:p w14:paraId="049F403A" w14:textId="77777777" w:rsidR="00591FB8" w:rsidRDefault="00591FB8" w:rsidP="0015325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Označava broj prijavljenih kandidata/broj oglasa</w:t>
      </w:r>
    </w:p>
  </w:footnote>
  <w:footnote w:id="10">
    <w:p w14:paraId="6C6F9D47" w14:textId="77777777" w:rsidR="00591FB8" w:rsidRDefault="00591FB8" w:rsidP="0015325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b/>
          <w:color w:val="000000"/>
          <w:sz w:val="20"/>
          <w:szCs w:val="20"/>
        </w:rPr>
        <w:t>IZVOR</w:t>
      </w:r>
      <w:r>
        <w:rPr>
          <w:color w:val="000000"/>
          <w:sz w:val="20"/>
          <w:szCs w:val="20"/>
        </w:rPr>
        <w:t>:Izvještaj Reportera bez granica</w:t>
      </w:r>
    </w:p>
  </w:footnote>
  <w:footnote w:id="11">
    <w:p w14:paraId="10F18D14" w14:textId="77777777" w:rsidR="00591FB8" w:rsidRPr="00034A63" w:rsidRDefault="00591FB8" w:rsidP="00383886">
      <w:pPr>
        <w:pStyle w:val="CommentText"/>
        <w:rPr>
          <w:rFonts w:ascii="Arial Narrow" w:hAnsi="Arial Narrow"/>
        </w:rPr>
      </w:pPr>
      <w:r w:rsidRPr="00034A63">
        <w:rPr>
          <w:rStyle w:val="FootnoteReference"/>
          <w:rFonts w:ascii="Arial Narrow" w:hAnsi="Arial Narrow"/>
        </w:rPr>
        <w:footnoteRef/>
      </w:r>
      <w:r w:rsidRPr="00034A63">
        <w:rPr>
          <w:rFonts w:ascii="Arial Narrow" w:hAnsi="Arial Narrow"/>
        </w:rPr>
        <w:t xml:space="preserve"> Izvor za polazne vrijednosti: Predlog fiskalne strategije Crne Gore za period 2021-2024. godine</w:t>
      </w:r>
    </w:p>
    <w:p w14:paraId="1DBDFB7B" w14:textId="77777777" w:rsidR="00591FB8" w:rsidRDefault="00A52361" w:rsidP="00383886">
      <w:pPr>
        <w:pStyle w:val="FootnoteText"/>
      </w:pPr>
      <w:hyperlink r:id="rId2" w:history="1">
        <w:r w:rsidR="00591FB8" w:rsidRPr="00034A63">
          <w:rPr>
            <w:rStyle w:val="Hyperlink"/>
            <w:rFonts w:ascii="Arial Narrow" w:hAnsi="Arial Narrow"/>
          </w:rPr>
          <w:t>https://www.gov.me/dokumenta/02f8c410-f87b-4004-96fa-a8eb7eb20b32</w:t>
        </w:r>
      </w:hyperlink>
    </w:p>
  </w:footnote>
  <w:footnote w:id="12">
    <w:p w14:paraId="1C654E8A" w14:textId="77777777" w:rsidR="00591FB8" w:rsidRDefault="00591FB8" w:rsidP="00383886">
      <w:pPr>
        <w:pStyle w:val="FootnoteText"/>
      </w:pPr>
      <w:r>
        <w:rPr>
          <w:rStyle w:val="FootnoteReference"/>
        </w:rPr>
        <w:footnoteRef/>
      </w:r>
      <w:r>
        <w:t xml:space="preserve"> Izvor: Predlog fiskalne strategije Crne Gore za period 2021-2024. godine </w:t>
      </w:r>
      <w:hyperlink r:id="rId3" w:history="1">
        <w:r w:rsidRPr="00D641F4">
          <w:rPr>
            <w:rStyle w:val="Hyperlink"/>
          </w:rPr>
          <w:t>https://www.gov.me/dokumenta/02f8c410-f87b-4004-96fa-a8eb7eb20b32</w:t>
        </w:r>
      </w:hyperlink>
    </w:p>
  </w:footnote>
  <w:footnote w:id="13">
    <w:p w14:paraId="7582C817" w14:textId="77777777" w:rsidR="00591FB8" w:rsidRPr="00AE77E5" w:rsidRDefault="00591FB8" w:rsidP="00383886">
      <w:pPr>
        <w:pStyle w:val="FootnoteText"/>
        <w:rPr>
          <w:rFonts w:ascii="Arial Narrow" w:hAnsi="Arial Narrow"/>
          <w:sz w:val="18"/>
          <w:szCs w:val="18"/>
        </w:rPr>
      </w:pPr>
      <w:r w:rsidRPr="00034A63">
        <w:rPr>
          <w:rStyle w:val="FootnoteReference"/>
          <w:rFonts w:ascii="Arial Narrow" w:hAnsi="Arial Narrow"/>
        </w:rPr>
        <w:footnoteRef/>
      </w:r>
      <w:r w:rsidRPr="00034A63">
        <w:rPr>
          <w:rFonts w:ascii="Arial Narrow" w:hAnsi="Arial Narrow"/>
        </w:rPr>
        <w:t xml:space="preserve"> </w:t>
      </w:r>
      <w:hyperlink r:id="rId4" w:anchor="RANGE!_ftnref1" w:history="1">
        <w:r w:rsidRPr="00AE77E5">
          <w:rPr>
            <w:rFonts w:ascii="Arial Narrow" w:eastAsia="Times New Roman" w:hAnsi="Arial Narrow" w:cs="Calibri"/>
            <w:sz w:val="18"/>
            <w:szCs w:val="18"/>
          </w:rPr>
          <w:t xml:space="preserve">Lista razvojnih projekata u oblasti turizma (Posebni program ulaganja od posebnog značaja za privredni i ekonomski interes Crne Gore) </w:t>
        </w:r>
      </w:hyperlink>
    </w:p>
  </w:footnote>
  <w:footnote w:id="14">
    <w:p w14:paraId="354310E5" w14:textId="77777777" w:rsidR="00591FB8" w:rsidRPr="00AE77E5" w:rsidRDefault="00591FB8" w:rsidP="00383886">
      <w:pPr>
        <w:pStyle w:val="FootnoteText"/>
        <w:rPr>
          <w:rFonts w:ascii="Arial Narrow" w:hAnsi="Arial Narrow"/>
          <w:sz w:val="18"/>
          <w:szCs w:val="18"/>
        </w:rPr>
      </w:pPr>
      <w:r w:rsidRPr="00AE77E5">
        <w:rPr>
          <w:rStyle w:val="FootnoteReference"/>
          <w:rFonts w:ascii="Arial Narrow" w:hAnsi="Arial Narrow"/>
          <w:sz w:val="18"/>
          <w:szCs w:val="18"/>
        </w:rPr>
        <w:footnoteRef/>
      </w:r>
      <w:r w:rsidRPr="00AE77E5">
        <w:rPr>
          <w:rFonts w:ascii="Arial Narrow" w:hAnsi="Arial Narrow"/>
          <w:sz w:val="18"/>
          <w:szCs w:val="18"/>
        </w:rPr>
        <w:t xml:space="preserve"> Nastavak gradnje  na skijalištima Kolašin 1600, Žarski, Cmiljača, Savin kuk i Štedim-Hajla, koja uključuje žičare, skijaške staze, bazne stanice, pristupne puteve i prateću infrastrukturu, kao i sistem za vještačko osnježavanje na Ski centru Kolašin 1600. Nastavak izgradnje na speleološkom objektu Đalovića pećina.</w:t>
      </w:r>
    </w:p>
  </w:footnote>
  <w:footnote w:id="15">
    <w:p w14:paraId="68EBE274" w14:textId="77777777" w:rsidR="00591FB8" w:rsidRPr="00AE77E5" w:rsidRDefault="00591FB8" w:rsidP="00383886">
      <w:pPr>
        <w:pStyle w:val="FootnoteText"/>
        <w:rPr>
          <w:rFonts w:ascii="Arial Narrow" w:hAnsi="Arial Narrow"/>
          <w:sz w:val="18"/>
          <w:szCs w:val="18"/>
        </w:rPr>
      </w:pPr>
      <w:r w:rsidRPr="00AE77E5">
        <w:rPr>
          <w:rStyle w:val="FootnoteReference"/>
          <w:rFonts w:ascii="Arial Narrow" w:hAnsi="Arial Narrow"/>
          <w:sz w:val="18"/>
          <w:szCs w:val="18"/>
        </w:rPr>
        <w:footnoteRef/>
      </w:r>
      <w:r w:rsidRPr="00AE77E5">
        <w:rPr>
          <w:rFonts w:ascii="Arial Narrow" w:hAnsi="Arial Narrow"/>
          <w:sz w:val="18"/>
          <w:szCs w:val="18"/>
        </w:rPr>
        <w:t xml:space="preserve"> Stavljanje u fjunkciju 2 nova skijališta i speleološkog objekta „Đalovića pećina“, kao i stavljanje u funkciju ski liftova i boba na šinama na skijalištu Ski centar Kolašin 1600</w:t>
      </w:r>
    </w:p>
  </w:footnote>
  <w:footnote w:id="16">
    <w:p w14:paraId="3C5B5DFF" w14:textId="77777777" w:rsidR="00591FB8" w:rsidRPr="004E35D6" w:rsidRDefault="00591FB8" w:rsidP="00383886">
      <w:pPr>
        <w:pStyle w:val="FootnoteText"/>
      </w:pPr>
      <w:r>
        <w:rPr>
          <w:rStyle w:val="FootnoteReference"/>
        </w:rPr>
        <w:footnoteRef/>
      </w:r>
      <w:r>
        <w:t xml:space="preserve"> Polazne vrijednosti su iz 2019. godine</w:t>
      </w:r>
    </w:p>
  </w:footnote>
  <w:footnote w:id="17">
    <w:p w14:paraId="1831E205" w14:textId="77777777" w:rsidR="00591FB8" w:rsidRPr="003970BB" w:rsidRDefault="00591FB8" w:rsidP="00383886">
      <w:pPr>
        <w:pStyle w:val="FootnoteText"/>
      </w:pPr>
      <w:r>
        <w:rPr>
          <w:rStyle w:val="FootnoteReference"/>
        </w:rPr>
        <w:footnoteRef/>
      </w:r>
      <w:r>
        <w:t xml:space="preserve"> Polazne vrijednosti prikazane su u odnosu na Anketu o radnoj snazi za  2020. godinu, kao i statistički podaci Zavoda za zapošljavanje na dan 31.12.2020. godine</w:t>
      </w:r>
    </w:p>
    <w:p w14:paraId="4CB8A040" w14:textId="77777777" w:rsidR="00591FB8" w:rsidRPr="004E35D6" w:rsidRDefault="00591FB8" w:rsidP="00383886">
      <w:pPr>
        <w:pStyle w:val="FootnoteText"/>
      </w:pPr>
    </w:p>
  </w:footnote>
  <w:footnote w:id="18">
    <w:p w14:paraId="61E88732" w14:textId="77777777" w:rsidR="00591FB8" w:rsidRPr="00AE274D" w:rsidRDefault="00591FB8" w:rsidP="00383886">
      <w:pPr>
        <w:pStyle w:val="FootnoteText"/>
        <w:rPr>
          <w:rFonts w:ascii="Arial Narrow" w:hAnsi="Arial Narrow" w:cs="Arial"/>
        </w:rPr>
      </w:pPr>
      <w:r w:rsidRPr="00067D75">
        <w:rPr>
          <w:rStyle w:val="FootnoteReference"/>
          <w:rFonts w:ascii="Arial" w:hAnsi="Arial" w:cs="Arial"/>
        </w:rPr>
        <w:footnoteRef/>
      </w:r>
      <w:r w:rsidRPr="00067D75">
        <w:rPr>
          <w:rFonts w:ascii="Arial" w:hAnsi="Arial" w:cs="Arial"/>
        </w:rPr>
        <w:t xml:space="preserve"> </w:t>
      </w:r>
      <w:r w:rsidRPr="00AE274D">
        <w:rPr>
          <w:rFonts w:ascii="Arial Narrow" w:hAnsi="Arial Narrow" w:cs="Arial"/>
        </w:rPr>
        <w:t>Izvor: Željeznička infrastruktura Crne Gore</w:t>
      </w:r>
    </w:p>
  </w:footnote>
  <w:footnote w:id="19">
    <w:p w14:paraId="30978219" w14:textId="77777777" w:rsidR="00591FB8" w:rsidRPr="00067D75" w:rsidRDefault="00591FB8" w:rsidP="00383886">
      <w:pPr>
        <w:pStyle w:val="FootnoteText"/>
        <w:rPr>
          <w:rFonts w:ascii="Arial" w:hAnsi="Arial" w:cs="Arial"/>
        </w:rPr>
      </w:pPr>
      <w:r w:rsidRPr="00AE274D">
        <w:rPr>
          <w:rStyle w:val="FootnoteReference"/>
          <w:rFonts w:ascii="Arial Narrow" w:hAnsi="Arial Narrow" w:cs="Arial"/>
        </w:rPr>
        <w:footnoteRef/>
      </w:r>
      <w:r w:rsidRPr="00AE274D">
        <w:rPr>
          <w:rFonts w:ascii="Arial Narrow" w:hAnsi="Arial Narrow" w:cs="Arial"/>
        </w:rPr>
        <w:t xml:space="preserve"> Izvor: Lučke kapetanije Bar i Kotor.</w:t>
      </w:r>
    </w:p>
  </w:footnote>
  <w:footnote w:id="20">
    <w:p w14:paraId="3F66D95E" w14:textId="77777777" w:rsidR="00591FB8" w:rsidRPr="00067D75" w:rsidRDefault="00591FB8" w:rsidP="00383886">
      <w:pPr>
        <w:pStyle w:val="FootnoteText"/>
        <w:rPr>
          <w:rFonts w:ascii="Arial" w:hAnsi="Arial" w:cs="Arial"/>
        </w:rPr>
      </w:pPr>
      <w:r w:rsidRPr="00067D75">
        <w:rPr>
          <w:rStyle w:val="FootnoteReference"/>
          <w:rFonts w:ascii="Arial" w:hAnsi="Arial" w:cs="Arial"/>
        </w:rPr>
        <w:footnoteRef/>
      </w:r>
      <w:r w:rsidRPr="00067D75">
        <w:rPr>
          <w:rFonts w:ascii="Arial" w:hAnsi="Arial" w:cs="Arial"/>
        </w:rPr>
        <w:t xml:space="preserve"> </w:t>
      </w:r>
      <w:r w:rsidRPr="006268E6">
        <w:rPr>
          <w:rFonts w:ascii="Arial Narrow" w:hAnsi="Arial Narrow" w:cs="Arial"/>
        </w:rPr>
        <w:t>Izvor podataka za oba indikatora (polazna vrijednost): Izvještaj o realizaciji energetskog bilansa za prethodnu godinu (član 13 Zakona o energetici, „Službeni list Crne Gore“, br. 5/16, 51/17 i 82/20))</w:t>
      </w:r>
    </w:p>
  </w:footnote>
  <w:footnote w:id="21">
    <w:p w14:paraId="67ADAE48" w14:textId="77777777" w:rsidR="00591FB8" w:rsidRPr="00A75E78" w:rsidRDefault="00591FB8" w:rsidP="00383886">
      <w:pPr>
        <w:pStyle w:val="FootnoteText"/>
        <w:rPr>
          <w:rFonts w:ascii="Arial Narrow" w:hAnsi="Arial Narrow" w:cs="Arial"/>
        </w:rPr>
      </w:pPr>
      <w:r w:rsidRPr="00067D75">
        <w:rPr>
          <w:rStyle w:val="FootnoteReference"/>
          <w:rFonts w:ascii="Arial" w:hAnsi="Arial" w:cs="Arial"/>
        </w:rPr>
        <w:footnoteRef/>
      </w:r>
      <w:r w:rsidRPr="00067D75">
        <w:rPr>
          <w:rFonts w:ascii="Arial" w:hAnsi="Arial" w:cs="Arial"/>
        </w:rPr>
        <w:t xml:space="preserve">  </w:t>
      </w:r>
      <w:r w:rsidRPr="00A75E78">
        <w:rPr>
          <w:rFonts w:ascii="Arial Narrow" w:hAnsi="Arial Narrow" w:cs="Arial"/>
        </w:rPr>
        <w:t xml:space="preserve">Polazna vrijednost data je za 2020. godinu, </w:t>
      </w:r>
      <w:r w:rsidRPr="00A75E78">
        <w:rPr>
          <w:rFonts w:ascii="Arial Narrow" w:hAnsi="Arial Narrow" w:cs="Arial"/>
          <w:b/>
          <w:bCs/>
          <w:i/>
        </w:rPr>
        <w:t xml:space="preserve">Izvor: </w:t>
      </w:r>
      <w:r w:rsidRPr="00A75E78">
        <w:rPr>
          <w:rFonts w:ascii="Arial Narrow" w:hAnsi="Arial Narrow" w:cs="Arial"/>
          <w:i/>
        </w:rPr>
        <w:t xml:space="preserve">Informacija o aktivnostima </w:t>
      </w:r>
      <w:r w:rsidRPr="00A75E78">
        <w:rPr>
          <w:rFonts w:ascii="Arial Narrow" w:eastAsia="Times New Roman" w:hAnsi="Arial Narrow" w:cs="Arial"/>
          <w:iCs/>
        </w:rPr>
        <w:t>u oblasti koncesija za istraživanje i proizvodnju čvrstih mineralnih sirovina (sajt Vlade)</w:t>
      </w:r>
    </w:p>
  </w:footnote>
  <w:footnote w:id="22">
    <w:p w14:paraId="0D03F6C5" w14:textId="77777777" w:rsidR="00591FB8" w:rsidRPr="00553EDE" w:rsidRDefault="00591FB8" w:rsidP="00B80AA5">
      <w:pPr>
        <w:pStyle w:val="FootnoteText"/>
        <w:rPr>
          <w:lang w:val="sr-Latn-RS"/>
        </w:rPr>
      </w:pPr>
      <w:r>
        <w:rPr>
          <w:rStyle w:val="FootnoteReference"/>
        </w:rPr>
        <w:footnoteRef/>
      </w:r>
      <w:r>
        <w:t xml:space="preserve"> </w:t>
      </w:r>
      <w:r>
        <w:rPr>
          <w:lang w:val="sr-Latn-RS"/>
        </w:rPr>
        <w:t>Izvor podataka za polazne vrijednosti je Ministarstvo zdravlja</w:t>
      </w:r>
    </w:p>
  </w:footnote>
  <w:footnote w:id="23">
    <w:p w14:paraId="6C1EABA5" w14:textId="77777777" w:rsidR="00591FB8" w:rsidRPr="00DF2D60" w:rsidRDefault="00591FB8" w:rsidP="00B80AA5">
      <w:pPr>
        <w:pStyle w:val="FootnoteText"/>
        <w:rPr>
          <w:lang w:val="sr-Latn-RS"/>
        </w:rPr>
      </w:pPr>
      <w:r>
        <w:rPr>
          <w:rStyle w:val="FootnoteReference"/>
        </w:rPr>
        <w:footnoteRef/>
      </w:r>
      <w:r>
        <w:t xml:space="preserve"> </w:t>
      </w:r>
    </w:p>
  </w:footnote>
  <w:footnote w:id="24">
    <w:p w14:paraId="6FABCF1A" w14:textId="77777777" w:rsidR="00591FB8" w:rsidRPr="00AE274D" w:rsidRDefault="00591FB8" w:rsidP="00B80AA5">
      <w:pPr>
        <w:pStyle w:val="FootnoteText"/>
        <w:rPr>
          <w:rFonts w:ascii="Arial Narrow" w:hAnsi="Arial Narrow"/>
        </w:rPr>
      </w:pPr>
      <w:r>
        <w:rPr>
          <w:rStyle w:val="FootnoteReference"/>
        </w:rPr>
        <w:footnoteRef/>
      </w:r>
      <w:r>
        <w:t xml:space="preserve"> </w:t>
      </w:r>
      <w:r w:rsidRPr="00AE274D">
        <w:rPr>
          <w:rFonts w:ascii="Arial Narrow" w:hAnsi="Arial Narrow"/>
        </w:rPr>
        <w:t>Podaci se odnose na 2020. godinu, na osnovu Godišnjeg izvještaja o radu UZHVFP</w:t>
      </w:r>
    </w:p>
  </w:footnote>
  <w:footnote w:id="25">
    <w:p w14:paraId="2D350385" w14:textId="77777777" w:rsidR="00591FB8" w:rsidRPr="001E151B" w:rsidRDefault="00591FB8" w:rsidP="00B80AA5">
      <w:pPr>
        <w:pStyle w:val="FootnoteText"/>
      </w:pPr>
      <w:r w:rsidRPr="00AE274D">
        <w:rPr>
          <w:rStyle w:val="FootnoteReference"/>
          <w:rFonts w:ascii="Arial Narrow" w:hAnsi="Arial Narrow"/>
        </w:rPr>
        <w:footnoteRef/>
      </w:r>
      <w:r w:rsidRPr="00AE274D">
        <w:rPr>
          <w:rFonts w:ascii="Arial Narrow" w:hAnsi="Arial Narrow"/>
        </w:rPr>
        <w:t xml:space="preserve"> Izvor podataka: UZHVFP;</w:t>
      </w:r>
    </w:p>
  </w:footnote>
  <w:footnote w:id="26">
    <w:p w14:paraId="65D4CE85" w14:textId="77777777" w:rsidR="00591FB8" w:rsidRPr="00AE274D" w:rsidRDefault="00591FB8" w:rsidP="00B80AA5">
      <w:pPr>
        <w:pStyle w:val="FootnoteText"/>
        <w:jc w:val="both"/>
        <w:rPr>
          <w:rFonts w:ascii="Arial Narrow" w:hAnsi="Arial Narrow"/>
        </w:rPr>
      </w:pPr>
      <w:r w:rsidRPr="00AE274D">
        <w:rPr>
          <w:rStyle w:val="FootnoteReference"/>
          <w:rFonts w:ascii="Arial Narrow" w:hAnsi="Arial Narrow"/>
        </w:rPr>
        <w:footnoteRef/>
      </w:r>
      <w:r w:rsidRPr="00AE274D">
        <w:rPr>
          <w:rFonts w:ascii="Arial Narrow" w:hAnsi="Arial Narrow"/>
        </w:rPr>
        <w:t xml:space="preserve"> II MJERILO - Crna Gora pruža Komisiji garanciju za uspostavljanje sistema kompatibilnog sistema EU za službene kontrole živih životinja i proizvoda životinjskog porijekla, uključujući i njegovo finansiranje</w:t>
      </w:r>
    </w:p>
  </w:footnote>
  <w:footnote w:id="27">
    <w:p w14:paraId="3003AFEA" w14:textId="77777777" w:rsidR="00591FB8" w:rsidRPr="00804774" w:rsidRDefault="00591FB8" w:rsidP="00B80AA5">
      <w:pPr>
        <w:pStyle w:val="FootnoteText"/>
      </w:pPr>
      <w:r w:rsidRPr="00AE274D">
        <w:rPr>
          <w:rStyle w:val="FootnoteReference"/>
          <w:rFonts w:ascii="Arial Narrow" w:hAnsi="Arial Narrow"/>
        </w:rPr>
        <w:footnoteRef/>
      </w:r>
      <w:r w:rsidRPr="00AE274D">
        <w:rPr>
          <w:rFonts w:ascii="Arial Narrow" w:hAnsi="Arial Narrow"/>
        </w:rPr>
        <w:t xml:space="preserve"> III MJERILO - Crna Gora nastavlja da uspostavlja i razvija, u skladu s pravnom tekovinom EU, relevantne administrativne strukture, posebno kada je riječ o kontroli bezbjednosti hrane, te nastavlja da jača svoje administrativne kapacitete i infrastrukturu. Crna Gora treba da pokaže da će imati neophodne administrativne kapacitete za pravilno sprovođenje i primjenu cjelokupne pravne tekovine obuhvaćene ovim poglavljem o pristupanju</w:t>
      </w:r>
    </w:p>
  </w:footnote>
  <w:footnote w:id="28">
    <w:p w14:paraId="1880778E" w14:textId="77777777" w:rsidR="00591FB8" w:rsidRPr="00F5247A" w:rsidRDefault="00591FB8" w:rsidP="00B80AA5">
      <w:pPr>
        <w:pStyle w:val="FootnoteText"/>
      </w:pPr>
      <w:r>
        <w:rPr>
          <w:rStyle w:val="FootnoteReference"/>
        </w:rPr>
        <w:footnoteRef/>
      </w:r>
      <w:r>
        <w:t xml:space="preserve"> </w:t>
      </w:r>
      <w:r w:rsidRPr="00AE274D">
        <w:rPr>
          <w:rFonts w:ascii="Arial Narrow" w:hAnsi="Arial Narrow"/>
        </w:rPr>
        <w:t>Dijelom iz budžeta Crne Gore - za implementaciju propisa u nadležnosti Uprave za bezbjednost hrane, veterinu i fitosanitarne poslove. Dodatno, poslednje četiri godine, oblast zaštite dobrobiti životinja je prepoznata kao jedna od prioritetnih oblasti od javnog interesa i svake godine se obezbijeđiju sredstva za projekte nevladinih organizacija koje dijeluju u ovoj oblasti. Implementacijom propisa na lokalnom nivou će vjerovatno zahtjevati odvajanje finansijskih sredstava od strane lokalnih uprava, naročito onih na čijoj teritoriji nije do sada izgrađeno sklonište za napuštene životinje odnosno koja je na niskom nivou sprovođenja kontrole populacije napuštenih i pasa lutalica. Ista se moraju planirati od strane svake lokalne samouprave pojedinačno.</w:t>
      </w:r>
      <w:r>
        <w:t xml:space="preserve"> </w:t>
      </w:r>
    </w:p>
  </w:footnote>
  <w:footnote w:id="29">
    <w:p w14:paraId="13774A5F" w14:textId="77777777" w:rsidR="00591FB8" w:rsidRPr="00AE274D" w:rsidRDefault="00591FB8">
      <w:pPr>
        <w:spacing w:after="0" w:line="240" w:lineRule="auto"/>
        <w:rPr>
          <w:rFonts w:ascii="Arial Narrow" w:hAnsi="Arial Narrow"/>
          <w:sz w:val="20"/>
          <w:szCs w:val="20"/>
        </w:rPr>
      </w:pPr>
      <w:r>
        <w:rPr>
          <w:vertAlign w:val="superscript"/>
        </w:rPr>
        <w:footnoteRef/>
      </w:r>
      <w:r>
        <w:rPr>
          <w:sz w:val="20"/>
          <w:szCs w:val="20"/>
        </w:rPr>
        <w:t xml:space="preserve"> </w:t>
      </w:r>
      <w:r w:rsidRPr="00AE274D">
        <w:rPr>
          <w:rFonts w:ascii="Arial Narrow" w:hAnsi="Arial Narrow"/>
          <w:sz w:val="20"/>
          <w:szCs w:val="20"/>
        </w:rPr>
        <w:t>R</w:t>
      </w:r>
      <w:r w:rsidRPr="00AE274D">
        <w:rPr>
          <w:rFonts w:ascii="Arial Narrow" w:eastAsia="Calibri" w:hAnsi="Arial Narrow" w:cs="Calibri"/>
          <w:sz w:val="20"/>
          <w:szCs w:val="20"/>
        </w:rPr>
        <w:t>egistri koje vode organi prepoznati Zakonom o e-upravi i koji su prijavljeni u metaregistar (zvanična evidencija registara)</w:t>
      </w:r>
    </w:p>
  </w:footnote>
  <w:footnote w:id="30">
    <w:p w14:paraId="626CD26F" w14:textId="77777777" w:rsidR="00591FB8" w:rsidRPr="00AE274D" w:rsidRDefault="00591FB8">
      <w:pPr>
        <w:spacing w:after="0" w:line="240" w:lineRule="auto"/>
        <w:rPr>
          <w:rFonts w:ascii="Arial Narrow" w:hAnsi="Arial Narrow"/>
          <w:sz w:val="20"/>
          <w:szCs w:val="20"/>
        </w:rPr>
      </w:pPr>
      <w:r w:rsidRPr="00AE274D">
        <w:rPr>
          <w:rFonts w:ascii="Arial Narrow" w:hAnsi="Arial Narrow"/>
          <w:sz w:val="20"/>
          <w:szCs w:val="20"/>
          <w:vertAlign w:val="superscript"/>
        </w:rPr>
        <w:footnoteRef/>
      </w:r>
      <w:r w:rsidRPr="00AE274D">
        <w:rPr>
          <w:rFonts w:ascii="Arial Narrow" w:hAnsi="Arial Narrow"/>
          <w:sz w:val="20"/>
          <w:szCs w:val="20"/>
        </w:rPr>
        <w:t xml:space="preserve"> </w:t>
      </w:r>
      <w:r w:rsidRPr="00AE274D">
        <w:rPr>
          <w:rFonts w:ascii="Arial Narrow" w:eastAsia="Calibri" w:hAnsi="Arial Narrow" w:cs="Calibri"/>
          <w:sz w:val="20"/>
          <w:szCs w:val="20"/>
        </w:rPr>
        <w:t xml:space="preserve"> Elektronske usluge visokog nivoa sofisticiranosti, kod kojih je proces zaokružen, što podrazumijeva mogućnost npr, identifikacije, autentifikacije, el. potpisa, el.plaćanje itd.</w:t>
      </w:r>
    </w:p>
  </w:footnote>
  <w:footnote w:id="31">
    <w:p w14:paraId="03D1E7CF" w14:textId="77777777" w:rsidR="00591FB8" w:rsidRDefault="00591FB8">
      <w:pPr>
        <w:spacing w:after="0" w:line="240" w:lineRule="auto"/>
        <w:rPr>
          <w:sz w:val="20"/>
          <w:szCs w:val="20"/>
        </w:rPr>
      </w:pPr>
      <w:r>
        <w:rPr>
          <w:vertAlign w:val="superscript"/>
        </w:rPr>
        <w:footnoteRef/>
      </w:r>
      <w:r>
        <w:rPr>
          <w:sz w:val="20"/>
          <w:szCs w:val="20"/>
        </w:rPr>
        <w:t xml:space="preserve"> </w:t>
      </w:r>
      <w:r w:rsidRPr="00D505D4">
        <w:rPr>
          <w:sz w:val="18"/>
          <w:szCs w:val="18"/>
        </w:rPr>
        <w:t>Regstri koji su evidentirani u metaregistru</w:t>
      </w:r>
      <w:r>
        <w:rPr>
          <w:sz w:val="20"/>
          <w:szCs w:val="20"/>
        </w:rPr>
        <w:t xml:space="preserve"> </w:t>
      </w:r>
    </w:p>
  </w:footnote>
  <w:footnote w:id="32">
    <w:p w14:paraId="26B6B0DD" w14:textId="77777777" w:rsidR="009B5FE1" w:rsidRDefault="009B5FE1" w:rsidP="00B80AA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sidRPr="002466AA">
        <w:rPr>
          <w:rFonts w:ascii="Arial Narrow" w:eastAsia="Arial Narrow" w:hAnsi="Arial Narrow" w:cs="Arial Narrow"/>
          <w:color w:val="000000"/>
          <w:sz w:val="20"/>
          <w:szCs w:val="20"/>
        </w:rPr>
        <w:t>Predviđeno za IV kvartal Programa rada Vlade za 2021. Zbog dinamike usaglašavanja, postoji mogućnost da predlog Zakona bude utvrđen u I kvartalu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D17"/>
    <w:multiLevelType w:val="hybridMultilevel"/>
    <w:tmpl w:val="A1689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74F5B"/>
    <w:multiLevelType w:val="hybridMultilevel"/>
    <w:tmpl w:val="7716FF24"/>
    <w:lvl w:ilvl="0" w:tplc="3B4EA5DC">
      <w:start w:val="1"/>
      <w:numFmt w:val="lowerLetter"/>
      <w:lvlText w:val="%1)"/>
      <w:lvlJc w:val="left"/>
      <w:pPr>
        <w:ind w:left="720" w:hanging="360"/>
      </w:pPr>
      <w:rPr>
        <w:rFonts w:ascii="Arial Narrow" w:eastAsia="Calibri" w:hAnsi="Arial Narrow"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25F55"/>
    <w:multiLevelType w:val="hybridMultilevel"/>
    <w:tmpl w:val="0106A5D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0B5B75"/>
    <w:multiLevelType w:val="hybridMultilevel"/>
    <w:tmpl w:val="AE3E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E3462"/>
    <w:multiLevelType w:val="hybridMultilevel"/>
    <w:tmpl w:val="1AB87AFE"/>
    <w:lvl w:ilvl="0" w:tplc="2C1A000F">
      <w:start w:val="1"/>
      <w:numFmt w:val="decimal"/>
      <w:lvlText w:val="%1."/>
      <w:lvlJc w:val="left"/>
      <w:pPr>
        <w:ind w:left="785"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173D3734"/>
    <w:multiLevelType w:val="hybridMultilevel"/>
    <w:tmpl w:val="0F76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81716"/>
    <w:multiLevelType w:val="hybridMultilevel"/>
    <w:tmpl w:val="4484D7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4470D6"/>
    <w:multiLevelType w:val="hybridMultilevel"/>
    <w:tmpl w:val="2FCAC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B3DFC"/>
    <w:multiLevelType w:val="hybridMultilevel"/>
    <w:tmpl w:val="39F0286C"/>
    <w:lvl w:ilvl="0" w:tplc="01847F6E">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594CF2"/>
    <w:multiLevelType w:val="hybridMultilevel"/>
    <w:tmpl w:val="477CEB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44222"/>
    <w:multiLevelType w:val="hybridMultilevel"/>
    <w:tmpl w:val="AEE2C5F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9D4700"/>
    <w:multiLevelType w:val="hybridMultilevel"/>
    <w:tmpl w:val="035E9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65F95"/>
    <w:multiLevelType w:val="hybridMultilevel"/>
    <w:tmpl w:val="FBD6D798"/>
    <w:lvl w:ilvl="0" w:tplc="74682FCC">
      <w:start w:val="1"/>
      <w:numFmt w:val="decimal"/>
      <w:lvlText w:val="%1)"/>
      <w:lvlJc w:val="left"/>
      <w:pPr>
        <w:ind w:left="720" w:hanging="360"/>
      </w:pPr>
      <w:rPr>
        <w:rFonts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34A02"/>
    <w:multiLevelType w:val="hybridMultilevel"/>
    <w:tmpl w:val="C1FC6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526A8"/>
    <w:multiLevelType w:val="hybridMultilevel"/>
    <w:tmpl w:val="747C2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56E64"/>
    <w:multiLevelType w:val="hybridMultilevel"/>
    <w:tmpl w:val="B6A42986"/>
    <w:lvl w:ilvl="0" w:tplc="A5789C96">
      <w:start w:val="1"/>
      <w:numFmt w:val="bullet"/>
      <w:lvlText w:val="-"/>
      <w:lvlJc w:val="left"/>
      <w:pPr>
        <w:ind w:left="720" w:hanging="360"/>
      </w:pPr>
      <w:rPr>
        <w:rFonts w:ascii="Arial Narrow" w:eastAsiaTheme="minorHAnsi" w:hAnsi="Arial Narrow" w:cstheme="minorHAnsi"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6" w15:restartNumberingAfterBreak="0">
    <w:nsid w:val="44A074CB"/>
    <w:multiLevelType w:val="hybridMultilevel"/>
    <w:tmpl w:val="FE464E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557615C"/>
    <w:multiLevelType w:val="multilevel"/>
    <w:tmpl w:val="4D32DA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75B435A"/>
    <w:multiLevelType w:val="multilevel"/>
    <w:tmpl w:val="7D6E5EF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4B7C277E"/>
    <w:multiLevelType w:val="hybridMultilevel"/>
    <w:tmpl w:val="34482D7E"/>
    <w:lvl w:ilvl="0" w:tplc="0409000B">
      <w:start w:val="1"/>
      <w:numFmt w:val="bullet"/>
      <w:lvlText w:val=""/>
      <w:lvlJc w:val="left"/>
      <w:pPr>
        <w:ind w:left="720" w:hanging="360"/>
      </w:pPr>
      <w:rPr>
        <w:rFonts w:ascii="Wingdings" w:hAnsi="Wingdings" w:hint="default"/>
      </w:rPr>
    </w:lvl>
    <w:lvl w:ilvl="1" w:tplc="092075DC">
      <w:numFmt w:val="bullet"/>
      <w:lvlText w:val="-"/>
      <w:lvlJc w:val="left"/>
      <w:pPr>
        <w:ind w:left="1440" w:hanging="360"/>
      </w:pPr>
      <w:rPr>
        <w:rFonts w:ascii="Arial Narrow" w:eastAsiaTheme="minorHAnsi"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21353"/>
    <w:multiLevelType w:val="hybridMultilevel"/>
    <w:tmpl w:val="4F8AF46A"/>
    <w:lvl w:ilvl="0" w:tplc="11403E7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42334"/>
    <w:multiLevelType w:val="hybridMultilevel"/>
    <w:tmpl w:val="84986462"/>
    <w:lvl w:ilvl="0" w:tplc="B2923CE4">
      <w:start w:val="1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F692E"/>
    <w:multiLevelType w:val="hybridMultilevel"/>
    <w:tmpl w:val="98F68BAC"/>
    <w:lvl w:ilvl="0" w:tplc="96CC7D0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D03ADC"/>
    <w:multiLevelType w:val="hybridMultilevel"/>
    <w:tmpl w:val="675479C4"/>
    <w:lvl w:ilvl="0" w:tplc="F6E8CEB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F7258"/>
    <w:multiLevelType w:val="hybridMultilevel"/>
    <w:tmpl w:val="B4E41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0350144"/>
    <w:multiLevelType w:val="hybridMultilevel"/>
    <w:tmpl w:val="A2B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23539"/>
    <w:multiLevelType w:val="hybridMultilevel"/>
    <w:tmpl w:val="8976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41D85"/>
    <w:multiLevelType w:val="hybridMultilevel"/>
    <w:tmpl w:val="717E4FA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BA2DA1"/>
    <w:multiLevelType w:val="hybridMultilevel"/>
    <w:tmpl w:val="D4B0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FE4976"/>
    <w:multiLevelType w:val="hybridMultilevel"/>
    <w:tmpl w:val="095C6958"/>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FC5C2A"/>
    <w:multiLevelType w:val="hybridMultilevel"/>
    <w:tmpl w:val="4586A000"/>
    <w:lvl w:ilvl="0" w:tplc="DD16598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9"/>
  </w:num>
  <w:num w:numId="4">
    <w:abstractNumId w:val="9"/>
  </w:num>
  <w:num w:numId="5">
    <w:abstractNumId w:val="7"/>
  </w:num>
  <w:num w:numId="6">
    <w:abstractNumId w:val="17"/>
  </w:num>
  <w:num w:numId="7">
    <w:abstractNumId w:val="4"/>
  </w:num>
  <w:num w:numId="8">
    <w:abstractNumId w:val="1"/>
  </w:num>
  <w:num w:numId="9">
    <w:abstractNumId w:val="10"/>
  </w:num>
  <w:num w:numId="10">
    <w:abstractNumId w:val="2"/>
  </w:num>
  <w:num w:numId="11">
    <w:abstractNumId w:val="27"/>
  </w:num>
  <w:num w:numId="12">
    <w:abstractNumId w:val="29"/>
  </w:num>
  <w:num w:numId="13">
    <w:abstractNumId w:val="22"/>
  </w:num>
  <w:num w:numId="14">
    <w:abstractNumId w:val="11"/>
  </w:num>
  <w:num w:numId="15">
    <w:abstractNumId w:val="14"/>
  </w:num>
  <w:num w:numId="16">
    <w:abstractNumId w:val="18"/>
  </w:num>
  <w:num w:numId="17">
    <w:abstractNumId w:val="12"/>
  </w:num>
  <w:num w:numId="18">
    <w:abstractNumId w:val="6"/>
  </w:num>
  <w:num w:numId="19">
    <w:abstractNumId w:val="23"/>
  </w:num>
  <w:num w:numId="20">
    <w:abstractNumId w:val="28"/>
  </w:num>
  <w:num w:numId="21">
    <w:abstractNumId w:val="16"/>
  </w:num>
  <w:num w:numId="22">
    <w:abstractNumId w:val="26"/>
  </w:num>
  <w:num w:numId="23">
    <w:abstractNumId w:val="5"/>
  </w:num>
  <w:num w:numId="24">
    <w:abstractNumId w:val="3"/>
  </w:num>
  <w:num w:numId="25">
    <w:abstractNumId w:val="2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5"/>
  </w:num>
  <w:num w:numId="30">
    <w:abstractNumId w:val="2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14"/>
    <w:rsid w:val="0006091C"/>
    <w:rsid w:val="000A08C8"/>
    <w:rsid w:val="000D7EA8"/>
    <w:rsid w:val="000E7AA0"/>
    <w:rsid w:val="001137ED"/>
    <w:rsid w:val="00126E43"/>
    <w:rsid w:val="00153252"/>
    <w:rsid w:val="0015677D"/>
    <w:rsid w:val="0019681B"/>
    <w:rsid w:val="001D5230"/>
    <w:rsid w:val="001E3284"/>
    <w:rsid w:val="001E4685"/>
    <w:rsid w:val="001F257C"/>
    <w:rsid w:val="0020161C"/>
    <w:rsid w:val="002466AA"/>
    <w:rsid w:val="002756A4"/>
    <w:rsid w:val="00294CE6"/>
    <w:rsid w:val="002B1040"/>
    <w:rsid w:val="002C7310"/>
    <w:rsid w:val="00301973"/>
    <w:rsid w:val="003238A1"/>
    <w:rsid w:val="00383886"/>
    <w:rsid w:val="003A5E1E"/>
    <w:rsid w:val="003B14BB"/>
    <w:rsid w:val="003D37A5"/>
    <w:rsid w:val="003D6416"/>
    <w:rsid w:val="003E7E0A"/>
    <w:rsid w:val="00404D30"/>
    <w:rsid w:val="00467889"/>
    <w:rsid w:val="004D4BDF"/>
    <w:rsid w:val="004E2D59"/>
    <w:rsid w:val="004F1465"/>
    <w:rsid w:val="0053291C"/>
    <w:rsid w:val="00572D26"/>
    <w:rsid w:val="005803CE"/>
    <w:rsid w:val="005810AB"/>
    <w:rsid w:val="00591FB8"/>
    <w:rsid w:val="005965AE"/>
    <w:rsid w:val="005B4BE7"/>
    <w:rsid w:val="005D3BC5"/>
    <w:rsid w:val="005D6067"/>
    <w:rsid w:val="005E2B4E"/>
    <w:rsid w:val="005E390A"/>
    <w:rsid w:val="00605A99"/>
    <w:rsid w:val="006078E0"/>
    <w:rsid w:val="0062415A"/>
    <w:rsid w:val="006459B6"/>
    <w:rsid w:val="0067749C"/>
    <w:rsid w:val="006B47D6"/>
    <w:rsid w:val="006F4BAB"/>
    <w:rsid w:val="007019AC"/>
    <w:rsid w:val="0072464B"/>
    <w:rsid w:val="0074397C"/>
    <w:rsid w:val="00750FCA"/>
    <w:rsid w:val="007C3A34"/>
    <w:rsid w:val="008146A7"/>
    <w:rsid w:val="00823656"/>
    <w:rsid w:val="00832B85"/>
    <w:rsid w:val="008C27D0"/>
    <w:rsid w:val="008D41C4"/>
    <w:rsid w:val="008F4B82"/>
    <w:rsid w:val="00924831"/>
    <w:rsid w:val="00950E61"/>
    <w:rsid w:val="00972EB6"/>
    <w:rsid w:val="00980668"/>
    <w:rsid w:val="009B5FE1"/>
    <w:rsid w:val="009E0228"/>
    <w:rsid w:val="00A164CA"/>
    <w:rsid w:val="00A26476"/>
    <w:rsid w:val="00A31910"/>
    <w:rsid w:val="00A34D26"/>
    <w:rsid w:val="00A52361"/>
    <w:rsid w:val="00A53CB2"/>
    <w:rsid w:val="00A80EEE"/>
    <w:rsid w:val="00AE274D"/>
    <w:rsid w:val="00B54286"/>
    <w:rsid w:val="00B801BE"/>
    <w:rsid w:val="00B80AA5"/>
    <w:rsid w:val="00B94EC4"/>
    <w:rsid w:val="00BD760C"/>
    <w:rsid w:val="00BE6B5F"/>
    <w:rsid w:val="00BF6C97"/>
    <w:rsid w:val="00C1191C"/>
    <w:rsid w:val="00C642DC"/>
    <w:rsid w:val="00C93A80"/>
    <w:rsid w:val="00CD5ABB"/>
    <w:rsid w:val="00D003CC"/>
    <w:rsid w:val="00D5276E"/>
    <w:rsid w:val="00D62666"/>
    <w:rsid w:val="00D7390F"/>
    <w:rsid w:val="00D77691"/>
    <w:rsid w:val="00DD290C"/>
    <w:rsid w:val="00DF2E8E"/>
    <w:rsid w:val="00E1353B"/>
    <w:rsid w:val="00E15B62"/>
    <w:rsid w:val="00E52892"/>
    <w:rsid w:val="00E60FD5"/>
    <w:rsid w:val="00E66DDB"/>
    <w:rsid w:val="00EA56E8"/>
    <w:rsid w:val="00EB2A14"/>
    <w:rsid w:val="00EB6410"/>
    <w:rsid w:val="00EC3AD6"/>
    <w:rsid w:val="00F268FE"/>
    <w:rsid w:val="00F27DB4"/>
    <w:rsid w:val="00F43978"/>
    <w:rsid w:val="00F45D9C"/>
    <w:rsid w:val="00F53766"/>
    <w:rsid w:val="00F67293"/>
    <w:rsid w:val="00F715E8"/>
    <w:rsid w:val="00F8548F"/>
    <w:rsid w:val="00FD6B98"/>
    <w:rsid w:val="00FF0A4E"/>
    <w:rsid w:val="00FF0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B9AB"/>
  <w15:chartTrackingRefBased/>
  <w15:docId w15:val="{73B9BF4C-E083-465C-897A-9D3D3089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paragraph" w:styleId="Heading1">
    <w:name w:val="heading 1"/>
    <w:basedOn w:val="Normal"/>
    <w:next w:val="Normal"/>
    <w:link w:val="Heading1Char"/>
    <w:qFormat/>
    <w:rsid w:val="006459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34D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rsid w:val="00153252"/>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153252"/>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153252"/>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153252"/>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123 List Paragraph,ANNEX,Bullet paras,Bullets,List Paragraph (numbered (a)),List Paragraph nowy,List Paragraph1,List_Paragraph,Liste 1,Main numbered paragraph,Multilevel para_II,Numbered List Paragraph"/>
    <w:basedOn w:val="Normal"/>
    <w:link w:val="ListParagraphChar"/>
    <w:uiPriority w:val="34"/>
    <w:qFormat/>
    <w:rsid w:val="001F257C"/>
    <w:pPr>
      <w:ind w:left="720"/>
      <w:contextualSpacing/>
    </w:pPr>
  </w:style>
  <w:style w:type="paragraph" w:styleId="NoSpacing">
    <w:name w:val="No Spacing"/>
    <w:link w:val="NoSpacingChar"/>
    <w:uiPriority w:val="1"/>
    <w:qFormat/>
    <w:rsid w:val="006459B6"/>
    <w:pPr>
      <w:spacing w:after="0" w:line="240" w:lineRule="auto"/>
    </w:pPr>
    <w:rPr>
      <w:rFonts w:eastAsiaTheme="minorEastAsia"/>
    </w:rPr>
  </w:style>
  <w:style w:type="character" w:customStyle="1" w:styleId="NoSpacingChar">
    <w:name w:val="No Spacing Char"/>
    <w:basedOn w:val="DefaultParagraphFont"/>
    <w:link w:val="NoSpacing"/>
    <w:uiPriority w:val="1"/>
    <w:rsid w:val="006459B6"/>
    <w:rPr>
      <w:rFonts w:eastAsiaTheme="minorEastAsia"/>
    </w:rPr>
  </w:style>
  <w:style w:type="character" w:customStyle="1" w:styleId="Heading1Char">
    <w:name w:val="Heading 1 Char"/>
    <w:basedOn w:val="DefaultParagraphFont"/>
    <w:link w:val="Heading1"/>
    <w:rsid w:val="006459B6"/>
    <w:rPr>
      <w:rFonts w:asciiTheme="majorHAnsi" w:eastAsiaTheme="majorEastAsia" w:hAnsiTheme="majorHAnsi" w:cstheme="majorBidi"/>
      <w:color w:val="2F5496" w:themeColor="accent1" w:themeShade="BF"/>
      <w:sz w:val="32"/>
      <w:szCs w:val="32"/>
      <w:lang w:val="sr-Latn-ME"/>
    </w:rPr>
  </w:style>
  <w:style w:type="paragraph" w:customStyle="1" w:styleId="Cha1">
    <w:name w:val="Cha1"/>
    <w:basedOn w:val="Normal"/>
    <w:next w:val="FootnoteText"/>
    <w:link w:val="FootnoteTextChar"/>
    <w:uiPriority w:val="99"/>
    <w:unhideWhenUsed/>
    <w:qFormat/>
    <w:rsid w:val="007C3A34"/>
    <w:pPr>
      <w:spacing w:after="0" w:line="240" w:lineRule="auto"/>
    </w:pPr>
    <w:rPr>
      <w:sz w:val="20"/>
      <w:szCs w:val="20"/>
      <w:lang w:val="en-US"/>
    </w:rPr>
  </w:style>
  <w:style w:type="character" w:customStyle="1" w:styleId="FootnoteTextChar">
    <w:name w:val="Footnote Text Char"/>
    <w:aliases w:val="Footnote Text Char Char Char Char Char Char Char Char Char Char,single space Char,ALTS FOOTNOTE Char,fn Char,Note de bas de page Car Car Car Char,Note de bas de page Car Car Car Car Car Char,Note de bas de page Car Car Car Car Char"/>
    <w:basedOn w:val="DefaultParagraphFont"/>
    <w:link w:val="Cha1"/>
    <w:uiPriority w:val="99"/>
    <w:rsid w:val="007C3A34"/>
    <w:rPr>
      <w:sz w:val="20"/>
      <w:szCs w:val="20"/>
    </w:rPr>
  </w:style>
  <w:style w:type="character" w:styleId="FootnoteReference">
    <w:name w:val="footnote reference"/>
    <w:aliases w:val="ftref,List Bullet Char Char,appel Char Char,ftref Char,BVI fnr Char,Footnotes refss,16 Point,Superscript 6 Point,Footnote Reference Number,nota pié di pagina,Times 10 Point,Exposant 3 Point,Footnote symbol,Footnote reference number"/>
    <w:link w:val="BVIfnr"/>
    <w:uiPriority w:val="99"/>
    <w:unhideWhenUsed/>
    <w:qFormat/>
    <w:rsid w:val="007C3A34"/>
    <w:rPr>
      <w:vertAlign w:val="superscript"/>
    </w:rPr>
  </w:style>
  <w:style w:type="paragraph" w:customStyle="1" w:styleId="BVIfnr">
    <w:name w:val="BVI fnr"/>
    <w:basedOn w:val="Normal"/>
    <w:link w:val="FootnoteReference"/>
    <w:uiPriority w:val="99"/>
    <w:rsid w:val="007C3A34"/>
    <w:pPr>
      <w:spacing w:line="240" w:lineRule="exact"/>
    </w:pPr>
    <w:rPr>
      <w:vertAlign w:val="superscript"/>
      <w:lang w:val="en-US"/>
    </w:rPr>
  </w:style>
  <w:style w:type="character" w:styleId="CommentReference">
    <w:name w:val="annotation reference"/>
    <w:basedOn w:val="DefaultParagraphFont"/>
    <w:uiPriority w:val="99"/>
    <w:semiHidden/>
    <w:unhideWhenUsed/>
    <w:rsid w:val="007C3A34"/>
    <w:rPr>
      <w:sz w:val="16"/>
      <w:szCs w:val="16"/>
    </w:rPr>
  </w:style>
  <w:style w:type="paragraph" w:customStyle="1" w:styleId="CommentText1">
    <w:name w:val="Comment Text1"/>
    <w:basedOn w:val="Normal"/>
    <w:next w:val="CommentText"/>
    <w:link w:val="CommentTextChar"/>
    <w:uiPriority w:val="99"/>
    <w:semiHidden/>
    <w:unhideWhenUsed/>
    <w:rsid w:val="007C3A34"/>
    <w:pPr>
      <w:spacing w:line="240" w:lineRule="auto"/>
    </w:pPr>
    <w:rPr>
      <w:sz w:val="20"/>
      <w:szCs w:val="20"/>
      <w:lang w:val="en-US"/>
    </w:rPr>
  </w:style>
  <w:style w:type="character" w:customStyle="1" w:styleId="CommentTextChar">
    <w:name w:val="Comment Text Char"/>
    <w:basedOn w:val="DefaultParagraphFont"/>
    <w:link w:val="CommentText1"/>
    <w:uiPriority w:val="99"/>
    <w:rsid w:val="007C3A34"/>
    <w:rPr>
      <w:sz w:val="20"/>
      <w:szCs w:val="20"/>
    </w:rPr>
  </w:style>
  <w:style w:type="paragraph" w:styleId="FootnoteText">
    <w:name w:val="footnote text"/>
    <w:aliases w:val="Footnote Text Char Char Char Char Char Char Char Char Char,single space,ALTS FOOTNOTE,fn,Note de bas de page Car Car Car,Note de bas de page Car Car Car Car Car,Note de bas de page Car Car Car Car,Note de bas de page Car Car,f,ft,Cha"/>
    <w:basedOn w:val="Normal"/>
    <w:link w:val="FootnoteTextChar1"/>
    <w:uiPriority w:val="99"/>
    <w:unhideWhenUsed/>
    <w:qFormat/>
    <w:rsid w:val="007C3A34"/>
    <w:pPr>
      <w:spacing w:after="0" w:line="240" w:lineRule="auto"/>
    </w:pPr>
    <w:rPr>
      <w:sz w:val="20"/>
      <w:szCs w:val="20"/>
    </w:rPr>
  </w:style>
  <w:style w:type="character" w:customStyle="1" w:styleId="FootnoteTextChar1">
    <w:name w:val="Footnote Text Char1"/>
    <w:aliases w:val="Footnote Text Char Char Char Char Char Char Char Char Char Char1,single space Char1,ALTS FOOTNOTE Char1,fn Char1,Note de bas de page Car Car Car Char1,Note de bas de page Car Car Car Car Car Char1,Note de bas de page Car Car Char"/>
    <w:basedOn w:val="DefaultParagraphFont"/>
    <w:link w:val="FootnoteText"/>
    <w:uiPriority w:val="99"/>
    <w:semiHidden/>
    <w:rsid w:val="007C3A34"/>
    <w:rPr>
      <w:sz w:val="20"/>
      <w:szCs w:val="20"/>
      <w:lang w:val="sr-Latn-ME"/>
    </w:rPr>
  </w:style>
  <w:style w:type="paragraph" w:styleId="CommentText">
    <w:name w:val="annotation text"/>
    <w:basedOn w:val="Normal"/>
    <w:link w:val="CommentTextChar1"/>
    <w:uiPriority w:val="99"/>
    <w:unhideWhenUsed/>
    <w:rsid w:val="007C3A34"/>
    <w:pPr>
      <w:spacing w:line="240" w:lineRule="auto"/>
    </w:pPr>
    <w:rPr>
      <w:sz w:val="20"/>
      <w:szCs w:val="20"/>
    </w:rPr>
  </w:style>
  <w:style w:type="character" w:customStyle="1" w:styleId="CommentTextChar1">
    <w:name w:val="Comment Text Char1"/>
    <w:basedOn w:val="DefaultParagraphFont"/>
    <w:link w:val="CommentText"/>
    <w:uiPriority w:val="99"/>
    <w:semiHidden/>
    <w:rsid w:val="007C3A34"/>
    <w:rPr>
      <w:sz w:val="20"/>
      <w:szCs w:val="20"/>
      <w:lang w:val="sr-Latn-ME"/>
    </w:rPr>
  </w:style>
  <w:style w:type="character" w:customStyle="1" w:styleId="Heading2Char">
    <w:name w:val="Heading 2 Char"/>
    <w:basedOn w:val="DefaultParagraphFont"/>
    <w:link w:val="Heading2"/>
    <w:rsid w:val="00A34D26"/>
    <w:rPr>
      <w:rFonts w:asciiTheme="majorHAnsi" w:eastAsiaTheme="majorEastAsia" w:hAnsiTheme="majorHAnsi" w:cstheme="majorBidi"/>
      <w:color w:val="2F5496" w:themeColor="accent1" w:themeShade="BF"/>
      <w:sz w:val="26"/>
      <w:szCs w:val="26"/>
      <w:lang w:val="sr-Latn-ME"/>
    </w:rPr>
  </w:style>
  <w:style w:type="paragraph" w:styleId="Header">
    <w:name w:val="header"/>
    <w:basedOn w:val="Normal"/>
    <w:link w:val="HeaderChar"/>
    <w:uiPriority w:val="99"/>
    <w:unhideWhenUsed/>
    <w:rsid w:val="00D73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90F"/>
    <w:rPr>
      <w:lang w:val="sr-Latn-ME"/>
    </w:rPr>
  </w:style>
  <w:style w:type="paragraph" w:styleId="Footer">
    <w:name w:val="footer"/>
    <w:basedOn w:val="Normal"/>
    <w:link w:val="FooterChar"/>
    <w:uiPriority w:val="99"/>
    <w:unhideWhenUsed/>
    <w:rsid w:val="00D73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90F"/>
    <w:rPr>
      <w:lang w:val="sr-Latn-ME"/>
    </w:rPr>
  </w:style>
  <w:style w:type="character" w:customStyle="1" w:styleId="Heading3Char">
    <w:name w:val="Heading 3 Char"/>
    <w:basedOn w:val="DefaultParagraphFont"/>
    <w:link w:val="Heading3"/>
    <w:rsid w:val="00153252"/>
    <w:rPr>
      <w:rFonts w:ascii="Calibri" w:eastAsia="Calibri" w:hAnsi="Calibri" w:cs="Calibri"/>
      <w:b/>
      <w:sz w:val="28"/>
      <w:szCs w:val="28"/>
      <w:lang w:val="sr-Latn-ME"/>
    </w:rPr>
  </w:style>
  <w:style w:type="character" w:customStyle="1" w:styleId="Heading4Char">
    <w:name w:val="Heading 4 Char"/>
    <w:basedOn w:val="DefaultParagraphFont"/>
    <w:link w:val="Heading4"/>
    <w:rsid w:val="00153252"/>
    <w:rPr>
      <w:rFonts w:ascii="Calibri" w:eastAsia="Calibri" w:hAnsi="Calibri" w:cs="Calibri"/>
      <w:b/>
      <w:sz w:val="24"/>
      <w:szCs w:val="24"/>
      <w:lang w:val="sr-Latn-ME"/>
    </w:rPr>
  </w:style>
  <w:style w:type="character" w:customStyle="1" w:styleId="Heading5Char">
    <w:name w:val="Heading 5 Char"/>
    <w:basedOn w:val="DefaultParagraphFont"/>
    <w:link w:val="Heading5"/>
    <w:rsid w:val="00153252"/>
    <w:rPr>
      <w:rFonts w:ascii="Calibri" w:eastAsia="Calibri" w:hAnsi="Calibri" w:cs="Calibri"/>
      <w:b/>
      <w:lang w:val="sr-Latn-ME"/>
    </w:rPr>
  </w:style>
  <w:style w:type="character" w:customStyle="1" w:styleId="Heading6Char">
    <w:name w:val="Heading 6 Char"/>
    <w:basedOn w:val="DefaultParagraphFont"/>
    <w:link w:val="Heading6"/>
    <w:rsid w:val="00153252"/>
    <w:rPr>
      <w:rFonts w:ascii="Calibri" w:eastAsia="Calibri" w:hAnsi="Calibri" w:cs="Calibri"/>
      <w:b/>
      <w:sz w:val="20"/>
      <w:szCs w:val="20"/>
      <w:lang w:val="sr-Latn-ME"/>
    </w:rPr>
  </w:style>
  <w:style w:type="numbering" w:customStyle="1" w:styleId="NoList1">
    <w:name w:val="No List1"/>
    <w:next w:val="NoList"/>
    <w:uiPriority w:val="99"/>
    <w:semiHidden/>
    <w:unhideWhenUsed/>
    <w:rsid w:val="00153252"/>
  </w:style>
  <w:style w:type="paragraph" w:customStyle="1" w:styleId="Normal1">
    <w:name w:val="Normal1"/>
    <w:rsid w:val="00153252"/>
    <w:rPr>
      <w:rFonts w:ascii="Calibri" w:eastAsia="Calibri" w:hAnsi="Calibri" w:cs="Calibri"/>
      <w:lang w:val="sr-Latn-ME"/>
    </w:rPr>
  </w:style>
  <w:style w:type="paragraph" w:styleId="Title">
    <w:name w:val="Title"/>
    <w:basedOn w:val="Normal"/>
    <w:next w:val="Normal"/>
    <w:link w:val="TitleChar"/>
    <w:rsid w:val="00153252"/>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153252"/>
    <w:rPr>
      <w:rFonts w:ascii="Calibri" w:eastAsia="Calibri" w:hAnsi="Calibri" w:cs="Calibri"/>
      <w:b/>
      <w:sz w:val="72"/>
      <w:szCs w:val="72"/>
      <w:lang w:val="sr-Latn-ME"/>
    </w:rPr>
  </w:style>
  <w:style w:type="table" w:styleId="TableGrid">
    <w:name w:val="Table Grid"/>
    <w:basedOn w:val="TableNormal"/>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252"/>
    <w:rPr>
      <w:color w:val="0563C1"/>
      <w:u w:val="single"/>
    </w:rPr>
  </w:style>
  <w:style w:type="table" w:customStyle="1" w:styleId="TableGrid1">
    <w:name w:val="Table Grid1"/>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53252"/>
  </w:style>
  <w:style w:type="table" w:customStyle="1" w:styleId="TableGrid9">
    <w:name w:val="Table Grid9"/>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3252"/>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53252"/>
    <w:rPr>
      <w:rFonts w:ascii="Segoe UI" w:eastAsia="Calibri" w:hAnsi="Segoe UI" w:cs="Segoe UI"/>
      <w:sz w:val="18"/>
      <w:szCs w:val="18"/>
      <w:lang w:val="sr-Latn-ME"/>
    </w:rPr>
  </w:style>
  <w:style w:type="paragraph" w:styleId="CommentSubject">
    <w:name w:val="annotation subject"/>
    <w:basedOn w:val="CommentText"/>
    <w:next w:val="CommentText"/>
    <w:link w:val="CommentSubjectChar"/>
    <w:uiPriority w:val="99"/>
    <w:semiHidden/>
    <w:unhideWhenUsed/>
    <w:rsid w:val="00153252"/>
    <w:rPr>
      <w:rFonts w:ascii="Arial Narrow" w:eastAsia="Calibri" w:hAnsi="Arial Narrow" w:cs="Calibri"/>
      <w:b/>
      <w:bCs/>
      <w:lang w:val="en-US"/>
    </w:rPr>
  </w:style>
  <w:style w:type="character" w:customStyle="1" w:styleId="CommentSubjectChar">
    <w:name w:val="Comment Subject Char"/>
    <w:basedOn w:val="CommentTextChar1"/>
    <w:link w:val="CommentSubject"/>
    <w:uiPriority w:val="99"/>
    <w:semiHidden/>
    <w:rsid w:val="00153252"/>
    <w:rPr>
      <w:rFonts w:ascii="Arial Narrow" w:eastAsia="Calibri" w:hAnsi="Arial Narrow" w:cs="Calibri"/>
      <w:b/>
      <w:bCs/>
      <w:sz w:val="20"/>
      <w:szCs w:val="20"/>
      <w:lang w:val="sr-Latn-ME"/>
    </w:rPr>
  </w:style>
  <w:style w:type="paragraph" w:styleId="EndnoteText">
    <w:name w:val="endnote text"/>
    <w:basedOn w:val="Normal"/>
    <w:link w:val="EndnoteTextChar"/>
    <w:uiPriority w:val="99"/>
    <w:semiHidden/>
    <w:unhideWhenUsed/>
    <w:rsid w:val="00153252"/>
    <w:pPr>
      <w:spacing w:after="0" w:line="240" w:lineRule="auto"/>
    </w:pPr>
    <w:rPr>
      <w:rFonts w:ascii="Arial Narrow" w:eastAsia="Calibri" w:hAnsi="Arial Narrow" w:cs="Calibri"/>
      <w:sz w:val="20"/>
      <w:szCs w:val="20"/>
    </w:rPr>
  </w:style>
  <w:style w:type="character" w:customStyle="1" w:styleId="EndnoteTextChar">
    <w:name w:val="Endnote Text Char"/>
    <w:basedOn w:val="DefaultParagraphFont"/>
    <w:link w:val="EndnoteText"/>
    <w:uiPriority w:val="99"/>
    <w:semiHidden/>
    <w:rsid w:val="00153252"/>
    <w:rPr>
      <w:rFonts w:ascii="Arial Narrow" w:eastAsia="Calibri" w:hAnsi="Arial Narrow" w:cs="Calibri"/>
      <w:sz w:val="20"/>
      <w:szCs w:val="20"/>
      <w:lang w:val="sr-Latn-ME"/>
    </w:rPr>
  </w:style>
  <w:style w:type="character" w:styleId="EndnoteReference">
    <w:name w:val="endnote reference"/>
    <w:basedOn w:val="DefaultParagraphFont"/>
    <w:uiPriority w:val="99"/>
    <w:semiHidden/>
    <w:unhideWhenUsed/>
    <w:rsid w:val="00153252"/>
    <w:rPr>
      <w:vertAlign w:val="superscript"/>
    </w:rPr>
  </w:style>
  <w:style w:type="table" w:customStyle="1" w:styleId="TableGrid12">
    <w:name w:val="Table Grid12"/>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3252"/>
    <w:pPr>
      <w:autoSpaceDE w:val="0"/>
      <w:autoSpaceDN w:val="0"/>
      <w:adjustRightInd w:val="0"/>
      <w:spacing w:after="0" w:line="240" w:lineRule="auto"/>
    </w:pPr>
    <w:rPr>
      <w:rFonts w:ascii="Arial" w:eastAsia="Calibri" w:hAnsi="Arial" w:cs="Arial"/>
      <w:color w:val="000000"/>
      <w:sz w:val="24"/>
      <w:szCs w:val="24"/>
      <w:lang w:val="sr-Latn-CS"/>
    </w:rPr>
  </w:style>
  <w:style w:type="table" w:customStyle="1" w:styleId="TableGrid91">
    <w:name w:val="Table Grid91"/>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53252"/>
    <w:pPr>
      <w:spacing w:after="0" w:line="240" w:lineRule="auto"/>
    </w:pPr>
    <w:rPr>
      <w:rFonts w:ascii="Arial Narrow" w:eastAsia="Calibri" w:hAnsi="Arial Narrow"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15325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53252"/>
    <w:rPr>
      <w:rFonts w:ascii="Georgia" w:eastAsia="Georgia" w:hAnsi="Georgia" w:cs="Georgia"/>
      <w:i/>
      <w:color w:val="666666"/>
      <w:sz w:val="48"/>
      <w:szCs w:val="48"/>
      <w:lang w:val="sr-Latn-ME"/>
    </w:rPr>
  </w:style>
  <w:style w:type="table" w:customStyle="1" w:styleId="TableGrid23">
    <w:name w:val="Table Grid23"/>
    <w:basedOn w:val="TableNormal"/>
    <w:next w:val="TableGrid"/>
    <w:uiPriority w:val="39"/>
    <w:rsid w:val="00153252"/>
    <w:pPr>
      <w:spacing w:after="0" w:line="240" w:lineRule="auto"/>
    </w:pPr>
    <w:rPr>
      <w:rFonts w:ascii="Arial Narrow" w:eastAsia="Calibri" w:hAnsi="Arial Narrow"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53252"/>
    <w:pPr>
      <w:spacing w:after="0" w:line="240" w:lineRule="auto"/>
    </w:pPr>
    <w:rPr>
      <w:rFonts w:ascii="Arial Narrow" w:eastAsia="Calibri" w:hAnsi="Arial Narrow"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53252"/>
    <w:pPr>
      <w:spacing w:after="0" w:line="240" w:lineRule="auto"/>
    </w:pPr>
    <w:rPr>
      <w:rFonts w:ascii="Arial Narrow" w:eastAsia="Calibri" w:hAnsi="Arial Narrow"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153252"/>
    <w:pPr>
      <w:spacing w:after="0" w:line="240" w:lineRule="auto"/>
    </w:pPr>
    <w:rPr>
      <w:rFonts w:ascii="Arial Narrow" w:eastAsia="Calibri" w:hAnsi="Arial Narrow"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153252"/>
    <w:pPr>
      <w:spacing w:after="0" w:line="240" w:lineRule="auto"/>
    </w:pPr>
    <w:rPr>
      <w:rFonts w:ascii="Arial Narrow" w:eastAsia="Calibri" w:hAnsi="Arial Narrow"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_1tekst"/>
    <w:basedOn w:val="Normal"/>
    <w:rsid w:val="00B80AA5"/>
    <w:pPr>
      <w:spacing w:after="0" w:line="240" w:lineRule="auto"/>
      <w:ind w:left="150" w:right="150" w:firstLine="240"/>
      <w:jc w:val="both"/>
    </w:pPr>
    <w:rPr>
      <w:rFonts w:ascii="Tahoma" w:eastAsia="Times New Roman" w:hAnsi="Tahoma" w:cs="Tahoma"/>
      <w:sz w:val="23"/>
      <w:szCs w:val="23"/>
      <w:lang w:val="en-US"/>
    </w:rPr>
  </w:style>
  <w:style w:type="character" w:customStyle="1" w:styleId="ListParagraphChar">
    <w:name w:val="List Paragraph Char"/>
    <w:aliases w:val="Table of contents numbered Char,123 List Paragraph Char,ANNEX Char,Bullet paras Char,Bullets Char,List Paragraph (numbered (a)) Char,List Paragraph nowy Char,List Paragraph1 Char,List_Paragraph Char,Liste 1 Char"/>
    <w:link w:val="ListParagraph"/>
    <w:uiPriority w:val="34"/>
    <w:qFormat/>
    <w:locked/>
    <w:rsid w:val="00B80AA5"/>
    <w:rPr>
      <w:lang w:val="sr-Latn-ME"/>
    </w:rPr>
  </w:style>
  <w:style w:type="numbering" w:customStyle="1" w:styleId="NoList2">
    <w:name w:val="No List2"/>
    <w:next w:val="NoList"/>
    <w:uiPriority w:val="99"/>
    <w:semiHidden/>
    <w:unhideWhenUsed/>
    <w:rsid w:val="00B80AA5"/>
  </w:style>
  <w:style w:type="table" w:customStyle="1" w:styleId="TableGrid28">
    <w:name w:val="Table Grid28"/>
    <w:basedOn w:val="TableNormal"/>
    <w:next w:val="TableGrid"/>
    <w:uiPriority w:val="39"/>
    <w:rsid w:val="00B80AA5"/>
    <w:pPr>
      <w:spacing w:after="0" w:line="240" w:lineRule="auto"/>
    </w:pPr>
    <w:rPr>
      <w:rFonts w:ascii="Arial Narrow" w:eastAsia="Calibri" w:hAnsi="Arial Narrow" w:cs="Calibri"/>
      <w:sz w:val="24"/>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B80AA5"/>
    <w:pPr>
      <w:spacing w:after="0" w:line="240" w:lineRule="auto"/>
    </w:pPr>
    <w:rPr>
      <w:rFonts w:ascii="Arial Narrow" w:eastAsia="Calibri" w:hAnsi="Arial Narrow" w:cs="Calibri"/>
      <w:sz w:val="24"/>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B80AA5"/>
    <w:pPr>
      <w:spacing w:after="0" w:line="240" w:lineRule="auto"/>
    </w:pPr>
    <w:rPr>
      <w:rFonts w:ascii="Arial Narrow" w:eastAsia="Calibri" w:hAnsi="Arial Narrow" w:cs="Calibri"/>
      <w:sz w:val="24"/>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B80AA5"/>
    <w:pPr>
      <w:spacing w:after="0" w:line="240" w:lineRule="auto"/>
    </w:pPr>
    <w:rPr>
      <w:rFonts w:ascii="Arial Narrow" w:eastAsia="Calibri" w:hAnsi="Arial Narrow" w:cs="Calibri"/>
      <w:sz w:val="24"/>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72464B"/>
    <w:pPr>
      <w:spacing w:after="0" w:line="240" w:lineRule="auto"/>
    </w:pPr>
    <w:rPr>
      <w:rFonts w:ascii="Arial Narrow" w:eastAsia="Calibri" w:hAnsi="Arial Narrow"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72464B"/>
    <w:pPr>
      <w:spacing w:after="0" w:line="240" w:lineRule="auto"/>
    </w:pPr>
    <w:rPr>
      <w:rFonts w:ascii="Arial Narrow" w:eastAsia="Calibri" w:hAnsi="Arial Narrow"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72464B"/>
    <w:pPr>
      <w:spacing w:after="0" w:line="240" w:lineRule="auto"/>
    </w:pPr>
    <w:rPr>
      <w:rFonts w:ascii="Arial Narrow" w:eastAsia="Calibri" w:hAnsi="Arial Narrow"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A08C8"/>
    <w:pPr>
      <w:spacing w:after="0" w:line="240" w:lineRule="auto"/>
    </w:pPr>
    <w:rPr>
      <w:rFonts w:ascii="Arial Narrow" w:hAnsi="Arial Narrow"/>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8146A7"/>
    <w:pPr>
      <w:spacing w:after="0" w:line="240" w:lineRule="auto"/>
    </w:pPr>
    <w:rPr>
      <w:rFonts w:ascii="Arial Narrow" w:hAnsi="Arial Narrow"/>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8146A7"/>
    <w:pPr>
      <w:spacing w:after="0" w:line="240" w:lineRule="auto"/>
    </w:pPr>
    <w:rPr>
      <w:rFonts w:ascii="Arial Narrow" w:hAnsi="Arial Narrow"/>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38388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NormalWeb">
    <w:name w:val="Normal (Web)"/>
    <w:basedOn w:val="Normal"/>
    <w:uiPriority w:val="99"/>
    <w:semiHidden/>
    <w:unhideWhenUsed/>
    <w:rsid w:val="00383886"/>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383886"/>
    <w:rPr>
      <w:color w:val="605E5C"/>
      <w:shd w:val="clear" w:color="auto" w:fill="E1DFDD"/>
    </w:rPr>
  </w:style>
  <w:style w:type="table" w:customStyle="1" w:styleId="TableGrid41">
    <w:name w:val="Table Grid41"/>
    <w:basedOn w:val="TableNormal"/>
    <w:next w:val="TableGrid"/>
    <w:uiPriority w:val="39"/>
    <w:rsid w:val="00383886"/>
    <w:pPr>
      <w:spacing w:after="0" w:line="240" w:lineRule="auto"/>
    </w:pPr>
    <w:rPr>
      <w:rFonts w:ascii="Arial Narrow" w:hAnsi="Arial Narrow"/>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20161C"/>
    <w:pPr>
      <w:spacing w:after="0" w:line="240" w:lineRule="auto"/>
    </w:pPr>
    <w:rPr>
      <w:rFonts w:ascii="Arial Narrow" w:hAnsi="Arial Narrow"/>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D6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3786">
      <w:bodyDiv w:val="1"/>
      <w:marLeft w:val="0"/>
      <w:marRight w:val="0"/>
      <w:marTop w:val="0"/>
      <w:marBottom w:val="0"/>
      <w:divBdr>
        <w:top w:val="none" w:sz="0" w:space="0" w:color="auto"/>
        <w:left w:val="none" w:sz="0" w:space="0" w:color="auto"/>
        <w:bottom w:val="none" w:sz="0" w:space="0" w:color="auto"/>
        <w:right w:val="none" w:sz="0" w:space="0" w:color="auto"/>
      </w:divBdr>
    </w:div>
    <w:div w:id="483011370">
      <w:bodyDiv w:val="1"/>
      <w:marLeft w:val="0"/>
      <w:marRight w:val="0"/>
      <w:marTop w:val="0"/>
      <w:marBottom w:val="0"/>
      <w:divBdr>
        <w:top w:val="none" w:sz="0" w:space="0" w:color="auto"/>
        <w:left w:val="none" w:sz="0" w:space="0" w:color="auto"/>
        <w:bottom w:val="none" w:sz="0" w:space="0" w:color="auto"/>
        <w:right w:val="none" w:sz="0" w:space="0" w:color="auto"/>
      </w:divBdr>
    </w:div>
    <w:div w:id="1073888760">
      <w:bodyDiv w:val="1"/>
      <w:marLeft w:val="0"/>
      <w:marRight w:val="0"/>
      <w:marTop w:val="0"/>
      <w:marBottom w:val="0"/>
      <w:divBdr>
        <w:top w:val="none" w:sz="0" w:space="0" w:color="auto"/>
        <w:left w:val="none" w:sz="0" w:space="0" w:color="auto"/>
        <w:bottom w:val="none" w:sz="0" w:space="0" w:color="auto"/>
        <w:right w:val="none" w:sz="0" w:space="0" w:color="auto"/>
      </w:divBdr>
    </w:div>
    <w:div w:id="1447196996">
      <w:bodyDiv w:val="1"/>
      <w:marLeft w:val="0"/>
      <w:marRight w:val="0"/>
      <w:marTop w:val="0"/>
      <w:marBottom w:val="0"/>
      <w:divBdr>
        <w:top w:val="none" w:sz="0" w:space="0" w:color="auto"/>
        <w:left w:val="none" w:sz="0" w:space="0" w:color="auto"/>
        <w:bottom w:val="none" w:sz="0" w:space="0" w:color="auto"/>
        <w:right w:val="none" w:sz="0" w:space="0" w:color="auto"/>
      </w:divBdr>
    </w:div>
    <w:div w:id="1507400360">
      <w:bodyDiv w:val="1"/>
      <w:marLeft w:val="0"/>
      <w:marRight w:val="0"/>
      <w:marTop w:val="0"/>
      <w:marBottom w:val="0"/>
      <w:divBdr>
        <w:top w:val="none" w:sz="0" w:space="0" w:color="auto"/>
        <w:left w:val="none" w:sz="0" w:space="0" w:color="auto"/>
        <w:bottom w:val="none" w:sz="0" w:space="0" w:color="auto"/>
        <w:right w:val="none" w:sz="0" w:space="0" w:color="auto"/>
      </w:divBdr>
    </w:div>
    <w:div w:id="1899432843">
      <w:bodyDiv w:val="1"/>
      <w:marLeft w:val="0"/>
      <w:marRight w:val="0"/>
      <w:marTop w:val="0"/>
      <w:marBottom w:val="0"/>
      <w:divBdr>
        <w:top w:val="none" w:sz="0" w:space="0" w:color="auto"/>
        <w:left w:val="none" w:sz="0" w:space="0" w:color="auto"/>
        <w:bottom w:val="none" w:sz="0" w:space="0" w:color="auto"/>
        <w:right w:val="none" w:sz="0" w:space="0" w:color="auto"/>
      </w:divBdr>
    </w:div>
    <w:div w:id="191473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hyperlink" Target="https://monstat.org/cg/page.php?id=444&amp;pageid=45"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monstat.org/cg/page.php?id=444&amp;pageid=45"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www.data.gov.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monstat.org/cg/page.php?id=1787&amp;pageid=44"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file:///C:\Users\Zvizdojevic%20Jelena\AppData\Local\Microsoft\Windows\INetCache\Content.Outlook\I3KX2VEP\SPRV%20i%20PRV%20final%202022.xlsx" TargetMode="Externa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data.gov.m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me/dokumenta/02f8c410-f87b-4004-96fa-a8eb7eb20b32" TargetMode="External"/><Relationship Id="rId2" Type="http://schemas.openxmlformats.org/officeDocument/2006/relationships/hyperlink" Target="https://www.gov.me/dokumenta/02f8c410-f87b-4004-96fa-a8eb7eb20b32" TargetMode="External"/><Relationship Id="rId1" Type="http://schemas.openxmlformats.org/officeDocument/2006/relationships/hyperlink" Target="https://www.cedem.me/publikacije/istrazivanja/ostala-istrazivanja/send/31-ostala-istrazivanja/1980-obrasci-i-stepen-diskriminacije-u-crnoj-gori-u-2020-godini" TargetMode="External"/><Relationship Id="rId4" Type="http://schemas.openxmlformats.org/officeDocument/2006/relationships/hyperlink" Target="file:///C:\Users\Zvizdojevic%20Jelena\AppData\Local\Microsoft\Windows\INetCache\Content.Outlook\I3KX2VEP\SPRV%20i%20PRV%20final%202022.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E8CBBC26CA4757BE763973F54AC079"/>
        <w:category>
          <w:name w:val="General"/>
          <w:gallery w:val="placeholder"/>
        </w:category>
        <w:types>
          <w:type w:val="bbPlcHdr"/>
        </w:types>
        <w:behaviors>
          <w:behavior w:val="content"/>
        </w:behaviors>
        <w:guid w:val="{9CDB9695-6622-42CD-9E74-CDD8EC66E141}"/>
      </w:docPartPr>
      <w:docPartBody>
        <w:p w:rsidR="00230F38" w:rsidRDefault="00957A38" w:rsidP="00957A38">
          <w:pPr>
            <w:pStyle w:val="4FE8CBBC26CA4757BE763973F54AC079"/>
          </w:pPr>
          <w:r>
            <w:rPr>
              <w:color w:val="2F5496" w:themeColor="accent1" w:themeShade="BF"/>
              <w:sz w:val="24"/>
              <w:szCs w:val="24"/>
            </w:rPr>
            <w:t>[Company name]</w:t>
          </w:r>
        </w:p>
      </w:docPartBody>
    </w:docPart>
    <w:docPart>
      <w:docPartPr>
        <w:name w:val="CA9896199D2E4A7596572C84178200ED"/>
        <w:category>
          <w:name w:val="General"/>
          <w:gallery w:val="placeholder"/>
        </w:category>
        <w:types>
          <w:type w:val="bbPlcHdr"/>
        </w:types>
        <w:behaviors>
          <w:behavior w:val="content"/>
        </w:behaviors>
        <w:guid w:val="{538614F1-0A1D-4C5C-B932-239C8C39893D}"/>
      </w:docPartPr>
      <w:docPartBody>
        <w:p w:rsidR="00230F38" w:rsidRDefault="00957A38" w:rsidP="00957A38">
          <w:pPr>
            <w:pStyle w:val="CA9896199D2E4A7596572C84178200ED"/>
          </w:pPr>
          <w:r>
            <w:rPr>
              <w:rFonts w:asciiTheme="majorHAnsi" w:eastAsiaTheme="majorEastAsia" w:hAnsiTheme="majorHAnsi" w:cstheme="majorBidi"/>
              <w:color w:val="4472C4" w:themeColor="accent1"/>
              <w:sz w:val="88"/>
              <w:szCs w:val="88"/>
            </w:rPr>
            <w:t>[Document title]</w:t>
          </w:r>
        </w:p>
      </w:docPartBody>
    </w:docPart>
    <w:docPart>
      <w:docPartPr>
        <w:name w:val="9C36955E5D0445729FA46E8C51140209"/>
        <w:category>
          <w:name w:val="General"/>
          <w:gallery w:val="placeholder"/>
        </w:category>
        <w:types>
          <w:type w:val="bbPlcHdr"/>
        </w:types>
        <w:behaviors>
          <w:behavior w:val="content"/>
        </w:behaviors>
        <w:guid w:val="{FB0FB83D-4197-4839-BA2C-4CFDCCF401BE}"/>
      </w:docPartPr>
      <w:docPartBody>
        <w:p w:rsidR="00230F38" w:rsidRDefault="00957A38" w:rsidP="00957A38">
          <w:pPr>
            <w:pStyle w:val="9C36955E5D0445729FA46E8C51140209"/>
          </w:pPr>
          <w:r>
            <w:rPr>
              <w:color w:val="2F5496" w:themeColor="accent1" w:themeShade="BF"/>
              <w:sz w:val="24"/>
              <w:szCs w:val="24"/>
            </w:rPr>
            <w:t>[Document subtitle]</w:t>
          </w:r>
        </w:p>
      </w:docPartBody>
    </w:docPart>
    <w:docPart>
      <w:docPartPr>
        <w:name w:val="A339504AC3924FBA962F5E7D15038F8C"/>
        <w:category>
          <w:name w:val="General"/>
          <w:gallery w:val="placeholder"/>
        </w:category>
        <w:types>
          <w:type w:val="bbPlcHdr"/>
        </w:types>
        <w:behaviors>
          <w:behavior w:val="content"/>
        </w:behaviors>
        <w:guid w:val="{958F78EA-208C-4D01-85EF-FE805CFC34FC}"/>
      </w:docPartPr>
      <w:docPartBody>
        <w:p w:rsidR="00230F38" w:rsidRDefault="00957A38" w:rsidP="00957A38">
          <w:pPr>
            <w:pStyle w:val="A339504AC3924FBA962F5E7D15038F8C"/>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A38"/>
    <w:rsid w:val="0016152F"/>
    <w:rsid w:val="0020691F"/>
    <w:rsid w:val="00230F38"/>
    <w:rsid w:val="0025245E"/>
    <w:rsid w:val="002B5BB1"/>
    <w:rsid w:val="00355E3D"/>
    <w:rsid w:val="003A27AD"/>
    <w:rsid w:val="0042697C"/>
    <w:rsid w:val="0062794A"/>
    <w:rsid w:val="008565B4"/>
    <w:rsid w:val="00957A38"/>
    <w:rsid w:val="00BA182E"/>
    <w:rsid w:val="00C06E6D"/>
    <w:rsid w:val="00CF5E8C"/>
    <w:rsid w:val="00CF7A53"/>
    <w:rsid w:val="00F017E2"/>
    <w:rsid w:val="00F7482A"/>
    <w:rsid w:val="00F9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E8CBBC26CA4757BE763973F54AC079">
    <w:name w:val="4FE8CBBC26CA4757BE763973F54AC079"/>
    <w:rsid w:val="00957A38"/>
  </w:style>
  <w:style w:type="paragraph" w:customStyle="1" w:styleId="CA9896199D2E4A7596572C84178200ED">
    <w:name w:val="CA9896199D2E4A7596572C84178200ED"/>
    <w:rsid w:val="00957A38"/>
  </w:style>
  <w:style w:type="paragraph" w:customStyle="1" w:styleId="9C36955E5D0445729FA46E8C51140209">
    <w:name w:val="9C36955E5D0445729FA46E8C51140209"/>
    <w:rsid w:val="00957A38"/>
  </w:style>
  <w:style w:type="paragraph" w:customStyle="1" w:styleId="A339504AC3924FBA962F5E7D15038F8C">
    <w:name w:val="A339504AC3924FBA962F5E7D15038F8C"/>
    <w:rsid w:val="00957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3. XII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9638CF-F2CF-4D0E-BC42-A0C0F5BD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162</Pages>
  <Words>41846</Words>
  <Characters>238524</Characters>
  <Application>Microsoft Office Word</Application>
  <DocSecurity>0</DocSecurity>
  <Lines>1987</Lines>
  <Paragraphs>559</Paragraphs>
  <ScaleCrop>false</ScaleCrop>
  <HeadingPairs>
    <vt:vector size="2" baseType="variant">
      <vt:variant>
        <vt:lpstr>Title</vt:lpstr>
      </vt:variant>
      <vt:variant>
        <vt:i4>1</vt:i4>
      </vt:variant>
    </vt:vector>
  </HeadingPairs>
  <TitlesOfParts>
    <vt:vector size="1" baseType="lpstr">
      <vt:lpstr>Srednjoročni program rada Vlade 2022-2024. s programom rada za 2022. godinu</vt:lpstr>
    </vt:vector>
  </TitlesOfParts>
  <Company>Vlada Crne Gore</Company>
  <LinksUpToDate>false</LinksUpToDate>
  <CharactersWithSpaces>279811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Srednjoročni program rada Vlade 2022-2024. s programom rada za 2022. godinu</dc:title>
  <dc:subject>NACRT</dc:subject>
  <dc:creator>Milica Mujovic</dc:creator>
  <cp:keywords/>
  <dc:description/>
  <cp:lastModifiedBy>Almedina Vukic</cp:lastModifiedBy>
  <cp:revision>14</cp:revision>
  <dcterms:created xsi:type="dcterms:W3CDTF">2021-12-06T11:20:00Z</dcterms:created>
  <dcterms:modified xsi:type="dcterms:W3CDTF">2021-12-09T20:37:00Z</dcterms:modified>
</cp:coreProperties>
</file>