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6D" w:rsidRDefault="000A216D" w:rsidP="007B151B">
      <w:pPr>
        <w:rPr>
          <w:b/>
        </w:rPr>
      </w:pPr>
    </w:p>
    <w:p w:rsidR="008D3DA6" w:rsidRDefault="008D3DA6" w:rsidP="008D3DA6">
      <w:pPr>
        <w:rPr>
          <w:b/>
        </w:rPr>
      </w:pPr>
      <w:r w:rsidRPr="00CC5BC9">
        <w:rPr>
          <w:b/>
        </w:rPr>
        <w:t>Realni sektor</w:t>
      </w:r>
      <w:r>
        <w:rPr>
          <w:b/>
        </w:rPr>
        <w:t xml:space="preserve"> </w:t>
      </w:r>
    </w:p>
    <w:p w:rsidR="00352B48" w:rsidRDefault="00352B48" w:rsidP="00352B48">
      <w:pPr>
        <w:rPr>
          <w:color w:val="FF0000"/>
          <w:sz w:val="20"/>
          <w:szCs w:val="20"/>
        </w:rPr>
      </w:pPr>
      <w:r>
        <w:rPr>
          <w:sz w:val="20"/>
          <w:szCs w:val="20"/>
        </w:rPr>
        <w:t>Promet u turizmu u 2016.</w:t>
      </w:r>
      <w:r w:rsidR="0018368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bilježi rast dolazaka 5,9% i noćenja 1,8% </w:t>
      </w:r>
      <w:r w:rsidR="00183681">
        <w:rPr>
          <w:sz w:val="20"/>
          <w:szCs w:val="20"/>
        </w:rPr>
        <w:t>g-n-g</w:t>
      </w:r>
      <w:r>
        <w:rPr>
          <w:sz w:val="20"/>
          <w:szCs w:val="20"/>
        </w:rPr>
        <w:t>. U strukturi noćenja, strani  turisti čine 93,6% sa rastom od 2,1% u odnosu na 2015. godinu, dok domaći gosti čine 6,4% noćenja i bilježe pad od 3,5% u odnosu na 2015. godinu. Najveće učešće u noćenjima stranih turista imaju gosti iz Rusije (27,3%) i Srbije (26,2%), dok je najveći broj noćenja zabilježen u julu (3,1 mil.) i avgustu (4,0 mil.).</w:t>
      </w:r>
      <w:r w:rsidR="00183681">
        <w:rPr>
          <w:sz w:val="20"/>
          <w:szCs w:val="20"/>
        </w:rPr>
        <w:t xml:space="preserve"> </w:t>
      </w:r>
      <w:r>
        <w:rPr>
          <w:sz w:val="20"/>
          <w:szCs w:val="20"/>
        </w:rPr>
        <w:t>Industrijska proizvodnja u 2016. godini bilježi pad od 4,4%, usljed pada u sektorima “vađenje rude i kamena”  18,1% (pad proizviodnje u oblasti vađenje uglja 18,6%) i “prerađivačka industrija” 7,8% (pad proizvodnje pića 2,9%, duvana 52,8%, osnovnih metala 15,0% i farmaceutskih proizvoda 7,1%), dok je proizvodnja u sektoru “snabdijevanje el.</w:t>
      </w:r>
      <w:r w:rsidR="00183681">
        <w:rPr>
          <w:sz w:val="20"/>
          <w:szCs w:val="20"/>
        </w:rPr>
        <w:t>energijom, gasom i parom” zabilj</w:t>
      </w:r>
      <w:r>
        <w:rPr>
          <w:sz w:val="20"/>
          <w:szCs w:val="20"/>
        </w:rPr>
        <w:t xml:space="preserve">ežila rast od 3,5% </w:t>
      </w:r>
      <w:r w:rsidR="00183681">
        <w:rPr>
          <w:sz w:val="20"/>
          <w:szCs w:val="20"/>
        </w:rPr>
        <w:t>g-n-g</w:t>
      </w:r>
      <w:r>
        <w:rPr>
          <w:sz w:val="20"/>
          <w:szCs w:val="20"/>
        </w:rPr>
        <w:t xml:space="preserve">. Promet u maloprodaji u periodu januar-decembar 2016. bilježi rast od 4,1% u tekućim i 2,4% u stalnim cijenama. 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Inflacija</w:t>
      </w:r>
      <w:r>
        <w:rPr>
          <w:b/>
        </w:rPr>
        <w:t xml:space="preserve"> </w:t>
      </w:r>
    </w:p>
    <w:p w:rsidR="00352B48" w:rsidRDefault="00352B48" w:rsidP="00352B48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</w:t>
      </w:r>
      <w:r w:rsidRPr="007E1762">
        <w:rPr>
          <w:rFonts w:cstheme="minorHAnsi"/>
          <w:sz w:val="20"/>
          <w:szCs w:val="20"/>
        </w:rPr>
        <w:t xml:space="preserve">odišnja </w:t>
      </w:r>
      <w:r>
        <w:rPr>
          <w:rFonts w:cstheme="minorHAnsi"/>
          <w:sz w:val="20"/>
          <w:szCs w:val="20"/>
        </w:rPr>
        <w:t xml:space="preserve">stopa inflacije (CPI) u </w:t>
      </w:r>
      <w:r w:rsidR="00183681">
        <w:rPr>
          <w:rFonts w:cstheme="minorHAnsi"/>
          <w:sz w:val="20"/>
          <w:szCs w:val="20"/>
        </w:rPr>
        <w:t xml:space="preserve">decembru </w:t>
      </w:r>
      <w:r>
        <w:rPr>
          <w:rFonts w:cstheme="minorHAnsi"/>
          <w:sz w:val="20"/>
          <w:szCs w:val="20"/>
        </w:rPr>
        <w:t xml:space="preserve">iznosila je 0,9%, dok je prosječna stopa za period januar-decembar iznosila -0,2%. Najveći pozitivan uticaj na godišnju stopu inflacije imale su cijene čvrstih goriva (rast 40,5% i uticaj 0,30 p.p), goriva i maziva (rast 47,4% i uticaj 0,16 p.p) i farmaceutskih proizvoda (rast 24,9% i uticaj 0,15 p.p), dok su najveći negativan uticaj imale cijene povrća sa padom od 6,5% i uticajem od -0,23 p.p. </w:t>
      </w:r>
      <w:r w:rsidRPr="007E1762">
        <w:rPr>
          <w:rFonts w:cstheme="minorHAnsi"/>
          <w:sz w:val="20"/>
          <w:szCs w:val="20"/>
        </w:rPr>
        <w:t>Inflacija</w:t>
      </w:r>
      <w:r>
        <w:rPr>
          <w:rFonts w:cstheme="minorHAnsi"/>
          <w:sz w:val="20"/>
          <w:szCs w:val="20"/>
        </w:rPr>
        <w:t xml:space="preserve"> mjerena HICP-om u decembru je iznosila 0,9</w:t>
      </w:r>
      <w:r w:rsidRPr="007E1762">
        <w:rPr>
          <w:rFonts w:cstheme="minorHAnsi"/>
          <w:sz w:val="20"/>
          <w:szCs w:val="20"/>
        </w:rPr>
        <w:t>%</w:t>
      </w:r>
      <w:r>
        <w:rPr>
          <w:rFonts w:cstheme="minorHAnsi"/>
          <w:sz w:val="20"/>
          <w:szCs w:val="20"/>
        </w:rPr>
        <w:t>, dok je prosječna inflacija za 2016. godinu iznosila 0,1%.</w:t>
      </w:r>
      <w:r w:rsidR="0018368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Cijene proizvođača</w:t>
      </w:r>
      <w:r w:rsidRPr="007E1762">
        <w:rPr>
          <w:rFonts w:cstheme="minorHAnsi"/>
          <w:sz w:val="20"/>
          <w:szCs w:val="20"/>
        </w:rPr>
        <w:t xml:space="preserve"> industrijskih</w:t>
      </w:r>
      <w:r>
        <w:rPr>
          <w:rFonts w:cstheme="minorHAnsi"/>
          <w:sz w:val="20"/>
          <w:szCs w:val="20"/>
        </w:rPr>
        <w:t xml:space="preserve"> proizvoda u decembru bilježe </w:t>
      </w:r>
      <w:r w:rsidRPr="007E176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pad od 0,3</w:t>
      </w:r>
      <w:r w:rsidRPr="007E1762">
        <w:rPr>
          <w:rFonts w:cstheme="minorHAnsi"/>
          <w:sz w:val="20"/>
          <w:szCs w:val="20"/>
        </w:rPr>
        <w:t>%. Izvozne cijene</w:t>
      </w:r>
      <w:r>
        <w:rPr>
          <w:rFonts w:cstheme="minorHAnsi"/>
          <w:sz w:val="20"/>
          <w:szCs w:val="20"/>
        </w:rPr>
        <w:t xml:space="preserve"> nastavljaju rast (6,4%) </w:t>
      </w:r>
      <w:r w:rsidRPr="007E1762">
        <w:rPr>
          <w:rFonts w:cstheme="minorHAnsi"/>
          <w:sz w:val="20"/>
          <w:szCs w:val="20"/>
        </w:rPr>
        <w:t xml:space="preserve"> usljed rasta cijena osnovnih metala </w:t>
      </w:r>
      <w:r>
        <w:rPr>
          <w:rFonts w:cstheme="minorHAnsi"/>
          <w:sz w:val="20"/>
          <w:szCs w:val="20"/>
        </w:rPr>
        <w:t xml:space="preserve">od 13,5%, dok uvozne cijene u decembru, prvi put od početka godine, bilježe rast od 0,6% </w:t>
      </w:r>
      <w:r w:rsidR="00183681">
        <w:rPr>
          <w:rFonts w:cstheme="minorHAnsi"/>
          <w:sz w:val="20"/>
          <w:szCs w:val="20"/>
        </w:rPr>
        <w:t>g-n-g</w:t>
      </w:r>
      <w:r>
        <w:rPr>
          <w:rFonts w:cstheme="minorHAnsi"/>
          <w:sz w:val="20"/>
          <w:szCs w:val="20"/>
        </w:rPr>
        <w:t xml:space="preserve"> usljed rasta cijena duvana (7,4%) i koksa i derivate nafte (5,0%).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Zaposlenost i zarade</w:t>
      </w:r>
      <w:r>
        <w:rPr>
          <w:b/>
        </w:rPr>
        <w:t xml:space="preserve"> </w:t>
      </w:r>
    </w:p>
    <w:p w:rsidR="00352B48" w:rsidRPr="00352B48" w:rsidRDefault="00352B48" w:rsidP="00352B48">
      <w:pPr>
        <w:rPr>
          <w:rFonts w:cstheme="minorHAnsi"/>
          <w:sz w:val="20"/>
          <w:szCs w:val="20"/>
        </w:rPr>
      </w:pPr>
      <w:r w:rsidRPr="00352B48">
        <w:rPr>
          <w:rFonts w:cstheme="minorHAnsi"/>
          <w:sz w:val="20"/>
          <w:szCs w:val="20"/>
        </w:rPr>
        <w:t>Kretanja na tržištu rada pokazuju da se u decembru broj zaposlenih povećao za 2,9% g-n-g, ali i nezaposlenih za 23,7%. Stopa nezaposlenosti iznosila je 21,13% i veća je za 4,15 p.p. g-n-g. Prosječna zarada u pomenutom mjesecu iznosila je 764 eura i veća je za 3,6% g-n-g., dok je prosječna neto zarada iznosila 509 eura što je povećanje za 4,1% g-n-g.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Javne finansije</w:t>
      </w:r>
      <w:r>
        <w:rPr>
          <w:b/>
        </w:rPr>
        <w:t xml:space="preserve"> </w:t>
      </w:r>
    </w:p>
    <w:p w:rsidR="001772D3" w:rsidRDefault="00183681" w:rsidP="004F2AE0">
      <w:pPr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Prema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preliminarnim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podacima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</w:t>
      </w:r>
      <w:r w:rsidR="00352B48">
        <w:rPr>
          <w:sz w:val="20"/>
          <w:szCs w:val="20"/>
          <w:lang w:val="en-US"/>
        </w:rPr>
        <w:t>rihodi</w:t>
      </w:r>
      <w:proofErr w:type="spellEnd"/>
      <w:r w:rsidR="00352B48">
        <w:rPr>
          <w:sz w:val="20"/>
          <w:szCs w:val="20"/>
          <w:lang w:val="en-US"/>
        </w:rPr>
        <w:t xml:space="preserve"> </w:t>
      </w:r>
      <w:proofErr w:type="spellStart"/>
      <w:r w:rsidR="00352B48">
        <w:rPr>
          <w:sz w:val="20"/>
          <w:szCs w:val="20"/>
          <w:lang w:val="en-US"/>
        </w:rPr>
        <w:t>budžeta</w:t>
      </w:r>
      <w:proofErr w:type="spellEnd"/>
      <w:r w:rsidR="00352B48">
        <w:rPr>
          <w:sz w:val="20"/>
          <w:szCs w:val="20"/>
          <w:lang w:val="en-US"/>
        </w:rPr>
        <w:t xml:space="preserve"> u 2016.</w:t>
      </w:r>
      <w:proofErr w:type="gramEnd"/>
      <w:r w:rsidR="00352B48"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godini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</w:t>
      </w:r>
      <w:r w:rsidR="00352B48">
        <w:rPr>
          <w:sz w:val="20"/>
          <w:szCs w:val="20"/>
          <w:lang w:val="en-US"/>
        </w:rPr>
        <w:t>znosili</w:t>
      </w:r>
      <w:proofErr w:type="spellEnd"/>
      <w:r w:rsidR="00352B48">
        <w:rPr>
          <w:sz w:val="20"/>
          <w:szCs w:val="20"/>
          <w:lang w:val="en-US"/>
        </w:rPr>
        <w:t xml:space="preserve"> </w:t>
      </w:r>
      <w:proofErr w:type="spellStart"/>
      <w:r w:rsidR="00352B48">
        <w:rPr>
          <w:sz w:val="20"/>
          <w:szCs w:val="20"/>
          <w:lang w:val="en-US"/>
        </w:rPr>
        <w:t>s</w:t>
      </w:r>
      <w:r w:rsidR="001772D3">
        <w:rPr>
          <w:sz w:val="20"/>
          <w:szCs w:val="20"/>
          <w:lang w:val="en-US"/>
        </w:rPr>
        <w:t>u</w:t>
      </w:r>
      <w:proofErr w:type="spellEnd"/>
      <w:r w:rsidR="001772D3">
        <w:rPr>
          <w:sz w:val="20"/>
          <w:szCs w:val="20"/>
          <w:lang w:val="en-US"/>
        </w:rPr>
        <w:t xml:space="preserve"> 1.486,4mil.€ </w:t>
      </w:r>
      <w:proofErr w:type="spellStart"/>
      <w:r w:rsidR="001772D3">
        <w:rPr>
          <w:sz w:val="20"/>
          <w:szCs w:val="20"/>
          <w:lang w:val="en-US"/>
        </w:rPr>
        <w:t>ili</w:t>
      </w:r>
      <w:proofErr w:type="spellEnd"/>
      <w:r w:rsidR="001772D3">
        <w:rPr>
          <w:sz w:val="20"/>
          <w:szCs w:val="20"/>
          <w:lang w:val="en-US"/>
        </w:rPr>
        <w:t xml:space="preserve"> 39,9 % BDP-a, </w:t>
      </w:r>
      <w:proofErr w:type="spellStart"/>
      <w:r w:rsidR="001772D3">
        <w:rPr>
          <w:sz w:val="20"/>
          <w:szCs w:val="20"/>
          <w:lang w:val="en-US"/>
        </w:rPr>
        <w:t>što</w:t>
      </w:r>
      <w:proofErr w:type="spellEnd"/>
      <w:r w:rsidR="001772D3">
        <w:rPr>
          <w:sz w:val="20"/>
          <w:szCs w:val="20"/>
          <w:lang w:val="en-US"/>
        </w:rPr>
        <w:t xml:space="preserve"> je </w:t>
      </w:r>
      <w:proofErr w:type="spellStart"/>
      <w:r w:rsidR="001772D3">
        <w:rPr>
          <w:sz w:val="20"/>
          <w:szCs w:val="20"/>
          <w:lang w:val="en-US"/>
        </w:rPr>
        <w:t>za</w:t>
      </w:r>
      <w:proofErr w:type="spellEnd"/>
      <w:r w:rsidR="001772D3">
        <w:rPr>
          <w:sz w:val="20"/>
          <w:szCs w:val="20"/>
          <w:lang w:val="en-US"/>
        </w:rPr>
        <w:t xml:space="preserve"> 12,1% g-n-g. </w:t>
      </w:r>
      <w:r w:rsidR="00352B48">
        <w:rPr>
          <w:sz w:val="20"/>
          <w:szCs w:val="20"/>
          <w:lang w:val="en-US"/>
        </w:rPr>
        <w:t xml:space="preserve">U </w:t>
      </w:r>
      <w:proofErr w:type="spellStart"/>
      <w:r w:rsidR="00352B48">
        <w:rPr>
          <w:sz w:val="20"/>
          <w:szCs w:val="20"/>
          <w:lang w:val="en-US"/>
        </w:rPr>
        <w:t>okviru</w:t>
      </w:r>
      <w:proofErr w:type="spellEnd"/>
      <w:r w:rsidR="00352B48">
        <w:rPr>
          <w:sz w:val="20"/>
          <w:szCs w:val="20"/>
          <w:lang w:val="en-US"/>
        </w:rPr>
        <w:t xml:space="preserve">  </w:t>
      </w:r>
      <w:proofErr w:type="spellStart"/>
      <w:r w:rsidR="00352B48">
        <w:rPr>
          <w:sz w:val="20"/>
          <w:szCs w:val="20"/>
          <w:lang w:val="en-US"/>
        </w:rPr>
        <w:t>prihoda</w:t>
      </w:r>
      <w:proofErr w:type="spellEnd"/>
      <w:r w:rsidR="00352B48">
        <w:rPr>
          <w:sz w:val="20"/>
          <w:szCs w:val="20"/>
          <w:lang w:val="en-US"/>
        </w:rPr>
        <w:t xml:space="preserve"> </w:t>
      </w:r>
      <w:proofErr w:type="spellStart"/>
      <w:r w:rsidR="00352B48">
        <w:rPr>
          <w:sz w:val="20"/>
          <w:szCs w:val="20"/>
          <w:lang w:val="en-US"/>
        </w:rPr>
        <w:t>najveći</w:t>
      </w:r>
      <w:proofErr w:type="spellEnd"/>
      <w:r w:rsidR="00352B48">
        <w:rPr>
          <w:sz w:val="20"/>
          <w:szCs w:val="20"/>
          <w:lang w:val="en-US"/>
        </w:rPr>
        <w:t xml:space="preserve"> </w:t>
      </w:r>
      <w:proofErr w:type="spellStart"/>
      <w:r w:rsidR="00352B48">
        <w:rPr>
          <w:sz w:val="20"/>
          <w:szCs w:val="20"/>
          <w:lang w:val="en-US"/>
        </w:rPr>
        <w:t>rast</w:t>
      </w:r>
      <w:proofErr w:type="spellEnd"/>
      <w:r w:rsidR="00352B48">
        <w:rPr>
          <w:sz w:val="20"/>
          <w:szCs w:val="20"/>
          <w:lang w:val="en-US"/>
        </w:rPr>
        <w:t xml:space="preserve"> </w:t>
      </w:r>
      <w:proofErr w:type="spellStart"/>
      <w:r w:rsidR="00352B48">
        <w:rPr>
          <w:sz w:val="20"/>
          <w:szCs w:val="20"/>
          <w:lang w:val="en-US"/>
        </w:rPr>
        <w:t>imamo</w:t>
      </w:r>
      <w:proofErr w:type="spellEnd"/>
      <w:r w:rsidR="00352B48">
        <w:rPr>
          <w:sz w:val="20"/>
          <w:szCs w:val="20"/>
          <w:lang w:val="en-US"/>
        </w:rPr>
        <w:t xml:space="preserve">  </w:t>
      </w:r>
      <w:proofErr w:type="spellStart"/>
      <w:r w:rsidR="00352B48">
        <w:rPr>
          <w:sz w:val="20"/>
          <w:szCs w:val="20"/>
          <w:lang w:val="en-US"/>
        </w:rPr>
        <w:t>kod</w:t>
      </w:r>
      <w:proofErr w:type="spellEnd"/>
      <w:r w:rsidR="00352B48">
        <w:rPr>
          <w:sz w:val="20"/>
          <w:szCs w:val="20"/>
          <w:lang w:val="en-US"/>
        </w:rPr>
        <w:t xml:space="preserve"> PDV-a, </w:t>
      </w:r>
      <w:proofErr w:type="spellStart"/>
      <w:r w:rsidR="00352B48">
        <w:rPr>
          <w:sz w:val="20"/>
          <w:szCs w:val="20"/>
          <w:lang w:val="en-US"/>
        </w:rPr>
        <w:t>akciza</w:t>
      </w:r>
      <w:proofErr w:type="spellEnd"/>
      <w:r w:rsidR="00352B48">
        <w:rPr>
          <w:sz w:val="20"/>
          <w:szCs w:val="20"/>
          <w:lang w:val="en-US"/>
        </w:rPr>
        <w:t xml:space="preserve"> </w:t>
      </w:r>
      <w:proofErr w:type="spellStart"/>
      <w:r w:rsidR="00352B48">
        <w:rPr>
          <w:sz w:val="20"/>
          <w:szCs w:val="20"/>
          <w:lang w:val="en-US"/>
        </w:rPr>
        <w:t>i</w:t>
      </w:r>
      <w:proofErr w:type="spellEnd"/>
      <w:r w:rsidR="00352B48">
        <w:rPr>
          <w:sz w:val="20"/>
          <w:szCs w:val="20"/>
          <w:lang w:val="en-US"/>
        </w:rPr>
        <w:t xml:space="preserve"> </w:t>
      </w:r>
      <w:proofErr w:type="spellStart"/>
      <w:r w:rsidR="00352B48">
        <w:rPr>
          <w:sz w:val="20"/>
          <w:szCs w:val="20"/>
          <w:lang w:val="en-US"/>
        </w:rPr>
        <w:t>poreza</w:t>
      </w:r>
      <w:proofErr w:type="spellEnd"/>
      <w:r w:rsidR="00352B48">
        <w:rPr>
          <w:sz w:val="20"/>
          <w:szCs w:val="20"/>
          <w:lang w:val="en-US"/>
        </w:rPr>
        <w:t xml:space="preserve"> </w:t>
      </w:r>
      <w:proofErr w:type="spellStart"/>
      <w:r w:rsidR="00352B48">
        <w:rPr>
          <w:sz w:val="20"/>
          <w:szCs w:val="20"/>
          <w:lang w:val="en-US"/>
        </w:rPr>
        <w:t>na</w:t>
      </w:r>
      <w:proofErr w:type="spellEnd"/>
      <w:r w:rsidR="00352B48">
        <w:rPr>
          <w:sz w:val="20"/>
          <w:szCs w:val="20"/>
          <w:lang w:val="en-US"/>
        </w:rPr>
        <w:t xml:space="preserve"> </w:t>
      </w:r>
      <w:proofErr w:type="spellStart"/>
      <w:r w:rsidR="00352B48">
        <w:rPr>
          <w:sz w:val="20"/>
          <w:szCs w:val="20"/>
          <w:lang w:val="en-US"/>
        </w:rPr>
        <w:t>dobit</w:t>
      </w:r>
      <w:proofErr w:type="spellEnd"/>
      <w:r w:rsidR="00352B48">
        <w:rPr>
          <w:sz w:val="20"/>
          <w:szCs w:val="20"/>
          <w:lang w:val="en-US"/>
        </w:rPr>
        <w:t xml:space="preserve">  </w:t>
      </w:r>
      <w:proofErr w:type="spellStart"/>
      <w:r w:rsidR="00352B48">
        <w:rPr>
          <w:sz w:val="20"/>
          <w:szCs w:val="20"/>
          <w:lang w:val="en-US"/>
        </w:rPr>
        <w:t>pravnih</w:t>
      </w:r>
      <w:proofErr w:type="spellEnd"/>
      <w:r w:rsidR="00352B48">
        <w:rPr>
          <w:sz w:val="20"/>
          <w:szCs w:val="20"/>
          <w:lang w:val="en-US"/>
        </w:rPr>
        <w:t xml:space="preserve"> </w:t>
      </w:r>
      <w:proofErr w:type="spellStart"/>
      <w:r w:rsidR="00352B48">
        <w:rPr>
          <w:sz w:val="20"/>
          <w:szCs w:val="20"/>
          <w:lang w:val="en-US"/>
        </w:rPr>
        <w:t>lica</w:t>
      </w:r>
      <w:proofErr w:type="spellEnd"/>
      <w:r w:rsidR="00352B48">
        <w:rPr>
          <w:sz w:val="20"/>
          <w:szCs w:val="20"/>
          <w:lang w:val="en-US"/>
        </w:rPr>
        <w:t xml:space="preserve">  </w:t>
      </w:r>
      <w:proofErr w:type="spellStart"/>
      <w:r w:rsidR="00352B48">
        <w:rPr>
          <w:sz w:val="20"/>
          <w:szCs w:val="20"/>
          <w:lang w:val="en-US"/>
        </w:rPr>
        <w:t>za</w:t>
      </w:r>
      <w:proofErr w:type="spellEnd"/>
      <w:r w:rsidR="00352B48">
        <w:rPr>
          <w:sz w:val="20"/>
          <w:szCs w:val="20"/>
          <w:lang w:val="en-US"/>
        </w:rPr>
        <w:t xml:space="preserve"> 9,5%, 7,5% </w:t>
      </w:r>
      <w:proofErr w:type="spellStart"/>
      <w:r w:rsidR="00352B48">
        <w:rPr>
          <w:sz w:val="20"/>
          <w:szCs w:val="20"/>
          <w:lang w:val="en-US"/>
        </w:rPr>
        <w:t>i</w:t>
      </w:r>
      <w:proofErr w:type="spellEnd"/>
      <w:r w:rsidR="00352B48">
        <w:rPr>
          <w:sz w:val="20"/>
          <w:szCs w:val="20"/>
          <w:lang w:val="en-US"/>
        </w:rPr>
        <w:t xml:space="preserve"> 7,4% </w:t>
      </w:r>
      <w:proofErr w:type="spellStart"/>
      <w:r w:rsidR="00352B48">
        <w:rPr>
          <w:sz w:val="20"/>
          <w:szCs w:val="20"/>
          <w:lang w:val="en-US"/>
        </w:rPr>
        <w:t>respektivno</w:t>
      </w:r>
      <w:proofErr w:type="spellEnd"/>
      <w:r w:rsidR="00352B48">
        <w:rPr>
          <w:sz w:val="20"/>
          <w:szCs w:val="20"/>
          <w:lang w:val="en-US"/>
        </w:rPr>
        <w:t xml:space="preserve">. </w:t>
      </w:r>
      <w:proofErr w:type="spellStart"/>
      <w:r w:rsidR="00352B48">
        <w:rPr>
          <w:sz w:val="20"/>
          <w:szCs w:val="20"/>
          <w:lang w:val="en-US"/>
        </w:rPr>
        <w:t>Izdaci</w:t>
      </w:r>
      <w:proofErr w:type="spellEnd"/>
      <w:r w:rsidR="00352B48">
        <w:rPr>
          <w:sz w:val="20"/>
          <w:szCs w:val="20"/>
          <w:lang w:val="en-US"/>
        </w:rPr>
        <w:t xml:space="preserve"> </w:t>
      </w:r>
      <w:proofErr w:type="spellStart"/>
      <w:r w:rsidR="00352B48">
        <w:rPr>
          <w:sz w:val="20"/>
          <w:szCs w:val="20"/>
          <w:lang w:val="en-US"/>
        </w:rPr>
        <w:t>budžeta</w:t>
      </w:r>
      <w:proofErr w:type="spellEnd"/>
      <w:r w:rsidR="00352B48">
        <w:rPr>
          <w:sz w:val="20"/>
          <w:szCs w:val="20"/>
          <w:lang w:val="en-US"/>
        </w:rPr>
        <w:t xml:space="preserve"> </w:t>
      </w:r>
    </w:p>
    <w:p w:rsidR="001772D3" w:rsidRDefault="001772D3" w:rsidP="004F2AE0">
      <w:pPr>
        <w:rPr>
          <w:sz w:val="20"/>
          <w:szCs w:val="20"/>
          <w:lang w:val="en-US"/>
        </w:rPr>
      </w:pPr>
    </w:p>
    <w:p w:rsidR="001772D3" w:rsidRDefault="00352B48" w:rsidP="004F2AE0">
      <w:pPr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iznosili</w:t>
      </w:r>
      <w:proofErr w:type="spellEnd"/>
      <w:proofErr w:type="gramEnd"/>
      <w:r w:rsidR="00720D75">
        <w:rPr>
          <w:sz w:val="20"/>
          <w:szCs w:val="20"/>
          <w:lang w:val="en-US"/>
        </w:rPr>
        <w:t xml:space="preserve"> </w:t>
      </w:r>
      <w:proofErr w:type="spellStart"/>
      <w:r w:rsidR="00720D75">
        <w:rPr>
          <w:sz w:val="20"/>
          <w:szCs w:val="20"/>
          <w:lang w:val="en-US"/>
        </w:rPr>
        <w:t>su</w:t>
      </w:r>
      <w:proofErr w:type="spellEnd"/>
      <w:r w:rsidR="00720D75">
        <w:rPr>
          <w:sz w:val="20"/>
          <w:szCs w:val="20"/>
          <w:lang w:val="en-US"/>
        </w:rPr>
        <w:t>  1.615,9</w:t>
      </w:r>
      <w:r w:rsidR="001772D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mil</w:t>
      </w:r>
      <w:r w:rsidR="001772D3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€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43,</w:t>
      </w:r>
      <w:r w:rsidR="00720D75">
        <w:rPr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>% BDP-a</w:t>
      </w:r>
      <w:r w:rsidR="00720D75">
        <w:rPr>
          <w:sz w:val="20"/>
          <w:szCs w:val="20"/>
          <w:lang w:val="en-US"/>
        </w:rPr>
        <w:t xml:space="preserve"> </w:t>
      </w:r>
      <w:proofErr w:type="spellStart"/>
      <w:r w:rsidR="00720D75">
        <w:rPr>
          <w:sz w:val="20"/>
          <w:szCs w:val="20"/>
          <w:lang w:val="en-US"/>
        </w:rPr>
        <w:t>što</w:t>
      </w:r>
      <w:proofErr w:type="spellEnd"/>
      <w:r w:rsidR="00720D75">
        <w:rPr>
          <w:sz w:val="20"/>
          <w:szCs w:val="20"/>
          <w:lang w:val="en-US"/>
        </w:rPr>
        <w:t xml:space="preserve"> je </w:t>
      </w:r>
      <w:proofErr w:type="spellStart"/>
      <w:r w:rsidR="00720D75">
        <w:rPr>
          <w:sz w:val="20"/>
          <w:szCs w:val="20"/>
          <w:lang w:val="en-US"/>
        </w:rPr>
        <w:t>za</w:t>
      </w:r>
      <w:proofErr w:type="spellEnd"/>
      <w:r w:rsidR="00720D75">
        <w:rPr>
          <w:sz w:val="20"/>
          <w:szCs w:val="20"/>
          <w:lang w:val="en-US"/>
        </w:rPr>
        <w:t xml:space="preserve"> 0,1</w:t>
      </w:r>
      <w:r w:rsidR="001772D3">
        <w:rPr>
          <w:sz w:val="20"/>
          <w:szCs w:val="20"/>
          <w:lang w:val="en-US"/>
        </w:rPr>
        <w:t xml:space="preserve">% </w:t>
      </w:r>
      <w:proofErr w:type="spellStart"/>
      <w:r w:rsidR="001772D3">
        <w:rPr>
          <w:sz w:val="20"/>
          <w:szCs w:val="20"/>
          <w:lang w:val="en-US"/>
        </w:rPr>
        <w:t>niže</w:t>
      </w:r>
      <w:proofErr w:type="spellEnd"/>
      <w:r w:rsidR="001772D3">
        <w:rPr>
          <w:sz w:val="20"/>
          <w:szCs w:val="20"/>
          <w:lang w:val="en-US"/>
        </w:rPr>
        <w:t xml:space="preserve"> g-n-g.</w:t>
      </w:r>
      <w:r>
        <w:rPr>
          <w:sz w:val="20"/>
          <w:szCs w:val="20"/>
          <w:lang w:val="en-US"/>
        </w:rPr>
        <w:t xml:space="preserve"> </w:t>
      </w:r>
      <w:proofErr w:type="spellStart"/>
      <w:r w:rsidR="001772D3">
        <w:rPr>
          <w:sz w:val="20"/>
          <w:szCs w:val="20"/>
          <w:lang w:val="en-US"/>
        </w:rPr>
        <w:t>Z</w:t>
      </w:r>
      <w:r>
        <w:rPr>
          <w:sz w:val="20"/>
          <w:szCs w:val="20"/>
          <w:lang w:val="en-US"/>
        </w:rPr>
        <w:t>abilježen</w:t>
      </w:r>
      <w:proofErr w:type="spellEnd"/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gotovinski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budžetski</w:t>
      </w:r>
      <w:proofErr w:type="spellEnd"/>
      <w:r>
        <w:rPr>
          <w:sz w:val="20"/>
          <w:szCs w:val="20"/>
          <w:lang w:val="en-US"/>
        </w:rPr>
        <w:t xml:space="preserve"> deficit </w:t>
      </w:r>
      <w:proofErr w:type="spellStart"/>
      <w:r>
        <w:rPr>
          <w:sz w:val="20"/>
          <w:szCs w:val="20"/>
          <w:lang w:val="en-US"/>
        </w:rPr>
        <w:t>od</w:t>
      </w:r>
      <w:proofErr w:type="spellEnd"/>
      <w:r>
        <w:rPr>
          <w:sz w:val="20"/>
          <w:szCs w:val="20"/>
          <w:lang w:val="en-US"/>
        </w:rPr>
        <w:t xml:space="preserve"> 1</w:t>
      </w:r>
      <w:r w:rsidR="00720D75">
        <w:rPr>
          <w:sz w:val="20"/>
          <w:szCs w:val="20"/>
          <w:lang w:val="en-US"/>
        </w:rPr>
        <w:t>29</w:t>
      </w:r>
      <w:proofErr w:type="gramStart"/>
      <w:r>
        <w:rPr>
          <w:sz w:val="20"/>
          <w:szCs w:val="20"/>
          <w:lang w:val="en-US"/>
        </w:rPr>
        <w:t>,4</w:t>
      </w:r>
      <w:proofErr w:type="gramEnd"/>
      <w:r w:rsidR="001772D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mil</w:t>
      </w:r>
      <w:r w:rsidR="001772D3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€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3,</w:t>
      </w:r>
      <w:r w:rsidR="00720D75">
        <w:rPr>
          <w:sz w:val="20"/>
          <w:szCs w:val="20"/>
          <w:lang w:val="en-US"/>
        </w:rPr>
        <w:t>5</w:t>
      </w:r>
      <w:r>
        <w:rPr>
          <w:sz w:val="20"/>
          <w:szCs w:val="20"/>
          <w:lang w:val="en-US"/>
        </w:rPr>
        <w:t>% BDP-a</w:t>
      </w:r>
      <w:r w:rsidR="001772D3">
        <w:rPr>
          <w:sz w:val="20"/>
          <w:szCs w:val="20"/>
          <w:lang w:val="en-US"/>
        </w:rPr>
        <w:t xml:space="preserve">. </w:t>
      </w:r>
    </w:p>
    <w:p w:rsidR="004F2AE0" w:rsidRDefault="008D3DA6" w:rsidP="004F2AE0">
      <w:pPr>
        <w:rPr>
          <w:b/>
        </w:rPr>
      </w:pPr>
      <w:r w:rsidRPr="00CC5BC9">
        <w:rPr>
          <w:b/>
        </w:rPr>
        <w:t>Monetarni sektor</w:t>
      </w:r>
      <w:r>
        <w:rPr>
          <w:b/>
        </w:rPr>
        <w:t xml:space="preserve"> </w:t>
      </w:r>
    </w:p>
    <w:p w:rsidR="004F2AE0" w:rsidRPr="004F2AE0" w:rsidRDefault="004F2AE0" w:rsidP="004F2AE0">
      <w:pPr>
        <w:rPr>
          <w:sz w:val="20"/>
          <w:szCs w:val="20"/>
        </w:rPr>
      </w:pPr>
      <w:r>
        <w:rPr>
          <w:sz w:val="20"/>
          <w:szCs w:val="20"/>
        </w:rPr>
        <w:t xml:space="preserve">Ukupni </w:t>
      </w:r>
      <w:r w:rsidRPr="004F2AE0">
        <w:rPr>
          <w:sz w:val="20"/>
          <w:szCs w:val="20"/>
        </w:rPr>
        <w:t>krediti</w:t>
      </w:r>
      <w:r w:rsidR="002E7945">
        <w:rPr>
          <w:sz w:val="20"/>
          <w:szCs w:val="20"/>
        </w:rPr>
        <w:t xml:space="preserve"> na kraju 2016. godine</w:t>
      </w:r>
      <w:r>
        <w:rPr>
          <w:sz w:val="20"/>
          <w:szCs w:val="20"/>
        </w:rPr>
        <w:t xml:space="preserve"> iznosili</w:t>
      </w:r>
      <w:r w:rsidR="002E7945">
        <w:rPr>
          <w:sz w:val="20"/>
          <w:szCs w:val="20"/>
        </w:rPr>
        <w:t xml:space="preserve"> su</w:t>
      </w:r>
      <w:r>
        <w:rPr>
          <w:sz w:val="20"/>
          <w:szCs w:val="20"/>
        </w:rPr>
        <w:t xml:space="preserve"> 2.416,0 mil.€, i ostvarili su r</w:t>
      </w:r>
      <w:r w:rsidR="001772D3">
        <w:rPr>
          <w:sz w:val="20"/>
          <w:szCs w:val="20"/>
        </w:rPr>
        <w:t xml:space="preserve">ast od 1,3% </w:t>
      </w:r>
      <w:r w:rsidR="00964308">
        <w:rPr>
          <w:sz w:val="20"/>
          <w:szCs w:val="20"/>
        </w:rPr>
        <w:t>g-n-g.</w:t>
      </w:r>
      <w:r w:rsidR="001772D3">
        <w:rPr>
          <w:sz w:val="20"/>
          <w:szCs w:val="20"/>
        </w:rPr>
        <w:t xml:space="preserve"> </w:t>
      </w:r>
      <w:r>
        <w:rPr>
          <w:sz w:val="20"/>
          <w:szCs w:val="20"/>
        </w:rPr>
        <w:t>Rast kredita je uslovljen povećanim kre</w:t>
      </w:r>
      <w:r w:rsidR="00964308">
        <w:rPr>
          <w:sz w:val="20"/>
          <w:szCs w:val="20"/>
        </w:rPr>
        <w:t>ditiranjem sektora stanovništva i to za 10,5% g-n-g</w:t>
      </w:r>
      <w:r>
        <w:rPr>
          <w:sz w:val="20"/>
          <w:szCs w:val="20"/>
        </w:rPr>
        <w:t>.</w:t>
      </w:r>
      <w:r w:rsidR="00964308">
        <w:rPr>
          <w:sz w:val="20"/>
          <w:szCs w:val="20"/>
        </w:rPr>
        <w:t xml:space="preserve"> </w:t>
      </w:r>
      <w:r>
        <w:rPr>
          <w:sz w:val="20"/>
          <w:szCs w:val="20"/>
        </w:rPr>
        <w:t>Krajem decembra iznos nekvalitetnih kredita je bio 248,8 mil.€ i</w:t>
      </w:r>
      <w:r w:rsidR="00964308">
        <w:rPr>
          <w:sz w:val="20"/>
          <w:szCs w:val="20"/>
        </w:rPr>
        <w:t xml:space="preserve"> činio je 10,3% ukupnih kredita</w:t>
      </w:r>
      <w:r>
        <w:rPr>
          <w:sz w:val="20"/>
          <w:szCs w:val="20"/>
        </w:rPr>
        <w:t xml:space="preserve">, čime je zabilježen pad od 17,0% </w:t>
      </w:r>
      <w:r w:rsidR="00964308">
        <w:rPr>
          <w:sz w:val="20"/>
          <w:szCs w:val="20"/>
        </w:rPr>
        <w:t>g-n-g. U</w:t>
      </w:r>
      <w:r>
        <w:rPr>
          <w:sz w:val="20"/>
          <w:szCs w:val="20"/>
        </w:rPr>
        <w:t xml:space="preserve">kupni </w:t>
      </w:r>
      <w:r w:rsidR="00964308">
        <w:rPr>
          <w:sz w:val="20"/>
          <w:szCs w:val="20"/>
        </w:rPr>
        <w:t>depoziti</w:t>
      </w:r>
      <w:r>
        <w:rPr>
          <w:sz w:val="20"/>
          <w:szCs w:val="20"/>
        </w:rPr>
        <w:t xml:space="preserve"> </w:t>
      </w:r>
      <w:r w:rsidR="00964308">
        <w:rPr>
          <w:sz w:val="20"/>
          <w:szCs w:val="20"/>
        </w:rPr>
        <w:t xml:space="preserve">na kraju 2016. </w:t>
      </w:r>
      <w:r>
        <w:rPr>
          <w:sz w:val="20"/>
          <w:szCs w:val="20"/>
        </w:rPr>
        <w:t>iznosili</w:t>
      </w:r>
      <w:r w:rsidR="00964308">
        <w:rPr>
          <w:sz w:val="20"/>
          <w:szCs w:val="20"/>
        </w:rPr>
        <w:t xml:space="preserve"> su</w:t>
      </w:r>
      <w:r w:rsidRPr="004F2A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2.871,5 mil.€ i ostvarili rast od 9.4% </w:t>
      </w:r>
      <w:r w:rsidR="00964308">
        <w:rPr>
          <w:sz w:val="20"/>
          <w:szCs w:val="20"/>
        </w:rPr>
        <w:t>g-n-g.</w:t>
      </w:r>
      <w:r>
        <w:rPr>
          <w:sz w:val="20"/>
          <w:szCs w:val="20"/>
        </w:rPr>
        <w:t xml:space="preserve"> Pri tome,</w:t>
      </w:r>
      <w:r w:rsidR="00964308">
        <w:rPr>
          <w:sz w:val="20"/>
          <w:szCs w:val="20"/>
        </w:rPr>
        <w:t xml:space="preserve"> </w:t>
      </w:r>
      <w:r>
        <w:rPr>
          <w:sz w:val="20"/>
          <w:szCs w:val="20"/>
        </w:rPr>
        <w:t>najveći deponent je sektor stanovništvo na koji se od</w:t>
      </w:r>
      <w:r w:rsidR="00964308">
        <w:rPr>
          <w:sz w:val="20"/>
          <w:szCs w:val="20"/>
        </w:rPr>
        <w:t xml:space="preserve">nosilo 1.534,1 mil.€ ili 53,4%. </w:t>
      </w:r>
      <w:r>
        <w:rPr>
          <w:sz w:val="20"/>
          <w:szCs w:val="20"/>
        </w:rPr>
        <w:t xml:space="preserve">Nastavljen je trend pada </w:t>
      </w:r>
      <w:r w:rsidRPr="004F2AE0">
        <w:rPr>
          <w:sz w:val="20"/>
          <w:szCs w:val="20"/>
        </w:rPr>
        <w:t xml:space="preserve">kamatnih stopa, </w:t>
      </w:r>
      <w:r>
        <w:rPr>
          <w:sz w:val="20"/>
          <w:szCs w:val="20"/>
        </w:rPr>
        <w:t>tako da je u decembru kamatna stopa na kredite iznosila 7,45% i smanjena j</w:t>
      </w:r>
      <w:r w:rsidR="00964308">
        <w:rPr>
          <w:sz w:val="20"/>
          <w:szCs w:val="20"/>
        </w:rPr>
        <w:t>e na godišnjem nivou za 1,08 p.</w:t>
      </w:r>
      <w:r>
        <w:rPr>
          <w:sz w:val="20"/>
          <w:szCs w:val="20"/>
        </w:rPr>
        <w:t xml:space="preserve">p, dok je pasivna kamatna stopa sa iznosom od 0,93% ostvarila pad od </w:t>
      </w:r>
      <w:r w:rsidR="00964308">
        <w:rPr>
          <w:sz w:val="20"/>
          <w:szCs w:val="20"/>
        </w:rPr>
        <w:t>0,30 p.p. u posmatranom periodu</w:t>
      </w:r>
      <w:r>
        <w:rPr>
          <w:sz w:val="20"/>
          <w:szCs w:val="20"/>
        </w:rPr>
        <w:t>.</w:t>
      </w:r>
      <w:r w:rsidR="009643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Krajem decembra od 81.417 pravnih lica i preduzetnika, u blokadi </w:t>
      </w:r>
      <w:r w:rsidR="00964308">
        <w:rPr>
          <w:sz w:val="20"/>
          <w:szCs w:val="20"/>
        </w:rPr>
        <w:t xml:space="preserve">je bilo 15.430 ili 19% dužnika. </w:t>
      </w:r>
      <w:r>
        <w:rPr>
          <w:sz w:val="20"/>
          <w:szCs w:val="20"/>
        </w:rPr>
        <w:t>Vrijednosno, ukupan dug po osnovu koga je izvršena blokada računa je iznosio 628,3 mi</w:t>
      </w:r>
      <w:r w:rsidR="00964308">
        <w:rPr>
          <w:sz w:val="20"/>
          <w:szCs w:val="20"/>
        </w:rPr>
        <w:t>l.</w:t>
      </w:r>
      <w:r>
        <w:rPr>
          <w:sz w:val="20"/>
          <w:szCs w:val="20"/>
        </w:rPr>
        <w:t xml:space="preserve">€, što je za 14,7% </w:t>
      </w:r>
      <w:r w:rsidR="00964308">
        <w:rPr>
          <w:sz w:val="20"/>
          <w:szCs w:val="20"/>
        </w:rPr>
        <w:t>g-n-g.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Spoljnotrgovinska razmjena</w:t>
      </w:r>
      <w:r>
        <w:rPr>
          <w:b/>
        </w:rPr>
        <w:t xml:space="preserve"> </w:t>
      </w:r>
    </w:p>
    <w:p w:rsidR="00AC4B23" w:rsidRDefault="007606C4" w:rsidP="00245A38">
      <w:pPr>
        <w:rPr>
          <w:sz w:val="20"/>
          <w:szCs w:val="20"/>
        </w:rPr>
      </w:pPr>
      <w:r w:rsidRPr="007606C4">
        <w:rPr>
          <w:sz w:val="20"/>
          <w:szCs w:val="20"/>
        </w:rPr>
        <w:t>Spoljnot</w:t>
      </w:r>
      <w:r w:rsidR="00ED457B">
        <w:rPr>
          <w:sz w:val="20"/>
          <w:szCs w:val="20"/>
        </w:rPr>
        <w:t xml:space="preserve">rgovinsku razmjenu Crne Gore u </w:t>
      </w:r>
      <w:r w:rsidRPr="007606C4">
        <w:rPr>
          <w:sz w:val="20"/>
          <w:szCs w:val="20"/>
        </w:rPr>
        <w:t>2016. karakteriše ubrzanje rasta uvoza, opredij</w:t>
      </w:r>
      <w:r w:rsidR="00ED457B">
        <w:rPr>
          <w:sz w:val="20"/>
          <w:szCs w:val="20"/>
        </w:rPr>
        <w:t>eljeno uvozom  mašina i opreme z</w:t>
      </w:r>
      <w:r w:rsidR="005E0637">
        <w:rPr>
          <w:sz w:val="20"/>
          <w:szCs w:val="20"/>
        </w:rPr>
        <w:t xml:space="preserve">a potrebe kapitalnih projekata. </w:t>
      </w:r>
      <w:r w:rsidR="005E0637" w:rsidRPr="007606C4">
        <w:rPr>
          <w:sz w:val="20"/>
          <w:szCs w:val="20"/>
        </w:rPr>
        <w:t>Izvoz</w:t>
      </w:r>
      <w:r w:rsidR="005E0637">
        <w:rPr>
          <w:sz w:val="20"/>
          <w:szCs w:val="20"/>
        </w:rPr>
        <w:t xml:space="preserve"> roba je vrijedio 325,8 mil.€ i veći je za </w:t>
      </w:r>
      <w:r w:rsidR="005E0637" w:rsidRPr="007606C4">
        <w:rPr>
          <w:sz w:val="20"/>
          <w:szCs w:val="20"/>
        </w:rPr>
        <w:t>2,7%</w:t>
      </w:r>
      <w:r w:rsidR="005E0637">
        <w:rPr>
          <w:sz w:val="20"/>
          <w:szCs w:val="20"/>
        </w:rPr>
        <w:t xml:space="preserve"> g-n-g</w:t>
      </w:r>
      <w:r w:rsidR="005E0637" w:rsidRPr="007606C4">
        <w:rPr>
          <w:sz w:val="20"/>
          <w:szCs w:val="20"/>
        </w:rPr>
        <w:t>. Blagi rast izvoza opredijeljen je povećanjem izvoza električne energije (24,4%) i</w:t>
      </w:r>
      <w:r w:rsidR="00AC4B23">
        <w:rPr>
          <w:sz w:val="20"/>
          <w:szCs w:val="20"/>
        </w:rPr>
        <w:t xml:space="preserve"> medicinskih proizvoda (49,8%). </w:t>
      </w:r>
      <w:r w:rsidR="005E0637" w:rsidRPr="007606C4">
        <w:rPr>
          <w:sz w:val="20"/>
          <w:szCs w:val="20"/>
        </w:rPr>
        <w:t xml:space="preserve">Proizvodnja osnovnih metala je pala za 15,0%, i to je najvećim dijelom dovelo do pada izvoza aluminijuma za 9,3% i gvožđa i čelika za 32,0%. U prilog očuvanju šumskog bogatstva, smanjen je izvoz drvnih sortimenata </w:t>
      </w:r>
      <w:r w:rsidR="005E0637">
        <w:rPr>
          <w:sz w:val="20"/>
          <w:szCs w:val="20"/>
        </w:rPr>
        <w:t xml:space="preserve">za 4,4%, kao rezultat primjene </w:t>
      </w:r>
      <w:r w:rsidR="005E0637" w:rsidRPr="007606C4">
        <w:rPr>
          <w:sz w:val="20"/>
          <w:szCs w:val="20"/>
        </w:rPr>
        <w:t>obračuna naknada na prekomjerni izvoz istih.</w:t>
      </w:r>
      <w:r w:rsidR="005E0637">
        <w:rPr>
          <w:sz w:val="20"/>
          <w:szCs w:val="20"/>
        </w:rPr>
        <w:t xml:space="preserve"> </w:t>
      </w:r>
      <w:r w:rsidR="005E0637" w:rsidRPr="007606C4">
        <w:rPr>
          <w:sz w:val="20"/>
          <w:szCs w:val="20"/>
        </w:rPr>
        <w:t>Ukupni uvoz</w:t>
      </w:r>
      <w:r w:rsidR="005E0637">
        <w:rPr>
          <w:sz w:val="20"/>
          <w:szCs w:val="20"/>
        </w:rPr>
        <w:t xml:space="preserve"> je iznosio 2.059,2 mil.€</w:t>
      </w:r>
      <w:r w:rsidR="005E0637" w:rsidRPr="007606C4">
        <w:rPr>
          <w:sz w:val="20"/>
          <w:szCs w:val="20"/>
        </w:rPr>
        <w:t xml:space="preserve"> </w:t>
      </w:r>
      <w:r w:rsidR="005E0637">
        <w:rPr>
          <w:sz w:val="20"/>
          <w:szCs w:val="20"/>
        </w:rPr>
        <w:t xml:space="preserve">što je za </w:t>
      </w:r>
      <w:r w:rsidR="005E0637" w:rsidRPr="007606C4">
        <w:rPr>
          <w:sz w:val="20"/>
          <w:szCs w:val="20"/>
        </w:rPr>
        <w:t>11,8%</w:t>
      </w:r>
      <w:r w:rsidR="005E0637">
        <w:rPr>
          <w:sz w:val="20"/>
          <w:szCs w:val="20"/>
        </w:rPr>
        <w:t xml:space="preserve"> više g-n-g i </w:t>
      </w:r>
      <w:r w:rsidR="005E0637" w:rsidRPr="007606C4">
        <w:rPr>
          <w:sz w:val="20"/>
          <w:szCs w:val="20"/>
        </w:rPr>
        <w:t>direktna posljedica</w:t>
      </w:r>
      <w:r w:rsidR="005E0637">
        <w:rPr>
          <w:sz w:val="20"/>
          <w:szCs w:val="20"/>
        </w:rPr>
        <w:t xml:space="preserve"> je</w:t>
      </w:r>
      <w:r w:rsidR="005E0637" w:rsidRPr="007606C4">
        <w:rPr>
          <w:sz w:val="20"/>
          <w:szCs w:val="20"/>
        </w:rPr>
        <w:t xml:space="preserve"> porasta uvoza pogonskih i električnih  mašina, a</w:t>
      </w:r>
      <w:r w:rsidR="005E0637">
        <w:rPr>
          <w:sz w:val="20"/>
          <w:szCs w:val="20"/>
        </w:rPr>
        <w:t xml:space="preserve">parata i uređaja sa 98,0 mil.€. </w:t>
      </w:r>
      <w:r w:rsidR="005E0637" w:rsidRPr="007606C4">
        <w:rPr>
          <w:sz w:val="20"/>
          <w:szCs w:val="20"/>
        </w:rPr>
        <w:t>na 174,3 mil.€.</w:t>
      </w:r>
      <w:r w:rsidR="005E0637">
        <w:t xml:space="preserve"> </w:t>
      </w:r>
      <w:r w:rsidR="007A03BE">
        <w:rPr>
          <w:sz w:val="20"/>
          <w:szCs w:val="20"/>
        </w:rPr>
        <w:t xml:space="preserve">Robni deficit </w:t>
      </w:r>
      <w:r w:rsidRPr="007606C4">
        <w:rPr>
          <w:sz w:val="20"/>
          <w:szCs w:val="20"/>
        </w:rPr>
        <w:t xml:space="preserve">je povećan za 13,7%, uz pokrivenost uvoza izvozom od svega 15,8%. </w:t>
      </w:r>
    </w:p>
    <w:p w:rsidR="00245A38" w:rsidRPr="00D80038" w:rsidRDefault="00D80038" w:rsidP="00245A38">
      <w:pPr>
        <w:rPr>
          <w:b/>
        </w:rPr>
      </w:pPr>
      <w:r w:rsidRPr="00D80038">
        <w:rPr>
          <w:b/>
        </w:rPr>
        <w:t>Strane direktne investicije</w:t>
      </w:r>
    </w:p>
    <w:p w:rsidR="00352B48" w:rsidRDefault="00352B48" w:rsidP="00352B4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Neto priliv SDI u periodu januar – novembar 2016, iznosio je  347,4 mil.€, što je za 39,4% manje g-n-g.</w:t>
      </w:r>
      <w:bookmarkStart w:id="0" w:name="_GoBack"/>
      <w:bookmarkEnd w:id="0"/>
      <w:r>
        <w:rPr>
          <w:rFonts w:ascii="Calibri" w:hAnsi="Calibri" w:cs="Calibri"/>
          <w:sz w:val="20"/>
          <w:szCs w:val="20"/>
        </w:rPr>
        <w:t xml:space="preserve"> Ukupan priliv SDI iznosio je 640,7 mil.€, ili 4,5% manje. Po osnovu vlasničkih ulaganja, tj. ulaganja u preduzeća i banke i ulaganja u nekretnine, ostvaren je priliv od 277,0 mil.€ (43,2% u</w:t>
      </w:r>
      <w:r w:rsidR="001D5B20">
        <w:rPr>
          <w:rFonts w:ascii="Calibri" w:hAnsi="Calibri" w:cs="Calibri"/>
          <w:sz w:val="20"/>
          <w:szCs w:val="20"/>
        </w:rPr>
        <w:t xml:space="preserve">kupnog priliva) ili 37,9% manje g-n-g. </w:t>
      </w:r>
      <w:r>
        <w:rPr>
          <w:rFonts w:ascii="Calibri" w:hAnsi="Calibri" w:cs="Calibri"/>
          <w:sz w:val="20"/>
          <w:szCs w:val="20"/>
        </w:rPr>
        <w:t xml:space="preserve">Ukupan odliv SDI iznosio je 293,3 mil.€, što je za preko </w:t>
      </w:r>
      <w:r w:rsidR="001D5B20">
        <w:rPr>
          <w:rFonts w:ascii="Calibri" w:hAnsi="Calibri" w:cs="Calibri"/>
          <w:sz w:val="20"/>
          <w:szCs w:val="20"/>
        </w:rPr>
        <w:t xml:space="preserve">tri puta više g-n-g. </w:t>
      </w:r>
    </w:p>
    <w:p w:rsidR="00352B48" w:rsidRDefault="00352B48" w:rsidP="00352B48"/>
    <w:p w:rsidR="008D3DA6" w:rsidRDefault="00496651" w:rsidP="008D3DA6">
      <w:pPr>
        <w:rPr>
          <w:b/>
          <w:noProof/>
        </w:rPr>
      </w:pPr>
      <w:r w:rsidRPr="00496651">
        <w:rPr>
          <w:b/>
          <w:noProof/>
          <w:lang w:eastAsia="sr-Latn-CS"/>
        </w:rPr>
        <w:lastRenderedPageBreak/>
        <w:drawing>
          <wp:anchor distT="0" distB="0" distL="114300" distR="114300" simplePos="0" relativeHeight="251767808" behindDoc="0" locked="0" layoutInCell="1" allowOverlap="1">
            <wp:simplePos x="0" y="0"/>
            <wp:positionH relativeFrom="margin">
              <wp:posOffset>3129915</wp:posOffset>
            </wp:positionH>
            <wp:positionV relativeFrom="margin">
              <wp:posOffset>-61595</wp:posOffset>
            </wp:positionV>
            <wp:extent cx="2495550" cy="2114550"/>
            <wp:effectExtent l="19050" t="0" r="0" b="0"/>
            <wp:wrapSquare wrapText="bothSides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C64FDD" w:rsidRPr="00C64FDD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2.5pt;margin-top:-28.1pt;width:196.35pt;height:23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2VewIAAAA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" stroked="f">
            <v:textbox style="mso-next-textbox:#Text Box 2" inset="0,0,0,0">
              <w:txbxContent>
                <w:p w:rsidR="00CC5BC9" w:rsidRPr="007D3C8A" w:rsidRDefault="00CC5BC9" w:rsidP="00CC5BC9">
                  <w:pPr>
                    <w:pStyle w:val="Caption"/>
                    <w:rPr>
                      <w:noProof/>
                    </w:rPr>
                  </w:pPr>
                  <w:r w:rsidRPr="007D3C8A">
                    <w:t xml:space="preserve">Grafik </w:t>
                  </w:r>
                  <w:r w:rsidR="00B171C8" w:rsidRPr="007D3C8A">
                    <w:t>1</w:t>
                  </w:r>
                  <w:r w:rsidR="00957B61" w:rsidRPr="007D3C8A">
                    <w:t xml:space="preserve"> </w:t>
                  </w:r>
                  <w:r w:rsidR="00496651">
                    <w:t>Noćenja stranih turista u 2016</w:t>
                  </w:r>
                  <w:r w:rsidR="00751E27">
                    <w:t>,</w:t>
                  </w:r>
                  <w:r w:rsidR="004B726F">
                    <w:t xml:space="preserve"> </w:t>
                  </w:r>
                  <w:r w:rsidR="00496651">
                    <w:t>učešće</w:t>
                  </w:r>
                  <w:r w:rsidR="0083533D">
                    <w:t>, %</w:t>
                  </w:r>
                </w:p>
              </w:txbxContent>
            </v:textbox>
          </v:shape>
        </w:pict>
      </w:r>
      <w:r>
        <w:rPr>
          <w:b/>
          <w:noProof/>
          <w:lang w:eastAsia="sr-Latn-CS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margin">
              <wp:posOffset>-584835</wp:posOffset>
            </wp:positionH>
            <wp:positionV relativeFrom="paragraph">
              <wp:posOffset>62230</wp:posOffset>
            </wp:positionV>
            <wp:extent cx="2533650" cy="2143125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C64FDD" w:rsidRPr="00C64FDD">
        <w:rPr>
          <w:noProof/>
          <w:lang w:val="en-US"/>
        </w:rPr>
        <w:pict>
          <v:shape id="Text Box 3" o:spid="_x0000_s1027" type="#_x0000_t202" style="position:absolute;left:0;text-align:left;margin-left:85.75pt;margin-top:-28.1pt;width:192.65pt;height:13.7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" stroked="f">
            <v:textbox style="mso-next-textbox:#Text Box 3" inset="0,0,0,0">
              <w:txbxContent>
                <w:p w:rsidR="00CC5BC9" w:rsidRPr="006F47A8" w:rsidRDefault="00CC5BC9" w:rsidP="00CC5BC9">
                  <w:pPr>
                    <w:pStyle w:val="Caption"/>
                    <w:rPr>
                      <w:noProof/>
                    </w:rPr>
                  </w:pPr>
                  <w:r>
                    <w:t xml:space="preserve">Grafik </w:t>
                  </w:r>
                  <w:r w:rsidR="00B171C8">
                    <w:t>2</w:t>
                  </w:r>
                  <w:r>
                    <w:t xml:space="preserve"> </w:t>
                  </w:r>
                  <w:r w:rsidR="00496651">
                    <w:t>CPI,</w:t>
                  </w:r>
                  <w:r w:rsidR="00F71E4F">
                    <w:t xml:space="preserve"> </w:t>
                  </w:r>
                  <w:r w:rsidR="00496651">
                    <w:t>godišnje stope</w:t>
                  </w:r>
                  <w:r w:rsidR="00283900">
                    <w:t xml:space="preserve"> rast</w:t>
                  </w:r>
                  <w:r w:rsidR="00496651">
                    <w:t>a</w:t>
                  </w:r>
                  <w:r w:rsidR="00957B61">
                    <w:t>, %</w:t>
                  </w:r>
                </w:p>
              </w:txbxContent>
            </v:textbox>
          </v:shape>
        </w:pict>
      </w:r>
    </w:p>
    <w:p w:rsidR="00E42D19" w:rsidRDefault="00E42D19" w:rsidP="007B151B">
      <w:pPr>
        <w:rPr>
          <w:b/>
          <w:noProof/>
        </w:rPr>
      </w:pPr>
    </w:p>
    <w:p w:rsidR="00E42D19" w:rsidRDefault="00E42D19" w:rsidP="007B151B">
      <w:pPr>
        <w:rPr>
          <w:b/>
          <w:noProof/>
        </w:rPr>
      </w:pPr>
    </w:p>
    <w:p w:rsidR="00B171C8" w:rsidRDefault="00B171C8" w:rsidP="007B151B">
      <w:pPr>
        <w:spacing w:line="276" w:lineRule="auto"/>
      </w:pPr>
    </w:p>
    <w:p w:rsidR="00B171C8" w:rsidRDefault="00B171C8" w:rsidP="007B151B">
      <w:pPr>
        <w:spacing w:line="276" w:lineRule="auto"/>
      </w:pPr>
    </w:p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C64FDD" w:rsidP="00B171C8">
      <w:r w:rsidRPr="00C64FDD">
        <w:rPr>
          <w:noProof/>
          <w:lang w:val="en-US"/>
        </w:rPr>
        <w:pict>
          <v:shape id="Text Box 11" o:spid="_x0000_s1028" type="#_x0000_t202" style="position:absolute;left:0;text-align:left;margin-left:252.3pt;margin-top:4.8pt;width:203.2pt;height:26.5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" stroked="f">
            <v:textbox inset="0,0,0,0">
              <w:txbxContent>
                <w:p w:rsidR="00B62939" w:rsidRPr="004B726F" w:rsidRDefault="009D06FF" w:rsidP="00B62939">
                  <w:pPr>
                    <w:pStyle w:val="Caption"/>
                    <w:rPr>
                      <w:i/>
                    </w:rPr>
                  </w:pPr>
                  <w:r w:rsidRPr="004B726F">
                    <w:rPr>
                      <w:i/>
                    </w:rPr>
                    <w:t>...</w:t>
                  </w:r>
                  <w:r w:rsidR="00F76C5C" w:rsidRPr="00F76C5C">
                    <w:rPr>
                      <w:rFonts w:cstheme="minorHAnsi"/>
                      <w:i/>
                      <w:sz w:val="20"/>
                      <w:szCs w:val="20"/>
                    </w:rPr>
                    <w:t xml:space="preserve"> </w:t>
                  </w:r>
                  <w:r w:rsidR="00F76C5C" w:rsidRPr="00F76C5C">
                    <w:rPr>
                      <w:i/>
                    </w:rPr>
                    <w:t>Kretanje cijena hrane i nafte dominantno uticalo na izražene  fluktuacije godišnje stope inflacije</w:t>
                  </w:r>
                  <w:r w:rsidR="00B62939" w:rsidRPr="004B726F">
                    <w:rPr>
                      <w:i/>
                    </w:rPr>
                    <w:t>.</w:t>
                  </w:r>
                  <w:r w:rsidR="0073671A">
                    <w:rPr>
                      <w:i/>
                    </w:rPr>
                    <w:t>.</w:t>
                  </w:r>
                  <w:r w:rsidR="00B62939" w:rsidRPr="004B726F">
                    <w:rPr>
                      <w:i/>
                    </w:rPr>
                    <w:t>.</w:t>
                  </w:r>
                </w:p>
                <w:p w:rsidR="00B62939" w:rsidRPr="00A249D2" w:rsidRDefault="00B62939" w:rsidP="00B62939"/>
                <w:p w:rsidR="009D06FF" w:rsidRPr="009D06FF" w:rsidRDefault="00DB0048" w:rsidP="009D06FF">
                  <w:pPr>
                    <w:pStyle w:val="Caption"/>
                    <w:rPr>
                      <w:i/>
                      <w:noProof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...</w:t>
                  </w:r>
                </w:p>
              </w:txbxContent>
            </v:textbox>
          </v:shape>
        </w:pict>
      </w:r>
      <w:r w:rsidRPr="00C64FDD">
        <w:rPr>
          <w:noProof/>
          <w:lang w:val="en-US"/>
        </w:rPr>
        <w:pict>
          <v:shape id="Text Box 10" o:spid="_x0000_s1029" type="#_x0000_t202" style="position:absolute;left:0;text-align:left;margin-left:-40.05pt;margin-top:8.95pt;width:200.9pt;height:3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" stroked="f">
            <v:textbox inset="0,0,0,0">
              <w:txbxContent>
                <w:p w:rsidR="009D06FF" w:rsidRPr="00A54385" w:rsidRDefault="009D06FF" w:rsidP="009D06FF">
                  <w:pPr>
                    <w:pStyle w:val="Caption"/>
                    <w:rPr>
                      <w:i/>
                    </w:rPr>
                  </w:pPr>
                  <w:r w:rsidRPr="00A54385">
                    <w:rPr>
                      <w:i/>
                    </w:rPr>
                    <w:t>...</w:t>
                  </w:r>
                  <w:r w:rsidR="00496651" w:rsidRPr="008A0807">
                    <w:rPr>
                      <w:i/>
                    </w:rPr>
                    <w:t xml:space="preserve">Turisti iz Rusije i Srbije ostvarili preko  polovine </w:t>
                  </w:r>
                  <w:r w:rsidR="00496651">
                    <w:rPr>
                      <w:i/>
                    </w:rPr>
                    <w:t>ukupnih noćenja stranih turista...</w:t>
                  </w:r>
                </w:p>
              </w:txbxContent>
            </v:textbox>
          </v:shape>
        </w:pict>
      </w:r>
    </w:p>
    <w:p w:rsidR="00F71E4F" w:rsidRPr="00A54385" w:rsidRDefault="00F71E4F" w:rsidP="00B171C8">
      <w:pPr>
        <w:rPr>
          <w:b/>
          <w:bCs/>
          <w:i/>
          <w:color w:val="4F81BD" w:themeColor="accent1"/>
          <w:sz w:val="18"/>
          <w:szCs w:val="18"/>
        </w:rPr>
      </w:pPr>
    </w:p>
    <w:p w:rsidR="00F71E4F" w:rsidRPr="00A54385" w:rsidRDefault="00F71E4F" w:rsidP="00B171C8">
      <w:pPr>
        <w:rPr>
          <w:b/>
          <w:bCs/>
          <w:i/>
          <w:color w:val="4F81BD" w:themeColor="accent1"/>
          <w:sz w:val="18"/>
          <w:szCs w:val="18"/>
        </w:rPr>
      </w:pPr>
    </w:p>
    <w:p w:rsidR="00F61980" w:rsidRDefault="00F61980" w:rsidP="00B171C8"/>
    <w:p w:rsidR="00F71E4F" w:rsidRDefault="00C64FDD" w:rsidP="00B171C8">
      <w:r w:rsidRPr="00C64FDD">
        <w:rPr>
          <w:noProof/>
          <w:lang w:val="en-US"/>
        </w:rPr>
        <w:pict>
          <v:shape id="Text Box 5" o:spid="_x0000_s1030" type="#_x0000_t202" style="position:absolute;left:0;text-align:left;margin-left:262.15pt;margin-top:13pt;width:187.75pt;height:23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BJfAIAAAY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" stroked="f">
            <v:textbox inset="0,0,0,0">
              <w:txbxContent>
                <w:p w:rsidR="00B171C8" w:rsidRPr="00575CC7" w:rsidRDefault="00957B61" w:rsidP="00B171C8">
                  <w:pPr>
                    <w:pStyle w:val="Caption"/>
                  </w:pPr>
                  <w:r>
                    <w:t>Grafik 4</w:t>
                  </w:r>
                  <w:r w:rsidR="004C0387">
                    <w:t xml:space="preserve"> </w:t>
                  </w:r>
                  <w:r w:rsidR="00430B42">
                    <w:t>Kretanje prihoda i rashoda</w:t>
                  </w:r>
                  <w:r>
                    <w:t>,</w:t>
                  </w:r>
                  <w:r w:rsidR="004C0387">
                    <w:t xml:space="preserve"> </w:t>
                  </w:r>
                  <w:r w:rsidR="00430B42">
                    <w:t>u mil.€</w:t>
                  </w:r>
                </w:p>
              </w:txbxContent>
            </v:textbox>
          </v:shape>
        </w:pict>
      </w:r>
      <w:r w:rsidRPr="00C64FDD">
        <w:rPr>
          <w:noProof/>
          <w:lang w:val="en-US"/>
        </w:rPr>
        <w:pict>
          <v:shape id="Text Box 4" o:spid="_x0000_s1031" type="#_x0000_t202" style="position:absolute;left:0;text-align:left;margin-left:-36.35pt;margin-top:13pt;width:192.65pt;height:10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" stroked="f">
            <v:textbox inset="0,0,0,0">
              <w:txbxContent>
                <w:p w:rsidR="00B171C8" w:rsidRPr="00100981" w:rsidRDefault="00B171C8" w:rsidP="00B171C8">
                  <w:pPr>
                    <w:pStyle w:val="Caption"/>
                    <w:rPr>
                      <w:lang w:val="en-US"/>
                    </w:rPr>
                  </w:pPr>
                  <w:r>
                    <w:t xml:space="preserve">Grafik 3 </w:t>
                  </w:r>
                  <w:r w:rsidR="00382261">
                    <w:t>Kretanja na tržištu rada u 2016.</w:t>
                  </w:r>
                </w:p>
              </w:txbxContent>
            </v:textbox>
          </v:shape>
        </w:pict>
      </w:r>
    </w:p>
    <w:p w:rsidR="00B171C8" w:rsidRPr="00B171C8" w:rsidRDefault="00B171C8" w:rsidP="00B171C8"/>
    <w:p w:rsidR="006B2901" w:rsidRPr="00B171C8" w:rsidRDefault="000A47FB" w:rsidP="00B171C8">
      <w:r w:rsidRPr="000A47FB">
        <w:drawing>
          <wp:anchor distT="0" distB="0" distL="114300" distR="114300" simplePos="0" relativeHeight="251773952" behindDoc="0" locked="0" layoutInCell="1" allowOverlap="1">
            <wp:simplePos x="0" y="0"/>
            <wp:positionH relativeFrom="margin">
              <wp:posOffset>3129915</wp:posOffset>
            </wp:positionH>
            <wp:positionV relativeFrom="margin">
              <wp:posOffset>3376930</wp:posOffset>
            </wp:positionV>
            <wp:extent cx="2790190" cy="1990725"/>
            <wp:effectExtent l="19050" t="0" r="0" b="0"/>
            <wp:wrapSquare wrapText="bothSides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382261" w:rsidRPr="00382261">
        <w:rPr>
          <w:noProof/>
          <w:lang w:eastAsia="sr-Latn-CS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margin">
              <wp:posOffset>-670560</wp:posOffset>
            </wp:positionH>
            <wp:positionV relativeFrom="margin">
              <wp:posOffset>3376295</wp:posOffset>
            </wp:positionV>
            <wp:extent cx="2819400" cy="1990725"/>
            <wp:effectExtent l="0" t="0" r="0" b="0"/>
            <wp:wrapSquare wrapText="bothSides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E8072F" w:rsidRDefault="00E8072F" w:rsidP="004C0387">
      <w:pPr>
        <w:pStyle w:val="Caption"/>
      </w:pPr>
    </w:p>
    <w:p w:rsidR="00F61980" w:rsidRDefault="00F61980" w:rsidP="00B312F3"/>
    <w:p w:rsidR="00400FB4" w:rsidRDefault="00400FB4" w:rsidP="00B312F3"/>
    <w:p w:rsidR="00400FB4" w:rsidRPr="00B312F3" w:rsidRDefault="00400FB4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C64FDD" w:rsidP="00B312F3">
      <w:r w:rsidRPr="00C64FDD">
        <w:rPr>
          <w:noProof/>
          <w:lang w:val="en-US"/>
        </w:rPr>
        <w:pict>
          <v:shape id="Text Box 15" o:spid="_x0000_s1033" type="#_x0000_t202" style="position:absolute;left:0;text-align:left;margin-left:-44.7pt;margin-top:11.35pt;width:232.65pt;height:24.3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" stroked="f">
            <v:textbox style="mso-next-textbox:#Text Box 15" inset="0,0,0,0">
              <w:txbxContent>
                <w:p w:rsidR="00203F47" w:rsidRPr="00590347" w:rsidRDefault="009150CA" w:rsidP="00203F47">
                  <w:pPr>
                    <w:pStyle w:val="Caption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</w:rPr>
                    <w:t>..</w:t>
                  </w:r>
                  <w:r w:rsidR="004000F3">
                    <w:rPr>
                      <w:i/>
                      <w:noProof/>
                    </w:rPr>
                    <w:t>.</w:t>
                  </w:r>
                  <w:r w:rsidR="00382261">
                    <w:rPr>
                      <w:i/>
                      <w:noProof/>
                    </w:rPr>
                    <w:t>U decembru povećan broj zaposlenih za 2,9% i nezaposlenih za 23,7% g-n-g...</w:t>
                  </w:r>
                </w:p>
              </w:txbxContent>
            </v:textbox>
          </v:shape>
        </w:pict>
      </w:r>
      <w:r w:rsidRPr="00C64FDD">
        <w:rPr>
          <w:noProof/>
          <w:lang w:val="en-US"/>
        </w:rPr>
        <w:pict>
          <v:shape id="Text Box 16" o:spid="_x0000_s1032" type="#_x0000_t202" style="position:absolute;left:0;text-align:left;margin-left:266.75pt;margin-top:11.35pt;width:200.95pt;height:19.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" stroked="f">
            <v:textbox style="mso-next-textbox:#Text Box 16" inset="0,0,0,0">
              <w:txbxContent>
                <w:p w:rsidR="006C52D2" w:rsidRPr="0098749F" w:rsidRDefault="004C0387" w:rsidP="0098749F">
                  <w:pPr>
                    <w:pStyle w:val="Caption"/>
                    <w:rPr>
                      <w:i/>
                    </w:rPr>
                  </w:pPr>
                  <w:r>
                    <w:rPr>
                      <w:i/>
                    </w:rPr>
                    <w:t>...</w:t>
                  </w:r>
                  <w:r w:rsidR="00A07297">
                    <w:rPr>
                      <w:i/>
                    </w:rPr>
                    <w:t>Deficit bu</w:t>
                  </w:r>
                  <w:r w:rsidR="00DA6180">
                    <w:rPr>
                      <w:i/>
                    </w:rPr>
                    <w:t>džeta u 2016. godini iznosio 3,5</w:t>
                  </w:r>
                  <w:r w:rsidR="00A07297">
                    <w:rPr>
                      <w:i/>
                    </w:rPr>
                    <w:t>% BDP-a</w:t>
                  </w:r>
                  <w:r w:rsidR="00660B0E" w:rsidRPr="00590347">
                    <w:rPr>
                      <w:i/>
                    </w:rPr>
                    <w:t xml:space="preserve">... </w:t>
                  </w:r>
                </w:p>
              </w:txbxContent>
            </v:textbox>
          </v:shape>
        </w:pict>
      </w:r>
    </w:p>
    <w:p w:rsidR="00B312F3" w:rsidRPr="00B312F3" w:rsidRDefault="00B312F3" w:rsidP="00B312F3"/>
    <w:p w:rsidR="00B312F3" w:rsidRPr="00B312F3" w:rsidRDefault="00B312F3" w:rsidP="00B312F3"/>
    <w:p w:rsidR="00D116C2" w:rsidRDefault="00D116C2" w:rsidP="00B312F3"/>
    <w:p w:rsidR="00D116C2" w:rsidRDefault="00C64FDD" w:rsidP="00B312F3">
      <w:r w:rsidRPr="00C64FDD">
        <w:rPr>
          <w:noProof/>
          <w:lang w:val="en-US"/>
        </w:rPr>
        <w:pict>
          <v:shape id="Text Box 7" o:spid="_x0000_s1034" type="#_x0000_t202" style="position:absolute;left:0;text-align:left;margin-left:266.75pt;margin-top:11.35pt;width:193.35pt;height:20.6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" stroked="f">
            <v:textbox style="mso-next-textbox:#Text Box 7" inset="0,0,0,0">
              <w:txbxContent>
                <w:p w:rsidR="008E2C7D" w:rsidRPr="00383BE7" w:rsidRDefault="008E2C7D" w:rsidP="008E2C7D">
                  <w:pPr>
                    <w:pStyle w:val="Caption"/>
                    <w:rPr>
                      <w:noProof/>
                    </w:rPr>
                  </w:pPr>
                  <w:r>
                    <w:t xml:space="preserve">Grafik 6 </w:t>
                  </w:r>
                  <w:r w:rsidR="007A03BE">
                    <w:t>Spoljotrgovniski bilans i SDI u 2016</w:t>
                  </w:r>
                  <w:r w:rsidR="00660B0E">
                    <w:t xml:space="preserve">, </w:t>
                  </w:r>
                  <w:r w:rsidR="00A317B6">
                    <w:t xml:space="preserve">u </w:t>
                  </w:r>
                  <w:r w:rsidR="002C5295">
                    <w:t>mil.€</w:t>
                  </w:r>
                </w:p>
              </w:txbxContent>
            </v:textbox>
          </v:shape>
        </w:pict>
      </w:r>
      <w:r w:rsidRPr="00C64FDD">
        <w:rPr>
          <w:noProof/>
          <w:lang w:val="en-US"/>
        </w:rPr>
        <w:pict>
          <v:shape id="Text Box 6" o:spid="_x0000_s1035" type="#_x0000_t202" style="position:absolute;left:0;text-align:left;margin-left:-44.7pt;margin-top:11.35pt;width:217.65pt;height:15.6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" stroked="f">
            <v:textbox style="mso-next-textbox:#Text Box 6" inset="0,0,0,0">
              <w:txbxContent>
                <w:p w:rsidR="008E2C7D" w:rsidRPr="000600DC" w:rsidRDefault="008E2C7D" w:rsidP="008E2C7D">
                  <w:pPr>
                    <w:pStyle w:val="Caption"/>
                    <w:rPr>
                      <w:noProof/>
                    </w:rPr>
                  </w:pPr>
                  <w:r>
                    <w:t xml:space="preserve">Grafik 5 </w:t>
                  </w:r>
                  <w:r w:rsidR="00227751">
                    <w:t>Novoodobreni krediti po sektorima</w:t>
                  </w:r>
                  <w:r w:rsidR="0022033B">
                    <w:t>,</w:t>
                  </w:r>
                  <w:r w:rsidR="007920C5">
                    <w:t xml:space="preserve"> u hilj.€ </w:t>
                  </w:r>
                </w:p>
              </w:txbxContent>
            </v:textbox>
          </v:shape>
        </w:pict>
      </w:r>
    </w:p>
    <w:p w:rsidR="00865E5F" w:rsidRDefault="00865E5F" w:rsidP="00B312F3"/>
    <w:p w:rsidR="00865E5F" w:rsidRDefault="00382261" w:rsidP="00B312F3">
      <w:r>
        <w:rPr>
          <w:noProof/>
          <w:lang w:eastAsia="sr-Latn-CS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margin">
              <wp:posOffset>-670560</wp:posOffset>
            </wp:positionH>
            <wp:positionV relativeFrom="margin">
              <wp:posOffset>6434455</wp:posOffset>
            </wp:positionV>
            <wp:extent cx="2895600" cy="2038350"/>
            <wp:effectExtent l="0" t="0" r="0" b="0"/>
            <wp:wrapSquare wrapText="bothSides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7A03BE" w:rsidRPr="007A03BE">
        <w:rPr>
          <w:noProof/>
          <w:lang w:eastAsia="sr-Latn-CS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margin">
              <wp:posOffset>3377565</wp:posOffset>
            </wp:positionH>
            <wp:positionV relativeFrom="margin">
              <wp:posOffset>6434455</wp:posOffset>
            </wp:positionV>
            <wp:extent cx="2457450" cy="1914525"/>
            <wp:effectExtent l="0" t="0" r="0" b="0"/>
            <wp:wrapSquare wrapText="bothSides"/>
            <wp:docPr id="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B312F3" w:rsidRDefault="00B312F3" w:rsidP="00B312F3"/>
    <w:p w:rsidR="008E2C7D" w:rsidRPr="008E2C7D" w:rsidRDefault="00B312F3" w:rsidP="00660BB8">
      <w:pPr>
        <w:tabs>
          <w:tab w:val="left" w:pos="6144"/>
        </w:tabs>
      </w:pPr>
      <w:r>
        <w:tab/>
      </w:r>
    </w:p>
    <w:p w:rsidR="00400FB4" w:rsidRDefault="00400FB4" w:rsidP="008E2C7D"/>
    <w:p w:rsidR="008E2C7D" w:rsidRPr="008E2C7D" w:rsidRDefault="008E2C7D" w:rsidP="008E2C7D"/>
    <w:p w:rsidR="008E2C7D" w:rsidRPr="008E2C7D" w:rsidRDefault="008E2C7D" w:rsidP="00660B0E"/>
    <w:p w:rsidR="008E2C7D" w:rsidRPr="008E2C7D" w:rsidRDefault="008E2C7D" w:rsidP="008E2C7D"/>
    <w:p w:rsidR="008E2C7D" w:rsidRPr="008E2C7D" w:rsidRDefault="008E2C7D" w:rsidP="008E2C7D"/>
    <w:p w:rsidR="008E2C7D" w:rsidRPr="008E2C7D" w:rsidRDefault="008E2C7D" w:rsidP="008E2C7D"/>
    <w:p w:rsidR="00D71A89" w:rsidRDefault="00D71A89" w:rsidP="008E2C7D"/>
    <w:p w:rsidR="00D71A89" w:rsidRDefault="00D71A89" w:rsidP="00D71A89"/>
    <w:p w:rsidR="008E2C7D" w:rsidRPr="008E2C7D" w:rsidRDefault="008E2C7D" w:rsidP="008E2C7D"/>
    <w:p w:rsidR="008E2C7D" w:rsidRPr="008E2C7D" w:rsidRDefault="00C64FDD" w:rsidP="008E2C7D">
      <w:r w:rsidRPr="00C64FDD">
        <w:rPr>
          <w:noProof/>
          <w:lang w:val="en-US"/>
        </w:rPr>
        <w:pict>
          <v:shape id="Text Box 17" o:spid="_x0000_s1037" type="#_x0000_t202" style="position:absolute;left:0;text-align:left;margin-left:88.45pt;margin-top:13pt;width:207.95pt;height:31.1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" stroked="f">
            <v:textbox inset="0,0,0,0">
              <w:txbxContent>
                <w:p w:rsidR="00660B0E" w:rsidRPr="00590347" w:rsidRDefault="007D7E9D" w:rsidP="00660B0E">
                  <w:pPr>
                    <w:pStyle w:val="Caption"/>
                    <w:rPr>
                      <w:i/>
                      <w:noProof/>
                    </w:rPr>
                  </w:pPr>
                  <w:r w:rsidRPr="00590347">
                    <w:rPr>
                      <w:i/>
                    </w:rPr>
                    <w:t>...</w:t>
                  </w:r>
                  <w:r w:rsidR="00D601EA">
                    <w:rPr>
                      <w:rFonts w:cstheme="minorHAnsi"/>
                      <w:i/>
                    </w:rPr>
                    <w:t>Rekor</w:t>
                  </w:r>
                  <w:r w:rsidR="007E5FED">
                    <w:rPr>
                      <w:rFonts w:cstheme="minorHAnsi"/>
                      <w:i/>
                    </w:rPr>
                    <w:t>d</w:t>
                  </w:r>
                  <w:r w:rsidR="00D601EA">
                    <w:rPr>
                      <w:rFonts w:cstheme="minorHAnsi"/>
                      <w:i/>
                    </w:rPr>
                    <w:t>no visok nivo uvoza</w:t>
                  </w:r>
                  <w:r w:rsidR="007E5FED">
                    <w:rPr>
                      <w:rFonts w:cstheme="minorHAnsi"/>
                      <w:i/>
                    </w:rPr>
                    <w:t xml:space="preserve"> roba</w:t>
                  </w:r>
                  <w:r w:rsidR="00D601EA">
                    <w:rPr>
                      <w:rFonts w:cstheme="minorHAnsi"/>
                      <w:i/>
                    </w:rPr>
                    <w:t>, doveo do povećanja deficta robne razmjene</w:t>
                  </w:r>
                  <w:r w:rsidR="00746D86">
                    <w:rPr>
                      <w:i/>
                    </w:rPr>
                    <w:t>.</w:t>
                  </w:r>
                  <w:r w:rsidRPr="00590347">
                    <w:rPr>
                      <w:i/>
                    </w:rPr>
                    <w:t>..</w:t>
                  </w:r>
                </w:p>
              </w:txbxContent>
            </v:textbox>
          </v:shape>
        </w:pict>
      </w:r>
      <w:r w:rsidRPr="00C64FDD">
        <w:rPr>
          <w:noProof/>
          <w:lang w:val="en-US"/>
        </w:rPr>
        <w:pict>
          <v:shape id="Text Box 13" o:spid="_x0000_s1036" type="#_x0000_t202" style="position:absolute;left:0;text-align:left;margin-left:-228.9pt;margin-top:13pt;width:228.3pt;height:31.1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i6fgIAAAg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" stroked="f">
            <v:textbox inset="0,0,0,0">
              <w:txbxContent>
                <w:p w:rsidR="00936469" w:rsidRPr="00EF7939" w:rsidRDefault="00936469" w:rsidP="00936469">
                  <w:pPr>
                    <w:pStyle w:val="Caption"/>
                  </w:pPr>
                  <w:r w:rsidRPr="00EF7939">
                    <w:t>...</w:t>
                  </w:r>
                  <w:r w:rsidR="00227751" w:rsidRPr="00227751">
                    <w:rPr>
                      <w:i/>
                      <w:noProof/>
                    </w:rPr>
                    <w:t>Banke su tokom 2016. odobrile 1.144,6 mil.€ novih kredita, što je za 18,9% više g-n-g</w:t>
                  </w:r>
                  <w:r w:rsidR="00EF7939" w:rsidRPr="00227751">
                    <w:rPr>
                      <w:i/>
                      <w:noProof/>
                    </w:rPr>
                    <w:t>.</w:t>
                  </w:r>
                  <w:r w:rsidR="007920C5">
                    <w:rPr>
                      <w:i/>
                      <w:noProof/>
                    </w:rPr>
                    <w:t>..</w:t>
                  </w:r>
                </w:p>
                <w:p w:rsidR="00936469" w:rsidRPr="009149C7" w:rsidRDefault="00936469" w:rsidP="00936469">
                  <w:pPr>
                    <w:pStyle w:val="Caption"/>
                    <w:rPr>
                      <w:noProof/>
                    </w:rPr>
                  </w:pPr>
                </w:p>
              </w:txbxContent>
            </v:textbox>
          </v:shape>
        </w:pict>
      </w:r>
    </w:p>
    <w:p w:rsidR="0079718D" w:rsidRDefault="00A40C0E" w:rsidP="006A0D43">
      <w:pPr>
        <w:tabs>
          <w:tab w:val="left" w:pos="6912"/>
        </w:tabs>
        <w:sectPr w:rsidR="0079718D" w:rsidSect="00870E6B">
          <w:headerReference w:type="default" r:id="rId13"/>
          <w:pgSz w:w="11906" w:h="16838"/>
          <w:pgMar w:top="1417" w:right="1134" w:bottom="1417" w:left="1701" w:header="708" w:footer="708" w:gutter="0"/>
          <w:cols w:num="2" w:space="454"/>
          <w:docGrid w:linePitch="360"/>
        </w:sectPr>
      </w:pPr>
      <w:r>
        <w:tab/>
        <w:t>... Povećan deficit...</w:t>
      </w:r>
    </w:p>
    <w:p w:rsidR="006A0D43" w:rsidRDefault="00AF6340" w:rsidP="006A0D43">
      <w:pPr>
        <w:pStyle w:val="Caption"/>
        <w:keepNext/>
        <w:tabs>
          <w:tab w:val="left" w:pos="7625"/>
        </w:tabs>
      </w:pPr>
      <w:r>
        <w:lastRenderedPageBreak/>
        <w:t xml:space="preserve"> </w:t>
      </w:r>
      <w:r w:rsidR="006A0D43">
        <w:t xml:space="preserve">Tabela </w:t>
      </w:r>
      <w:r w:rsidR="00C64FDD">
        <w:fldChar w:fldCharType="begin"/>
      </w:r>
      <w:r w:rsidR="00B10952">
        <w:instrText xml:space="preserve"> SEQ Tabela \* ARABIC </w:instrText>
      </w:r>
      <w:r w:rsidR="00C64FDD">
        <w:fldChar w:fldCharType="separate"/>
      </w:r>
      <w:r w:rsidR="006A0D43">
        <w:rPr>
          <w:noProof/>
        </w:rPr>
        <w:t>1</w:t>
      </w:r>
      <w:r w:rsidR="00C64FDD">
        <w:rPr>
          <w:noProof/>
        </w:rPr>
        <w:fldChar w:fldCharType="end"/>
      </w:r>
      <w:r w:rsidR="006A0D43">
        <w:t xml:space="preserve"> Makroekonomski indikatori</w:t>
      </w:r>
      <w:r w:rsidR="00AC13C4">
        <w:t xml:space="preserve"> (% promjene)</w:t>
      </w:r>
      <w:r w:rsidR="006A0D43">
        <w:t xml:space="preserve"> (</w:t>
      </w:r>
      <w:r w:rsidR="006A0D43" w:rsidRPr="006A0D43">
        <w:rPr>
          <w:i/>
        </w:rPr>
        <w:t>Izvor: Monstat, CB, ZZZCG</w:t>
      </w:r>
      <w:r w:rsidR="006A0D43">
        <w:t>)</w:t>
      </w:r>
      <w:r w:rsidR="006A0D43">
        <w:tab/>
      </w:r>
      <w:r w:rsidR="006A0D43">
        <w:tab/>
        <w:t>Tabela 2 Fiskalni indikatori (</w:t>
      </w:r>
      <w:r w:rsidR="006A0D43" w:rsidRPr="006A0D43">
        <w:rPr>
          <w:i/>
        </w:rPr>
        <w:t>Izvor: Ministarstvo finansija</w:t>
      </w:r>
      <w:r w:rsidR="006A0D43">
        <w:t>)</w:t>
      </w:r>
    </w:p>
    <w:tbl>
      <w:tblPr>
        <w:tblpPr w:leftFromText="141" w:rightFromText="141" w:vertAnchor="text" w:horzAnchor="page" w:tblpX="8991" w:tblpY="68"/>
        <w:tblW w:w="72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68"/>
        <w:gridCol w:w="860"/>
        <w:gridCol w:w="594"/>
        <w:gridCol w:w="1093"/>
        <w:gridCol w:w="992"/>
        <w:gridCol w:w="990"/>
      </w:tblGrid>
      <w:tr w:rsidR="009A1761" w:rsidRPr="009A1761" w:rsidTr="009A1761">
        <w:trPr>
          <w:trHeight w:val="452"/>
        </w:trPr>
        <w:tc>
          <w:tcPr>
            <w:tcW w:w="276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BUDŽET CRNE GORE</w:t>
            </w: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Ostvarenje 2016</w:t>
            </w:r>
          </w:p>
        </w:tc>
        <w:tc>
          <w:tcPr>
            <w:tcW w:w="5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plan 2016</w:t>
            </w:r>
          </w:p>
        </w:tc>
        <w:tc>
          <w:tcPr>
            <w:tcW w:w="3075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000000" w:fill="EEECE1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Analitika-dec</w:t>
            </w:r>
          </w:p>
        </w:tc>
      </w:tr>
      <w:tr w:rsidR="00CB5565" w:rsidRPr="009A1761" w:rsidTr="00CB5565">
        <w:trPr>
          <w:trHeight w:val="540"/>
        </w:trPr>
        <w:tc>
          <w:tcPr>
            <w:tcW w:w="276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XII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XII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dec2016/dec2015(%)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jan-dec2016 / jan-dec2015(%)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dec2016/ dec2016plan (%)</w:t>
            </w:r>
          </w:p>
        </w:tc>
      </w:tr>
      <w:tr w:rsidR="009A1761" w:rsidRPr="009A1761" w:rsidTr="00CB5565">
        <w:trPr>
          <w:trHeight w:val="322"/>
        </w:trPr>
        <w:tc>
          <w:tcPr>
            <w:tcW w:w="2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IZVORNI PRIHODI, od čega: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169,98</w:t>
            </w:r>
          </w:p>
        </w:tc>
        <w:tc>
          <w:tcPr>
            <w:tcW w:w="5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167,99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12,05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1,18</w:t>
            </w:r>
          </w:p>
        </w:tc>
      </w:tr>
      <w:tr w:rsidR="00CB5565" w:rsidRPr="009A1761" w:rsidTr="00CB5565">
        <w:trPr>
          <w:trHeight w:val="307"/>
        </w:trPr>
        <w:tc>
          <w:tcPr>
            <w:tcW w:w="276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Porezi i doprinosi na  zarade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93,65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89,91</w:t>
            </w:r>
          </w:p>
        </w:tc>
        <w:tc>
          <w:tcPr>
            <w:tcW w:w="109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15,07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6,56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4,15</w:t>
            </w:r>
          </w:p>
        </w:tc>
      </w:tr>
      <w:tr w:rsidR="00CB5565" w:rsidRPr="009A1761" w:rsidTr="00CB5565">
        <w:trPr>
          <w:trHeight w:val="292"/>
        </w:trPr>
        <w:tc>
          <w:tcPr>
            <w:tcW w:w="276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Porez na dobit pravnih lica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0,96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1,30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-33,13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7,36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-25,70</w:t>
            </w:r>
          </w:p>
        </w:tc>
      </w:tr>
      <w:tr w:rsidR="00CB5565" w:rsidRPr="009A1761" w:rsidTr="00CB5565">
        <w:trPr>
          <w:trHeight w:val="292"/>
        </w:trPr>
        <w:tc>
          <w:tcPr>
            <w:tcW w:w="276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Porez na dodatu vrijednost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43,46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39,75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6,20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9,53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9,33</w:t>
            </w:r>
          </w:p>
        </w:tc>
      </w:tr>
      <w:tr w:rsidR="00CB5565" w:rsidRPr="009A1761" w:rsidTr="00CB5565">
        <w:trPr>
          <w:trHeight w:val="292"/>
        </w:trPr>
        <w:tc>
          <w:tcPr>
            <w:tcW w:w="276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Akcize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15,04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15,24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-14,49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7,45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-1,28</w:t>
            </w:r>
          </w:p>
        </w:tc>
      </w:tr>
      <w:tr w:rsidR="00CB5565" w:rsidRPr="009A1761" w:rsidTr="00CB5565">
        <w:trPr>
          <w:trHeight w:val="307"/>
        </w:trPr>
        <w:tc>
          <w:tcPr>
            <w:tcW w:w="27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Porez na medj trgovinu i transak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1,98</w:t>
            </w:r>
          </w:p>
        </w:tc>
        <w:tc>
          <w:tcPr>
            <w:tcW w:w="5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1,77</w:t>
            </w:r>
          </w:p>
        </w:tc>
        <w:tc>
          <w:tcPr>
            <w:tcW w:w="10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6,10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11,43</w:t>
            </w:r>
          </w:p>
        </w:tc>
      </w:tr>
      <w:tr w:rsidR="009A1761" w:rsidRPr="009A1761" w:rsidTr="00CB5565">
        <w:trPr>
          <w:trHeight w:val="322"/>
        </w:trPr>
        <w:tc>
          <w:tcPr>
            <w:tcW w:w="27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IZDACI BUDŽETA, od čega: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D035BD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252,37</w:t>
            </w:r>
          </w:p>
        </w:tc>
        <w:tc>
          <w:tcPr>
            <w:tcW w:w="5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144,37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1761" w:rsidRPr="009A1761" w:rsidRDefault="00D035BD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43,56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D035BD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-0,</w:t>
            </w:r>
            <w:r w:rsidR="00D035B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9A1761" w:rsidRPr="009A1761" w:rsidRDefault="00D035BD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74,82</w:t>
            </w:r>
          </w:p>
        </w:tc>
      </w:tr>
      <w:tr w:rsidR="00CB5565" w:rsidRPr="009A1761" w:rsidTr="00CB5565">
        <w:trPr>
          <w:trHeight w:val="307"/>
        </w:trPr>
        <w:tc>
          <w:tcPr>
            <w:tcW w:w="276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Bruto zarade i doprinosi na teret poslodavca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40,45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34,65</w:t>
            </w:r>
          </w:p>
        </w:tc>
        <w:tc>
          <w:tcPr>
            <w:tcW w:w="109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20,00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10,56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16,74</w:t>
            </w:r>
          </w:p>
        </w:tc>
      </w:tr>
      <w:tr w:rsidR="00CB5565" w:rsidRPr="009A1761" w:rsidTr="00CB5565">
        <w:trPr>
          <w:trHeight w:val="292"/>
        </w:trPr>
        <w:tc>
          <w:tcPr>
            <w:tcW w:w="276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Rashodi za materijal i usluge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18,90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6,33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16,21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17,92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198,40</w:t>
            </w:r>
          </w:p>
        </w:tc>
      </w:tr>
      <w:tr w:rsidR="00CB5565" w:rsidRPr="009A1761" w:rsidTr="00CB5565">
        <w:trPr>
          <w:trHeight w:val="292"/>
        </w:trPr>
        <w:tc>
          <w:tcPr>
            <w:tcW w:w="276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Kamate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2,68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6,37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-34,91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-4,88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-57,92</w:t>
            </w:r>
          </w:p>
        </w:tc>
      </w:tr>
      <w:tr w:rsidR="00CB5565" w:rsidRPr="009A1761" w:rsidTr="00CB5565">
        <w:trPr>
          <w:trHeight w:val="292"/>
        </w:trPr>
        <w:tc>
          <w:tcPr>
            <w:tcW w:w="276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Transferi za socijalnu zaštitu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54,46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44,37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30,01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13,95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22,76</w:t>
            </w:r>
          </w:p>
        </w:tc>
      </w:tr>
      <w:tr w:rsidR="00CB5565" w:rsidRPr="009A1761" w:rsidTr="00CB5565">
        <w:trPr>
          <w:trHeight w:val="292"/>
        </w:trPr>
        <w:tc>
          <w:tcPr>
            <w:tcW w:w="276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Transferi instit, pojed i NVO sektoru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39,26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12,20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84,28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26,19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221,87</w:t>
            </w:r>
          </w:p>
        </w:tc>
      </w:tr>
      <w:tr w:rsidR="00CB5565" w:rsidRPr="009A1761" w:rsidTr="00CB5565">
        <w:trPr>
          <w:trHeight w:val="307"/>
        </w:trPr>
        <w:tc>
          <w:tcPr>
            <w:tcW w:w="27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Kapitalni izdaci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D035BD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44,28</w:t>
            </w:r>
          </w:p>
        </w:tc>
        <w:tc>
          <w:tcPr>
            <w:tcW w:w="5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31,27</w:t>
            </w:r>
          </w:p>
        </w:tc>
        <w:tc>
          <w:tcPr>
            <w:tcW w:w="10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D035BD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26,15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D035BD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</w:t>
            </w:r>
            <w:r w:rsidR="00D035B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61,48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D035BD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41,58</w:t>
            </w:r>
          </w:p>
        </w:tc>
      </w:tr>
      <w:tr w:rsidR="009A1761" w:rsidRPr="009A1761" w:rsidTr="00CB5565">
        <w:trPr>
          <w:trHeight w:val="322"/>
        </w:trPr>
        <w:tc>
          <w:tcPr>
            <w:tcW w:w="27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Suficit / Deficit budžeta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D035B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-</w:t>
            </w:r>
            <w:r w:rsidR="00D035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82,40</w:t>
            </w:r>
          </w:p>
        </w:tc>
        <w:tc>
          <w:tcPr>
            <w:tcW w:w="5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23,62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1761" w:rsidRPr="009A1761" w:rsidRDefault="00D035BD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325,15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D035BD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-55,55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9A1761" w:rsidRPr="009A1761" w:rsidRDefault="009A1761" w:rsidP="00D035BD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</w:t>
            </w:r>
            <w:r w:rsidR="00D035B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448,83</w:t>
            </w:r>
          </w:p>
        </w:tc>
      </w:tr>
      <w:tr w:rsidR="00CB5565" w:rsidRPr="009A1761" w:rsidTr="00CB5565">
        <w:trPr>
          <w:trHeight w:val="307"/>
        </w:trPr>
        <w:tc>
          <w:tcPr>
            <w:tcW w:w="276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Primarni bilans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D035B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-</w:t>
            </w:r>
            <w:r w:rsidR="00D035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79,72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30,00</w:t>
            </w:r>
          </w:p>
        </w:tc>
        <w:tc>
          <w:tcPr>
            <w:tcW w:w="109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D035BD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400,42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D035BD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-77,11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D035BD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</w:t>
            </w:r>
            <w:r w:rsidR="00D035B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365,76</w:t>
            </w:r>
          </w:p>
        </w:tc>
      </w:tr>
      <w:tr w:rsidR="00CB5565" w:rsidRPr="009A1761" w:rsidTr="00CB5565">
        <w:trPr>
          <w:trHeight w:val="307"/>
        </w:trPr>
        <w:tc>
          <w:tcPr>
            <w:tcW w:w="27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761" w:rsidRPr="009A1761" w:rsidRDefault="009A1761" w:rsidP="009A1761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Otplata dugova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31,27</w:t>
            </w:r>
          </w:p>
        </w:tc>
        <w:tc>
          <w:tcPr>
            <w:tcW w:w="5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32,77</w:t>
            </w:r>
          </w:p>
        </w:tc>
        <w:tc>
          <w:tcPr>
            <w:tcW w:w="10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0,70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-1,59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A1761" w:rsidRPr="009A1761" w:rsidRDefault="009A1761" w:rsidP="009A1761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9A176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-4,57</w:t>
            </w:r>
          </w:p>
        </w:tc>
      </w:tr>
    </w:tbl>
    <w:tbl>
      <w:tblPr>
        <w:tblpPr w:leftFromText="141" w:rightFromText="141" w:vertAnchor="text" w:horzAnchor="margin" w:tblpY="23"/>
        <w:tblW w:w="6626" w:type="dxa"/>
        <w:tblCellMar>
          <w:left w:w="70" w:type="dxa"/>
          <w:right w:w="70" w:type="dxa"/>
        </w:tblCellMar>
        <w:tblLook w:val="04A0"/>
      </w:tblPr>
      <w:tblGrid>
        <w:gridCol w:w="3772"/>
        <w:gridCol w:w="901"/>
        <w:gridCol w:w="1051"/>
        <w:gridCol w:w="902"/>
      </w:tblGrid>
      <w:tr w:rsidR="00AC13C4" w:rsidRPr="00AC13C4" w:rsidTr="00AC13C4">
        <w:trPr>
          <w:trHeight w:val="198"/>
        </w:trPr>
        <w:tc>
          <w:tcPr>
            <w:tcW w:w="3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Indikatori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M-n-M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dec2016 g-n-g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2016/2015 g-n-g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REALNI SEKTOR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Industrijska proizvodnja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-4,4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Prerađivačka industrija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-7,8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Noćenja u turizmu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-14,6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21,6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1,8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Promet u maloprodaji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14,5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6,9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4,1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INFLACIJA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Indeks potrošačkih cijena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Harmonizovani indeks potrošačkih cijena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Indeks proizvodjačkih cijena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-0,1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ZAPOSLENOST I ZARADE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Zaposlenost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1,4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Broj nezaposlenih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23,7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23,3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Stopa nezaposlenosti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22,8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23,1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Oglašena radna mjesta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138,5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34,8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Prosječna mjesečna bruto zarada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3,4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Prosječna mjesečna neto zarada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4,0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MONETARNI SEKTOR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Ukupni krediti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Krediti u kašnjenju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-23,6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Nekvalitetni krediti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-16,3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Ukupni depoziti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Krediti privredi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Krediti domaćinstvima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10,5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Depoziti privrede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23,4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Lična štednja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6,6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Kamatna stopa na kredite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-12,7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Kamatna stopa na depozite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-24,4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EKSTERNI SEKTOR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Izvoz roba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-24,4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BD6DDD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2,7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Uvoz roba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BD6DDD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11,9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Spoljnotrgovinski bilans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BD6DDD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13,8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Strane direktne investicije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*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103,7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-39,4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MEĐUNARODNO OKRUŽENJE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Brent crude oil (USD/barel)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10,3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52,7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-14,5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Aluminijum (USD/T)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15,4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-5,8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Euribor (12 mjeseci)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-243,1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-126,8</w:t>
            </w:r>
          </w:p>
        </w:tc>
      </w:tr>
      <w:tr w:rsidR="00AC13C4" w:rsidRPr="00AC13C4" w:rsidTr="00AC13C4">
        <w:trPr>
          <w:trHeight w:val="198"/>
        </w:trPr>
        <w:tc>
          <w:tcPr>
            <w:tcW w:w="37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3C4" w:rsidRPr="00AC13C4" w:rsidRDefault="00AC13C4" w:rsidP="00AC13C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Inflacija u Eurozoni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83,3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450,0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C4" w:rsidRPr="00AC13C4" w:rsidRDefault="00AC13C4" w:rsidP="00AC13C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AC13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625,0</w:t>
            </w:r>
          </w:p>
        </w:tc>
      </w:tr>
    </w:tbl>
    <w:p w:rsidR="009A1761" w:rsidRDefault="009A1761" w:rsidP="00165D1E">
      <w:pPr>
        <w:tabs>
          <w:tab w:val="left" w:pos="1810"/>
          <w:tab w:val="left" w:pos="3607"/>
        </w:tabs>
        <w:ind w:firstLine="708"/>
        <w:jc w:val="left"/>
        <w:rPr>
          <w:sz w:val="16"/>
          <w:szCs w:val="16"/>
        </w:rPr>
      </w:pPr>
    </w:p>
    <w:p w:rsidR="009A1761" w:rsidRDefault="009A1761" w:rsidP="009A1761">
      <w:pPr>
        <w:tabs>
          <w:tab w:val="left" w:pos="1810"/>
        </w:tabs>
        <w:ind w:firstLine="708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</w:p>
    <w:p w:rsidR="0079718D" w:rsidRPr="004C3072" w:rsidRDefault="009A1761" w:rsidP="009A1761">
      <w:pPr>
        <w:tabs>
          <w:tab w:val="left" w:pos="1810"/>
        </w:tabs>
        <w:ind w:firstLine="708"/>
        <w:jc w:val="left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  <w:r w:rsidR="00A12864">
        <w:rPr>
          <w:sz w:val="16"/>
          <w:szCs w:val="16"/>
        </w:rPr>
        <w:br w:type="textWrapping" w:clear="all"/>
      </w:r>
      <w:r w:rsidR="00AC13C4">
        <w:rPr>
          <w:sz w:val="16"/>
          <w:szCs w:val="16"/>
        </w:rPr>
        <w:t>*SDI podaci za 11</w:t>
      </w:r>
      <w:r w:rsidR="00584D53">
        <w:rPr>
          <w:sz w:val="16"/>
          <w:szCs w:val="16"/>
        </w:rPr>
        <w:t xml:space="preserve"> mjeseci</w:t>
      </w:r>
    </w:p>
    <w:sectPr w:rsidR="0079718D" w:rsidRPr="004C3072" w:rsidSect="0088070A">
      <w:headerReference w:type="default" r:id="rId14"/>
      <w:pgSz w:w="16838" w:h="11906" w:orient="landscape" w:code="9"/>
      <w:pgMar w:top="1134" w:right="1418" w:bottom="1560" w:left="1418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BBC" w:rsidRDefault="00AF3BBC" w:rsidP="0073697A">
      <w:r>
        <w:separator/>
      </w:r>
    </w:p>
  </w:endnote>
  <w:endnote w:type="continuationSeparator" w:id="0">
    <w:p w:rsidR="00AF3BBC" w:rsidRDefault="00AF3BBC" w:rsidP="00736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BBC" w:rsidRDefault="00AF3BBC" w:rsidP="0073697A">
      <w:r>
        <w:separator/>
      </w:r>
    </w:p>
  </w:footnote>
  <w:footnote w:type="continuationSeparator" w:id="0">
    <w:p w:rsidR="00AF3BBC" w:rsidRDefault="00AF3BBC" w:rsidP="00736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97A" w:rsidRDefault="0073697A" w:rsidP="0073697A">
    <w:pPr>
      <w:pStyle w:val="Header"/>
      <w:jc w:val="center"/>
      <w:rPr>
        <w:b/>
      </w:rPr>
    </w:pPr>
    <w:r w:rsidRPr="0073697A">
      <w:rPr>
        <w:b/>
        <w:noProof/>
        <w:lang w:eastAsia="sr-Latn-CS"/>
      </w:rPr>
      <w:drawing>
        <wp:inline distT="0" distB="0" distL="0" distR="0">
          <wp:extent cx="616675" cy="47270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64" cy="478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697A" w:rsidRDefault="0073697A" w:rsidP="0073697A">
    <w:pPr>
      <w:pStyle w:val="Header"/>
      <w:jc w:val="center"/>
      <w:rPr>
        <w:b/>
      </w:rPr>
    </w:pPr>
    <w:r>
      <w:rPr>
        <w:b/>
      </w:rPr>
      <w:t>MINISTARSTVO FINANASIJA</w:t>
    </w:r>
  </w:p>
  <w:p w:rsidR="0073697A" w:rsidRDefault="0073697A" w:rsidP="0073697A">
    <w:pPr>
      <w:pStyle w:val="Header"/>
      <w:jc w:val="center"/>
      <w:rPr>
        <w:b/>
      </w:rPr>
    </w:pPr>
    <w:r>
      <w:rPr>
        <w:b/>
      </w:rPr>
      <w:t>DIREKTORAT ZA EKONOMSKU POLITIKU I RAZVOJ</w:t>
    </w:r>
  </w:p>
  <w:p w:rsidR="0073697A" w:rsidRPr="0073697A" w:rsidRDefault="0073697A" w:rsidP="0073697A">
    <w:pPr>
      <w:pStyle w:val="Header"/>
      <w:jc w:val="center"/>
      <w:rPr>
        <w:b/>
      </w:rPr>
    </w:pPr>
    <w:r w:rsidRPr="0073697A">
      <w:rPr>
        <w:b/>
      </w:rPr>
      <w:t xml:space="preserve">MJESEČNI MAKROEKONOMSKI INDIKATORI – </w:t>
    </w:r>
    <w:r w:rsidR="00352B48">
      <w:rPr>
        <w:b/>
      </w:rPr>
      <w:t>DECEMBAR</w:t>
    </w:r>
    <w:r w:rsidRPr="0073697A">
      <w:rPr>
        <w:b/>
      </w:rPr>
      <w:t xml:space="preserve"> 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6CF" w:rsidRPr="0073697A" w:rsidRDefault="003246CF" w:rsidP="0073697A">
    <w:pPr>
      <w:pStyle w:val="Header"/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73697A"/>
    <w:rsid w:val="00000EF0"/>
    <w:rsid w:val="00003121"/>
    <w:rsid w:val="000038EF"/>
    <w:rsid w:val="0000427C"/>
    <w:rsid w:val="00005335"/>
    <w:rsid w:val="000055E4"/>
    <w:rsid w:val="00007265"/>
    <w:rsid w:val="00015561"/>
    <w:rsid w:val="000173EE"/>
    <w:rsid w:val="000345FD"/>
    <w:rsid w:val="00034BCD"/>
    <w:rsid w:val="00042F09"/>
    <w:rsid w:val="00043FAF"/>
    <w:rsid w:val="000514EB"/>
    <w:rsid w:val="0005291E"/>
    <w:rsid w:val="00053060"/>
    <w:rsid w:val="00060DA2"/>
    <w:rsid w:val="00072A7F"/>
    <w:rsid w:val="00073816"/>
    <w:rsid w:val="00080AC8"/>
    <w:rsid w:val="000965F7"/>
    <w:rsid w:val="000A216D"/>
    <w:rsid w:val="000A45F0"/>
    <w:rsid w:val="000A47FB"/>
    <w:rsid w:val="000A7357"/>
    <w:rsid w:val="000B70D2"/>
    <w:rsid w:val="000B737B"/>
    <w:rsid w:val="000C1B3B"/>
    <w:rsid w:val="00100981"/>
    <w:rsid w:val="001063C2"/>
    <w:rsid w:val="00106C06"/>
    <w:rsid w:val="00111099"/>
    <w:rsid w:val="0011434C"/>
    <w:rsid w:val="001151DC"/>
    <w:rsid w:val="0012316F"/>
    <w:rsid w:val="0013344B"/>
    <w:rsid w:val="001375C0"/>
    <w:rsid w:val="00142584"/>
    <w:rsid w:val="00144DB3"/>
    <w:rsid w:val="00146CE3"/>
    <w:rsid w:val="00147BB3"/>
    <w:rsid w:val="0015061A"/>
    <w:rsid w:val="001617BA"/>
    <w:rsid w:val="00164655"/>
    <w:rsid w:val="00165D1E"/>
    <w:rsid w:val="001663FE"/>
    <w:rsid w:val="0017300C"/>
    <w:rsid w:val="001772D3"/>
    <w:rsid w:val="00181923"/>
    <w:rsid w:val="00183681"/>
    <w:rsid w:val="001A1F6C"/>
    <w:rsid w:val="001A25B1"/>
    <w:rsid w:val="001A7B3A"/>
    <w:rsid w:val="001B5B1A"/>
    <w:rsid w:val="001B690A"/>
    <w:rsid w:val="001C2611"/>
    <w:rsid w:val="001C301B"/>
    <w:rsid w:val="001C5A36"/>
    <w:rsid w:val="001D1216"/>
    <w:rsid w:val="001D4436"/>
    <w:rsid w:val="001D5B20"/>
    <w:rsid w:val="001E00F1"/>
    <w:rsid w:val="001E1C50"/>
    <w:rsid w:val="001E33EA"/>
    <w:rsid w:val="001E4D3D"/>
    <w:rsid w:val="001F4E19"/>
    <w:rsid w:val="001F6694"/>
    <w:rsid w:val="00203F47"/>
    <w:rsid w:val="002130C5"/>
    <w:rsid w:val="00213F9C"/>
    <w:rsid w:val="0022033B"/>
    <w:rsid w:val="00227751"/>
    <w:rsid w:val="00233237"/>
    <w:rsid w:val="002357FE"/>
    <w:rsid w:val="002374B9"/>
    <w:rsid w:val="00245A38"/>
    <w:rsid w:val="002520F3"/>
    <w:rsid w:val="00252F30"/>
    <w:rsid w:val="00262CD5"/>
    <w:rsid w:val="00267C31"/>
    <w:rsid w:val="00270541"/>
    <w:rsid w:val="0027120F"/>
    <w:rsid w:val="00274AD4"/>
    <w:rsid w:val="00276516"/>
    <w:rsid w:val="002808E6"/>
    <w:rsid w:val="00281C41"/>
    <w:rsid w:val="00283900"/>
    <w:rsid w:val="002930D3"/>
    <w:rsid w:val="00293267"/>
    <w:rsid w:val="00297A20"/>
    <w:rsid w:val="002A278E"/>
    <w:rsid w:val="002B0F27"/>
    <w:rsid w:val="002B326F"/>
    <w:rsid w:val="002C5295"/>
    <w:rsid w:val="002D1FB2"/>
    <w:rsid w:val="002D4A9C"/>
    <w:rsid w:val="002D5BAF"/>
    <w:rsid w:val="002D739F"/>
    <w:rsid w:val="002E2742"/>
    <w:rsid w:val="002E5FBE"/>
    <w:rsid w:val="002E7945"/>
    <w:rsid w:val="002F73DF"/>
    <w:rsid w:val="00314ACD"/>
    <w:rsid w:val="00322EC9"/>
    <w:rsid w:val="003246CF"/>
    <w:rsid w:val="00335592"/>
    <w:rsid w:val="00345A27"/>
    <w:rsid w:val="00350DD5"/>
    <w:rsid w:val="00352B48"/>
    <w:rsid w:val="00353DF1"/>
    <w:rsid w:val="00366CBB"/>
    <w:rsid w:val="00372E9C"/>
    <w:rsid w:val="00373F73"/>
    <w:rsid w:val="003809FC"/>
    <w:rsid w:val="00382261"/>
    <w:rsid w:val="003960E9"/>
    <w:rsid w:val="00396E9B"/>
    <w:rsid w:val="00397B8D"/>
    <w:rsid w:val="00397D13"/>
    <w:rsid w:val="003A1DA6"/>
    <w:rsid w:val="003A1FB5"/>
    <w:rsid w:val="003A7AFD"/>
    <w:rsid w:val="003B102E"/>
    <w:rsid w:val="003B1BC0"/>
    <w:rsid w:val="003B333E"/>
    <w:rsid w:val="003C4377"/>
    <w:rsid w:val="003C66B3"/>
    <w:rsid w:val="003D7676"/>
    <w:rsid w:val="003E5678"/>
    <w:rsid w:val="003E6B73"/>
    <w:rsid w:val="003F1991"/>
    <w:rsid w:val="003F5368"/>
    <w:rsid w:val="004000F3"/>
    <w:rsid w:val="00400FB4"/>
    <w:rsid w:val="0040355D"/>
    <w:rsid w:val="004060E3"/>
    <w:rsid w:val="00411C2C"/>
    <w:rsid w:val="004141BB"/>
    <w:rsid w:val="00414994"/>
    <w:rsid w:val="00415B63"/>
    <w:rsid w:val="00420B8C"/>
    <w:rsid w:val="00421A9C"/>
    <w:rsid w:val="004238BB"/>
    <w:rsid w:val="0042618D"/>
    <w:rsid w:val="00426C6F"/>
    <w:rsid w:val="00430B42"/>
    <w:rsid w:val="0044517D"/>
    <w:rsid w:val="00445549"/>
    <w:rsid w:val="0044570F"/>
    <w:rsid w:val="00446CAF"/>
    <w:rsid w:val="00451118"/>
    <w:rsid w:val="00453349"/>
    <w:rsid w:val="00470004"/>
    <w:rsid w:val="00472419"/>
    <w:rsid w:val="0048284B"/>
    <w:rsid w:val="00482D1A"/>
    <w:rsid w:val="0048750E"/>
    <w:rsid w:val="00487BE0"/>
    <w:rsid w:val="004914C7"/>
    <w:rsid w:val="0049216B"/>
    <w:rsid w:val="00494F72"/>
    <w:rsid w:val="00496651"/>
    <w:rsid w:val="004A28F5"/>
    <w:rsid w:val="004A533A"/>
    <w:rsid w:val="004A6288"/>
    <w:rsid w:val="004A7AB1"/>
    <w:rsid w:val="004B6680"/>
    <w:rsid w:val="004B726F"/>
    <w:rsid w:val="004C0387"/>
    <w:rsid w:val="004C3072"/>
    <w:rsid w:val="004C5EC6"/>
    <w:rsid w:val="004F2AE0"/>
    <w:rsid w:val="004F4D92"/>
    <w:rsid w:val="0050113B"/>
    <w:rsid w:val="00504951"/>
    <w:rsid w:val="0050592F"/>
    <w:rsid w:val="00507804"/>
    <w:rsid w:val="00511665"/>
    <w:rsid w:val="00512B09"/>
    <w:rsid w:val="005132AD"/>
    <w:rsid w:val="0052339C"/>
    <w:rsid w:val="00525DF6"/>
    <w:rsid w:val="00526388"/>
    <w:rsid w:val="00527D4C"/>
    <w:rsid w:val="005357F2"/>
    <w:rsid w:val="005438B0"/>
    <w:rsid w:val="005458FE"/>
    <w:rsid w:val="00547CF0"/>
    <w:rsid w:val="00553D4C"/>
    <w:rsid w:val="0055678F"/>
    <w:rsid w:val="005600A4"/>
    <w:rsid w:val="005713D5"/>
    <w:rsid w:val="00572484"/>
    <w:rsid w:val="005737CB"/>
    <w:rsid w:val="00574007"/>
    <w:rsid w:val="00574353"/>
    <w:rsid w:val="005744D0"/>
    <w:rsid w:val="0058031A"/>
    <w:rsid w:val="00583221"/>
    <w:rsid w:val="00584D53"/>
    <w:rsid w:val="00586D17"/>
    <w:rsid w:val="00590347"/>
    <w:rsid w:val="0059162B"/>
    <w:rsid w:val="00592807"/>
    <w:rsid w:val="00596B99"/>
    <w:rsid w:val="005A1C2A"/>
    <w:rsid w:val="005A6D03"/>
    <w:rsid w:val="005C5AB7"/>
    <w:rsid w:val="005D22D9"/>
    <w:rsid w:val="005D57C1"/>
    <w:rsid w:val="005D67C3"/>
    <w:rsid w:val="005E0637"/>
    <w:rsid w:val="005E7520"/>
    <w:rsid w:val="005F012F"/>
    <w:rsid w:val="005F0CCD"/>
    <w:rsid w:val="005F39EB"/>
    <w:rsid w:val="005F5912"/>
    <w:rsid w:val="005F6D52"/>
    <w:rsid w:val="00601240"/>
    <w:rsid w:val="00616FAC"/>
    <w:rsid w:val="00630B19"/>
    <w:rsid w:val="006405F6"/>
    <w:rsid w:val="00645885"/>
    <w:rsid w:val="00660B0E"/>
    <w:rsid w:val="00660BB8"/>
    <w:rsid w:val="0066376E"/>
    <w:rsid w:val="006863EF"/>
    <w:rsid w:val="00692D1B"/>
    <w:rsid w:val="0069707D"/>
    <w:rsid w:val="00697C7E"/>
    <w:rsid w:val="006A0781"/>
    <w:rsid w:val="006A0D43"/>
    <w:rsid w:val="006A168C"/>
    <w:rsid w:val="006A1837"/>
    <w:rsid w:val="006A3623"/>
    <w:rsid w:val="006B2901"/>
    <w:rsid w:val="006C52D2"/>
    <w:rsid w:val="006D4EC2"/>
    <w:rsid w:val="006D633E"/>
    <w:rsid w:val="006D7DD5"/>
    <w:rsid w:val="006E0085"/>
    <w:rsid w:val="006E62BA"/>
    <w:rsid w:val="006F0D1C"/>
    <w:rsid w:val="006F2FA5"/>
    <w:rsid w:val="006F3BE2"/>
    <w:rsid w:val="00701E9C"/>
    <w:rsid w:val="007100DA"/>
    <w:rsid w:val="00716398"/>
    <w:rsid w:val="00717741"/>
    <w:rsid w:val="00720D75"/>
    <w:rsid w:val="00723438"/>
    <w:rsid w:val="00723DD6"/>
    <w:rsid w:val="00727509"/>
    <w:rsid w:val="0073181D"/>
    <w:rsid w:val="00731EA8"/>
    <w:rsid w:val="0073671A"/>
    <w:rsid w:val="0073697A"/>
    <w:rsid w:val="0073775D"/>
    <w:rsid w:val="007419C4"/>
    <w:rsid w:val="0074660A"/>
    <w:rsid w:val="00746D86"/>
    <w:rsid w:val="0075112B"/>
    <w:rsid w:val="00751E27"/>
    <w:rsid w:val="0076035F"/>
    <w:rsid w:val="007606C4"/>
    <w:rsid w:val="00760884"/>
    <w:rsid w:val="007618C0"/>
    <w:rsid w:val="00764AE3"/>
    <w:rsid w:val="007661F8"/>
    <w:rsid w:val="00773602"/>
    <w:rsid w:val="00773D70"/>
    <w:rsid w:val="00775F94"/>
    <w:rsid w:val="00786BE4"/>
    <w:rsid w:val="007879A5"/>
    <w:rsid w:val="00787D64"/>
    <w:rsid w:val="007920C5"/>
    <w:rsid w:val="00792C71"/>
    <w:rsid w:val="00793680"/>
    <w:rsid w:val="0079718D"/>
    <w:rsid w:val="00797836"/>
    <w:rsid w:val="007A03BE"/>
    <w:rsid w:val="007A3610"/>
    <w:rsid w:val="007B0D22"/>
    <w:rsid w:val="007B151B"/>
    <w:rsid w:val="007B6864"/>
    <w:rsid w:val="007B73BF"/>
    <w:rsid w:val="007D3C8A"/>
    <w:rsid w:val="007D7E9D"/>
    <w:rsid w:val="007E0AC6"/>
    <w:rsid w:val="007E4773"/>
    <w:rsid w:val="007E5FED"/>
    <w:rsid w:val="007E794E"/>
    <w:rsid w:val="007F1472"/>
    <w:rsid w:val="007F2E00"/>
    <w:rsid w:val="007F2E5F"/>
    <w:rsid w:val="007F38ED"/>
    <w:rsid w:val="008028F9"/>
    <w:rsid w:val="00803D0A"/>
    <w:rsid w:val="008042F0"/>
    <w:rsid w:val="00815D6D"/>
    <w:rsid w:val="008201ED"/>
    <w:rsid w:val="00821311"/>
    <w:rsid w:val="00832B68"/>
    <w:rsid w:val="0083533D"/>
    <w:rsid w:val="00840B3F"/>
    <w:rsid w:val="00845369"/>
    <w:rsid w:val="00850D89"/>
    <w:rsid w:val="008530E6"/>
    <w:rsid w:val="0085469E"/>
    <w:rsid w:val="00865E5F"/>
    <w:rsid w:val="00870E6B"/>
    <w:rsid w:val="00873111"/>
    <w:rsid w:val="00873C38"/>
    <w:rsid w:val="0088070A"/>
    <w:rsid w:val="00891AD4"/>
    <w:rsid w:val="00891F75"/>
    <w:rsid w:val="008977A0"/>
    <w:rsid w:val="008A1FCB"/>
    <w:rsid w:val="008B415E"/>
    <w:rsid w:val="008B5248"/>
    <w:rsid w:val="008B6371"/>
    <w:rsid w:val="008C0FA2"/>
    <w:rsid w:val="008C646C"/>
    <w:rsid w:val="008C752C"/>
    <w:rsid w:val="008D0CF1"/>
    <w:rsid w:val="008D3DA6"/>
    <w:rsid w:val="008E2C7D"/>
    <w:rsid w:val="008F3A0F"/>
    <w:rsid w:val="008F4683"/>
    <w:rsid w:val="008F4830"/>
    <w:rsid w:val="008F5166"/>
    <w:rsid w:val="008F516B"/>
    <w:rsid w:val="008F5AA1"/>
    <w:rsid w:val="009023A9"/>
    <w:rsid w:val="00903D4F"/>
    <w:rsid w:val="00914598"/>
    <w:rsid w:val="009150CA"/>
    <w:rsid w:val="00922E13"/>
    <w:rsid w:val="009251DA"/>
    <w:rsid w:val="00925396"/>
    <w:rsid w:val="00936469"/>
    <w:rsid w:val="009445B3"/>
    <w:rsid w:val="00945923"/>
    <w:rsid w:val="00953916"/>
    <w:rsid w:val="00955062"/>
    <w:rsid w:val="00957B61"/>
    <w:rsid w:val="00961412"/>
    <w:rsid w:val="00964308"/>
    <w:rsid w:val="009720CB"/>
    <w:rsid w:val="00973F4D"/>
    <w:rsid w:val="009743E5"/>
    <w:rsid w:val="00980E17"/>
    <w:rsid w:val="0098749F"/>
    <w:rsid w:val="0099235F"/>
    <w:rsid w:val="00993DD3"/>
    <w:rsid w:val="009A1761"/>
    <w:rsid w:val="009A46B2"/>
    <w:rsid w:val="009B4C93"/>
    <w:rsid w:val="009C2295"/>
    <w:rsid w:val="009C23C1"/>
    <w:rsid w:val="009D06FF"/>
    <w:rsid w:val="009D6CAE"/>
    <w:rsid w:val="009F2B48"/>
    <w:rsid w:val="009F3868"/>
    <w:rsid w:val="009F56AA"/>
    <w:rsid w:val="00A01CB6"/>
    <w:rsid w:val="00A03982"/>
    <w:rsid w:val="00A07297"/>
    <w:rsid w:val="00A11106"/>
    <w:rsid w:val="00A12128"/>
    <w:rsid w:val="00A12864"/>
    <w:rsid w:val="00A142A0"/>
    <w:rsid w:val="00A16774"/>
    <w:rsid w:val="00A23358"/>
    <w:rsid w:val="00A23417"/>
    <w:rsid w:val="00A25DF4"/>
    <w:rsid w:val="00A30629"/>
    <w:rsid w:val="00A30CF8"/>
    <w:rsid w:val="00A30F9F"/>
    <w:rsid w:val="00A317B6"/>
    <w:rsid w:val="00A40C0E"/>
    <w:rsid w:val="00A41D64"/>
    <w:rsid w:val="00A43FFD"/>
    <w:rsid w:val="00A54385"/>
    <w:rsid w:val="00A56A4D"/>
    <w:rsid w:val="00A63D86"/>
    <w:rsid w:val="00A64B7C"/>
    <w:rsid w:val="00A77E7F"/>
    <w:rsid w:val="00A83DC7"/>
    <w:rsid w:val="00A862CD"/>
    <w:rsid w:val="00A86BBF"/>
    <w:rsid w:val="00A921E6"/>
    <w:rsid w:val="00A9298D"/>
    <w:rsid w:val="00AA7198"/>
    <w:rsid w:val="00AA7B51"/>
    <w:rsid w:val="00AC13C4"/>
    <w:rsid w:val="00AC4B23"/>
    <w:rsid w:val="00AD2A30"/>
    <w:rsid w:val="00AD49B3"/>
    <w:rsid w:val="00AD6544"/>
    <w:rsid w:val="00AE3727"/>
    <w:rsid w:val="00AE635C"/>
    <w:rsid w:val="00AE6991"/>
    <w:rsid w:val="00AE7EB0"/>
    <w:rsid w:val="00AF19CD"/>
    <w:rsid w:val="00AF3BBC"/>
    <w:rsid w:val="00AF6340"/>
    <w:rsid w:val="00B10952"/>
    <w:rsid w:val="00B145C2"/>
    <w:rsid w:val="00B171C8"/>
    <w:rsid w:val="00B17F35"/>
    <w:rsid w:val="00B2463F"/>
    <w:rsid w:val="00B312F3"/>
    <w:rsid w:val="00B32517"/>
    <w:rsid w:val="00B40294"/>
    <w:rsid w:val="00B45DE4"/>
    <w:rsid w:val="00B6212A"/>
    <w:rsid w:val="00B62939"/>
    <w:rsid w:val="00B637E9"/>
    <w:rsid w:val="00B65804"/>
    <w:rsid w:val="00B677E0"/>
    <w:rsid w:val="00B72B8E"/>
    <w:rsid w:val="00B76CD6"/>
    <w:rsid w:val="00B84180"/>
    <w:rsid w:val="00B84A9A"/>
    <w:rsid w:val="00B86395"/>
    <w:rsid w:val="00B9371F"/>
    <w:rsid w:val="00BA1135"/>
    <w:rsid w:val="00BA31EA"/>
    <w:rsid w:val="00BA5DA6"/>
    <w:rsid w:val="00BC0E46"/>
    <w:rsid w:val="00BC160F"/>
    <w:rsid w:val="00BC1E57"/>
    <w:rsid w:val="00BC2627"/>
    <w:rsid w:val="00BC668D"/>
    <w:rsid w:val="00BC722D"/>
    <w:rsid w:val="00BC7DAC"/>
    <w:rsid w:val="00BD6DDD"/>
    <w:rsid w:val="00BF1745"/>
    <w:rsid w:val="00BF3ACA"/>
    <w:rsid w:val="00BF4356"/>
    <w:rsid w:val="00BF60A2"/>
    <w:rsid w:val="00BF7815"/>
    <w:rsid w:val="00C121AA"/>
    <w:rsid w:val="00C1316E"/>
    <w:rsid w:val="00C26094"/>
    <w:rsid w:val="00C40ABE"/>
    <w:rsid w:val="00C42687"/>
    <w:rsid w:val="00C5038F"/>
    <w:rsid w:val="00C5597E"/>
    <w:rsid w:val="00C62DE8"/>
    <w:rsid w:val="00C63101"/>
    <w:rsid w:val="00C64FDD"/>
    <w:rsid w:val="00C70FA6"/>
    <w:rsid w:val="00C76D0B"/>
    <w:rsid w:val="00C76FEF"/>
    <w:rsid w:val="00C77428"/>
    <w:rsid w:val="00C8109D"/>
    <w:rsid w:val="00C81B7A"/>
    <w:rsid w:val="00C82F59"/>
    <w:rsid w:val="00CA1561"/>
    <w:rsid w:val="00CA19FB"/>
    <w:rsid w:val="00CB5565"/>
    <w:rsid w:val="00CC240E"/>
    <w:rsid w:val="00CC5BC9"/>
    <w:rsid w:val="00CD1C3F"/>
    <w:rsid w:val="00D0135C"/>
    <w:rsid w:val="00D035BD"/>
    <w:rsid w:val="00D116C2"/>
    <w:rsid w:val="00D12CE1"/>
    <w:rsid w:val="00D22C1D"/>
    <w:rsid w:val="00D276FE"/>
    <w:rsid w:val="00D33068"/>
    <w:rsid w:val="00D41545"/>
    <w:rsid w:val="00D428A4"/>
    <w:rsid w:val="00D43D50"/>
    <w:rsid w:val="00D468FA"/>
    <w:rsid w:val="00D5556D"/>
    <w:rsid w:val="00D5698F"/>
    <w:rsid w:val="00D601EA"/>
    <w:rsid w:val="00D620E3"/>
    <w:rsid w:val="00D6392B"/>
    <w:rsid w:val="00D63986"/>
    <w:rsid w:val="00D71A89"/>
    <w:rsid w:val="00D77E46"/>
    <w:rsid w:val="00D80038"/>
    <w:rsid w:val="00D8201F"/>
    <w:rsid w:val="00D8366B"/>
    <w:rsid w:val="00D84EE5"/>
    <w:rsid w:val="00D97DE8"/>
    <w:rsid w:val="00DA0835"/>
    <w:rsid w:val="00DA1F32"/>
    <w:rsid w:val="00DA6180"/>
    <w:rsid w:val="00DA6A5F"/>
    <w:rsid w:val="00DB0048"/>
    <w:rsid w:val="00DB29AE"/>
    <w:rsid w:val="00DB3D80"/>
    <w:rsid w:val="00DB3F65"/>
    <w:rsid w:val="00DC19D9"/>
    <w:rsid w:val="00DC6BD8"/>
    <w:rsid w:val="00DC76AB"/>
    <w:rsid w:val="00DD551E"/>
    <w:rsid w:val="00DE3406"/>
    <w:rsid w:val="00DF553F"/>
    <w:rsid w:val="00DF5787"/>
    <w:rsid w:val="00DF7A64"/>
    <w:rsid w:val="00E00999"/>
    <w:rsid w:val="00E10840"/>
    <w:rsid w:val="00E15D4A"/>
    <w:rsid w:val="00E2269A"/>
    <w:rsid w:val="00E22F9A"/>
    <w:rsid w:val="00E25024"/>
    <w:rsid w:val="00E256F4"/>
    <w:rsid w:val="00E321B2"/>
    <w:rsid w:val="00E37E2E"/>
    <w:rsid w:val="00E40923"/>
    <w:rsid w:val="00E40E3E"/>
    <w:rsid w:val="00E42D19"/>
    <w:rsid w:val="00E45A4C"/>
    <w:rsid w:val="00E60E35"/>
    <w:rsid w:val="00E77696"/>
    <w:rsid w:val="00E8072F"/>
    <w:rsid w:val="00E97E73"/>
    <w:rsid w:val="00EA4D6A"/>
    <w:rsid w:val="00EA7E4B"/>
    <w:rsid w:val="00EB75A3"/>
    <w:rsid w:val="00EB7D0C"/>
    <w:rsid w:val="00EB7D15"/>
    <w:rsid w:val="00ED05CD"/>
    <w:rsid w:val="00ED1E5A"/>
    <w:rsid w:val="00ED457B"/>
    <w:rsid w:val="00ED6FE0"/>
    <w:rsid w:val="00ED7734"/>
    <w:rsid w:val="00ED7DC6"/>
    <w:rsid w:val="00EE7428"/>
    <w:rsid w:val="00EE77EA"/>
    <w:rsid w:val="00EF6FFE"/>
    <w:rsid w:val="00EF7209"/>
    <w:rsid w:val="00EF7939"/>
    <w:rsid w:val="00F074C1"/>
    <w:rsid w:val="00F10DCB"/>
    <w:rsid w:val="00F118B5"/>
    <w:rsid w:val="00F14391"/>
    <w:rsid w:val="00F230C6"/>
    <w:rsid w:val="00F2656B"/>
    <w:rsid w:val="00F318C2"/>
    <w:rsid w:val="00F33783"/>
    <w:rsid w:val="00F35D9F"/>
    <w:rsid w:val="00F40A2A"/>
    <w:rsid w:val="00F476EE"/>
    <w:rsid w:val="00F51BC8"/>
    <w:rsid w:val="00F52F3B"/>
    <w:rsid w:val="00F61980"/>
    <w:rsid w:val="00F63D62"/>
    <w:rsid w:val="00F70307"/>
    <w:rsid w:val="00F71E4F"/>
    <w:rsid w:val="00F76C5C"/>
    <w:rsid w:val="00F840B1"/>
    <w:rsid w:val="00F87959"/>
    <w:rsid w:val="00F900A0"/>
    <w:rsid w:val="00F94662"/>
    <w:rsid w:val="00FA2B3C"/>
    <w:rsid w:val="00FB1AF7"/>
    <w:rsid w:val="00FB31DA"/>
    <w:rsid w:val="00FC00CE"/>
    <w:rsid w:val="00FD2FFC"/>
    <w:rsid w:val="00FD44F1"/>
    <w:rsid w:val="00FE0784"/>
    <w:rsid w:val="00FE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697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97A"/>
  </w:style>
  <w:style w:type="paragraph" w:styleId="Footer">
    <w:name w:val="footer"/>
    <w:basedOn w:val="Normal"/>
    <w:link w:val="FooterChar"/>
    <w:uiPriority w:val="99"/>
    <w:semiHidden/>
    <w:unhideWhenUsed/>
    <w:rsid w:val="0073697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97A"/>
  </w:style>
  <w:style w:type="paragraph" w:styleId="BalloonText">
    <w:name w:val="Balloon Text"/>
    <w:basedOn w:val="Normal"/>
    <w:link w:val="BalloonTextChar"/>
    <w:uiPriority w:val="99"/>
    <w:semiHidden/>
    <w:unhideWhenUsed/>
    <w:rsid w:val="00736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7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C5BC9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LightShading-Accent11">
    <w:name w:val="Light Shading - Accent 11"/>
    <w:basedOn w:val="TableNormal"/>
    <w:uiPriority w:val="60"/>
    <w:rsid w:val="003246C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324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252F3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rkList-Accent5">
    <w:name w:val="Dark List Accent 5"/>
    <w:basedOn w:val="TableNormal"/>
    <w:uiPriority w:val="70"/>
    <w:rsid w:val="00F118B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LightList-Accent12">
    <w:name w:val="Light List - Accent 12"/>
    <w:basedOn w:val="TableNormal"/>
    <w:uiPriority w:val="61"/>
    <w:rsid w:val="006405F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C30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0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307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C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ranko.krvavac\Dropbox\MINISTARSTVO%20FINANSIJA\SEP\02_MMI\MMI_2017%2001\mmi%2001-2017-javne%20finansij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ranko.krvavac\Dropbox\MINISTARSTVO%20FINANSIJA\SEP\02_MMI\MMI_2017%2001\mmi%202017-%20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RADA\statistika_kamatnih_stopa_banaka_decembar_2016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plotArea>
      <c:layout>
        <c:manualLayout>
          <c:layoutTarget val="inner"/>
          <c:xMode val="edge"/>
          <c:yMode val="edge"/>
          <c:x val="8.0539370078740485E-2"/>
          <c:y val="0.18097222222222262"/>
          <c:w val="0.88890507436570587"/>
          <c:h val="0.77736111111111161"/>
        </c:manualLayout>
      </c:layout>
      <c:lineChart>
        <c:grouping val="standard"/>
        <c:ser>
          <c:idx val="0"/>
          <c:order val="0"/>
          <c:tx>
            <c:strRef>
              <c:f>'Makroekonomski indikatori'!$C$25</c:f>
              <c:strCache>
                <c:ptCount val="1"/>
                <c:pt idx="0">
                  <c:v>CPI-godišnje stope rasta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C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'Makroekonomski indikatori'!$BM$41:$BX$41</c:f>
              <c:strCache>
                <c:ptCount val="12"/>
                <c:pt idx="0">
                  <c:v>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'Makroekonomski indikatori'!$D$25:$BX$25</c:f>
              <c:numCache>
                <c:formatCode>General</c:formatCode>
                <c:ptCount val="12"/>
                <c:pt idx="0">
                  <c:v>0.8</c:v>
                </c:pt>
                <c:pt idx="1">
                  <c:v>0.1</c:v>
                </c:pt>
                <c:pt idx="2">
                  <c:v>-0.9</c:v>
                </c:pt>
                <c:pt idx="3">
                  <c:v>-0.70000000000000062</c:v>
                </c:pt>
                <c:pt idx="4" formatCode="0.0">
                  <c:v>-1</c:v>
                </c:pt>
                <c:pt idx="5" formatCode="0.0">
                  <c:v>-1</c:v>
                </c:pt>
                <c:pt idx="6">
                  <c:v>-0.60000000000000064</c:v>
                </c:pt>
                <c:pt idx="7">
                  <c:v>-0.5</c:v>
                </c:pt>
                <c:pt idx="8">
                  <c:v>-0.1</c:v>
                </c:pt>
                <c:pt idx="9">
                  <c:v>0.2</c:v>
                </c:pt>
                <c:pt idx="10">
                  <c:v>0.4</c:v>
                </c:pt>
                <c:pt idx="11">
                  <c:v>0.9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D2D9-493C-860F-5B0B100ECAB5}"/>
            </c:ext>
          </c:extLst>
        </c:ser>
        <c:marker val="1"/>
        <c:axId val="51330432"/>
        <c:axId val="51648768"/>
      </c:lineChart>
      <c:catAx>
        <c:axId val="51330432"/>
        <c:scaling>
          <c:orientation val="minMax"/>
        </c:scaling>
        <c:axPos val="b"/>
        <c:numFmt formatCode="General" sourceLinked="1"/>
        <c:maj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51648768"/>
        <c:crosses val="autoZero"/>
        <c:auto val="1"/>
        <c:lblAlgn val="ctr"/>
        <c:lblOffset val="100"/>
      </c:catAx>
      <c:valAx>
        <c:axId val="51648768"/>
        <c:scaling>
          <c:orientation val="minMax"/>
        </c:scaling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51330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plotArea>
      <c:layout>
        <c:manualLayout>
          <c:layoutTarget val="inner"/>
          <c:xMode val="edge"/>
          <c:yMode val="edge"/>
          <c:x val="4.8726467331118684E-2"/>
          <c:y val="0.10399440069991252"/>
          <c:w val="0.68044875969451313"/>
          <c:h val="0.80444164479440083"/>
        </c:manualLayout>
      </c:layout>
      <c:pieChart>
        <c:varyColors val="1"/>
        <c:ser>
          <c:idx val="0"/>
          <c:order val="0"/>
          <c:dPt>
            <c:idx val="0"/>
            <c:explosion val="9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F11-4FCC-AD72-6ED46B2C0376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F11-4FCC-AD72-6ED46B2C0376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F11-4FCC-AD72-6ED46B2C0376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F11-4FCC-AD72-6ED46B2C0376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F11-4FCC-AD72-6ED46B2C0376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F11-4FCC-AD72-6ED46B2C0376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F11-4FCC-AD72-6ED46B2C0376}"/>
              </c:ext>
            </c:extLst>
          </c:dPt>
          <c:dLbls>
            <c:dLbl>
              <c:idx val="0"/>
              <c:layout>
                <c:manualLayout>
                  <c:x val="-2.3097810448112682E-2"/>
                  <c:y val="-3.283866394796365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11-4FCC-AD72-6ED46B2C0376}"/>
                </c:ext>
              </c:extLst>
            </c:dLbl>
            <c:dLbl>
              <c:idx val="1"/>
              <c:layout>
                <c:manualLayout>
                  <c:x val="1.8168484753359321E-2"/>
                  <c:y val="-4.790418698572373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11-4FCC-AD72-6ED46B2C0376}"/>
                </c:ext>
              </c:extLst>
            </c:dLbl>
            <c:dLbl>
              <c:idx val="2"/>
              <c:layout>
                <c:manualLayout>
                  <c:x val="1.189961719901292E-2"/>
                  <c:y val="-2.377266837249427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F11-4FCC-AD72-6ED46B2C0376}"/>
                </c:ext>
              </c:extLst>
            </c:dLbl>
            <c:dLbl>
              <c:idx val="3"/>
              <c:layout>
                <c:manualLayout>
                  <c:x val="2.8208683216923481E-2"/>
                  <c:y val="3.719977711069200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F11-4FCC-AD72-6ED46B2C0376}"/>
                </c:ext>
              </c:extLst>
            </c:dLbl>
            <c:dLbl>
              <c:idx val="6"/>
              <c:layout>
                <c:manualLayout>
                  <c:x val="2.6095342733321238E-2"/>
                  <c:y val="-2.236317577822755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F11-4FCC-AD72-6ED46B2C03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CS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'noćenja 16'!$V$18:$V$24</c:f>
              <c:strCache>
                <c:ptCount val="7"/>
                <c:pt idx="0">
                  <c:v>Rusija</c:v>
                </c:pt>
                <c:pt idx="1">
                  <c:v>Srbija</c:v>
                </c:pt>
                <c:pt idx="2">
                  <c:v>BIH</c:v>
                </c:pt>
                <c:pt idx="3">
                  <c:v>Ukrajina </c:v>
                </c:pt>
                <c:pt idx="4">
                  <c:v>Njemačka</c:v>
                </c:pt>
                <c:pt idx="5">
                  <c:v>Poljska</c:v>
                </c:pt>
                <c:pt idx="6">
                  <c:v>Ostalo</c:v>
                </c:pt>
              </c:strCache>
            </c:strRef>
          </c:cat>
          <c:val>
            <c:numRef>
              <c:f>'noćenja 16'!$W$18:$W$24</c:f>
              <c:numCache>
                <c:formatCode>General</c:formatCode>
                <c:ptCount val="7"/>
                <c:pt idx="0">
                  <c:v>27.3</c:v>
                </c:pt>
                <c:pt idx="1">
                  <c:v>26.2</c:v>
                </c:pt>
                <c:pt idx="2">
                  <c:v>9.9</c:v>
                </c:pt>
                <c:pt idx="3">
                  <c:v>4.4000000000000004</c:v>
                </c:pt>
                <c:pt idx="4">
                  <c:v>2.7</c:v>
                </c:pt>
                <c:pt idx="5">
                  <c:v>2.7</c:v>
                </c:pt>
                <c:pt idx="6">
                  <c:v>26.8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FF11-4FCC-AD72-6ED46B2C0376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890740401635868"/>
          <c:y val="0.27183331096964297"/>
          <c:w val="0.23451452289394054"/>
          <c:h val="0.58011466966636405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'Fiskalni indikatori'!$B$4</c:f>
              <c:strCache>
                <c:ptCount val="1"/>
                <c:pt idx="0">
                  <c:v>IZVORNI PRIHODI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'Fiskalni indikatori'!$AY$3:$BK$3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'Fiskalni indikatori'!$AY$4:$BK$4</c:f>
              <c:numCache>
                <c:formatCode>0.00,,</c:formatCode>
                <c:ptCount val="13"/>
                <c:pt idx="0">
                  <c:v>156411772.79999998</c:v>
                </c:pt>
                <c:pt idx="1">
                  <c:v>67408378.920000017</c:v>
                </c:pt>
                <c:pt idx="2">
                  <c:v>95779987.890000001</c:v>
                </c:pt>
                <c:pt idx="3">
                  <c:v>121569715.28999998</c:v>
                </c:pt>
                <c:pt idx="4">
                  <c:v>114117602.84999999</c:v>
                </c:pt>
                <c:pt idx="5">
                  <c:v>109902380.94000001</c:v>
                </c:pt>
                <c:pt idx="6">
                  <c:v>124386958.85000001</c:v>
                </c:pt>
                <c:pt idx="7">
                  <c:v>126209907.60000001</c:v>
                </c:pt>
                <c:pt idx="8">
                  <c:v>190887085.91000003</c:v>
                </c:pt>
                <c:pt idx="9">
                  <c:v>132857308.11</c:v>
                </c:pt>
                <c:pt idx="10">
                  <c:v>120689605.48999999</c:v>
                </c:pt>
                <c:pt idx="11">
                  <c:v>112516780.99000002</c:v>
                </c:pt>
                <c:pt idx="12">
                  <c:v>169975515</c:v>
                </c:pt>
              </c:numCache>
            </c:numRef>
          </c:val>
        </c:ser>
        <c:ser>
          <c:idx val="1"/>
          <c:order val="1"/>
          <c:tx>
            <c:strRef>
              <c:f>'Fiskalni indikatori'!$B$10</c:f>
              <c:strCache>
                <c:ptCount val="1"/>
                <c:pt idx="0">
                  <c:v>IZDACI BUDŽETA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'Fiskalni indikatori'!$AY$3:$BK$3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'Fiskalni indikatori'!$AY$10:$BK$10</c:f>
              <c:numCache>
                <c:formatCode>0.00,,</c:formatCode>
                <c:ptCount val="13"/>
                <c:pt idx="0">
                  <c:v>175792853.04999998</c:v>
                </c:pt>
                <c:pt idx="1">
                  <c:v>87890386.810000017</c:v>
                </c:pt>
                <c:pt idx="2">
                  <c:v>113203030.58</c:v>
                </c:pt>
                <c:pt idx="3">
                  <c:v>155538321.47999999</c:v>
                </c:pt>
                <c:pt idx="4">
                  <c:v>134030506.00000001</c:v>
                </c:pt>
                <c:pt idx="5">
                  <c:v>134945167.83000001</c:v>
                </c:pt>
                <c:pt idx="6">
                  <c:v>121070053.09000002</c:v>
                </c:pt>
                <c:pt idx="7">
                  <c:v>125588768.39</c:v>
                </c:pt>
                <c:pt idx="8">
                  <c:v>115877531.81</c:v>
                </c:pt>
                <c:pt idx="9">
                  <c:v>123363705.22</c:v>
                </c:pt>
                <c:pt idx="10">
                  <c:v>114726572.50999999</c:v>
                </c:pt>
                <c:pt idx="11">
                  <c:v>137383634.64000002</c:v>
                </c:pt>
                <c:pt idx="12">
                  <c:v>252373886.76000005</c:v>
                </c:pt>
              </c:numCache>
            </c:numRef>
          </c:val>
        </c:ser>
        <c:ser>
          <c:idx val="2"/>
          <c:order val="2"/>
          <c:tx>
            <c:strRef>
              <c:f>'Fiskalni indikatori'!$B$17</c:f>
              <c:strCache>
                <c:ptCount val="1"/>
                <c:pt idx="0">
                  <c:v>Suficit / Deficit budžeta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'Fiskalni indikatori'!$AY$3:$BK$3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'Fiskalni indikatori'!$AY$17:$BK$17</c:f>
              <c:numCache>
                <c:formatCode>0.00,,</c:formatCode>
                <c:ptCount val="13"/>
                <c:pt idx="0">
                  <c:v>-19381080.25</c:v>
                </c:pt>
                <c:pt idx="1">
                  <c:v>-20474692.120000005</c:v>
                </c:pt>
                <c:pt idx="2">
                  <c:v>-17383688.400000006</c:v>
                </c:pt>
                <c:pt idx="3">
                  <c:v>-33968606.190000013</c:v>
                </c:pt>
                <c:pt idx="4">
                  <c:v>-19912903.150000021</c:v>
                </c:pt>
                <c:pt idx="5">
                  <c:v>-25015686.709999979</c:v>
                </c:pt>
                <c:pt idx="6">
                  <c:v>3316905.7600000058</c:v>
                </c:pt>
                <c:pt idx="7">
                  <c:v>621139.21000000834</c:v>
                </c:pt>
                <c:pt idx="8">
                  <c:v>75067609.50000006</c:v>
                </c:pt>
                <c:pt idx="9">
                  <c:v>9534824.1800000072</c:v>
                </c:pt>
                <c:pt idx="10">
                  <c:v>5976032.9800000042</c:v>
                </c:pt>
                <c:pt idx="11">
                  <c:v>-24836164.980000015</c:v>
                </c:pt>
                <c:pt idx="12">
                  <c:v>-82398371.76000005</c:v>
                </c:pt>
              </c:numCache>
            </c:numRef>
          </c:val>
        </c:ser>
        <c:shape val="box"/>
        <c:axId val="107094016"/>
        <c:axId val="107095936"/>
        <c:axId val="0"/>
      </c:bar3DChart>
      <c:catAx>
        <c:axId val="1070940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07095936"/>
        <c:crosses val="autoZero"/>
        <c:auto val="1"/>
        <c:lblAlgn val="ctr"/>
        <c:lblOffset val="100"/>
      </c:catAx>
      <c:valAx>
        <c:axId val="1070959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,,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0709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/>
      <c:barChart>
        <c:barDir val="bar"/>
        <c:grouping val="clustered"/>
        <c:ser>
          <c:idx val="0"/>
          <c:order val="0"/>
          <c:tx>
            <c:strRef>
              <c:f>'Database za makro'!$A$7</c:f>
              <c:strCache>
                <c:ptCount val="1"/>
                <c:pt idx="0">
                  <c:v>REALNI SEKTOR</c:v>
                </c:pt>
              </c:strCache>
            </c:strRef>
          </c:tx>
          <c:cat>
            <c:strRef>
              <c:f>'Database za makro'!$B$6:$Y$6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'Database za makro'!$B$7:$Y$7</c:f>
            </c:numRef>
          </c:val>
        </c:ser>
        <c:ser>
          <c:idx val="1"/>
          <c:order val="1"/>
          <c:tx>
            <c:strRef>
              <c:f>'Database za makro'!$A$8</c:f>
              <c:strCache>
                <c:ptCount val="1"/>
                <c:pt idx="0">
                  <c:v>Industrijska proizvodnja</c:v>
                </c:pt>
              </c:strCache>
            </c:strRef>
          </c:tx>
          <c:cat>
            <c:strRef>
              <c:f>'Database za makro'!$B$6:$Y$6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'Database za makro'!$B$8:$Y$8</c:f>
            </c:numRef>
          </c:val>
        </c:ser>
        <c:ser>
          <c:idx val="2"/>
          <c:order val="2"/>
          <c:tx>
            <c:strRef>
              <c:f>'Database za makro'!$A$9</c:f>
              <c:strCache>
                <c:ptCount val="1"/>
                <c:pt idx="0">
                  <c:v>Preradjivačka industrija</c:v>
                </c:pt>
              </c:strCache>
            </c:strRef>
          </c:tx>
          <c:cat>
            <c:strRef>
              <c:f>'Database za makro'!$B$6:$Y$6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'Database za makro'!$B$9:$Y$9</c:f>
            </c:numRef>
          </c:val>
        </c:ser>
        <c:ser>
          <c:idx val="3"/>
          <c:order val="3"/>
          <c:tx>
            <c:strRef>
              <c:f>'Database za makro'!$A$10</c:f>
              <c:strCache>
                <c:ptCount val="1"/>
                <c:pt idx="0">
                  <c:v>Noćenja u turizmu</c:v>
                </c:pt>
              </c:strCache>
            </c:strRef>
          </c:tx>
          <c:cat>
            <c:strRef>
              <c:f>'Database za makro'!$B$6:$Y$6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'Database za makro'!$B$10:$Y$10</c:f>
            </c:numRef>
          </c:val>
        </c:ser>
        <c:ser>
          <c:idx val="4"/>
          <c:order val="4"/>
          <c:tx>
            <c:strRef>
              <c:f>'Database za makro'!$A$11</c:f>
              <c:strCache>
                <c:ptCount val="1"/>
                <c:pt idx="0">
                  <c:v>Promet u maloprodaji</c:v>
                </c:pt>
              </c:strCache>
            </c:strRef>
          </c:tx>
          <c:cat>
            <c:strRef>
              <c:f>'Database za makro'!$B$6:$Y$6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'Database za makro'!$B$11:$Y$11</c:f>
            </c:numRef>
          </c:val>
        </c:ser>
        <c:ser>
          <c:idx val="5"/>
          <c:order val="5"/>
          <c:tx>
            <c:strRef>
              <c:f>'Database za makro'!$A$12</c:f>
              <c:strCache>
                <c:ptCount val="1"/>
                <c:pt idx="0">
                  <c:v>Vrijednost radova u gradjevinarstvu</c:v>
                </c:pt>
              </c:strCache>
            </c:strRef>
          </c:tx>
          <c:cat>
            <c:strRef>
              <c:f>'Database za makro'!$B$6:$Y$6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'Database za makro'!$B$12:$Y$12</c:f>
            </c:numRef>
          </c:val>
        </c:ser>
        <c:ser>
          <c:idx val="6"/>
          <c:order val="6"/>
          <c:tx>
            <c:strRef>
              <c:f>'Database za makro'!$A$13</c:f>
              <c:strCache>
                <c:ptCount val="1"/>
                <c:pt idx="0">
                  <c:v>INFLACIJA</c:v>
                </c:pt>
              </c:strCache>
            </c:strRef>
          </c:tx>
          <c:cat>
            <c:strRef>
              <c:f>'Database za makro'!$B$6:$Y$6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'Database za makro'!$B$13:$Y$13</c:f>
            </c:numRef>
          </c:val>
        </c:ser>
        <c:ser>
          <c:idx val="7"/>
          <c:order val="7"/>
          <c:tx>
            <c:strRef>
              <c:f>'Database za makro'!$A$14</c:f>
              <c:strCache>
                <c:ptCount val="1"/>
                <c:pt idx="0">
                  <c:v>CPI</c:v>
                </c:pt>
              </c:strCache>
            </c:strRef>
          </c:tx>
          <c:cat>
            <c:strRef>
              <c:f>'Database za makro'!$B$6:$Y$6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'Database za makro'!$B$14:$Y$14</c:f>
            </c:numRef>
          </c:val>
        </c:ser>
        <c:ser>
          <c:idx val="8"/>
          <c:order val="8"/>
          <c:tx>
            <c:strRef>
              <c:f>'Database za makro'!$A$15</c:f>
              <c:strCache>
                <c:ptCount val="1"/>
                <c:pt idx="0">
                  <c:v>HICP</c:v>
                </c:pt>
              </c:strCache>
            </c:strRef>
          </c:tx>
          <c:cat>
            <c:strRef>
              <c:f>'Database za makro'!$B$6:$Y$6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'Database za makro'!$B$15:$Y$15</c:f>
            </c:numRef>
          </c:val>
        </c:ser>
        <c:ser>
          <c:idx val="9"/>
          <c:order val="9"/>
          <c:tx>
            <c:strRef>
              <c:f>'Database za makro'!$A$16</c:f>
              <c:strCache>
                <c:ptCount val="1"/>
                <c:pt idx="0">
                  <c:v>PPI</c:v>
                </c:pt>
              </c:strCache>
            </c:strRef>
          </c:tx>
          <c:cat>
            <c:strRef>
              <c:f>'Database za makro'!$B$6:$Y$6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'Database za makro'!$B$16:$Y$16</c:f>
            </c:numRef>
          </c:val>
        </c:ser>
        <c:ser>
          <c:idx val="10"/>
          <c:order val="10"/>
          <c:tx>
            <c:strRef>
              <c:f>'Database za makro'!$A$17</c:f>
              <c:strCache>
                <c:ptCount val="1"/>
                <c:pt idx="0">
                  <c:v>ZAPOSLENOST I ZARADE</c:v>
                </c:pt>
              </c:strCache>
            </c:strRef>
          </c:tx>
          <c:cat>
            <c:strRef>
              <c:f>'Database za makro'!$B$6:$Y$6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'Database za makro'!$B$17:$Y$17</c:f>
            </c:numRef>
          </c:val>
        </c:ser>
        <c:ser>
          <c:idx val="11"/>
          <c:order val="11"/>
          <c:tx>
            <c:strRef>
              <c:f>'Database za makro'!$A$18</c:f>
              <c:strCache>
                <c:ptCount val="1"/>
                <c:pt idx="0">
                  <c:v>Broj zaposlenih</c:v>
                </c:pt>
              </c:strCache>
            </c:strRef>
          </c:tx>
          <c:cat>
            <c:strRef>
              <c:f>'Database za makro'!$B$6:$Y$6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'Database za makro'!$B$18:$Y$18</c:f>
              <c:numCache>
                <c:formatCode>#,##0</c:formatCode>
                <c:ptCount val="12"/>
                <c:pt idx="0">
                  <c:v>170434</c:v>
                </c:pt>
                <c:pt idx="1">
                  <c:v>170922</c:v>
                </c:pt>
                <c:pt idx="2">
                  <c:v>172098</c:v>
                </c:pt>
                <c:pt idx="3">
                  <c:v>174700</c:v>
                </c:pt>
                <c:pt idx="4">
                  <c:v>178660</c:v>
                </c:pt>
                <c:pt idx="5">
                  <c:v>183329</c:v>
                </c:pt>
                <c:pt idx="6">
                  <c:v>185659</c:v>
                </c:pt>
                <c:pt idx="7">
                  <c:v>184308</c:v>
                </c:pt>
                <c:pt idx="8">
                  <c:v>180409</c:v>
                </c:pt>
                <c:pt idx="9">
                  <c:v>178629</c:v>
                </c:pt>
                <c:pt idx="10">
                  <c:v>178278</c:v>
                </c:pt>
                <c:pt idx="11">
                  <c:v>177473</c:v>
                </c:pt>
              </c:numCache>
            </c:numRef>
          </c:val>
        </c:ser>
        <c:ser>
          <c:idx val="12"/>
          <c:order val="12"/>
          <c:tx>
            <c:strRef>
              <c:f>'Database za makro'!$A$19</c:f>
              <c:strCache>
                <c:ptCount val="1"/>
                <c:pt idx="0">
                  <c:v>Broj nezaposlenih </c:v>
                </c:pt>
              </c:strCache>
            </c:strRef>
          </c:tx>
          <c:cat>
            <c:strRef>
              <c:f>'Database za makro'!$B$6:$Y$6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'Database za makro'!$B$19:$Y$19</c:f>
              <c:numCache>
                <c:formatCode>#,##0</c:formatCode>
                <c:ptCount val="12"/>
                <c:pt idx="0">
                  <c:v>41191</c:v>
                </c:pt>
                <c:pt idx="1">
                  <c:v>42616</c:v>
                </c:pt>
                <c:pt idx="2">
                  <c:v>42406</c:v>
                </c:pt>
                <c:pt idx="3">
                  <c:v>41478</c:v>
                </c:pt>
                <c:pt idx="4">
                  <c:v>41242</c:v>
                </c:pt>
                <c:pt idx="5">
                  <c:v>39983</c:v>
                </c:pt>
                <c:pt idx="6">
                  <c:v>40123</c:v>
                </c:pt>
                <c:pt idx="7">
                  <c:v>41088</c:v>
                </c:pt>
                <c:pt idx="8">
                  <c:v>42483</c:v>
                </c:pt>
                <c:pt idx="9">
                  <c:v>45273</c:v>
                </c:pt>
                <c:pt idx="10">
                  <c:v>47757</c:v>
                </c:pt>
                <c:pt idx="11">
                  <c:v>49487</c:v>
                </c:pt>
              </c:numCache>
            </c:numRef>
          </c:val>
        </c:ser>
        <c:axId val="108248064"/>
        <c:axId val="108332544"/>
      </c:barChart>
      <c:catAx>
        <c:axId val="108248064"/>
        <c:scaling>
          <c:orientation val="minMax"/>
        </c:scaling>
        <c:axPos val="l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08332544"/>
        <c:crosses val="autoZero"/>
        <c:auto val="1"/>
        <c:lblAlgn val="ctr"/>
        <c:lblOffset val="100"/>
      </c:catAx>
      <c:valAx>
        <c:axId val="108332544"/>
        <c:scaling>
          <c:orientation val="minMax"/>
        </c:scaling>
        <c:axPos val="b"/>
        <c:majorGridlines/>
        <c:numFmt formatCode="#,##0" sourceLinked="1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08248064"/>
        <c:crosses val="autoZero"/>
        <c:crossBetween val="between"/>
      </c:valAx>
    </c:plotArea>
    <c:legend>
      <c:legendPos val="b"/>
      <c:txPr>
        <a:bodyPr/>
        <a:lstStyle/>
        <a:p>
          <a:pPr>
            <a:defRPr sz="7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plotArea>
      <c:layout/>
      <c:barChart>
        <c:barDir val="col"/>
        <c:grouping val="clustered"/>
        <c:ser>
          <c:idx val="1"/>
          <c:order val="1"/>
          <c:tx>
            <c:v>Privreda</c:v>
          </c:tx>
          <c:cat>
            <c:strRef>
              <c:f>'Iznosi kredita po sektorima'!$X$43:$X$66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'Iznosi kredita po sektorima'!$H$43:$H$66</c:f>
              <c:numCache>
                <c:formatCode>#,##0_ </c:formatCode>
                <c:ptCount val="24"/>
                <c:pt idx="0">
                  <c:v>22427</c:v>
                </c:pt>
                <c:pt idx="1">
                  <c:v>29585</c:v>
                </c:pt>
                <c:pt idx="2">
                  <c:v>54872</c:v>
                </c:pt>
                <c:pt idx="3">
                  <c:v>41749</c:v>
                </c:pt>
                <c:pt idx="4">
                  <c:v>41634</c:v>
                </c:pt>
                <c:pt idx="5">
                  <c:v>56306</c:v>
                </c:pt>
                <c:pt idx="6">
                  <c:v>36056</c:v>
                </c:pt>
                <c:pt idx="7">
                  <c:v>25665</c:v>
                </c:pt>
                <c:pt idx="8">
                  <c:v>20432</c:v>
                </c:pt>
                <c:pt idx="9">
                  <c:v>56738</c:v>
                </c:pt>
                <c:pt idx="10">
                  <c:v>39962</c:v>
                </c:pt>
                <c:pt idx="11">
                  <c:v>57547</c:v>
                </c:pt>
                <c:pt idx="12">
                  <c:v>23109</c:v>
                </c:pt>
                <c:pt idx="13">
                  <c:v>48834</c:v>
                </c:pt>
                <c:pt idx="14">
                  <c:v>56193</c:v>
                </c:pt>
                <c:pt idx="15">
                  <c:v>42246</c:v>
                </c:pt>
                <c:pt idx="16">
                  <c:v>48104</c:v>
                </c:pt>
                <c:pt idx="17">
                  <c:v>44914</c:v>
                </c:pt>
                <c:pt idx="18">
                  <c:v>28000</c:v>
                </c:pt>
                <c:pt idx="19">
                  <c:v>39771</c:v>
                </c:pt>
                <c:pt idx="20">
                  <c:v>30538</c:v>
                </c:pt>
                <c:pt idx="21">
                  <c:v>63577</c:v>
                </c:pt>
                <c:pt idx="22">
                  <c:v>48262</c:v>
                </c:pt>
                <c:pt idx="23">
                  <c:v>52516</c:v>
                </c:pt>
              </c:numCache>
            </c:numRef>
          </c:val>
        </c:ser>
        <c:ser>
          <c:idx val="2"/>
          <c:order val="2"/>
          <c:tx>
            <c:v>Fizička lica</c:v>
          </c:tx>
          <c:cat>
            <c:strRef>
              <c:f>'Iznosi kredita po sektorima'!$X$43:$X$66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'Iznosi kredita po sektorima'!$T$43:$T$66</c:f>
              <c:numCache>
                <c:formatCode>#,##0_ </c:formatCode>
                <c:ptCount val="24"/>
                <c:pt idx="0">
                  <c:v>14369</c:v>
                </c:pt>
                <c:pt idx="1">
                  <c:v>23290</c:v>
                </c:pt>
                <c:pt idx="2">
                  <c:v>32867</c:v>
                </c:pt>
                <c:pt idx="3">
                  <c:v>32752</c:v>
                </c:pt>
                <c:pt idx="4">
                  <c:v>27135</c:v>
                </c:pt>
                <c:pt idx="5">
                  <c:v>29725</c:v>
                </c:pt>
                <c:pt idx="6">
                  <c:v>24779</c:v>
                </c:pt>
                <c:pt idx="7">
                  <c:v>22068</c:v>
                </c:pt>
                <c:pt idx="8">
                  <c:v>33576</c:v>
                </c:pt>
                <c:pt idx="9">
                  <c:v>31582</c:v>
                </c:pt>
                <c:pt idx="10">
                  <c:v>33314</c:v>
                </c:pt>
                <c:pt idx="11">
                  <c:v>33590</c:v>
                </c:pt>
                <c:pt idx="12">
                  <c:v>15556</c:v>
                </c:pt>
                <c:pt idx="13">
                  <c:v>33225</c:v>
                </c:pt>
                <c:pt idx="14">
                  <c:v>44871</c:v>
                </c:pt>
                <c:pt idx="15">
                  <c:v>47159</c:v>
                </c:pt>
                <c:pt idx="16">
                  <c:v>40668</c:v>
                </c:pt>
                <c:pt idx="17">
                  <c:v>46822</c:v>
                </c:pt>
                <c:pt idx="18">
                  <c:v>41925</c:v>
                </c:pt>
                <c:pt idx="19">
                  <c:v>42055</c:v>
                </c:pt>
                <c:pt idx="20">
                  <c:v>39669</c:v>
                </c:pt>
                <c:pt idx="21">
                  <c:v>36899</c:v>
                </c:pt>
                <c:pt idx="22">
                  <c:v>37036</c:v>
                </c:pt>
                <c:pt idx="23">
                  <c:v>43937</c:v>
                </c:pt>
              </c:numCache>
            </c:numRef>
          </c:val>
        </c:ser>
        <c:gapWidth val="54"/>
        <c:axId val="115786496"/>
        <c:axId val="115788416"/>
      </c:barChart>
      <c:lineChart>
        <c:grouping val="standard"/>
        <c:ser>
          <c:idx val="0"/>
          <c:order val="0"/>
          <c:tx>
            <c:v>Ukupno</c:v>
          </c:tx>
          <c:marker>
            <c:symbol val="none"/>
          </c:marker>
          <c:cat>
            <c:strRef>
              <c:f>'Iznosi kredita po sektorima'!$X$43:$X$66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'Iznosi kredita po sektorima'!$W$43:$W$66</c:f>
              <c:numCache>
                <c:formatCode>#,##0</c:formatCode>
                <c:ptCount val="24"/>
                <c:pt idx="0">
                  <c:v>37248</c:v>
                </c:pt>
                <c:pt idx="1">
                  <c:v>61044</c:v>
                </c:pt>
                <c:pt idx="2">
                  <c:v>91960</c:v>
                </c:pt>
                <c:pt idx="3">
                  <c:v>91242</c:v>
                </c:pt>
                <c:pt idx="4">
                  <c:v>70661</c:v>
                </c:pt>
                <c:pt idx="5">
                  <c:v>91411</c:v>
                </c:pt>
                <c:pt idx="6">
                  <c:v>88997</c:v>
                </c:pt>
                <c:pt idx="7">
                  <c:v>54894</c:v>
                </c:pt>
                <c:pt idx="8">
                  <c:v>62805</c:v>
                </c:pt>
                <c:pt idx="9">
                  <c:v>97684</c:v>
                </c:pt>
                <c:pt idx="10">
                  <c:v>95462</c:v>
                </c:pt>
                <c:pt idx="11">
                  <c:v>119314</c:v>
                </c:pt>
                <c:pt idx="12">
                  <c:v>40716</c:v>
                </c:pt>
                <c:pt idx="13">
                  <c:v>88547</c:v>
                </c:pt>
                <c:pt idx="14">
                  <c:v>120703</c:v>
                </c:pt>
                <c:pt idx="15">
                  <c:v>105632</c:v>
                </c:pt>
                <c:pt idx="16">
                  <c:v>96875</c:v>
                </c:pt>
                <c:pt idx="17">
                  <c:v>121041</c:v>
                </c:pt>
                <c:pt idx="18">
                  <c:v>84878</c:v>
                </c:pt>
                <c:pt idx="19">
                  <c:v>83653</c:v>
                </c:pt>
                <c:pt idx="20">
                  <c:v>77282</c:v>
                </c:pt>
                <c:pt idx="21">
                  <c:v>104160</c:v>
                </c:pt>
                <c:pt idx="22">
                  <c:v>88145</c:v>
                </c:pt>
                <c:pt idx="23">
                  <c:v>133019</c:v>
                </c:pt>
              </c:numCache>
            </c:numRef>
          </c:val>
        </c:ser>
        <c:marker val="1"/>
        <c:axId val="115786496"/>
        <c:axId val="115788416"/>
      </c:lineChart>
      <c:catAx>
        <c:axId val="11578649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600"/>
            </a:pPr>
            <a:endParaRPr lang="sr-Latn-CS"/>
          </a:p>
        </c:txPr>
        <c:crossAx val="115788416"/>
        <c:crosses val="autoZero"/>
        <c:auto val="1"/>
        <c:lblAlgn val="ctr"/>
        <c:lblOffset val="100"/>
      </c:catAx>
      <c:valAx>
        <c:axId val="115788416"/>
        <c:scaling>
          <c:orientation val="minMax"/>
        </c:scaling>
        <c:axPos val="l"/>
        <c:numFmt formatCode="#,##0_ " sourceLinked="1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15786496"/>
        <c:crosses val="autoZero"/>
        <c:crossBetween val="between"/>
      </c:valAx>
    </c:plotArea>
    <c:legend>
      <c:legendPos val="b"/>
      <c:txPr>
        <a:bodyPr/>
        <a:lstStyle/>
        <a:p>
          <a:pPr>
            <a:defRPr sz="7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plotArea>
      <c:layout>
        <c:manualLayout>
          <c:layoutTarget val="inner"/>
          <c:xMode val="edge"/>
          <c:yMode val="edge"/>
          <c:x val="0.14246468926553674"/>
          <c:y val="5.6021135265700378E-2"/>
          <c:w val="0.74772956018074765"/>
          <c:h val="0.60640646537888065"/>
        </c:manualLayout>
      </c:layout>
      <c:barChart>
        <c:barDir val="col"/>
        <c:grouping val="clustered"/>
        <c:ser>
          <c:idx val="0"/>
          <c:order val="0"/>
          <c:tx>
            <c:strRef>
              <c:f>'Makroekonomski indikatori'!$C$47</c:f>
              <c:strCache>
                <c:ptCount val="1"/>
                <c:pt idx="0">
                  <c:v>Spoljnotrgovinski deficit ( mil.€.)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cat>
            <c:strRef>
              <c:f>'Makroekonomski indikatori'!$AB$60:$AM$60</c:f>
              <c:strCache>
                <c:ptCount val="12"/>
                <c:pt idx="0">
                  <c:v>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'Makroekonomski indikatori'!$AN$47:$AY$47</c:f>
              <c:numCache>
                <c:formatCode>#,##0.0,,</c:formatCode>
                <c:ptCount val="12"/>
                <c:pt idx="0">
                  <c:v>-68399000</c:v>
                </c:pt>
                <c:pt idx="1">
                  <c:v>-109749000</c:v>
                </c:pt>
                <c:pt idx="2">
                  <c:v>-140488000</c:v>
                </c:pt>
                <c:pt idx="3">
                  <c:v>-158602000</c:v>
                </c:pt>
                <c:pt idx="4">
                  <c:v>-185342000</c:v>
                </c:pt>
                <c:pt idx="5">
                  <c:v>-168828000</c:v>
                </c:pt>
                <c:pt idx="6">
                  <c:v>-177223000</c:v>
                </c:pt>
                <c:pt idx="7">
                  <c:v>-168685000</c:v>
                </c:pt>
                <c:pt idx="8">
                  <c:v>-142996000</c:v>
                </c:pt>
                <c:pt idx="9">
                  <c:v>-139358000</c:v>
                </c:pt>
                <c:pt idx="10">
                  <c:v>-132767000</c:v>
                </c:pt>
                <c:pt idx="11">
                  <c:v>-140962000</c:v>
                </c:pt>
              </c:numCache>
            </c:numRef>
          </c:val>
        </c:ser>
        <c:gapWidth val="75"/>
        <c:axId val="99292672"/>
        <c:axId val="99294208"/>
      </c:barChart>
      <c:lineChart>
        <c:grouping val="standard"/>
        <c:ser>
          <c:idx val="1"/>
          <c:order val="1"/>
          <c:tx>
            <c:strRef>
              <c:f>'Makroekonomski indikatori'!$C$48</c:f>
              <c:strCache>
                <c:ptCount val="1"/>
                <c:pt idx="0">
                  <c:v>Strane direktne investicije (mil.€)</c:v>
                </c:pt>
              </c:strCache>
            </c:strRef>
          </c:tx>
          <c:spPr>
            <a:ln>
              <a:solidFill>
                <a:srgbClr val="C00000"/>
              </a:solidFill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cat>
            <c:multiLvlStrRef>
              <c:f>'Makroekonomski indikatori'!$K$60:$W$60</c:f>
            </c:multiLvlStrRef>
          </c:cat>
          <c:val>
            <c:numRef>
              <c:f>'Makroekonomski indikatori'!$AN$48:$AX$48</c:f>
              <c:numCache>
                <c:formatCode>0.0,,</c:formatCode>
                <c:ptCount val="11"/>
                <c:pt idx="0">
                  <c:v>13704221.229999978</c:v>
                </c:pt>
                <c:pt idx="1">
                  <c:v>25586049.640000001</c:v>
                </c:pt>
                <c:pt idx="2">
                  <c:v>30668331.82</c:v>
                </c:pt>
                <c:pt idx="3">
                  <c:v>17164585.279999997</c:v>
                </c:pt>
                <c:pt idx="4">
                  <c:v>23900505.120000001</c:v>
                </c:pt>
                <c:pt idx="5">
                  <c:v>44280504.110000007</c:v>
                </c:pt>
                <c:pt idx="6">
                  <c:v>21884348</c:v>
                </c:pt>
                <c:pt idx="7">
                  <c:v>44510898.220000073</c:v>
                </c:pt>
                <c:pt idx="8">
                  <c:v>60191170.050000004</c:v>
                </c:pt>
                <c:pt idx="9">
                  <c:v>30810506.09</c:v>
                </c:pt>
                <c:pt idx="10">
                  <c:v>34734462.210000001</c:v>
                </c:pt>
              </c:numCache>
            </c:numRef>
          </c:val>
          <c:smooth val="1"/>
        </c:ser>
        <c:marker val="1"/>
        <c:axId val="99297536"/>
        <c:axId val="99296000"/>
      </c:lineChart>
      <c:catAx>
        <c:axId val="99292672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>
                <a:solidFill>
                  <a:schemeClr val="tx1"/>
                </a:solidFill>
              </a:defRPr>
            </a:pPr>
            <a:endParaRPr lang="sr-Latn-CS"/>
          </a:p>
        </c:txPr>
        <c:crossAx val="99294208"/>
        <c:crosses val="autoZero"/>
        <c:auto val="1"/>
        <c:lblAlgn val="ctr"/>
        <c:lblOffset val="100"/>
        <c:tickLblSkip val="2"/>
        <c:tickMarkSkip val="2"/>
      </c:catAx>
      <c:valAx>
        <c:axId val="99294208"/>
        <c:scaling>
          <c:orientation val="minMax"/>
          <c:max val="160000000"/>
        </c:scaling>
        <c:axPos val="l"/>
        <c:numFmt formatCode="#,##0.0,,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99292672"/>
        <c:crosses val="autoZero"/>
        <c:crossBetween val="between"/>
      </c:valAx>
      <c:valAx>
        <c:axId val="99296000"/>
        <c:scaling>
          <c:orientation val="minMax"/>
        </c:scaling>
        <c:axPos val="r"/>
        <c:numFmt formatCode="0.0,," sourceLinked="1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99297536"/>
        <c:crosses val="max"/>
        <c:crossBetween val="between"/>
      </c:valAx>
      <c:catAx>
        <c:axId val="99297536"/>
        <c:scaling>
          <c:orientation val="minMax"/>
        </c:scaling>
        <c:delete val="1"/>
        <c:axPos val="b"/>
        <c:numFmt formatCode="General" sourceLinked="1"/>
        <c:tickLblPos val="none"/>
        <c:crossAx val="9929600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127001566664632"/>
          <c:y val="0.77831577023021381"/>
          <c:w val="0.80043947994872733"/>
          <c:h val="0.18188323474491089"/>
        </c:manualLayout>
      </c:layout>
      <c:txPr>
        <a:bodyPr/>
        <a:lstStyle/>
        <a:p>
          <a:pPr>
            <a:defRPr lang="en-US" sz="700"/>
          </a:pPr>
          <a:endParaRPr lang="sr-Latn-CS"/>
        </a:p>
      </c:txPr>
    </c:legend>
    <c:plotVisOnly val="1"/>
    <c:dispBlanksAs val="gap"/>
  </c:chart>
  <c:spPr>
    <a:solidFill>
      <a:schemeClr val="bg1"/>
    </a:solidFill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3703A-5791-48AE-B6E0-F3365996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branko.krvavac</dc:creator>
  <cp:lastModifiedBy>branko.krvavac</cp:lastModifiedBy>
  <cp:revision>254</cp:revision>
  <dcterms:created xsi:type="dcterms:W3CDTF">2017-02-07T09:05:00Z</dcterms:created>
  <dcterms:modified xsi:type="dcterms:W3CDTF">2017-02-21T13:30:00Z</dcterms:modified>
</cp:coreProperties>
</file>