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F7C" w:rsidRPr="00044D5A" w:rsidRDefault="00924346" w:rsidP="00545F7C">
      <w:pPr>
        <w:spacing w:after="0"/>
        <w:rPr>
          <w:rFonts w:cs="Arial"/>
          <w:b/>
          <w:sz w:val="28"/>
          <w:szCs w:val="28"/>
        </w:rPr>
      </w:pPr>
      <w:r w:rsidRPr="00044D5A">
        <w:rPr>
          <w:rFonts w:cs="Arial"/>
          <w:b/>
          <w:sz w:val="28"/>
          <w:szCs w:val="28"/>
        </w:rPr>
        <w:t>MINISTARSTVO FINANSIJA</w:t>
      </w:r>
    </w:p>
    <w:p w:rsidR="00270FAF" w:rsidRPr="00C31D0B" w:rsidRDefault="00270FAF" w:rsidP="00545F7C">
      <w:pPr>
        <w:spacing w:after="0"/>
        <w:rPr>
          <w:rFonts w:cs="Arial"/>
        </w:rPr>
      </w:pPr>
    </w:p>
    <w:p w:rsidR="002C2C40" w:rsidRPr="00C31D0B" w:rsidRDefault="002C2C40" w:rsidP="004F48C4">
      <w:pPr>
        <w:spacing w:after="0"/>
        <w:jc w:val="center"/>
        <w:rPr>
          <w:rFonts w:cs="Arial"/>
          <w:b/>
        </w:rPr>
      </w:pPr>
      <w:r w:rsidRPr="00C31D0B">
        <w:rPr>
          <w:rFonts w:cs="Arial"/>
          <w:b/>
        </w:rPr>
        <w:t>IZVJEŠTAJ O SPROVEDENOJ JAVNOJ RASPRAVI</w:t>
      </w:r>
    </w:p>
    <w:p w:rsidR="00466358" w:rsidRPr="00C31D0B" w:rsidRDefault="009E0E4B" w:rsidP="004F48C4">
      <w:pPr>
        <w:spacing w:after="0"/>
        <w:jc w:val="center"/>
        <w:rPr>
          <w:rFonts w:cs="Arial"/>
          <w:b/>
        </w:rPr>
      </w:pPr>
      <w:r w:rsidRPr="00C31D0B">
        <w:rPr>
          <w:rFonts w:cs="Arial"/>
          <w:b/>
        </w:rPr>
        <w:t xml:space="preserve">o </w:t>
      </w:r>
      <w:r w:rsidR="00466358" w:rsidRPr="00C31D0B">
        <w:rPr>
          <w:rFonts w:cs="Arial"/>
          <w:b/>
        </w:rPr>
        <w:t>Nacrtu zakona o međubankarskim naknadama</w:t>
      </w:r>
    </w:p>
    <w:p w:rsidR="009E0E4B" w:rsidRPr="00C31D0B" w:rsidRDefault="00466358" w:rsidP="004F48C4">
      <w:pPr>
        <w:spacing w:after="0"/>
        <w:jc w:val="center"/>
        <w:rPr>
          <w:rFonts w:cs="Arial"/>
          <w:b/>
        </w:rPr>
      </w:pPr>
      <w:r w:rsidRPr="00C31D0B">
        <w:rPr>
          <w:rFonts w:cs="Arial"/>
          <w:b/>
        </w:rPr>
        <w:t xml:space="preserve"> i posebnim pravilima poslovanja u vezi sa platnim karticama</w:t>
      </w:r>
    </w:p>
    <w:p w:rsidR="002C2C40" w:rsidRPr="00C31D0B" w:rsidRDefault="002C2C40" w:rsidP="00545F7C">
      <w:pPr>
        <w:spacing w:after="0"/>
        <w:jc w:val="center"/>
        <w:rPr>
          <w:rFonts w:cs="Arial"/>
        </w:rPr>
      </w:pPr>
    </w:p>
    <w:p w:rsidR="00620E2D" w:rsidRPr="00C31D0B" w:rsidRDefault="00620E2D" w:rsidP="00545F7C">
      <w:pPr>
        <w:spacing w:after="0"/>
        <w:jc w:val="center"/>
        <w:rPr>
          <w:rFonts w:cs="Arial"/>
        </w:rPr>
      </w:pPr>
    </w:p>
    <w:p w:rsidR="002C2C40" w:rsidRPr="00C31D0B" w:rsidRDefault="002C2C40" w:rsidP="00C779DE">
      <w:pPr>
        <w:spacing w:after="0"/>
        <w:rPr>
          <w:rFonts w:cs="Arial"/>
        </w:rPr>
      </w:pPr>
      <w:r w:rsidRPr="00C31D0B">
        <w:rPr>
          <w:rFonts w:cs="Arial"/>
        </w:rPr>
        <w:t>Vrijeme trajanja javne rasprave:</w:t>
      </w:r>
      <w:r w:rsidR="009E0E4B" w:rsidRPr="00C31D0B">
        <w:rPr>
          <w:rFonts w:cs="Arial"/>
        </w:rPr>
        <w:t xml:space="preserve"> </w:t>
      </w:r>
      <w:r w:rsidR="00262898" w:rsidRPr="00C31D0B">
        <w:rPr>
          <w:rFonts w:cs="Arial"/>
        </w:rPr>
        <w:t xml:space="preserve"> </w:t>
      </w:r>
      <w:r w:rsidR="009E0E4B" w:rsidRPr="00C31D0B">
        <w:rPr>
          <w:rFonts w:cs="Arial"/>
        </w:rPr>
        <w:t>od 10. decembra 2018. godine do 20. januara 2019. godine</w:t>
      </w:r>
    </w:p>
    <w:p w:rsidR="00767B8B" w:rsidRPr="00C31D0B" w:rsidRDefault="00767B8B" w:rsidP="00C779DE">
      <w:pPr>
        <w:spacing w:after="0"/>
        <w:rPr>
          <w:rFonts w:cs="Arial"/>
        </w:rPr>
      </w:pPr>
    </w:p>
    <w:p w:rsidR="002C2C40" w:rsidRPr="00C31D0B" w:rsidRDefault="002C2C40" w:rsidP="00C779DE">
      <w:pPr>
        <w:spacing w:after="0"/>
        <w:rPr>
          <w:rFonts w:cs="Arial"/>
        </w:rPr>
      </w:pPr>
      <w:r w:rsidRPr="00C31D0B">
        <w:rPr>
          <w:rFonts w:cs="Arial"/>
        </w:rPr>
        <w:t>Način sprovođenja javne rasprave</w:t>
      </w:r>
      <w:r w:rsidR="009E0E4B" w:rsidRPr="00C31D0B">
        <w:rPr>
          <w:rFonts w:cs="Arial"/>
        </w:rPr>
        <w:t>:</w:t>
      </w:r>
    </w:p>
    <w:p w:rsidR="009E0E4B" w:rsidRPr="00C31D0B" w:rsidRDefault="009E0E4B" w:rsidP="009E0E4B">
      <w:pPr>
        <w:pStyle w:val="ListParagraph"/>
        <w:numPr>
          <w:ilvl w:val="0"/>
          <w:numId w:val="3"/>
        </w:numPr>
        <w:spacing w:after="0"/>
        <w:rPr>
          <w:rFonts w:cs="Arial"/>
        </w:rPr>
      </w:pPr>
      <w:r w:rsidRPr="00C31D0B">
        <w:rPr>
          <w:rFonts w:cs="Arial"/>
        </w:rPr>
        <w:t>Dostavljanje primjedbi, predloga i sugestija u pisanom ili elektronskom obliku</w:t>
      </w:r>
    </w:p>
    <w:p w:rsidR="00262898" w:rsidRPr="00C31D0B" w:rsidRDefault="00262898" w:rsidP="00262898">
      <w:pPr>
        <w:pStyle w:val="ListParagraph"/>
        <w:spacing w:after="0"/>
        <w:rPr>
          <w:rFonts w:cs="Arial"/>
        </w:rPr>
      </w:pPr>
    </w:p>
    <w:p w:rsidR="002C2C40" w:rsidRPr="00C31D0B" w:rsidRDefault="002C2C40" w:rsidP="00C779DE">
      <w:pPr>
        <w:spacing w:after="0"/>
        <w:rPr>
          <w:rFonts w:cs="Arial"/>
          <w:highlight w:val="yellow"/>
        </w:rPr>
      </w:pPr>
      <w:r w:rsidRPr="00C31D0B">
        <w:rPr>
          <w:rFonts w:cs="Arial"/>
        </w:rPr>
        <w:t xml:space="preserve">Ovlašćeni predstavnici ministarstva koji su učestvovali u javnoj </w:t>
      </w:r>
      <w:r w:rsidRPr="007B4EED">
        <w:rPr>
          <w:rFonts w:cs="Arial"/>
        </w:rPr>
        <w:t>raspravi:</w:t>
      </w:r>
      <w:r w:rsidR="00707A41" w:rsidRPr="00707A41">
        <w:rPr>
          <w:u w:val="single"/>
        </w:rPr>
        <w:t xml:space="preserve"> </w:t>
      </w:r>
      <w:r w:rsidR="00707A41">
        <w:rPr>
          <w:u w:val="single"/>
        </w:rPr>
        <w:t>Direktorat za finansijski sistem i unapre</w:t>
      </w:r>
      <w:r w:rsidR="00707A41">
        <w:rPr>
          <w:u w:val="single"/>
          <w:lang/>
        </w:rPr>
        <w:t>đenje poslovnog ambijenta</w:t>
      </w:r>
    </w:p>
    <w:p w:rsidR="00767B8B" w:rsidRPr="00C31D0B" w:rsidRDefault="00767B8B" w:rsidP="00C779DE">
      <w:pPr>
        <w:spacing w:after="0"/>
        <w:rPr>
          <w:rFonts w:cs="Arial"/>
          <w:highlight w:val="yellow"/>
        </w:rPr>
      </w:pPr>
    </w:p>
    <w:p w:rsidR="002F6221" w:rsidRPr="00C31D0B" w:rsidRDefault="002C2C40" w:rsidP="002F6221">
      <w:pPr>
        <w:spacing w:after="0"/>
        <w:jc w:val="both"/>
        <w:rPr>
          <w:rFonts w:cs="Arial"/>
        </w:rPr>
      </w:pPr>
      <w:r w:rsidRPr="00C31D0B">
        <w:rPr>
          <w:rFonts w:cs="Arial"/>
        </w:rPr>
        <w:t>Podaci o broju i strukturi učesnika u javnoj raspravi</w:t>
      </w:r>
      <w:r w:rsidR="002F6221" w:rsidRPr="00C31D0B">
        <w:rPr>
          <w:rFonts w:cs="Arial"/>
        </w:rPr>
        <w:t xml:space="preserve">: </w:t>
      </w:r>
      <w:r w:rsidR="00520EA6" w:rsidRPr="00520EA6">
        <w:t xml:space="preserve">U toku trajanja javne rasprave </w:t>
      </w:r>
      <w:r w:rsidR="00520EA6">
        <w:t>sedam</w:t>
      </w:r>
      <w:r w:rsidR="00520EA6" w:rsidRPr="00520EA6">
        <w:t xml:space="preserve"> učesnika </w:t>
      </w:r>
      <w:r w:rsidR="00520EA6">
        <w:t>je</w:t>
      </w:r>
      <w:r w:rsidR="00520EA6" w:rsidRPr="00520EA6">
        <w:t xml:space="preserve"> dostavil</w:t>
      </w:r>
      <w:r w:rsidR="00520EA6">
        <w:t>o</w:t>
      </w:r>
      <w:r w:rsidR="00520EA6" w:rsidRPr="00520EA6">
        <w:t xml:space="preserve"> </w:t>
      </w:r>
      <w:r w:rsidR="00520EA6" w:rsidRPr="00C31D0B">
        <w:rPr>
          <w:rFonts w:cs="Arial"/>
        </w:rPr>
        <w:t>primjedb</w:t>
      </w:r>
      <w:r w:rsidR="00520EA6">
        <w:rPr>
          <w:rFonts w:cs="Arial"/>
        </w:rPr>
        <w:t>e</w:t>
      </w:r>
      <w:r w:rsidR="00520EA6" w:rsidRPr="00C31D0B">
        <w:rPr>
          <w:rFonts w:cs="Arial"/>
        </w:rPr>
        <w:t>, predlog</w:t>
      </w:r>
      <w:r w:rsidR="00520EA6">
        <w:rPr>
          <w:rFonts w:cs="Arial"/>
        </w:rPr>
        <w:t>e</w:t>
      </w:r>
      <w:r w:rsidR="00520EA6" w:rsidRPr="00C31D0B">
        <w:rPr>
          <w:rFonts w:cs="Arial"/>
        </w:rPr>
        <w:t xml:space="preserve"> i sugestij</w:t>
      </w:r>
      <w:r w:rsidR="00520EA6">
        <w:rPr>
          <w:rFonts w:cs="Arial"/>
        </w:rPr>
        <w:t>e</w:t>
      </w:r>
      <w:r w:rsidR="00520EA6" w:rsidRPr="00520EA6">
        <w:t>, i to:</w:t>
      </w:r>
      <w:r w:rsidR="00520EA6">
        <w:t xml:space="preserve"> </w:t>
      </w:r>
      <w:r w:rsidR="002F6221" w:rsidRPr="00C31D0B">
        <w:rPr>
          <w:rFonts w:cs="Arial"/>
        </w:rPr>
        <w:t>Udruženje banaka Crne Gore, “Crnogorska komercijalna banka” AD Podgorica,  “</w:t>
      </w:r>
      <w:r w:rsidR="002F6221" w:rsidRPr="00C31D0B">
        <w:rPr>
          <w:rFonts w:eastAsia="Times New Roman"/>
        </w:rPr>
        <w:t>NLB Banka” AD Podgorica; “</w:t>
      </w:r>
      <w:r w:rsidR="002F6221" w:rsidRPr="00C31D0B">
        <w:rPr>
          <w:rFonts w:cs="Arial"/>
        </w:rPr>
        <w:t xml:space="preserve">Societe Generale Montenegro” AD Podgorica,   </w:t>
      </w:r>
      <w:r w:rsidR="002D76A5" w:rsidRPr="00C31D0B">
        <w:rPr>
          <w:rFonts w:cs="Arial"/>
        </w:rPr>
        <w:t>“</w:t>
      </w:r>
      <w:r w:rsidR="002F6221" w:rsidRPr="00C31D0B">
        <w:rPr>
          <w:rFonts w:cs="Arial"/>
        </w:rPr>
        <w:t>Komercijaln</w:t>
      </w:r>
      <w:r w:rsidR="002D76A5" w:rsidRPr="00C31D0B">
        <w:rPr>
          <w:rFonts w:cs="Arial"/>
        </w:rPr>
        <w:t>a</w:t>
      </w:r>
      <w:r w:rsidR="002F6221" w:rsidRPr="00C31D0B">
        <w:rPr>
          <w:rFonts w:cs="Arial"/>
        </w:rPr>
        <w:t xml:space="preserve"> </w:t>
      </w:r>
      <w:r w:rsidR="002D76A5" w:rsidRPr="00C31D0B">
        <w:rPr>
          <w:rFonts w:cs="Arial"/>
        </w:rPr>
        <w:t>banka”</w:t>
      </w:r>
      <w:r w:rsidR="002F6221" w:rsidRPr="00C31D0B">
        <w:rPr>
          <w:rFonts w:cs="Arial"/>
        </w:rPr>
        <w:t xml:space="preserve"> AD Podgorica, Kompanija “Mastercard”</w:t>
      </w:r>
      <w:r w:rsidR="002D76A5" w:rsidRPr="00C31D0B">
        <w:rPr>
          <w:rFonts w:cs="Arial"/>
        </w:rPr>
        <w:t xml:space="preserve"> i</w:t>
      </w:r>
      <w:r w:rsidR="002F6221" w:rsidRPr="00C31D0B">
        <w:rPr>
          <w:rFonts w:cs="Arial"/>
        </w:rPr>
        <w:t xml:space="preserve"> Kompanija “VISA”. </w:t>
      </w:r>
    </w:p>
    <w:p w:rsidR="00767B8B" w:rsidRPr="00C31D0B" w:rsidRDefault="00767B8B" w:rsidP="00767B8B">
      <w:pPr>
        <w:spacing w:after="0"/>
        <w:rPr>
          <w:rFonts w:cs="Arial"/>
        </w:rPr>
      </w:pPr>
    </w:p>
    <w:p w:rsidR="009E0E4B" w:rsidRPr="00C31D0B" w:rsidRDefault="002C2C40" w:rsidP="00466358">
      <w:pPr>
        <w:spacing w:after="0"/>
        <w:jc w:val="both"/>
        <w:rPr>
          <w:rFonts w:cs="Arial"/>
        </w:rPr>
      </w:pPr>
      <w:r w:rsidRPr="00C31D0B">
        <w:rPr>
          <w:rFonts w:cs="Arial"/>
        </w:rPr>
        <w:t>Rezime dostavljanih primjedbi, predloga i sugestija, sa navedenim razlozima njihovog</w:t>
      </w:r>
      <w:r w:rsidR="00497CF8" w:rsidRPr="00C31D0B">
        <w:rPr>
          <w:rFonts w:cs="Arial"/>
        </w:rPr>
        <w:t xml:space="preserve"> prihvatanja, odnosno</w:t>
      </w:r>
      <w:r w:rsidRPr="00C31D0B">
        <w:rPr>
          <w:rFonts w:cs="Arial"/>
        </w:rPr>
        <w:t xml:space="preserve"> </w:t>
      </w:r>
      <w:r w:rsidR="00466358" w:rsidRPr="00C31D0B">
        <w:rPr>
          <w:rFonts w:cs="Arial"/>
        </w:rPr>
        <w:t xml:space="preserve"> n</w:t>
      </w:r>
      <w:r w:rsidRPr="00C31D0B">
        <w:rPr>
          <w:rFonts w:cs="Arial"/>
        </w:rPr>
        <w:t>eprihvatanja:</w:t>
      </w:r>
    </w:p>
    <w:p w:rsidR="009E0E4B" w:rsidRPr="00C31D0B" w:rsidRDefault="009E0E4B" w:rsidP="009E0E4B">
      <w:pPr>
        <w:spacing w:after="0"/>
        <w:rPr>
          <w:rFonts w:cs="Arial"/>
        </w:rPr>
      </w:pPr>
    </w:p>
    <w:p w:rsidR="004649BB" w:rsidRPr="00C31D0B" w:rsidRDefault="004649BB" w:rsidP="004649BB">
      <w:pPr>
        <w:widowControl w:val="0"/>
        <w:overflowPunct w:val="0"/>
        <w:autoSpaceDE w:val="0"/>
        <w:autoSpaceDN w:val="0"/>
        <w:adjustRightInd w:val="0"/>
        <w:spacing w:after="0" w:line="240" w:lineRule="auto"/>
        <w:jc w:val="both"/>
        <w:rPr>
          <w:rFonts w:cs="Arial"/>
        </w:rPr>
      </w:pPr>
      <w:r w:rsidRPr="00C31D0B">
        <w:rPr>
          <w:rFonts w:cs="Arial"/>
        </w:rPr>
        <w:t xml:space="preserve">1. </w:t>
      </w:r>
      <w:r w:rsidR="00BA581A" w:rsidRPr="00C31D0B">
        <w:rPr>
          <w:rFonts w:cs="Arial"/>
        </w:rPr>
        <w:t>U</w:t>
      </w:r>
      <w:r w:rsidR="00680D95" w:rsidRPr="00C31D0B">
        <w:rPr>
          <w:rFonts w:cs="Arial"/>
        </w:rPr>
        <w:t>česnici u javnoj raspravi ukazali su</w:t>
      </w:r>
      <w:r w:rsidR="00BA581A" w:rsidRPr="00C31D0B">
        <w:rPr>
          <w:rFonts w:cs="Arial"/>
        </w:rPr>
        <w:t xml:space="preserve"> </w:t>
      </w:r>
      <w:r w:rsidR="00680D95" w:rsidRPr="00C31D0B">
        <w:rPr>
          <w:rFonts w:cs="Arial"/>
        </w:rPr>
        <w:t>na potrebu da se primjena ovog z</w:t>
      </w:r>
      <w:r w:rsidR="00BA581A" w:rsidRPr="00C31D0B">
        <w:rPr>
          <w:rFonts w:cs="Arial"/>
        </w:rPr>
        <w:t>akona privremeno odloži (</w:t>
      </w:r>
      <w:r w:rsidR="00680D95" w:rsidRPr="00C31D0B">
        <w:rPr>
          <w:rFonts w:cs="Arial"/>
        </w:rPr>
        <w:t>ili do 2020. godine ili do ulaska Crne Gore u EU</w:t>
      </w:r>
      <w:r w:rsidR="00BA581A" w:rsidRPr="00C31D0B">
        <w:rPr>
          <w:rFonts w:cs="Arial"/>
        </w:rPr>
        <w:t>)</w:t>
      </w:r>
      <w:r w:rsidR="00680D95" w:rsidRPr="00C31D0B">
        <w:rPr>
          <w:rFonts w:cs="Arial"/>
        </w:rPr>
        <w:t>,  kako bi banke mogle revidirati svoje finansijske planove u narednim godinama</w:t>
      </w:r>
      <w:r w:rsidR="00033CD7" w:rsidRPr="00C31D0B">
        <w:rPr>
          <w:rFonts w:cs="Arial"/>
        </w:rPr>
        <w:t>,</w:t>
      </w:r>
      <w:r w:rsidR="00680D95" w:rsidRPr="00C31D0B">
        <w:rPr>
          <w:rFonts w:cs="Arial"/>
        </w:rPr>
        <w:t xml:space="preserve"> definisati novu strategiju razvoja segmenta poslovanja sa platnim karti</w:t>
      </w:r>
      <w:r w:rsidR="00033CD7" w:rsidRPr="00C31D0B">
        <w:rPr>
          <w:rFonts w:cs="Arial"/>
        </w:rPr>
        <w:t xml:space="preserve">cama i obezbijediti neophodna </w:t>
      </w:r>
      <w:r w:rsidR="00680D95" w:rsidRPr="00C31D0B">
        <w:rPr>
          <w:rFonts w:cs="Arial"/>
        </w:rPr>
        <w:t xml:space="preserve">sredstava i </w:t>
      </w:r>
      <w:r w:rsidR="00033CD7" w:rsidRPr="00C31D0B">
        <w:rPr>
          <w:rFonts w:cs="Arial"/>
        </w:rPr>
        <w:t xml:space="preserve">druge </w:t>
      </w:r>
      <w:r w:rsidR="00680D95" w:rsidRPr="00C31D0B">
        <w:rPr>
          <w:rFonts w:cs="Arial"/>
        </w:rPr>
        <w:t>resurs</w:t>
      </w:r>
      <w:r w:rsidR="00033CD7" w:rsidRPr="00C31D0B">
        <w:rPr>
          <w:rFonts w:cs="Arial"/>
        </w:rPr>
        <w:t>e</w:t>
      </w:r>
      <w:r w:rsidR="00680D95" w:rsidRPr="00C31D0B">
        <w:rPr>
          <w:rFonts w:cs="Arial"/>
        </w:rPr>
        <w:t xml:space="preserve"> za njegovu primjenu. </w:t>
      </w:r>
      <w:r w:rsidR="00AA2F9C" w:rsidRPr="00C31D0B">
        <w:rPr>
          <w:rFonts w:cs="Arial"/>
        </w:rPr>
        <w:t>Predložili su</w:t>
      </w:r>
      <w:r w:rsidRPr="00C31D0B">
        <w:rPr>
          <w:rFonts w:cs="Arial"/>
        </w:rPr>
        <w:t xml:space="preserve"> postepeno  ograničavanje  nivoa  međubankarskih  naknada  za određeni  broj  godina,  koji  bi  bankama  omogućio  da  se  konsoliduju  i  razviju  odgovarajuću  strategiju  u poslovanju platnim karticama u novim </w:t>
      </w:r>
      <w:r w:rsidR="001313AA">
        <w:rPr>
          <w:rFonts w:cs="Arial"/>
        </w:rPr>
        <w:br/>
      </w:r>
      <w:r w:rsidRPr="00C31D0B">
        <w:rPr>
          <w:rFonts w:cs="Arial"/>
        </w:rPr>
        <w:t>uslovima.</w:t>
      </w:r>
    </w:p>
    <w:p w:rsidR="00C31D0B" w:rsidRDefault="00EF4463" w:rsidP="004649BB">
      <w:pPr>
        <w:widowControl w:val="0"/>
        <w:overflowPunct w:val="0"/>
        <w:autoSpaceDE w:val="0"/>
        <w:autoSpaceDN w:val="0"/>
        <w:adjustRightInd w:val="0"/>
        <w:spacing w:after="0" w:line="240" w:lineRule="auto"/>
        <w:jc w:val="both"/>
        <w:rPr>
          <w:rFonts w:cs="Arial"/>
        </w:rPr>
      </w:pPr>
      <w:r w:rsidRPr="00C31D0B">
        <w:rPr>
          <w:rFonts w:cs="Arial"/>
        </w:rPr>
        <w:t xml:space="preserve">U vezi sa navedenim, ukazuje se da je članom 24 Nacrta zakona početak njegove primjene odložen za dvije godine od njegovog stupanja na snagu (a za očekivati je da se ovaj zakon donese i stupi na snagu najranije do kraja 2019. godine, što znači da je za očekivati da početak primjene ovog zakona ne bude prije 2022. godine), što je razuman i dovoljan rok </w:t>
      </w:r>
      <w:r w:rsidR="00BA581A" w:rsidRPr="00C31D0B">
        <w:rPr>
          <w:rFonts w:cs="Arial"/>
        </w:rPr>
        <w:t xml:space="preserve">(više od tri godine) </w:t>
      </w:r>
      <w:r w:rsidRPr="00C31D0B">
        <w:rPr>
          <w:rFonts w:cs="Arial"/>
        </w:rPr>
        <w:t>za obezbjeđivanje svih neophodnih pretpostavki za njegovu nesmetanu implementaciju</w:t>
      </w:r>
      <w:r w:rsidR="00BA0395" w:rsidRPr="00C31D0B">
        <w:rPr>
          <w:rFonts w:cs="Arial"/>
        </w:rPr>
        <w:t xml:space="preserve">, a i rok koji je </w:t>
      </w:r>
      <w:r w:rsidR="001313AA">
        <w:rPr>
          <w:rFonts w:cs="Arial"/>
        </w:rPr>
        <w:t xml:space="preserve">znatno </w:t>
      </w:r>
      <w:r w:rsidR="00BA0395" w:rsidRPr="00C31D0B">
        <w:rPr>
          <w:rFonts w:cs="Arial"/>
        </w:rPr>
        <w:t xml:space="preserve">duži </w:t>
      </w:r>
      <w:r w:rsidR="00C31D0B">
        <w:rPr>
          <w:rFonts w:cs="Arial"/>
        </w:rPr>
        <w:t xml:space="preserve">od </w:t>
      </w:r>
      <w:r w:rsidR="002F6221" w:rsidRPr="00C31D0B">
        <w:rPr>
          <w:rFonts w:cs="Arial"/>
        </w:rPr>
        <w:t xml:space="preserve">2020. godine koji predlaže </w:t>
      </w:r>
      <w:r w:rsidR="00C31D0B">
        <w:rPr>
          <w:rFonts w:cs="Arial"/>
        </w:rPr>
        <w:t>veći broj</w:t>
      </w:r>
      <w:r w:rsidR="002F6221" w:rsidRPr="00C31D0B">
        <w:rPr>
          <w:rFonts w:cs="Arial"/>
        </w:rPr>
        <w:t xml:space="preserve"> učesnika u javnoj raspravi</w:t>
      </w:r>
      <w:r w:rsidRPr="00C31D0B">
        <w:rPr>
          <w:rFonts w:cs="Arial"/>
        </w:rPr>
        <w:t xml:space="preserve">. </w:t>
      </w:r>
    </w:p>
    <w:p w:rsidR="00BA581A" w:rsidRPr="00C31D0B" w:rsidRDefault="00BA581A" w:rsidP="004649BB">
      <w:pPr>
        <w:widowControl w:val="0"/>
        <w:overflowPunct w:val="0"/>
        <w:autoSpaceDE w:val="0"/>
        <w:autoSpaceDN w:val="0"/>
        <w:adjustRightInd w:val="0"/>
        <w:spacing w:after="0" w:line="240" w:lineRule="auto"/>
        <w:jc w:val="both"/>
        <w:rPr>
          <w:rFonts w:cs="Arial"/>
        </w:rPr>
      </w:pPr>
      <w:r w:rsidRPr="00C31D0B">
        <w:rPr>
          <w:rFonts w:cs="Arial"/>
        </w:rPr>
        <w:t>Pored toga</w:t>
      </w:r>
      <w:r w:rsidR="00EF4463" w:rsidRPr="00C31D0B">
        <w:rPr>
          <w:rFonts w:cs="Arial"/>
        </w:rPr>
        <w:t xml:space="preserve">, </w:t>
      </w:r>
      <w:r w:rsidR="00002DC2">
        <w:rPr>
          <w:rFonts w:cs="Arial"/>
        </w:rPr>
        <w:t xml:space="preserve">ukazuje se i da je </w:t>
      </w:r>
      <w:r w:rsidR="00EF4463" w:rsidRPr="00C31D0B">
        <w:rPr>
          <w:rFonts w:cs="Arial"/>
        </w:rPr>
        <w:t>članom 20 Nacrta zakona propisan</w:t>
      </w:r>
      <w:r w:rsidR="00E2482A" w:rsidRPr="00C31D0B">
        <w:rPr>
          <w:rFonts w:cs="Arial"/>
        </w:rPr>
        <w:t>a</w:t>
      </w:r>
      <w:r w:rsidRPr="00C31D0B">
        <w:rPr>
          <w:rFonts w:cs="Arial"/>
        </w:rPr>
        <w:t xml:space="preserve"> dodatna </w:t>
      </w:r>
      <w:r w:rsidR="00E2482A" w:rsidRPr="00C31D0B">
        <w:rPr>
          <w:rFonts w:cs="Arial"/>
        </w:rPr>
        <w:t xml:space="preserve">mogućnost pružaocima platnih usluga da, od dana početka primjene ovog zakona, još šest mjeseci ne moraju određivati </w:t>
      </w:r>
      <w:r w:rsidR="00EF4463" w:rsidRPr="00C31D0B">
        <w:rPr>
          <w:rFonts w:cs="Arial"/>
        </w:rPr>
        <w:t>međubankarsk</w:t>
      </w:r>
      <w:r w:rsidR="00E2482A" w:rsidRPr="00C31D0B">
        <w:rPr>
          <w:rFonts w:cs="Arial"/>
        </w:rPr>
        <w:t>e</w:t>
      </w:r>
      <w:r w:rsidR="00EF4463" w:rsidRPr="00C31D0B">
        <w:rPr>
          <w:rFonts w:cs="Arial"/>
        </w:rPr>
        <w:t xml:space="preserve"> naknad</w:t>
      </w:r>
      <w:r w:rsidR="001313AA">
        <w:rPr>
          <w:rFonts w:cs="Arial"/>
        </w:rPr>
        <w:t>e</w:t>
      </w:r>
      <w:r w:rsidR="00E2482A" w:rsidRPr="00C31D0B">
        <w:rPr>
          <w:rFonts w:cs="Arial"/>
        </w:rPr>
        <w:t xml:space="preserve"> u visini utvrđenoj članom </w:t>
      </w:r>
      <w:r w:rsidR="00EF4463" w:rsidRPr="00C31D0B">
        <w:rPr>
          <w:rFonts w:cs="Arial"/>
        </w:rPr>
        <w:t>6</w:t>
      </w:r>
      <w:r w:rsidR="00E2482A" w:rsidRPr="00C31D0B">
        <w:rPr>
          <w:rFonts w:cs="Arial"/>
        </w:rPr>
        <w:t xml:space="preserve"> N</w:t>
      </w:r>
      <w:r w:rsidRPr="00C31D0B">
        <w:rPr>
          <w:rFonts w:cs="Arial"/>
        </w:rPr>
        <w:t>a</w:t>
      </w:r>
      <w:r w:rsidR="00E2482A" w:rsidRPr="00C31D0B">
        <w:rPr>
          <w:rFonts w:cs="Arial"/>
        </w:rPr>
        <w:t>crta zakona</w:t>
      </w:r>
      <w:r w:rsidR="00F90720" w:rsidRPr="00C31D0B">
        <w:rPr>
          <w:rFonts w:cs="Arial"/>
        </w:rPr>
        <w:t xml:space="preserve">, </w:t>
      </w:r>
      <w:r w:rsidR="00E2482A" w:rsidRPr="00C31D0B">
        <w:rPr>
          <w:rFonts w:cs="Arial"/>
        </w:rPr>
        <w:t xml:space="preserve">već </w:t>
      </w:r>
      <w:r w:rsidR="001313AA">
        <w:rPr>
          <w:rFonts w:cs="Arial"/>
        </w:rPr>
        <w:t>da</w:t>
      </w:r>
      <w:r w:rsidRPr="00C31D0B">
        <w:rPr>
          <w:rFonts w:cs="Arial"/>
        </w:rPr>
        <w:t xml:space="preserve"> u tom roku mogu određivati </w:t>
      </w:r>
      <w:r w:rsidR="001313AA" w:rsidRPr="00C31D0B">
        <w:rPr>
          <w:rFonts w:cs="Arial"/>
        </w:rPr>
        <w:t>međubankarske naknad</w:t>
      </w:r>
      <w:r w:rsidR="001313AA">
        <w:rPr>
          <w:rFonts w:cs="Arial"/>
        </w:rPr>
        <w:t>e</w:t>
      </w:r>
      <w:r w:rsidR="001313AA" w:rsidRPr="00C31D0B">
        <w:rPr>
          <w:rFonts w:cs="Arial"/>
        </w:rPr>
        <w:t xml:space="preserve"> </w:t>
      </w:r>
      <w:r w:rsidR="007E0612" w:rsidRPr="00C31D0B">
        <w:rPr>
          <w:rFonts w:cs="Arial"/>
        </w:rPr>
        <w:t>do</w:t>
      </w:r>
      <w:r w:rsidRPr="00C31D0B">
        <w:rPr>
          <w:rFonts w:cs="Arial"/>
        </w:rPr>
        <w:t xml:space="preserve"> dvostruko</w:t>
      </w:r>
      <w:r w:rsidR="007E0612" w:rsidRPr="00C31D0B">
        <w:rPr>
          <w:rFonts w:cs="Arial"/>
        </w:rPr>
        <w:t xml:space="preserve"> propisanog</w:t>
      </w:r>
      <w:r w:rsidRPr="00C31D0B">
        <w:rPr>
          <w:rFonts w:cs="Arial"/>
        </w:rPr>
        <w:t xml:space="preserve"> iznos</w:t>
      </w:r>
      <w:r w:rsidR="007E0612" w:rsidRPr="00C31D0B">
        <w:rPr>
          <w:rFonts w:cs="Arial"/>
        </w:rPr>
        <w:t>a</w:t>
      </w:r>
      <w:r w:rsidRPr="00C31D0B">
        <w:rPr>
          <w:rFonts w:cs="Arial"/>
        </w:rPr>
        <w:t>. Ovo suštinski znači da</w:t>
      </w:r>
      <w:r w:rsidR="00C02EBD" w:rsidRPr="00C31D0B">
        <w:rPr>
          <w:rFonts w:cs="Arial"/>
        </w:rPr>
        <w:t>, po Nacrtu zakona,</w:t>
      </w:r>
      <w:r w:rsidRPr="00C31D0B">
        <w:rPr>
          <w:rFonts w:cs="Arial"/>
        </w:rPr>
        <w:t xml:space="preserve">  pružaoci platnih usluga </w:t>
      </w:r>
      <w:r w:rsidR="00C02EBD" w:rsidRPr="00C31D0B">
        <w:rPr>
          <w:rFonts w:cs="Arial"/>
        </w:rPr>
        <w:t xml:space="preserve">za </w:t>
      </w:r>
      <w:r w:rsidRPr="00C31D0B">
        <w:rPr>
          <w:rFonts w:cs="Arial"/>
        </w:rPr>
        <w:t>transakciju debitnom karticom izdatom potrošaču neće smjeti nuditi niti zahtijevati međubankarsku naknadu po transakciji koja je veća od 0,2% vrijednosti transakcije, odnosno</w:t>
      </w:r>
      <w:r w:rsidR="00435460" w:rsidRPr="00C31D0B">
        <w:rPr>
          <w:rFonts w:cs="Arial"/>
        </w:rPr>
        <w:t xml:space="preserve"> od</w:t>
      </w:r>
      <w:r w:rsidRPr="00C31D0B">
        <w:rPr>
          <w:rFonts w:cs="Arial"/>
        </w:rPr>
        <w:t xml:space="preserve"> </w:t>
      </w:r>
      <w:r w:rsidR="00C02EBD" w:rsidRPr="00C31D0B">
        <w:rPr>
          <w:rFonts w:cs="Arial"/>
        </w:rPr>
        <w:t>0,3</w:t>
      </w:r>
      <w:r w:rsidRPr="00C31D0B">
        <w:rPr>
          <w:rFonts w:cs="Arial"/>
        </w:rPr>
        <w:t>% vrijednosti transakcije za transakciju kreditnom karticom</w:t>
      </w:r>
      <w:r w:rsidR="00AD34BA" w:rsidRPr="00C31D0B">
        <w:rPr>
          <w:rFonts w:cs="Arial"/>
        </w:rPr>
        <w:t>,</w:t>
      </w:r>
      <w:r w:rsidR="00C02EBD" w:rsidRPr="00C31D0B">
        <w:rPr>
          <w:rFonts w:cs="Arial"/>
        </w:rPr>
        <w:t xml:space="preserve"> tek od sredine 2022. godine</w:t>
      </w:r>
      <w:r w:rsidRPr="00C31D0B">
        <w:rPr>
          <w:rFonts w:cs="Arial"/>
        </w:rPr>
        <w:t>.</w:t>
      </w:r>
    </w:p>
    <w:p w:rsidR="00682A3D" w:rsidRPr="00C31D0B" w:rsidRDefault="00682A3D" w:rsidP="004649BB">
      <w:pPr>
        <w:widowControl w:val="0"/>
        <w:overflowPunct w:val="0"/>
        <w:autoSpaceDE w:val="0"/>
        <w:autoSpaceDN w:val="0"/>
        <w:adjustRightInd w:val="0"/>
        <w:spacing w:after="0" w:line="240" w:lineRule="auto"/>
        <w:jc w:val="both"/>
        <w:rPr>
          <w:rFonts w:cs="Arial"/>
        </w:rPr>
      </w:pPr>
      <w:r w:rsidRPr="00C31D0B">
        <w:rPr>
          <w:rFonts w:cs="Arial"/>
        </w:rPr>
        <w:t>Primjena ovog zakon</w:t>
      </w:r>
      <w:r w:rsidR="00DF2B47">
        <w:rPr>
          <w:rFonts w:cs="Arial"/>
        </w:rPr>
        <w:t>a</w:t>
      </w:r>
      <w:r w:rsidRPr="00C31D0B">
        <w:rPr>
          <w:rFonts w:cs="Arial"/>
        </w:rPr>
        <w:t xml:space="preserve"> tek od ulaska u EU nije moguća, jer je Crna Gora dužna da prije zaključenja pristu</w:t>
      </w:r>
      <w:r w:rsidR="008310B0" w:rsidRPr="00C31D0B">
        <w:rPr>
          <w:rFonts w:cs="Arial"/>
        </w:rPr>
        <w:t>p</w:t>
      </w:r>
      <w:r w:rsidRPr="00C31D0B">
        <w:rPr>
          <w:rFonts w:cs="Arial"/>
        </w:rPr>
        <w:t>nih pregovora sa EU</w:t>
      </w:r>
      <w:r w:rsidR="008310B0" w:rsidRPr="00C31D0B">
        <w:rPr>
          <w:rFonts w:cs="Arial"/>
        </w:rPr>
        <w:t xml:space="preserve"> već ima svoje zakonodavstvo u potpunosti kompatibilno sa pravnom tekovinom EU, posebno u slučajevima kada se zakonom implementiraju regulative EU koje se u </w:t>
      </w:r>
      <w:r w:rsidR="008310B0" w:rsidRPr="00C31D0B">
        <w:rPr>
          <w:rFonts w:cs="Arial"/>
        </w:rPr>
        <w:lastRenderedPageBreak/>
        <w:t xml:space="preserve">državama članicama EU direktno primjenjuju. </w:t>
      </w:r>
      <w:r w:rsidR="00002DC2">
        <w:rPr>
          <w:rFonts w:cs="Arial"/>
        </w:rPr>
        <w:t xml:space="preserve">U skladu sa navedenim, </w:t>
      </w:r>
      <w:r w:rsidR="008310B0" w:rsidRPr="00C31D0B">
        <w:rPr>
          <w:rFonts w:cs="Arial"/>
        </w:rPr>
        <w:t>ukoliko bi se određenim zakonom kojim se implementira regulativa EU utvrdilo da se on primjenjuje od ulaska Crne Gore u EU, on bi bio bespredmetan, jer će se od ulaska Crne Gore u EU regulative na nju, kao državu članicu, direktno primjenjivati.</w:t>
      </w:r>
    </w:p>
    <w:p w:rsidR="0058213B" w:rsidRPr="00C31D0B" w:rsidRDefault="0058213B" w:rsidP="004649BB">
      <w:pPr>
        <w:widowControl w:val="0"/>
        <w:overflowPunct w:val="0"/>
        <w:autoSpaceDE w:val="0"/>
        <w:autoSpaceDN w:val="0"/>
        <w:adjustRightInd w:val="0"/>
        <w:spacing w:after="0" w:line="240" w:lineRule="auto"/>
        <w:jc w:val="both"/>
        <w:rPr>
          <w:rFonts w:cs="Arial"/>
        </w:rPr>
      </w:pPr>
    </w:p>
    <w:p w:rsidR="008F3168" w:rsidRPr="00C31D0B" w:rsidRDefault="00C02EBD" w:rsidP="00187EFB">
      <w:pPr>
        <w:jc w:val="both"/>
        <w:rPr>
          <w:rFonts w:cs="Arial"/>
        </w:rPr>
      </w:pPr>
      <w:r w:rsidRPr="00C31D0B">
        <w:rPr>
          <w:rFonts w:cs="Arial"/>
        </w:rPr>
        <w:t xml:space="preserve">2. </w:t>
      </w:r>
      <w:r w:rsidR="0004443D" w:rsidRPr="00C31D0B">
        <w:rPr>
          <w:rFonts w:cs="Arial"/>
        </w:rPr>
        <w:t xml:space="preserve">U vezi sa komentarom da </w:t>
      </w:r>
      <w:r w:rsidR="00187EFB" w:rsidRPr="00C31D0B">
        <w:rPr>
          <w:rFonts w:cs="Arial"/>
        </w:rPr>
        <w:t xml:space="preserve">Regulativa (EU) 2015/751 </w:t>
      </w:r>
      <w:r w:rsidR="0004443D" w:rsidRPr="00C31D0B">
        <w:rPr>
          <w:rFonts w:cs="Arial"/>
          <w:lang w:val="sr-Latn-CS"/>
        </w:rPr>
        <w:t>o me</w:t>
      </w:r>
      <w:r w:rsidR="0004443D" w:rsidRPr="00C31D0B">
        <w:rPr>
          <w:rFonts w:cs="Arial"/>
        </w:rPr>
        <w:t xml:space="preserve">đubankarskim naknadama za platne transakcije po osnovu kartica </w:t>
      </w:r>
      <w:r w:rsidR="00187EFB" w:rsidRPr="00C31D0B">
        <w:rPr>
          <w:rFonts w:cs="Arial"/>
        </w:rPr>
        <w:t xml:space="preserve">polazi od pretpostavke da </w:t>
      </w:r>
      <w:r w:rsidR="00DF2B47">
        <w:rPr>
          <w:rFonts w:cs="Arial"/>
        </w:rPr>
        <w:t>“</w:t>
      </w:r>
      <w:r w:rsidR="00187EFB" w:rsidRPr="00C31D0B">
        <w:rPr>
          <w:rFonts w:cs="Arial"/>
        </w:rPr>
        <w:t xml:space="preserve">nacionalna platna transakcije ne može biti povoljnija niti nepovoljnija od platne transakcije unutar EU, dok </w:t>
      </w:r>
      <w:r w:rsidR="008F3168" w:rsidRPr="00C31D0B">
        <w:rPr>
          <w:rFonts w:cs="Arial"/>
        </w:rPr>
        <w:t xml:space="preserve"> Nacrt z</w:t>
      </w:r>
      <w:r w:rsidR="00187EFB" w:rsidRPr="00C31D0B">
        <w:rPr>
          <w:rFonts w:cs="Arial"/>
        </w:rPr>
        <w:t xml:space="preserve">akona </w:t>
      </w:r>
      <w:r w:rsidR="00ED6E93" w:rsidRPr="00C31D0B">
        <w:rPr>
          <w:rFonts w:cs="Arial"/>
        </w:rPr>
        <w:t xml:space="preserve">(član 1) </w:t>
      </w:r>
      <w:r w:rsidR="00187EFB" w:rsidRPr="00C31D0B">
        <w:rPr>
          <w:rFonts w:cs="Arial"/>
        </w:rPr>
        <w:t>to ne pretpostavlja</w:t>
      </w:r>
      <w:r w:rsidR="00ED6E93" w:rsidRPr="00C31D0B">
        <w:rPr>
          <w:rFonts w:cs="Arial"/>
        </w:rPr>
        <w:t>,</w:t>
      </w:r>
      <w:r w:rsidR="00187EFB" w:rsidRPr="00C31D0B">
        <w:rPr>
          <w:rFonts w:cs="Arial"/>
        </w:rPr>
        <w:t xml:space="preserve"> </w:t>
      </w:r>
      <w:r w:rsidR="008F3168" w:rsidRPr="00C31D0B">
        <w:rPr>
          <w:rFonts w:cs="Arial"/>
        </w:rPr>
        <w:t>jer</w:t>
      </w:r>
      <w:r w:rsidR="00187EFB" w:rsidRPr="00C31D0B">
        <w:rPr>
          <w:rFonts w:cs="Arial"/>
        </w:rPr>
        <w:t xml:space="preserve"> definiše sam</w:t>
      </w:r>
      <w:r w:rsidR="008F3168" w:rsidRPr="00C31D0B">
        <w:rPr>
          <w:rFonts w:cs="Arial"/>
        </w:rPr>
        <w:t>o nacionalne platne transakcije</w:t>
      </w:r>
      <w:r w:rsidR="00DF2B47">
        <w:rPr>
          <w:rFonts w:cs="Arial"/>
        </w:rPr>
        <w:t>” – “</w:t>
      </w:r>
      <w:r w:rsidR="008F3168" w:rsidRPr="00C31D0B">
        <w:rPr>
          <w:rFonts w:cs="Arial"/>
        </w:rPr>
        <w:t xml:space="preserve">pa bi ovim zakonom trebalo urediti </w:t>
      </w:r>
      <w:r w:rsidR="00187EFB" w:rsidRPr="00C31D0B">
        <w:rPr>
          <w:rFonts w:cs="Arial"/>
        </w:rPr>
        <w:t xml:space="preserve">međubankarske naknade po osnovu transakcija </w:t>
      </w:r>
      <w:r w:rsidR="008F3168" w:rsidRPr="00C31D0B">
        <w:rPr>
          <w:rFonts w:cs="Arial"/>
        </w:rPr>
        <w:t>crnogorskih</w:t>
      </w:r>
      <w:r w:rsidR="00187EFB" w:rsidRPr="00C31D0B">
        <w:rPr>
          <w:rFonts w:cs="Arial"/>
        </w:rPr>
        <w:t xml:space="preserve"> platnih kartica u C</w:t>
      </w:r>
      <w:r w:rsidR="008F3168" w:rsidRPr="00C31D0B">
        <w:rPr>
          <w:rFonts w:cs="Arial"/>
        </w:rPr>
        <w:t xml:space="preserve">rnoj </w:t>
      </w:r>
      <w:r w:rsidR="00187EFB" w:rsidRPr="00C31D0B">
        <w:rPr>
          <w:rFonts w:cs="Arial"/>
        </w:rPr>
        <w:t>G</w:t>
      </w:r>
      <w:r w:rsidR="008F3168" w:rsidRPr="00C31D0B">
        <w:rPr>
          <w:rFonts w:cs="Arial"/>
        </w:rPr>
        <w:t>ori</w:t>
      </w:r>
      <w:r w:rsidR="00187EFB" w:rsidRPr="00C31D0B">
        <w:rPr>
          <w:rFonts w:cs="Arial"/>
        </w:rPr>
        <w:t xml:space="preserve"> i u EU</w:t>
      </w:r>
      <w:r w:rsidR="00DF2B47">
        <w:rPr>
          <w:rFonts w:cs="Arial"/>
        </w:rPr>
        <w:t>”</w:t>
      </w:r>
      <w:r w:rsidR="008F3168" w:rsidRPr="00C31D0B">
        <w:rPr>
          <w:rFonts w:cs="Arial"/>
        </w:rPr>
        <w:t>, ukazuje se na sljedeće:</w:t>
      </w:r>
    </w:p>
    <w:p w:rsidR="00465AF0" w:rsidRPr="00C31D0B" w:rsidRDefault="008F3168" w:rsidP="00465AF0">
      <w:pPr>
        <w:pStyle w:val="ListParagraph"/>
        <w:numPr>
          <w:ilvl w:val="0"/>
          <w:numId w:val="9"/>
        </w:numPr>
        <w:tabs>
          <w:tab w:val="left" w:pos="8550"/>
          <w:tab w:val="left" w:pos="9360"/>
        </w:tabs>
        <w:spacing w:line="240" w:lineRule="auto"/>
        <w:jc w:val="both"/>
        <w:rPr>
          <w:rFonts w:cs="Arial"/>
        </w:rPr>
      </w:pPr>
      <w:r w:rsidRPr="00C31D0B">
        <w:rPr>
          <w:rFonts w:cs="Arial"/>
          <w:lang w:val="sr-Latn-CS"/>
        </w:rPr>
        <w:t>Me</w:t>
      </w:r>
      <w:r w:rsidRPr="00C31D0B">
        <w:rPr>
          <w:rFonts w:cs="Arial"/>
        </w:rPr>
        <w:t>đubankarske naknade za platne transakcije po osnovu kartica su u EU uređene Regulativom (EU) 2015/751, koja se direktno primjenjuje u državama članicama</w:t>
      </w:r>
      <w:r w:rsidR="00505AE0" w:rsidRPr="00C31D0B">
        <w:rPr>
          <w:rFonts w:cs="Arial"/>
        </w:rPr>
        <w:t xml:space="preserve"> EU</w:t>
      </w:r>
      <w:r w:rsidRPr="00C31D0B">
        <w:rPr>
          <w:rFonts w:cs="Arial"/>
        </w:rPr>
        <w:t xml:space="preserve">. Državama članicama je istom regulativom ostavljeno da samostalno urede samo nadležne nadzorne organe, sankcije i vansudsko rješavanje sporova. </w:t>
      </w:r>
      <w:r w:rsidR="00505AE0" w:rsidRPr="00C31D0B">
        <w:rPr>
          <w:rFonts w:cs="Arial"/>
        </w:rPr>
        <w:t xml:space="preserve">Za razliku od država članica EU, </w:t>
      </w:r>
      <w:r w:rsidRPr="00C31D0B">
        <w:rPr>
          <w:rFonts w:cs="Arial"/>
        </w:rPr>
        <w:t>Crna Gora</w:t>
      </w:r>
      <w:r w:rsidR="00CC423A">
        <w:rPr>
          <w:rFonts w:cs="Arial"/>
        </w:rPr>
        <w:t>,</w:t>
      </w:r>
      <w:r w:rsidRPr="00C31D0B">
        <w:rPr>
          <w:rFonts w:cs="Arial"/>
        </w:rPr>
        <w:t xml:space="preserve"> kao zemlja kandidat za učlanjenje u EU</w:t>
      </w:r>
      <w:r w:rsidR="00CC423A">
        <w:rPr>
          <w:rFonts w:cs="Arial"/>
        </w:rPr>
        <w:t>,</w:t>
      </w:r>
      <w:r w:rsidRPr="00C31D0B">
        <w:rPr>
          <w:rFonts w:cs="Arial"/>
        </w:rPr>
        <w:t xml:space="preserve"> </w:t>
      </w:r>
      <w:r w:rsidR="00505AE0" w:rsidRPr="00C31D0B">
        <w:rPr>
          <w:rFonts w:cs="Arial"/>
        </w:rPr>
        <w:t>ne može direktno da primjenjuje navedenu regulativ</w:t>
      </w:r>
      <w:r w:rsidR="00465AF0" w:rsidRPr="00C31D0B">
        <w:rPr>
          <w:rFonts w:cs="Arial"/>
        </w:rPr>
        <w:t>u</w:t>
      </w:r>
      <w:r w:rsidR="00505AE0" w:rsidRPr="00C31D0B">
        <w:rPr>
          <w:rFonts w:cs="Arial"/>
        </w:rPr>
        <w:t xml:space="preserve">, već je dužna da, </w:t>
      </w:r>
      <w:r w:rsidRPr="00C31D0B">
        <w:rPr>
          <w:rFonts w:cs="Arial"/>
        </w:rPr>
        <w:t>u postupku pristupanja</w:t>
      </w:r>
      <w:r w:rsidR="00505AE0" w:rsidRPr="00C31D0B">
        <w:rPr>
          <w:rFonts w:cs="Arial"/>
        </w:rPr>
        <w:t>, donese svoj zakon kojim će u potpunosti implementirati odredbe Regulative (EU) 2015/751</w:t>
      </w:r>
      <w:r w:rsidR="00465AF0" w:rsidRPr="00C31D0B">
        <w:rPr>
          <w:rFonts w:cs="Arial"/>
        </w:rPr>
        <w:t xml:space="preserve">, da bi </w:t>
      </w:r>
      <w:r w:rsidR="00CC423A">
        <w:rPr>
          <w:rFonts w:cs="Arial"/>
        </w:rPr>
        <w:t>njeno zakonodavstvo bilo</w:t>
      </w:r>
      <w:r w:rsidR="00465AF0" w:rsidRPr="00C31D0B">
        <w:rPr>
          <w:rFonts w:cs="Arial"/>
        </w:rPr>
        <w:t xml:space="preserve"> u potpunosti kompatibiln</w:t>
      </w:r>
      <w:r w:rsidR="00CC423A">
        <w:rPr>
          <w:rFonts w:cs="Arial"/>
        </w:rPr>
        <w:t>o</w:t>
      </w:r>
      <w:r w:rsidR="00465AF0" w:rsidRPr="00C31D0B">
        <w:rPr>
          <w:rFonts w:cs="Arial"/>
        </w:rPr>
        <w:t xml:space="preserve"> sa </w:t>
      </w:r>
      <w:r w:rsidR="00CC423A">
        <w:rPr>
          <w:rFonts w:cs="Arial"/>
        </w:rPr>
        <w:t xml:space="preserve">pravom </w:t>
      </w:r>
      <w:r w:rsidR="00465AF0" w:rsidRPr="00C31D0B">
        <w:rPr>
          <w:rFonts w:cs="Arial"/>
        </w:rPr>
        <w:t>EU</w:t>
      </w:r>
      <w:r w:rsidR="00CC423A">
        <w:rPr>
          <w:rFonts w:cs="Arial"/>
        </w:rPr>
        <w:t xml:space="preserve"> u ovoj oblasti</w:t>
      </w:r>
      <w:r w:rsidR="00465AF0" w:rsidRPr="00C31D0B">
        <w:rPr>
          <w:rFonts w:cs="Arial"/>
        </w:rPr>
        <w:t>. Saglasno navedenom, pristupilo se donošenju ovog zakona i u članu 17 je jasno propisano da, od dana pristupanja Crne Gore Evropskoj uniji, odredbe čl. 1 do 14 ovog zakona prestaju da važe i direktno se primjenjuju propisi Evropske unije koji uređuju ova pitanja,  a odredbe čl. 15, 16, 18 i 19 ovog zakona ostaju na snazi.</w:t>
      </w:r>
    </w:p>
    <w:p w:rsidR="00505AE0" w:rsidRPr="00C31D0B" w:rsidRDefault="00465AF0" w:rsidP="00465AF0">
      <w:pPr>
        <w:pStyle w:val="ListParagraph"/>
        <w:numPr>
          <w:ilvl w:val="0"/>
          <w:numId w:val="9"/>
        </w:numPr>
        <w:jc w:val="both"/>
        <w:rPr>
          <w:rFonts w:cs="Arial"/>
        </w:rPr>
      </w:pPr>
      <w:r w:rsidRPr="00C31D0B">
        <w:rPr>
          <w:rFonts w:cs="Arial"/>
        </w:rPr>
        <w:t>Imajući u vidu navedeno, Crna Gora može svojim zakonom uređivati samo međubankarske naknade koje se naplaćuju pri izvršavanju nacionalnih platnih transakcija.</w:t>
      </w:r>
    </w:p>
    <w:p w:rsidR="00ED6E93" w:rsidRPr="00C31D0B" w:rsidRDefault="00ED6E93" w:rsidP="00ED6E93">
      <w:pPr>
        <w:jc w:val="both"/>
        <w:rPr>
          <w:rFonts w:cs="Arial"/>
        </w:rPr>
      </w:pPr>
      <w:r w:rsidRPr="00C31D0B">
        <w:rPr>
          <w:rFonts w:cs="Arial"/>
        </w:rPr>
        <w:t>3. U vezi sa broj</w:t>
      </w:r>
      <w:r w:rsidR="00AA6FE8" w:rsidRPr="00C31D0B">
        <w:rPr>
          <w:rFonts w:cs="Arial"/>
        </w:rPr>
        <w:t>n</w:t>
      </w:r>
      <w:r w:rsidRPr="00C31D0B">
        <w:rPr>
          <w:rFonts w:cs="Arial"/>
        </w:rPr>
        <w:t>im komentarima da se definicije pojed</w:t>
      </w:r>
      <w:r w:rsidR="00AA6FE8" w:rsidRPr="00C31D0B">
        <w:rPr>
          <w:rFonts w:cs="Arial"/>
        </w:rPr>
        <w:t>i</w:t>
      </w:r>
      <w:r w:rsidRPr="00C31D0B">
        <w:rPr>
          <w:rFonts w:cs="Arial"/>
        </w:rPr>
        <w:t>nih izraza date članom 5  Nacrta zakona razlikuju od definicija istih pojmova datih u drugim zakonima, kao i da pojedine definicije nijesu u potpunosti jasne i precizne, ukazuje se da s</w:t>
      </w:r>
      <w:r w:rsidR="00B77A6D" w:rsidRPr="00C31D0B">
        <w:rPr>
          <w:rFonts w:cs="Arial"/>
        </w:rPr>
        <w:t>e</w:t>
      </w:r>
      <w:r w:rsidRPr="00C31D0B">
        <w:rPr>
          <w:rFonts w:cs="Arial"/>
        </w:rPr>
        <w:t xml:space="preserve"> </w:t>
      </w:r>
      <w:r w:rsidR="004516EB" w:rsidRPr="00C31D0B">
        <w:rPr>
          <w:rFonts w:cs="Arial"/>
        </w:rPr>
        <w:t xml:space="preserve">navedene </w:t>
      </w:r>
      <w:r w:rsidRPr="00C31D0B">
        <w:rPr>
          <w:rFonts w:cs="Arial"/>
        </w:rPr>
        <w:t xml:space="preserve">definicije </w:t>
      </w:r>
      <w:r w:rsidR="00B77A6D" w:rsidRPr="00C31D0B">
        <w:rPr>
          <w:rFonts w:cs="Arial"/>
        </w:rPr>
        <w:t>daju za značenje pojedinih izraza “u ovom zakonu” te ne moraju u potpunosti da odgovaraju definiciji istih pojmova u neko</w:t>
      </w:r>
      <w:r w:rsidR="00CC423A">
        <w:rPr>
          <w:rFonts w:cs="Arial"/>
        </w:rPr>
        <w:t>m</w:t>
      </w:r>
      <w:r w:rsidR="00B77A6D" w:rsidRPr="00C31D0B">
        <w:rPr>
          <w:rFonts w:cs="Arial"/>
        </w:rPr>
        <w:t xml:space="preserve"> drugom zakonu, kao i da </w:t>
      </w:r>
      <w:r w:rsidRPr="00C31D0B">
        <w:rPr>
          <w:rFonts w:cs="Arial"/>
        </w:rPr>
        <w:t xml:space="preserve"> </w:t>
      </w:r>
      <w:r w:rsidR="00B77A6D" w:rsidRPr="00C31D0B">
        <w:rPr>
          <w:rFonts w:cs="Arial"/>
        </w:rPr>
        <w:t xml:space="preserve">su date definicije </w:t>
      </w:r>
      <w:r w:rsidR="00FF51A4" w:rsidRPr="00C31D0B">
        <w:rPr>
          <w:rFonts w:cs="Arial"/>
        </w:rPr>
        <w:t xml:space="preserve">u </w:t>
      </w:r>
      <w:r w:rsidRPr="00C31D0B">
        <w:rPr>
          <w:rFonts w:cs="Arial"/>
        </w:rPr>
        <w:t>potpunosti usklađene sa odredbama člana 2  Regulative (EU) 2015/751</w:t>
      </w:r>
      <w:r w:rsidR="00FF51A4" w:rsidRPr="00C31D0B">
        <w:rPr>
          <w:rFonts w:cs="Arial"/>
        </w:rPr>
        <w:t xml:space="preserve"> koja se ovim zakonom u potpunosti implementira</w:t>
      </w:r>
      <w:r w:rsidRPr="00C31D0B">
        <w:rPr>
          <w:rFonts w:cs="Arial"/>
        </w:rPr>
        <w:t xml:space="preserve">. </w:t>
      </w:r>
      <w:r w:rsidR="00331B73" w:rsidRPr="00C31D0B">
        <w:rPr>
          <w:rFonts w:cs="Arial"/>
        </w:rPr>
        <w:t>Posebno se ukazuje da su definicije “četvorostranične platne šeme” i “trostrane platne šeme” date u članu 5 tač. 18 I 19 Nacrta zakona u potpunosti kompatibilne se definicijama tih šema datim u članu 2 tač. 17 i 18 Regulative (EU) 2015/751, samo je izvršeno njihov</w:t>
      </w:r>
      <w:r w:rsidR="00CC423A">
        <w:rPr>
          <w:rFonts w:cs="Arial"/>
        </w:rPr>
        <w:t>o</w:t>
      </w:r>
      <w:r w:rsidR="00331B73" w:rsidRPr="00C31D0B">
        <w:rPr>
          <w:rFonts w:cs="Arial"/>
        </w:rPr>
        <w:t xml:space="preserve"> pravno-redakcijsko usklađivanje sa </w:t>
      </w:r>
      <w:r w:rsidR="00CC423A">
        <w:rPr>
          <w:rFonts w:cs="Arial"/>
        </w:rPr>
        <w:t xml:space="preserve">pravilima koja se primjenjuju pri izradi </w:t>
      </w:r>
      <w:r w:rsidR="00331B73" w:rsidRPr="00C31D0B">
        <w:rPr>
          <w:rFonts w:cs="Arial"/>
        </w:rPr>
        <w:t>crnogorsk</w:t>
      </w:r>
      <w:r w:rsidR="00CC423A">
        <w:rPr>
          <w:rFonts w:cs="Arial"/>
        </w:rPr>
        <w:t>og</w:t>
      </w:r>
      <w:r w:rsidR="00331B73" w:rsidRPr="00C31D0B">
        <w:rPr>
          <w:rFonts w:cs="Arial"/>
        </w:rPr>
        <w:t xml:space="preserve"> zakonodavstv</w:t>
      </w:r>
      <w:r w:rsidR="00CC423A">
        <w:rPr>
          <w:rFonts w:cs="Arial"/>
        </w:rPr>
        <w:t>a</w:t>
      </w:r>
      <w:r w:rsidR="00331B73" w:rsidRPr="00C31D0B">
        <w:rPr>
          <w:rFonts w:cs="Arial"/>
        </w:rPr>
        <w:t>.</w:t>
      </w:r>
    </w:p>
    <w:p w:rsidR="00B45DFF" w:rsidRPr="00C31D0B" w:rsidRDefault="00B45DFF" w:rsidP="00ED6E93">
      <w:pPr>
        <w:jc w:val="both"/>
        <w:rPr>
          <w:rFonts w:cs="Arial"/>
        </w:rPr>
      </w:pPr>
      <w:r w:rsidRPr="00C31D0B">
        <w:rPr>
          <w:rFonts w:cs="Arial"/>
        </w:rPr>
        <w:t>4. U v</w:t>
      </w:r>
      <w:r w:rsidR="00EB6BF2" w:rsidRPr="00C31D0B">
        <w:rPr>
          <w:rFonts w:cs="Arial"/>
        </w:rPr>
        <w:t>e</w:t>
      </w:r>
      <w:r w:rsidRPr="00C31D0B">
        <w:rPr>
          <w:rFonts w:cs="Arial"/>
        </w:rPr>
        <w:t xml:space="preserve">zi sa predlogom da su u članu 6 Nacrta zakona brišu stavovi 3 I 4, ukazuje se da se ovim stavovima implementiraju </w:t>
      </w:r>
      <w:r w:rsidR="00EB6BF2" w:rsidRPr="00C31D0B">
        <w:rPr>
          <w:rFonts w:cs="Arial"/>
        </w:rPr>
        <w:t xml:space="preserve">opcije utvrđene </w:t>
      </w:r>
      <w:r w:rsidRPr="00C31D0B">
        <w:rPr>
          <w:rFonts w:cs="Arial"/>
        </w:rPr>
        <w:t>odredb</w:t>
      </w:r>
      <w:r w:rsidR="00EB6BF2" w:rsidRPr="00C31D0B">
        <w:rPr>
          <w:rFonts w:cs="Arial"/>
        </w:rPr>
        <w:t>ama</w:t>
      </w:r>
      <w:r w:rsidRPr="00C31D0B">
        <w:rPr>
          <w:rFonts w:cs="Arial"/>
        </w:rPr>
        <w:t xml:space="preserve"> člana 3 stav </w:t>
      </w:r>
      <w:r w:rsidR="009C4188">
        <w:rPr>
          <w:rFonts w:cs="Arial"/>
        </w:rPr>
        <w:t>2</w:t>
      </w:r>
      <w:r w:rsidRPr="00C31D0B">
        <w:rPr>
          <w:rFonts w:cs="Arial"/>
        </w:rPr>
        <w:t xml:space="preserve"> pod (a) i člana 4 (druga rečenica) Regulative (EU) 2015/751</w:t>
      </w:r>
      <w:r w:rsidR="00EB6BF2" w:rsidRPr="00C31D0B">
        <w:rPr>
          <w:rFonts w:cs="Arial"/>
        </w:rPr>
        <w:t xml:space="preserve">, jer </w:t>
      </w:r>
      <w:r w:rsidR="00AC3520" w:rsidRPr="00C31D0B">
        <w:rPr>
          <w:rFonts w:cs="Arial"/>
        </w:rPr>
        <w:t>j</w:t>
      </w:r>
      <w:r w:rsidR="00EB6BF2" w:rsidRPr="00C31D0B">
        <w:rPr>
          <w:rFonts w:cs="Arial"/>
        </w:rPr>
        <w:t>e</w:t>
      </w:r>
      <w:r w:rsidR="00AC3520" w:rsidRPr="00C31D0B">
        <w:rPr>
          <w:rFonts w:cs="Arial"/>
        </w:rPr>
        <w:t xml:space="preserve"> ocijenjeno </w:t>
      </w:r>
      <w:r w:rsidR="00EB6BF2" w:rsidRPr="00C31D0B">
        <w:rPr>
          <w:rFonts w:cs="Arial"/>
        </w:rPr>
        <w:t xml:space="preserve">cjelishodnim </w:t>
      </w:r>
      <w:r w:rsidR="00AC3520" w:rsidRPr="00C31D0B">
        <w:rPr>
          <w:rFonts w:cs="Arial"/>
        </w:rPr>
        <w:t>da se u Nacrtu zakona propiše</w:t>
      </w:r>
      <w:r w:rsidR="00EB6BF2" w:rsidRPr="00C31D0B">
        <w:rPr>
          <w:rFonts w:cs="Arial"/>
        </w:rPr>
        <w:t xml:space="preserve"> mogućnost </w:t>
      </w:r>
      <w:r w:rsidR="00AC3520" w:rsidRPr="00C31D0B">
        <w:rPr>
          <w:rFonts w:cs="Arial"/>
        </w:rPr>
        <w:t xml:space="preserve">propisavanja niže gornje granicu procenta međubankarskih naknada od utvrđene granice i/ili najviši fiksni iznos međubankarskih naknada, </w:t>
      </w:r>
      <w:r w:rsidR="00B43442" w:rsidRPr="00C31D0B">
        <w:rPr>
          <w:rFonts w:cs="Arial"/>
        </w:rPr>
        <w:t>za neke izuzetne slučajeve.</w:t>
      </w:r>
      <w:r w:rsidR="00AC3520" w:rsidRPr="00C31D0B">
        <w:rPr>
          <w:rFonts w:cs="Arial"/>
        </w:rPr>
        <w:t xml:space="preserve">  </w:t>
      </w:r>
    </w:p>
    <w:p w:rsidR="005A70C9" w:rsidRPr="00C31D0B" w:rsidRDefault="00B43442" w:rsidP="005A70C9">
      <w:pPr>
        <w:tabs>
          <w:tab w:val="left" w:pos="8550"/>
          <w:tab w:val="left" w:pos="9360"/>
        </w:tabs>
        <w:spacing w:line="240" w:lineRule="auto"/>
        <w:jc w:val="both"/>
        <w:rPr>
          <w:rFonts w:cs="Arial"/>
        </w:rPr>
      </w:pPr>
      <w:r w:rsidRPr="00C31D0B">
        <w:rPr>
          <w:rFonts w:cs="Arial"/>
        </w:rPr>
        <w:t>5</w:t>
      </w:r>
      <w:r w:rsidR="00465AF0" w:rsidRPr="00C31D0B">
        <w:rPr>
          <w:rFonts w:cs="Arial"/>
        </w:rPr>
        <w:t>.</w:t>
      </w:r>
      <w:r w:rsidR="00C01B9C" w:rsidRPr="00C31D0B">
        <w:rPr>
          <w:rFonts w:cs="Arial"/>
        </w:rPr>
        <w:t xml:space="preserve"> U vezi sa predlogom da se</w:t>
      </w:r>
      <w:r w:rsidR="005A70C9" w:rsidRPr="00C31D0B">
        <w:rPr>
          <w:rFonts w:cs="Arial"/>
        </w:rPr>
        <w:t xml:space="preserve"> </w:t>
      </w:r>
      <w:r w:rsidR="00C01B9C" w:rsidRPr="00C31D0B">
        <w:rPr>
          <w:rFonts w:cs="Arial"/>
        </w:rPr>
        <w:t xml:space="preserve">izbriše mogućnost </w:t>
      </w:r>
      <w:r w:rsidR="00D77D0F" w:rsidRPr="00C31D0B">
        <w:rPr>
          <w:rFonts w:cs="Arial"/>
        </w:rPr>
        <w:t>da</w:t>
      </w:r>
      <w:r w:rsidR="00C01B9C" w:rsidRPr="00C31D0B">
        <w:rPr>
          <w:rFonts w:cs="Arial"/>
        </w:rPr>
        <w:t xml:space="preserve"> Centraln</w:t>
      </w:r>
      <w:r w:rsidR="00D77D0F" w:rsidRPr="00C31D0B">
        <w:rPr>
          <w:rFonts w:cs="Arial"/>
        </w:rPr>
        <w:t>a</w:t>
      </w:r>
      <w:r w:rsidR="00C01B9C" w:rsidRPr="00C31D0B">
        <w:rPr>
          <w:rFonts w:cs="Arial"/>
        </w:rPr>
        <w:t xml:space="preserve"> </w:t>
      </w:r>
      <w:r w:rsidR="00766837" w:rsidRPr="00C31D0B">
        <w:rPr>
          <w:rFonts w:cs="Arial"/>
        </w:rPr>
        <w:t>b</w:t>
      </w:r>
      <w:r w:rsidR="00C01B9C" w:rsidRPr="00C31D0B">
        <w:rPr>
          <w:rFonts w:cs="Arial"/>
        </w:rPr>
        <w:t>ank</w:t>
      </w:r>
      <w:r w:rsidR="00D77D0F" w:rsidRPr="00C31D0B">
        <w:rPr>
          <w:rFonts w:cs="Arial"/>
        </w:rPr>
        <w:t>a</w:t>
      </w:r>
      <w:r w:rsidR="00C01B9C" w:rsidRPr="00C31D0B">
        <w:rPr>
          <w:rFonts w:cs="Arial"/>
        </w:rPr>
        <w:t xml:space="preserve"> ograničava trgovačk</w:t>
      </w:r>
      <w:r w:rsidR="00D77D0F" w:rsidRPr="00C31D0B">
        <w:rPr>
          <w:rFonts w:cs="Arial"/>
        </w:rPr>
        <w:t>e</w:t>
      </w:r>
      <w:r w:rsidR="00C01B9C" w:rsidRPr="00C31D0B">
        <w:rPr>
          <w:rFonts w:cs="Arial"/>
        </w:rPr>
        <w:t xml:space="preserve"> naknad</w:t>
      </w:r>
      <w:r w:rsidR="00D77D0F" w:rsidRPr="00C31D0B">
        <w:rPr>
          <w:rFonts w:cs="Arial"/>
        </w:rPr>
        <w:t>e</w:t>
      </w:r>
      <w:r w:rsidR="00C01B9C" w:rsidRPr="00C31D0B">
        <w:rPr>
          <w:rFonts w:cs="Arial"/>
        </w:rPr>
        <w:t xml:space="preserve"> (član 8 Nacrta zakona), s obzirom da ovakv</w:t>
      </w:r>
      <w:r w:rsidR="005A70C9" w:rsidRPr="00C31D0B">
        <w:rPr>
          <w:rFonts w:cs="Arial"/>
        </w:rPr>
        <w:t>o</w:t>
      </w:r>
      <w:r w:rsidR="00C01B9C" w:rsidRPr="00C31D0B">
        <w:rPr>
          <w:rFonts w:cs="Arial"/>
        </w:rPr>
        <w:t xml:space="preserve"> pravil</w:t>
      </w:r>
      <w:r w:rsidR="005A70C9" w:rsidRPr="00C31D0B">
        <w:rPr>
          <w:rFonts w:cs="Arial"/>
        </w:rPr>
        <w:t>o</w:t>
      </w:r>
      <w:r w:rsidR="00C01B9C" w:rsidRPr="00C31D0B">
        <w:rPr>
          <w:rFonts w:cs="Arial"/>
        </w:rPr>
        <w:t xml:space="preserve"> ne postoj</w:t>
      </w:r>
      <w:r w:rsidR="005A70C9" w:rsidRPr="00C31D0B">
        <w:rPr>
          <w:rFonts w:cs="Arial"/>
        </w:rPr>
        <w:t>i</w:t>
      </w:r>
      <w:r w:rsidR="00C01B9C" w:rsidRPr="00C31D0B">
        <w:rPr>
          <w:rFonts w:cs="Arial"/>
        </w:rPr>
        <w:t xml:space="preserve"> u EU i da iznos trgovačke naknade predstavlja čist poslovni odnos između banke i trgovca, ukazuje se da</w:t>
      </w:r>
      <w:r w:rsidR="005A70C9" w:rsidRPr="00C31D0B">
        <w:rPr>
          <w:rFonts w:cs="Arial"/>
        </w:rPr>
        <w:t xml:space="preserve"> se Nacrtom zakona utvrđuje samo mogućnost da Cent</w:t>
      </w:r>
      <w:r w:rsidR="00766837" w:rsidRPr="00C31D0B">
        <w:rPr>
          <w:rFonts w:cs="Arial"/>
        </w:rPr>
        <w:t>r</w:t>
      </w:r>
      <w:r w:rsidR="005A70C9" w:rsidRPr="00C31D0B">
        <w:rPr>
          <w:rFonts w:cs="Arial"/>
        </w:rPr>
        <w:t xml:space="preserve">alna banka </w:t>
      </w:r>
      <w:r w:rsidR="00766837" w:rsidRPr="00C31D0B">
        <w:rPr>
          <w:rFonts w:cs="Arial"/>
        </w:rPr>
        <w:t xml:space="preserve">propiše najviši procentualni  iznos i/ili najviši fiksni iznos trgovačke naknade, i to samo </w:t>
      </w:r>
      <w:r w:rsidR="005A70C9" w:rsidRPr="00C31D0B">
        <w:rPr>
          <w:rFonts w:cs="Arial"/>
        </w:rPr>
        <w:t>u slučaju kada</w:t>
      </w:r>
      <w:r w:rsidR="00766837" w:rsidRPr="00C31D0B">
        <w:rPr>
          <w:rFonts w:cs="Arial"/>
        </w:rPr>
        <w:t xml:space="preserve"> utvrdi da je</w:t>
      </w:r>
      <w:r w:rsidR="005A70C9" w:rsidRPr="00C31D0B">
        <w:rPr>
          <w:rFonts w:cs="Arial"/>
        </w:rPr>
        <w:t>,</w:t>
      </w:r>
      <w:r w:rsidR="00EA4C4B" w:rsidRPr="00C31D0B">
        <w:rPr>
          <w:rFonts w:cs="Arial"/>
        </w:rPr>
        <w:t xml:space="preserve"> </w:t>
      </w:r>
      <w:r w:rsidR="005A70C9" w:rsidRPr="00C31D0B">
        <w:rPr>
          <w:rFonts w:cs="Arial"/>
        </w:rPr>
        <w:t>usljed nepovoljnog stanja konkurencije na tržištu pružanja platnih usluga prihvatanja platnih transakcija na osnovu platnih kartica u Crnoj Gori, visina trgovačke naknade nesrazmjerna stvarnim troškovima pružanja ove usluge</w:t>
      </w:r>
      <w:r w:rsidR="00766837" w:rsidRPr="00C31D0B">
        <w:rPr>
          <w:rFonts w:cs="Arial"/>
        </w:rPr>
        <w:t>.</w:t>
      </w:r>
      <w:r w:rsidR="005A70C9" w:rsidRPr="00C31D0B">
        <w:rPr>
          <w:rFonts w:cs="Arial"/>
        </w:rPr>
        <w:t xml:space="preserve"> </w:t>
      </w:r>
      <w:r w:rsidR="003A093E" w:rsidRPr="00C31D0B">
        <w:rPr>
          <w:rFonts w:cs="Arial"/>
        </w:rPr>
        <w:t xml:space="preserve">Dakle, nije izvjesno da li će se ova zakonska mogućnost iskoristiti ubuduće ili ne. U vezi sa navedenim, ukazuje se i da, iako u EU još nema propisa u vezi sa ograničavanjem trgovačkih naknada, postoje saznanja </w:t>
      </w:r>
      <w:r w:rsidR="009C4188">
        <w:rPr>
          <w:rFonts w:cs="Arial"/>
        </w:rPr>
        <w:t xml:space="preserve">u okviru pregovaračkog postupka </w:t>
      </w:r>
      <w:r w:rsidR="003A093E" w:rsidRPr="00C31D0B">
        <w:rPr>
          <w:rFonts w:cs="Arial"/>
        </w:rPr>
        <w:t xml:space="preserve">da EU radi na pripremi sličnog propisa. U svakom slučaju, Nacrt ovog zakona Vlada Crne Gore će, prije usvajanja njegovog predloga, dostaviti na mišljenje Evropskoj komisija, koja će dati mišljenje </w:t>
      </w:r>
      <w:r w:rsidR="009C4188">
        <w:rPr>
          <w:rFonts w:cs="Arial"/>
        </w:rPr>
        <w:t>i</w:t>
      </w:r>
      <w:r w:rsidR="003A093E" w:rsidRPr="00C31D0B">
        <w:rPr>
          <w:rFonts w:cs="Arial"/>
        </w:rPr>
        <w:t xml:space="preserve"> o ovom pitanju, nakon čega će se o njemu zauzeti konačan stav. </w:t>
      </w:r>
    </w:p>
    <w:p w:rsidR="005B1120" w:rsidRPr="00C31D0B" w:rsidRDefault="00B43442" w:rsidP="005B1120">
      <w:pPr>
        <w:jc w:val="both"/>
        <w:rPr>
          <w:rFonts w:cs="Arial"/>
          <w:color w:val="000000"/>
        </w:rPr>
      </w:pPr>
      <w:r w:rsidRPr="00C31D0B">
        <w:rPr>
          <w:rFonts w:cs="Arial"/>
        </w:rPr>
        <w:t>6</w:t>
      </w:r>
      <w:r w:rsidR="005E3498" w:rsidRPr="00C31D0B">
        <w:rPr>
          <w:rFonts w:cs="Arial"/>
        </w:rPr>
        <w:t xml:space="preserve">. U vezi sa komentarom na član 11 stav 1 Nacrta zakona </w:t>
      </w:r>
      <w:r w:rsidR="005B1120" w:rsidRPr="00C31D0B">
        <w:rPr>
          <w:rFonts w:cs="Arial"/>
        </w:rPr>
        <w:t>da se njime</w:t>
      </w:r>
      <w:r w:rsidR="005B1120" w:rsidRPr="00C31D0B">
        <w:rPr>
          <w:rFonts w:cs="Arial"/>
          <w:color w:val="000000"/>
        </w:rPr>
        <w:t xml:space="preserve"> zahtijeva da se obračunava različita provizija za različite kartice (što znači da je “potrebno da banke mijenjaju sistem obračuna i prilikom obračuna traže podatke koji se trenutno ne koriste, što će zahijevati dodatni softverski razvoj”), ukazuje se da se navedenim zakonskim odredbama </w:t>
      </w:r>
      <w:r w:rsidR="005B1120" w:rsidRPr="00C31D0B">
        <w:rPr>
          <w:rFonts w:cs="Arial"/>
        </w:rPr>
        <w:t xml:space="preserve">propisuje da je prihvatilac dužan da primaocu plaćanja nudi i obračunava pojedinačno trgovačke naknade za različite vrste platnih kartica i različite platne brendove za čiju se upotrebu plaćaju različite međubankarske naknade, </w:t>
      </w:r>
      <w:r w:rsidR="004A0ECE" w:rsidRPr="00C31D0B">
        <w:rPr>
          <w:rFonts w:cs="Arial"/>
        </w:rPr>
        <w:t xml:space="preserve">ali da je propisan </w:t>
      </w:r>
      <w:r w:rsidR="00FC784C" w:rsidRPr="00C31D0B">
        <w:rPr>
          <w:rFonts w:cs="Arial"/>
        </w:rPr>
        <w:t>i</w:t>
      </w:r>
      <w:r w:rsidR="004A0ECE" w:rsidRPr="00C31D0B">
        <w:rPr>
          <w:rFonts w:cs="Arial"/>
        </w:rPr>
        <w:t xml:space="preserve"> izuzet</w:t>
      </w:r>
      <w:r w:rsidR="00FC784C" w:rsidRPr="00C31D0B">
        <w:rPr>
          <w:rFonts w:cs="Arial"/>
        </w:rPr>
        <w:t>a</w:t>
      </w:r>
      <w:r w:rsidR="004A0ECE" w:rsidRPr="00C31D0B">
        <w:rPr>
          <w:rFonts w:cs="Arial"/>
        </w:rPr>
        <w:t xml:space="preserve">k </w:t>
      </w:r>
      <w:r w:rsidR="00FC784C" w:rsidRPr="00C31D0B">
        <w:rPr>
          <w:rFonts w:cs="Arial"/>
        </w:rPr>
        <w:t>koji</w:t>
      </w:r>
      <w:r w:rsidR="009C4188">
        <w:rPr>
          <w:rFonts w:cs="Arial"/>
        </w:rPr>
        <w:t>m</w:t>
      </w:r>
      <w:r w:rsidR="00FC784C" w:rsidRPr="00C31D0B">
        <w:rPr>
          <w:rFonts w:cs="Arial"/>
        </w:rPr>
        <w:t xml:space="preserve"> se ovo pojedinačno obračunavanje isključuje -</w:t>
      </w:r>
      <w:r w:rsidR="004A0ECE" w:rsidRPr="00C31D0B">
        <w:rPr>
          <w:rFonts w:cs="Arial"/>
        </w:rPr>
        <w:t xml:space="preserve"> “</w:t>
      </w:r>
      <w:r w:rsidR="005B1120" w:rsidRPr="00C31D0B">
        <w:rPr>
          <w:rFonts w:cs="Arial"/>
        </w:rPr>
        <w:t>osim ako primalac plaćanja prihvatiocu dostavi pisani zahtjev za drugačiji obračun ovih naknada</w:t>
      </w:r>
      <w:r w:rsidR="004A0ECE" w:rsidRPr="00C31D0B">
        <w:rPr>
          <w:rFonts w:cs="Arial"/>
        </w:rPr>
        <w:t>”</w:t>
      </w:r>
      <w:r w:rsidR="005B1120" w:rsidRPr="00C31D0B">
        <w:rPr>
          <w:rFonts w:cs="Arial"/>
          <w:color w:val="000000"/>
        </w:rPr>
        <w:t>.</w:t>
      </w:r>
    </w:p>
    <w:p w:rsidR="005E3498" w:rsidRPr="00C31D0B" w:rsidRDefault="00FC784C" w:rsidP="005E3498">
      <w:pPr>
        <w:widowControl w:val="0"/>
        <w:overflowPunct w:val="0"/>
        <w:autoSpaceDE w:val="0"/>
        <w:autoSpaceDN w:val="0"/>
        <w:adjustRightInd w:val="0"/>
        <w:spacing w:after="0" w:line="240" w:lineRule="auto"/>
        <w:jc w:val="both"/>
        <w:rPr>
          <w:rFonts w:cs="Arial"/>
        </w:rPr>
      </w:pPr>
      <w:r w:rsidRPr="00C31D0B">
        <w:rPr>
          <w:rFonts w:cs="Arial"/>
        </w:rPr>
        <w:t xml:space="preserve">U vezi sa komentarom </w:t>
      </w:r>
      <w:r w:rsidR="005E3498" w:rsidRPr="00C31D0B">
        <w:rPr>
          <w:rFonts w:cs="Arial"/>
        </w:rPr>
        <w:t xml:space="preserve">da relevantna regulativa, kao izuzetak, koristi termin „miješane“ naknade, a ne “drugačiji obračun naknada”, ukazuje se da termin “drugačiji obračun” podrazumijeva upravo mogućnost “miješanja” obračuna trgovačkih naknade za različite vrste platnih kartica i različite platne brendove, samo što je </w:t>
      </w:r>
      <w:r w:rsidRPr="00C31D0B">
        <w:rPr>
          <w:rFonts w:cs="Arial"/>
        </w:rPr>
        <w:t>pravno</w:t>
      </w:r>
      <w:r w:rsidR="009C4188">
        <w:rPr>
          <w:rFonts w:cs="Arial"/>
        </w:rPr>
        <w:t>-</w:t>
      </w:r>
      <w:r w:rsidRPr="00C31D0B">
        <w:rPr>
          <w:rFonts w:cs="Arial"/>
        </w:rPr>
        <w:t xml:space="preserve">tehnički </w:t>
      </w:r>
      <w:r w:rsidR="009C4188">
        <w:rPr>
          <w:rFonts w:cs="Arial"/>
        </w:rPr>
        <w:t>prilagođen pravilima</w:t>
      </w:r>
      <w:r w:rsidRPr="00C31D0B">
        <w:rPr>
          <w:rFonts w:cs="Arial"/>
        </w:rPr>
        <w:t xml:space="preserve"> </w:t>
      </w:r>
      <w:r w:rsidR="009C4188">
        <w:rPr>
          <w:rFonts w:cs="Arial"/>
        </w:rPr>
        <w:t xml:space="preserve">koja se primjenjuju pri izradi </w:t>
      </w:r>
      <w:r w:rsidR="009C4188" w:rsidRPr="00C31D0B">
        <w:rPr>
          <w:rFonts w:cs="Arial"/>
        </w:rPr>
        <w:t>crnogorsk</w:t>
      </w:r>
      <w:r w:rsidR="009C4188">
        <w:rPr>
          <w:rFonts w:cs="Arial"/>
        </w:rPr>
        <w:t>og</w:t>
      </w:r>
      <w:r w:rsidR="009C4188" w:rsidRPr="00C31D0B">
        <w:rPr>
          <w:rFonts w:cs="Arial"/>
        </w:rPr>
        <w:t xml:space="preserve"> zakonodavstv</w:t>
      </w:r>
      <w:r w:rsidR="009C4188">
        <w:rPr>
          <w:rFonts w:cs="Arial"/>
        </w:rPr>
        <w:t>a</w:t>
      </w:r>
      <w:r w:rsidR="005E3498" w:rsidRPr="00C31D0B">
        <w:rPr>
          <w:rFonts w:cs="Arial"/>
        </w:rPr>
        <w:t>.</w:t>
      </w:r>
    </w:p>
    <w:p w:rsidR="001B07D7" w:rsidRPr="00C31D0B" w:rsidRDefault="001B07D7" w:rsidP="005E3498">
      <w:pPr>
        <w:widowControl w:val="0"/>
        <w:overflowPunct w:val="0"/>
        <w:autoSpaceDE w:val="0"/>
        <w:autoSpaceDN w:val="0"/>
        <w:adjustRightInd w:val="0"/>
        <w:spacing w:after="0" w:line="240" w:lineRule="auto"/>
        <w:jc w:val="both"/>
        <w:rPr>
          <w:rFonts w:cs="Arial"/>
        </w:rPr>
      </w:pPr>
    </w:p>
    <w:p w:rsidR="001B07D7" w:rsidRPr="00C31D0B" w:rsidRDefault="001B07D7" w:rsidP="001B07D7">
      <w:pPr>
        <w:tabs>
          <w:tab w:val="left" w:pos="8550"/>
          <w:tab w:val="left" w:pos="9360"/>
        </w:tabs>
        <w:spacing w:line="240" w:lineRule="auto"/>
        <w:jc w:val="both"/>
        <w:rPr>
          <w:rFonts w:cs="Arial"/>
        </w:rPr>
      </w:pPr>
      <w:r w:rsidRPr="00C31D0B">
        <w:rPr>
          <w:rFonts w:cs="Arial"/>
        </w:rPr>
        <w:t xml:space="preserve">7. U vezi sa pitanjem da li je potrebno na platnoj kartici </w:t>
      </w:r>
      <w:r w:rsidR="003B1A60" w:rsidRPr="00C31D0B">
        <w:rPr>
          <w:rFonts w:cs="Arial"/>
        </w:rPr>
        <w:t>“</w:t>
      </w:r>
      <w:r w:rsidRPr="00C31D0B">
        <w:rPr>
          <w:rFonts w:cs="Arial"/>
        </w:rPr>
        <w:t xml:space="preserve">odštampati da je ta kartica debit, credit ili prepaid”, ukazuje se da platna kartica mora imati jasnu oznaku da li je </w:t>
      </w:r>
      <w:r w:rsidR="003B1A60" w:rsidRPr="00C31D0B">
        <w:rPr>
          <w:rFonts w:cs="Arial"/>
        </w:rPr>
        <w:t xml:space="preserve">kartica sa unaprijed uplaćenim sredstvima, </w:t>
      </w:r>
      <w:r w:rsidRPr="00C31D0B">
        <w:rPr>
          <w:rFonts w:cs="Arial"/>
        </w:rPr>
        <w:t xml:space="preserve">debitna, kreditna ili poslovna kartica, jer je odredbama člana 12 stav 6 Nacrta zakona propisano da </w:t>
      </w:r>
      <w:r w:rsidR="003B1A60" w:rsidRPr="00C31D0B">
        <w:rPr>
          <w:rFonts w:cs="Arial"/>
        </w:rPr>
        <w:t>je i</w:t>
      </w:r>
      <w:r w:rsidRPr="00C31D0B">
        <w:rPr>
          <w:rFonts w:cs="Arial"/>
        </w:rPr>
        <w:t>zdavalac dužan da obezbijedi elektronsku prepoznatljivost svojih platnih instrumenata, a u slučaju novoizdatih platnih instrumenata na osnovu platnih kartica i njihovu vizuelnu prepoznatljivost, na način koji omogućava primaocu plaćanja i platiocu da nedvosmisleno identifikuju platni brend i vrstu kartice sa unaprijed uplaćenim sredstvima, debitne, kreditne ili poslovne kartice koju je platilac izabrao.</w:t>
      </w:r>
    </w:p>
    <w:p w:rsidR="008F5E3A" w:rsidRDefault="008F5E3A" w:rsidP="005E7117">
      <w:pPr>
        <w:jc w:val="both"/>
        <w:rPr>
          <w:rFonts w:cs="Arial"/>
        </w:rPr>
      </w:pPr>
    </w:p>
    <w:p w:rsidR="005E7117" w:rsidRPr="00C31D0B" w:rsidRDefault="003B1A60" w:rsidP="005E7117">
      <w:pPr>
        <w:jc w:val="both"/>
        <w:rPr>
          <w:rFonts w:cs="Arial"/>
        </w:rPr>
      </w:pPr>
      <w:r w:rsidRPr="00C31D0B">
        <w:rPr>
          <w:rFonts w:cs="Arial"/>
        </w:rPr>
        <w:t>8</w:t>
      </w:r>
      <w:r w:rsidR="005E3498" w:rsidRPr="00C31D0B">
        <w:rPr>
          <w:rFonts w:cs="Arial"/>
        </w:rPr>
        <w:t>.</w:t>
      </w:r>
      <w:r w:rsidR="005E7117" w:rsidRPr="00C31D0B">
        <w:rPr>
          <w:rFonts w:cs="Arial"/>
        </w:rPr>
        <w:t xml:space="preserve"> U vezi sa primjedbom da član 13 stav 1 Nacrta zakona nije u skladu sa članom 11 stav 1 </w:t>
      </w:r>
      <w:r w:rsidR="00382DF9" w:rsidRPr="00C31D0B">
        <w:rPr>
          <w:rFonts w:cs="Arial"/>
        </w:rPr>
        <w:t>Regulative (EU) 2015/751</w:t>
      </w:r>
      <w:r w:rsidR="005E7117" w:rsidRPr="00C31D0B">
        <w:rPr>
          <w:rFonts w:cs="Arial"/>
        </w:rPr>
        <w:t>, ukazuje se na sljedeće:</w:t>
      </w:r>
    </w:p>
    <w:p w:rsidR="00CC3FCA" w:rsidRPr="00C31D0B" w:rsidRDefault="005E7117" w:rsidP="005E7117">
      <w:pPr>
        <w:ind w:left="720" w:firstLine="720"/>
        <w:jc w:val="both"/>
        <w:rPr>
          <w:rFonts w:cs="Arial"/>
        </w:rPr>
      </w:pPr>
      <w:r w:rsidRPr="00C31D0B">
        <w:rPr>
          <w:rFonts w:cs="Arial"/>
        </w:rPr>
        <w:t>- Članom 11 stav 1 Regulative (EU) 2015/751 propisano je:  “Zabranjena su sva pravila u sporazumima o davanju ovlašćenja, u pravilima šema koja primjenjuju kartične platne šeme i u sporazumima koje sklapaju prihvatioci kartice i primaoci kartice i primaoci plaćanja, a kojima se primalac plaćanja sprječava u usmjeravanju potrošača na upotrebu bilo kojeg platnog instrumenta koji primaocu plaćanja daje prednost. Navedena zabrana obuhvata i sva pravila kojima se primaocu plaćanja zabranjuje da platne instrumente na osnovu kartica odre</w:t>
      </w:r>
      <w:r w:rsidR="006F6637" w:rsidRPr="00C31D0B">
        <w:rPr>
          <w:rFonts w:cs="Arial"/>
        </w:rPr>
        <w:t>đ</w:t>
      </w:r>
      <w:r w:rsidRPr="00C31D0B">
        <w:rPr>
          <w:rFonts w:cs="Arial"/>
        </w:rPr>
        <w:t>ene kartične platne šeme tretiraju na povoljniji ili nepovoljniji način nego prema drugima</w:t>
      </w:r>
      <w:r w:rsidR="006F6637" w:rsidRPr="00C31D0B">
        <w:rPr>
          <w:rFonts w:cs="Arial"/>
        </w:rPr>
        <w:t>”</w:t>
      </w:r>
      <w:r w:rsidR="00CC3FCA" w:rsidRPr="00C31D0B">
        <w:rPr>
          <w:rFonts w:cs="Arial"/>
        </w:rPr>
        <w:t>;</w:t>
      </w:r>
    </w:p>
    <w:p w:rsidR="005E7117" w:rsidRPr="00C31D0B" w:rsidRDefault="00CC3FCA" w:rsidP="005E7117">
      <w:pPr>
        <w:ind w:left="720" w:firstLine="720"/>
        <w:jc w:val="both"/>
        <w:rPr>
          <w:rFonts w:cs="Arial"/>
        </w:rPr>
      </w:pPr>
      <w:r w:rsidRPr="00C31D0B">
        <w:rPr>
          <w:rFonts w:cs="Arial"/>
        </w:rPr>
        <w:t>- člano</w:t>
      </w:r>
      <w:r w:rsidR="009F4843" w:rsidRPr="00C31D0B">
        <w:rPr>
          <w:rFonts w:cs="Arial"/>
        </w:rPr>
        <w:t>m</w:t>
      </w:r>
      <w:r w:rsidRPr="00C31D0B">
        <w:rPr>
          <w:rFonts w:cs="Arial"/>
        </w:rPr>
        <w:t xml:space="preserve"> 1</w:t>
      </w:r>
      <w:r w:rsidR="002764E9">
        <w:rPr>
          <w:rFonts w:cs="Arial"/>
        </w:rPr>
        <w:t>3</w:t>
      </w:r>
      <w:r w:rsidRPr="00C31D0B">
        <w:rPr>
          <w:rFonts w:cs="Arial"/>
        </w:rPr>
        <w:t xml:space="preserve"> stav 1 tač. 1 </w:t>
      </w:r>
      <w:r w:rsidR="002764E9">
        <w:rPr>
          <w:rFonts w:cs="Arial"/>
        </w:rPr>
        <w:t>i</w:t>
      </w:r>
      <w:r w:rsidRPr="00C31D0B">
        <w:rPr>
          <w:rFonts w:cs="Arial"/>
        </w:rPr>
        <w:t xml:space="preserve"> 2  Nacrta zakona propisano je: “</w:t>
      </w:r>
      <w:r w:rsidR="005E7117" w:rsidRPr="00C31D0B">
        <w:rPr>
          <w:rFonts w:cs="Arial"/>
        </w:rPr>
        <w:t xml:space="preserve">Pravilima kartičnih platnih šema i ugovorom izmedju prihvatioca </w:t>
      </w:r>
      <w:r w:rsidRPr="00C31D0B">
        <w:rPr>
          <w:rFonts w:cs="Arial"/>
        </w:rPr>
        <w:t>i</w:t>
      </w:r>
      <w:r w:rsidR="005E7117" w:rsidRPr="00C31D0B">
        <w:rPr>
          <w:rFonts w:cs="Arial"/>
        </w:rPr>
        <w:t xml:space="preserve"> primaoca plaćanja ne mo</w:t>
      </w:r>
      <w:r w:rsidR="009F4843" w:rsidRPr="00C31D0B">
        <w:rPr>
          <w:rFonts w:cs="Arial"/>
        </w:rPr>
        <w:t>ž</w:t>
      </w:r>
      <w:r w:rsidR="005E7117" w:rsidRPr="00C31D0B">
        <w:rPr>
          <w:rFonts w:cs="Arial"/>
        </w:rPr>
        <w:t>e se primaocu plaćanja zabraniti</w:t>
      </w:r>
      <w:r w:rsidR="009F4843" w:rsidRPr="00C31D0B">
        <w:rPr>
          <w:rFonts w:cs="Arial"/>
        </w:rPr>
        <w:t xml:space="preserve"> da</w:t>
      </w:r>
      <w:r w:rsidRPr="00C31D0B">
        <w:rPr>
          <w:rFonts w:cs="Arial"/>
        </w:rPr>
        <w:t xml:space="preserve">: </w:t>
      </w:r>
      <w:r w:rsidR="009F4843" w:rsidRPr="00C31D0B">
        <w:rPr>
          <w:rFonts w:cs="Arial"/>
        </w:rPr>
        <w:t xml:space="preserve"> </w:t>
      </w:r>
      <w:r w:rsidR="005E7117" w:rsidRPr="00C31D0B">
        <w:rPr>
          <w:rFonts w:cs="Arial"/>
        </w:rPr>
        <w:t>1) usm</w:t>
      </w:r>
      <w:r w:rsidR="009F4843" w:rsidRPr="00C31D0B">
        <w:rPr>
          <w:rFonts w:cs="Arial"/>
        </w:rPr>
        <w:t>jeri potrošača na upotrebu određ</w:t>
      </w:r>
      <w:r w:rsidR="005E7117" w:rsidRPr="00C31D0B">
        <w:rPr>
          <w:rFonts w:cs="Arial"/>
        </w:rPr>
        <w:t>enog platnog instrumenta</w:t>
      </w:r>
      <w:r w:rsidR="009F4843" w:rsidRPr="00C31D0B">
        <w:rPr>
          <w:rFonts w:cs="Arial"/>
        </w:rPr>
        <w:t>,</w:t>
      </w:r>
      <w:r w:rsidR="005E7117" w:rsidRPr="00C31D0B">
        <w:rPr>
          <w:rFonts w:cs="Arial"/>
        </w:rPr>
        <w:t xml:space="preserve"> 2) daje prednost platnim instrumentima na osnovu platnih kartica odre</w:t>
      </w:r>
      <w:r w:rsidR="009F4843" w:rsidRPr="00C31D0B">
        <w:rPr>
          <w:rFonts w:cs="Arial"/>
        </w:rPr>
        <w:t>đ</w:t>
      </w:r>
      <w:r w:rsidR="005E7117" w:rsidRPr="00C31D0B">
        <w:rPr>
          <w:rFonts w:cs="Arial"/>
        </w:rPr>
        <w:t>ene karti</w:t>
      </w:r>
      <w:r w:rsidR="009F4843" w:rsidRPr="00C31D0B">
        <w:rPr>
          <w:rFonts w:cs="Arial"/>
        </w:rPr>
        <w:t xml:space="preserve">čne platne </w:t>
      </w:r>
      <w:r w:rsidR="006F6637" w:rsidRPr="00C31D0B">
        <w:rPr>
          <w:rFonts w:cs="Arial"/>
        </w:rPr>
        <w:t>š</w:t>
      </w:r>
      <w:r w:rsidR="009F4843" w:rsidRPr="00C31D0B">
        <w:rPr>
          <w:rFonts w:cs="Arial"/>
        </w:rPr>
        <w:t>eme”;</w:t>
      </w:r>
    </w:p>
    <w:p w:rsidR="009F4843" w:rsidRPr="00C31D0B" w:rsidRDefault="009F4843" w:rsidP="005E7117">
      <w:pPr>
        <w:ind w:left="720" w:firstLine="720"/>
        <w:jc w:val="both"/>
        <w:rPr>
          <w:rFonts w:cs="Arial"/>
        </w:rPr>
      </w:pPr>
      <w:r w:rsidRPr="00C31D0B">
        <w:rPr>
          <w:rFonts w:cs="Arial"/>
        </w:rPr>
        <w:t xml:space="preserve">- Upoređivanjem navedenih odredbi </w:t>
      </w:r>
      <w:r w:rsidR="00382DF9" w:rsidRPr="00C31D0B">
        <w:rPr>
          <w:rFonts w:cs="Arial"/>
        </w:rPr>
        <w:t xml:space="preserve">Regulative (EU) 2015/751 </w:t>
      </w:r>
      <w:r w:rsidR="006F6637" w:rsidRPr="00C31D0B">
        <w:rPr>
          <w:rFonts w:cs="Arial"/>
        </w:rPr>
        <w:t>i</w:t>
      </w:r>
      <w:r w:rsidRPr="00C31D0B">
        <w:rPr>
          <w:rFonts w:cs="Arial"/>
        </w:rPr>
        <w:t xml:space="preserve"> navedenih odredbi Nacrta zakona jasno proizilazi ove odredbe Nacrta zakona u potpunosti implementiraju odredb</w:t>
      </w:r>
      <w:r w:rsidR="006F6637" w:rsidRPr="00C31D0B">
        <w:rPr>
          <w:rFonts w:cs="Arial"/>
        </w:rPr>
        <w:t>e</w:t>
      </w:r>
      <w:r w:rsidRPr="00C31D0B">
        <w:rPr>
          <w:rFonts w:cs="Arial"/>
        </w:rPr>
        <w:t xml:space="preserve"> relevantne regulative, jer se u oba slučaju </w:t>
      </w:r>
      <w:r w:rsidR="006F6637" w:rsidRPr="00C31D0B">
        <w:rPr>
          <w:rFonts w:cs="Arial"/>
        </w:rPr>
        <w:t>(samo na pravno-redakcijski drugačiji način) određuju</w:t>
      </w:r>
      <w:r w:rsidRPr="00C31D0B">
        <w:rPr>
          <w:rFonts w:cs="Arial"/>
        </w:rPr>
        <w:t xml:space="preserve"> pravila kojima se utvrđuje da se</w:t>
      </w:r>
      <w:r w:rsidR="00ED6E93" w:rsidRPr="00C31D0B">
        <w:rPr>
          <w:rFonts w:cs="Arial"/>
        </w:rPr>
        <w:t>,</w:t>
      </w:r>
      <w:r w:rsidRPr="00C31D0B">
        <w:rPr>
          <w:rFonts w:cs="Arial"/>
        </w:rPr>
        <w:t xml:space="preserve"> pravilima kartičnih platnih šema i ugovorom između prihvatioca i primaoca plaćanja</w:t>
      </w:r>
      <w:r w:rsidR="00ED6E93" w:rsidRPr="00C31D0B">
        <w:rPr>
          <w:rFonts w:cs="Arial"/>
        </w:rPr>
        <w:t>,</w:t>
      </w:r>
      <w:r w:rsidRPr="00C31D0B">
        <w:rPr>
          <w:rFonts w:cs="Arial"/>
        </w:rPr>
        <w:t xml:space="preserve"> primaocu plaćanja ne mo</w:t>
      </w:r>
      <w:r w:rsidR="00ED6E93" w:rsidRPr="00C31D0B">
        <w:rPr>
          <w:rFonts w:cs="Arial"/>
        </w:rPr>
        <w:t>že</w:t>
      </w:r>
      <w:r w:rsidRPr="00C31D0B">
        <w:rPr>
          <w:rFonts w:cs="Arial"/>
        </w:rPr>
        <w:t xml:space="preserve"> zabraniti</w:t>
      </w:r>
      <w:r w:rsidR="006F6637" w:rsidRPr="00C31D0B">
        <w:rPr>
          <w:rFonts w:cs="Arial"/>
        </w:rPr>
        <w:t xml:space="preserve"> usmjeravanje potrošača na upotrebu određenog platnog instrumenta i davanje prednost</w:t>
      </w:r>
      <w:r w:rsidR="00ED6E93" w:rsidRPr="00C31D0B">
        <w:rPr>
          <w:rFonts w:cs="Arial"/>
        </w:rPr>
        <w:t>i</w:t>
      </w:r>
      <w:r w:rsidR="006F6637" w:rsidRPr="00C31D0B">
        <w:rPr>
          <w:rFonts w:cs="Arial"/>
        </w:rPr>
        <w:t xml:space="preserve"> platnim instrumentima na osnovu platnih kartica određene kartične platne šeme</w:t>
      </w:r>
      <w:r w:rsidR="00ED6E93" w:rsidRPr="00C31D0B">
        <w:rPr>
          <w:rFonts w:cs="Arial"/>
        </w:rPr>
        <w:t>.</w:t>
      </w:r>
    </w:p>
    <w:p w:rsidR="00ED6E93" w:rsidRPr="00C31D0B" w:rsidRDefault="003B1A60" w:rsidP="00ED6E93">
      <w:pPr>
        <w:jc w:val="both"/>
        <w:rPr>
          <w:rFonts w:cs="Arial"/>
        </w:rPr>
      </w:pPr>
      <w:r w:rsidRPr="00C31D0B">
        <w:rPr>
          <w:rFonts w:cs="Arial"/>
        </w:rPr>
        <w:t>9</w:t>
      </w:r>
      <w:r w:rsidR="00ED6E93" w:rsidRPr="00C31D0B">
        <w:rPr>
          <w:rFonts w:cs="Arial"/>
        </w:rPr>
        <w:t xml:space="preserve">. </w:t>
      </w:r>
      <w:r w:rsidR="00EE468A" w:rsidRPr="00C31D0B">
        <w:rPr>
          <w:rFonts w:cs="Arial"/>
        </w:rPr>
        <w:t xml:space="preserve">U vezi sa primjedbom da </w:t>
      </w:r>
      <w:r w:rsidR="002764E9">
        <w:rPr>
          <w:rFonts w:cs="Arial"/>
        </w:rPr>
        <w:t xml:space="preserve">se </w:t>
      </w:r>
      <w:r w:rsidR="003F0C34" w:rsidRPr="00C31D0B">
        <w:rPr>
          <w:rFonts w:cs="Arial"/>
        </w:rPr>
        <w:t xml:space="preserve">član </w:t>
      </w:r>
      <w:r w:rsidR="00EE468A" w:rsidRPr="00C31D0B">
        <w:rPr>
          <w:rFonts w:cs="Arial"/>
        </w:rPr>
        <w:t>15 stav 4 Nacrta zakona mo</w:t>
      </w:r>
      <w:r w:rsidR="003F0C34" w:rsidRPr="00C31D0B">
        <w:rPr>
          <w:rFonts w:cs="Arial"/>
        </w:rPr>
        <w:t>že</w:t>
      </w:r>
      <w:r w:rsidR="00EE468A" w:rsidRPr="00C31D0B">
        <w:rPr>
          <w:rFonts w:cs="Arial"/>
        </w:rPr>
        <w:t xml:space="preserve"> tumačiti tako da omogućava izricanje </w:t>
      </w:r>
      <w:r w:rsidR="003F0C34" w:rsidRPr="00C31D0B">
        <w:rPr>
          <w:rFonts w:cs="Arial"/>
        </w:rPr>
        <w:t xml:space="preserve">mjera iz tog člana i </w:t>
      </w:r>
      <w:r w:rsidR="00EE468A" w:rsidRPr="00C31D0B">
        <w:rPr>
          <w:rFonts w:cs="Arial"/>
        </w:rPr>
        <w:t>odgovorn</w:t>
      </w:r>
      <w:r w:rsidR="003F0C34" w:rsidRPr="00C31D0B">
        <w:rPr>
          <w:rFonts w:cs="Arial"/>
        </w:rPr>
        <w:t>im</w:t>
      </w:r>
      <w:r w:rsidR="00EE468A" w:rsidRPr="00C31D0B">
        <w:rPr>
          <w:rFonts w:cs="Arial"/>
        </w:rPr>
        <w:t xml:space="preserve"> lic</w:t>
      </w:r>
      <w:r w:rsidR="003F0C34" w:rsidRPr="00C31D0B">
        <w:rPr>
          <w:rFonts w:cs="Arial"/>
        </w:rPr>
        <w:t>ima u kartičnim platnim šemama, a da u</w:t>
      </w:r>
      <w:r w:rsidR="00EE468A" w:rsidRPr="00C31D0B">
        <w:rPr>
          <w:rFonts w:cs="Arial"/>
        </w:rPr>
        <w:t>vođenje mogućnosti sankcionisanja zaposlenih u okviru kartičnih platnih šema nije neophodno i može biti nesrazmjerno u cilju obezbjeđivanja djelotvorne primjene zakona</w:t>
      </w:r>
      <w:r w:rsidR="003F0C34" w:rsidRPr="00C31D0B">
        <w:rPr>
          <w:rFonts w:cs="Arial"/>
        </w:rPr>
        <w:t xml:space="preserve">, ukazuje se da Regulativa (EU) 2015/751 ne utvrđuje sankcije u slučaju kršenja ove regulative, već ostavlja državama članicama da samostalno urede </w:t>
      </w:r>
      <w:r w:rsidR="00C31FAB">
        <w:rPr>
          <w:rFonts w:cs="Arial"/>
        </w:rPr>
        <w:t xml:space="preserve">sankcije i </w:t>
      </w:r>
      <w:r w:rsidR="003F0C34" w:rsidRPr="00C31D0B">
        <w:rPr>
          <w:rFonts w:cs="Arial"/>
        </w:rPr>
        <w:t xml:space="preserve">mjere potrebne za obezbjeđivanje primjene ove regulative (član 14 stav 1 </w:t>
      </w:r>
      <w:r w:rsidR="00C31FAB" w:rsidRPr="00C31D0B">
        <w:rPr>
          <w:rFonts w:cs="Arial"/>
        </w:rPr>
        <w:t>Regulativ</w:t>
      </w:r>
      <w:r w:rsidR="00C31FAB">
        <w:rPr>
          <w:rFonts w:cs="Arial"/>
        </w:rPr>
        <w:t>e</w:t>
      </w:r>
      <w:r w:rsidR="00C31FAB" w:rsidRPr="00C31D0B">
        <w:rPr>
          <w:rFonts w:cs="Arial"/>
        </w:rPr>
        <w:t xml:space="preserve"> (EU) 2015/751</w:t>
      </w:r>
      <w:r w:rsidR="003F0C34" w:rsidRPr="00C31D0B">
        <w:rPr>
          <w:rFonts w:cs="Arial"/>
        </w:rPr>
        <w:t>)</w:t>
      </w:r>
      <w:r w:rsidR="00EE468A" w:rsidRPr="00C31D0B">
        <w:rPr>
          <w:rFonts w:cs="Arial"/>
        </w:rPr>
        <w:t>.</w:t>
      </w:r>
      <w:r w:rsidR="003F0C34" w:rsidRPr="00C31D0B">
        <w:rPr>
          <w:rFonts w:cs="Arial"/>
        </w:rPr>
        <w:t xml:space="preserve"> Ka</w:t>
      </w:r>
      <w:r w:rsidR="00514266" w:rsidRPr="00C31D0B">
        <w:rPr>
          <w:rFonts w:cs="Arial"/>
        </w:rPr>
        <w:t>k</w:t>
      </w:r>
      <w:r w:rsidR="003F0C34" w:rsidRPr="00C31D0B">
        <w:rPr>
          <w:rFonts w:cs="Arial"/>
        </w:rPr>
        <w:t xml:space="preserve">o </w:t>
      </w:r>
      <w:r w:rsidR="00514266" w:rsidRPr="00C31D0B">
        <w:rPr>
          <w:rFonts w:cs="Arial"/>
        </w:rPr>
        <w:t>s</w:t>
      </w:r>
      <w:r w:rsidR="003F0C34" w:rsidRPr="00C31D0B">
        <w:rPr>
          <w:rFonts w:cs="Arial"/>
        </w:rPr>
        <w:t>e u crnogorskom zakonodavstvu</w:t>
      </w:r>
      <w:r w:rsidR="00514266" w:rsidRPr="00C31D0B">
        <w:rPr>
          <w:rFonts w:cs="Arial"/>
        </w:rPr>
        <w:t xml:space="preserve"> za nepoštovanje propisa ili nepravilnosti u radu sankcije </w:t>
      </w:r>
      <w:r w:rsidR="00433AA2">
        <w:rPr>
          <w:rFonts w:cs="Arial"/>
        </w:rPr>
        <w:t xml:space="preserve">najčešće </w:t>
      </w:r>
      <w:r w:rsidR="00514266" w:rsidRPr="00C31D0B">
        <w:rPr>
          <w:rFonts w:cs="Arial"/>
        </w:rPr>
        <w:t>izrič</w:t>
      </w:r>
      <w:r w:rsidR="00433AA2">
        <w:rPr>
          <w:rFonts w:cs="Arial"/>
        </w:rPr>
        <w:t>u</w:t>
      </w:r>
      <w:r w:rsidR="00514266" w:rsidRPr="00C31D0B">
        <w:rPr>
          <w:rFonts w:cs="Arial"/>
        </w:rPr>
        <w:t xml:space="preserve"> i pravnom licu i odgovornom licu u tom pravnom licu, </w:t>
      </w:r>
      <w:r w:rsidR="00433AA2">
        <w:rPr>
          <w:rFonts w:cs="Arial"/>
        </w:rPr>
        <w:t>to je</w:t>
      </w:r>
      <w:r w:rsidR="00514266" w:rsidRPr="00C31D0B">
        <w:rPr>
          <w:rFonts w:cs="Arial"/>
        </w:rPr>
        <w:t xml:space="preserve"> primijenjeno i u članu 15 stav 4 Nacrta zakona.</w:t>
      </w:r>
    </w:p>
    <w:p w:rsidR="00466358" w:rsidRPr="00C31D0B" w:rsidRDefault="00466358" w:rsidP="00767B8B">
      <w:pPr>
        <w:spacing w:after="0"/>
      </w:pPr>
    </w:p>
    <w:p w:rsidR="00545F7C" w:rsidRPr="00C31D0B" w:rsidRDefault="00545F7C" w:rsidP="00767B8B">
      <w:pPr>
        <w:spacing w:after="0"/>
      </w:pPr>
      <w:r w:rsidRPr="00C31D0B">
        <w:t>Mjesto i datum sačinjavanja izvještaja:</w:t>
      </w:r>
      <w:r w:rsidR="00D365D0" w:rsidRPr="00C31D0B">
        <w:t xml:space="preserve">  Podgorica, 04.02.2019. godine</w:t>
      </w:r>
    </w:p>
    <w:p w:rsidR="00767B8B" w:rsidRPr="00C31D0B" w:rsidRDefault="00767B8B" w:rsidP="00767B8B">
      <w:pPr>
        <w:spacing w:after="0"/>
      </w:pPr>
    </w:p>
    <w:p w:rsidR="00545F7C" w:rsidRPr="00C31D0B" w:rsidRDefault="00545F7C" w:rsidP="008F5E3A">
      <w:pPr>
        <w:spacing w:after="0"/>
        <w:jc w:val="both"/>
      </w:pPr>
      <w:r w:rsidRPr="00C31D0B">
        <w:t>Naziv organizacione jedinice ministarstva koja je odgovorna za pripremu nacrta zakona, odnosno</w:t>
      </w:r>
    </w:p>
    <w:p w:rsidR="00545F7C" w:rsidRPr="00C31D0B" w:rsidRDefault="00545F7C" w:rsidP="00545F7C">
      <w:r w:rsidRPr="00C31D0B">
        <w:t>strategije</w:t>
      </w:r>
      <w:r w:rsidRPr="007B4EED">
        <w:t>:</w:t>
      </w:r>
      <w:r w:rsidR="00707A41" w:rsidRPr="00707A41">
        <w:rPr>
          <w:u w:val="single"/>
        </w:rPr>
        <w:t xml:space="preserve"> </w:t>
      </w:r>
      <w:r w:rsidR="00707A41">
        <w:rPr>
          <w:u w:val="single"/>
        </w:rPr>
        <w:t>Direktorat za finansijski sistem i unapre</w:t>
      </w:r>
      <w:r w:rsidR="00707A41">
        <w:rPr>
          <w:u w:val="single"/>
          <w:lang/>
        </w:rPr>
        <w:t>đenje poslovnog ambijenta</w:t>
      </w:r>
    </w:p>
    <w:p w:rsidR="00545F7C" w:rsidRPr="00C31D0B" w:rsidRDefault="00545F7C" w:rsidP="00545F7C">
      <w:bookmarkStart w:id="0" w:name="_GoBack"/>
      <w:bookmarkEnd w:id="0"/>
    </w:p>
    <w:p w:rsidR="00767B8B" w:rsidRPr="00C31D0B" w:rsidRDefault="00767B8B" w:rsidP="00545F7C"/>
    <w:p w:rsidR="00545F7C" w:rsidRPr="00C31D0B" w:rsidRDefault="00545F7C" w:rsidP="00545F7C">
      <w:pPr>
        <w:spacing w:after="0"/>
        <w:jc w:val="right"/>
      </w:pPr>
      <w:r w:rsidRPr="00C31D0B">
        <w:t>_________________________________________________</w:t>
      </w:r>
    </w:p>
    <w:p w:rsidR="00545F7C" w:rsidRPr="00C31D0B" w:rsidRDefault="00545F7C" w:rsidP="00545F7C">
      <w:pPr>
        <w:spacing w:after="0"/>
        <w:jc w:val="right"/>
      </w:pPr>
      <w:r w:rsidRPr="00C31D0B">
        <w:t xml:space="preserve">                                               Potpis ministra,</w:t>
      </w:r>
    </w:p>
    <w:p w:rsidR="00545F7C" w:rsidRPr="00C31D0B" w:rsidRDefault="00545F7C" w:rsidP="00545F7C">
      <w:pPr>
        <w:spacing w:after="0"/>
        <w:jc w:val="right"/>
      </w:pPr>
      <w:r w:rsidRPr="00C31D0B">
        <w:t xml:space="preserve">       odnosno rukovodioca organizacione jedinice ministarstva</w:t>
      </w:r>
    </w:p>
    <w:p w:rsidR="00545F7C" w:rsidRPr="00C31D0B" w:rsidRDefault="00545F7C" w:rsidP="00545F7C">
      <w:pPr>
        <w:spacing w:after="0"/>
        <w:jc w:val="right"/>
      </w:pPr>
      <w:r w:rsidRPr="00C31D0B">
        <w:t>koja je odgovorna za pripremu nacrta zakona, odnosno strategije</w:t>
      </w:r>
    </w:p>
    <w:p w:rsidR="00545F7C" w:rsidRPr="00C31D0B" w:rsidRDefault="00545F7C" w:rsidP="00545F7C"/>
    <w:p w:rsidR="00545F7C" w:rsidRPr="00C31D0B" w:rsidRDefault="00545F7C" w:rsidP="00545F7C"/>
    <w:p w:rsidR="00545F7C" w:rsidRPr="00C31D0B" w:rsidRDefault="00545F7C" w:rsidP="00545F7C"/>
    <w:sectPr w:rsidR="00545F7C" w:rsidRPr="00C31D0B" w:rsidSect="00262898">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30D" w:rsidRDefault="0049430D" w:rsidP="00262898">
      <w:pPr>
        <w:spacing w:after="0" w:line="240" w:lineRule="auto"/>
      </w:pPr>
      <w:r>
        <w:separator/>
      </w:r>
    </w:p>
  </w:endnote>
  <w:endnote w:type="continuationSeparator" w:id="0">
    <w:p w:rsidR="0049430D" w:rsidRDefault="0049430D" w:rsidP="002628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1355663"/>
      <w:docPartObj>
        <w:docPartGallery w:val="Page Numbers (Bottom of Page)"/>
        <w:docPartUnique/>
      </w:docPartObj>
    </w:sdtPr>
    <w:sdtEndPr>
      <w:rPr>
        <w:noProof/>
      </w:rPr>
    </w:sdtEndPr>
    <w:sdtContent>
      <w:p w:rsidR="00262898" w:rsidRDefault="003F57DF">
        <w:pPr>
          <w:pStyle w:val="Footer"/>
          <w:jc w:val="right"/>
        </w:pPr>
        <w:r>
          <w:fldChar w:fldCharType="begin"/>
        </w:r>
        <w:r w:rsidR="00262898">
          <w:instrText xml:space="preserve"> PAGE   \* MERGEFORMAT </w:instrText>
        </w:r>
        <w:r>
          <w:fldChar w:fldCharType="separate"/>
        </w:r>
        <w:r w:rsidR="00707A41">
          <w:rPr>
            <w:noProof/>
          </w:rPr>
          <w:t>4</w:t>
        </w:r>
        <w:r>
          <w:rPr>
            <w:noProof/>
          </w:rPr>
          <w:fldChar w:fldCharType="end"/>
        </w:r>
      </w:p>
    </w:sdtContent>
  </w:sdt>
  <w:p w:rsidR="00262898" w:rsidRDefault="002628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30D" w:rsidRDefault="0049430D" w:rsidP="00262898">
      <w:pPr>
        <w:spacing w:after="0" w:line="240" w:lineRule="auto"/>
      </w:pPr>
      <w:r>
        <w:separator/>
      </w:r>
    </w:p>
  </w:footnote>
  <w:footnote w:type="continuationSeparator" w:id="0">
    <w:p w:rsidR="0049430D" w:rsidRDefault="0049430D" w:rsidP="002628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42A00"/>
    <w:multiLevelType w:val="hybridMultilevel"/>
    <w:tmpl w:val="D9BC97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C335B5"/>
    <w:multiLevelType w:val="hybridMultilevel"/>
    <w:tmpl w:val="60A05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12CFC"/>
    <w:multiLevelType w:val="hybridMultilevel"/>
    <w:tmpl w:val="3688482C"/>
    <w:lvl w:ilvl="0" w:tplc="0409000B">
      <w:start w:val="1"/>
      <w:numFmt w:val="bullet"/>
      <w:lvlText w:val=""/>
      <w:lvlJc w:val="left"/>
      <w:pPr>
        <w:ind w:left="600" w:hanging="360"/>
      </w:pPr>
      <w:rPr>
        <w:rFonts w:ascii="Wingdings" w:hAnsi="Wingdings"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3">
    <w:nsid w:val="16A20BE2"/>
    <w:multiLevelType w:val="hybridMultilevel"/>
    <w:tmpl w:val="F86289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F84E60"/>
    <w:multiLevelType w:val="hybridMultilevel"/>
    <w:tmpl w:val="F1B092DC"/>
    <w:lvl w:ilvl="0" w:tplc="33F25096">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7E717A"/>
    <w:multiLevelType w:val="hybridMultilevel"/>
    <w:tmpl w:val="8B2A70A0"/>
    <w:lvl w:ilvl="0" w:tplc="B776BEDC">
      <w:start w:val="1"/>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0583F3C"/>
    <w:multiLevelType w:val="hybridMultilevel"/>
    <w:tmpl w:val="3EA6E75E"/>
    <w:lvl w:ilvl="0" w:tplc="B71C3F8C">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103BB4"/>
    <w:multiLevelType w:val="hybridMultilevel"/>
    <w:tmpl w:val="22264DE0"/>
    <w:lvl w:ilvl="0" w:tplc="33F25096">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99624F"/>
    <w:multiLevelType w:val="hybridMultilevel"/>
    <w:tmpl w:val="7E0E687E"/>
    <w:lvl w:ilvl="0" w:tplc="B71C3F8C">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610F64"/>
    <w:multiLevelType w:val="hybridMultilevel"/>
    <w:tmpl w:val="D32E0C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6F4009"/>
    <w:multiLevelType w:val="hybridMultilevel"/>
    <w:tmpl w:val="37F2AA6A"/>
    <w:lvl w:ilvl="0" w:tplc="DCC63602">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1"/>
  </w:num>
  <w:num w:numId="5">
    <w:abstractNumId w:val="2"/>
  </w:num>
  <w:num w:numId="6">
    <w:abstractNumId w:val="3"/>
  </w:num>
  <w:num w:numId="7">
    <w:abstractNumId w:val="9"/>
  </w:num>
  <w:num w:numId="8">
    <w:abstractNumId w:val="8"/>
  </w:num>
  <w:num w:numId="9">
    <w:abstractNumId w:val="4"/>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ija Jovovic">
    <w15:presenceInfo w15:providerId="AD" w15:userId="S-1-5-21-214401010-804986761-1862565094-483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2C2C40"/>
    <w:rsid w:val="00002DC2"/>
    <w:rsid w:val="0002794C"/>
    <w:rsid w:val="00033CD7"/>
    <w:rsid w:val="0004443D"/>
    <w:rsid w:val="00044D5A"/>
    <w:rsid w:val="000C1569"/>
    <w:rsid w:val="001313AA"/>
    <w:rsid w:val="00187EFB"/>
    <w:rsid w:val="001B07D7"/>
    <w:rsid w:val="001B3A92"/>
    <w:rsid w:val="001C0907"/>
    <w:rsid w:val="00262898"/>
    <w:rsid w:val="00270FAF"/>
    <w:rsid w:val="002764E9"/>
    <w:rsid w:val="002C2C40"/>
    <w:rsid w:val="002C472E"/>
    <w:rsid w:val="002D76A5"/>
    <w:rsid w:val="002F6221"/>
    <w:rsid w:val="00331B73"/>
    <w:rsid w:val="00382DF9"/>
    <w:rsid w:val="003A093E"/>
    <w:rsid w:val="003A5EF3"/>
    <w:rsid w:val="003B1A60"/>
    <w:rsid w:val="003D28F1"/>
    <w:rsid w:val="003D3033"/>
    <w:rsid w:val="003F0C34"/>
    <w:rsid w:val="003F1A27"/>
    <w:rsid w:val="003F57DF"/>
    <w:rsid w:val="00433AA2"/>
    <w:rsid w:val="00435460"/>
    <w:rsid w:val="004516EB"/>
    <w:rsid w:val="004649BB"/>
    <w:rsid w:val="00465AF0"/>
    <w:rsid w:val="00466358"/>
    <w:rsid w:val="0049430D"/>
    <w:rsid w:val="00497CF8"/>
    <w:rsid w:val="004A0ECE"/>
    <w:rsid w:val="004C562D"/>
    <w:rsid w:val="004F48C4"/>
    <w:rsid w:val="00505AE0"/>
    <w:rsid w:val="00514266"/>
    <w:rsid w:val="00520EA6"/>
    <w:rsid w:val="00545F7C"/>
    <w:rsid w:val="0058213B"/>
    <w:rsid w:val="0059091A"/>
    <w:rsid w:val="005A70C9"/>
    <w:rsid w:val="005B1120"/>
    <w:rsid w:val="005C4BB6"/>
    <w:rsid w:val="005E3498"/>
    <w:rsid w:val="005E7117"/>
    <w:rsid w:val="00620E2D"/>
    <w:rsid w:val="006440C0"/>
    <w:rsid w:val="00680D95"/>
    <w:rsid w:val="00682A3D"/>
    <w:rsid w:val="006B5F8B"/>
    <w:rsid w:val="006D541F"/>
    <w:rsid w:val="006F6637"/>
    <w:rsid w:val="00707A41"/>
    <w:rsid w:val="0072509A"/>
    <w:rsid w:val="00763719"/>
    <w:rsid w:val="00766837"/>
    <w:rsid w:val="00767B8B"/>
    <w:rsid w:val="00797DEC"/>
    <w:rsid w:val="007B373E"/>
    <w:rsid w:val="007B4EED"/>
    <w:rsid w:val="007E0612"/>
    <w:rsid w:val="007E3EF3"/>
    <w:rsid w:val="00814540"/>
    <w:rsid w:val="008310B0"/>
    <w:rsid w:val="008352F6"/>
    <w:rsid w:val="008F3168"/>
    <w:rsid w:val="008F5E3A"/>
    <w:rsid w:val="00924346"/>
    <w:rsid w:val="00933D8B"/>
    <w:rsid w:val="00965A8C"/>
    <w:rsid w:val="009A0CCD"/>
    <w:rsid w:val="009C4188"/>
    <w:rsid w:val="009E0E4B"/>
    <w:rsid w:val="009F4843"/>
    <w:rsid w:val="00A0331E"/>
    <w:rsid w:val="00A62EDB"/>
    <w:rsid w:val="00AA2F9C"/>
    <w:rsid w:val="00AA6FE8"/>
    <w:rsid w:val="00AC3520"/>
    <w:rsid w:val="00AD34BA"/>
    <w:rsid w:val="00B43442"/>
    <w:rsid w:val="00B45DFF"/>
    <w:rsid w:val="00B71661"/>
    <w:rsid w:val="00B77A6D"/>
    <w:rsid w:val="00BA0395"/>
    <w:rsid w:val="00BA581A"/>
    <w:rsid w:val="00BC325D"/>
    <w:rsid w:val="00C01B9C"/>
    <w:rsid w:val="00C02EBD"/>
    <w:rsid w:val="00C31D0B"/>
    <w:rsid w:val="00C31FAB"/>
    <w:rsid w:val="00C53D97"/>
    <w:rsid w:val="00C710CB"/>
    <w:rsid w:val="00C779DE"/>
    <w:rsid w:val="00CC3FCA"/>
    <w:rsid w:val="00CC423A"/>
    <w:rsid w:val="00D365D0"/>
    <w:rsid w:val="00D77D0F"/>
    <w:rsid w:val="00DA21E9"/>
    <w:rsid w:val="00DF2B47"/>
    <w:rsid w:val="00E2482A"/>
    <w:rsid w:val="00EA4C4B"/>
    <w:rsid w:val="00EB6BF2"/>
    <w:rsid w:val="00ED62F3"/>
    <w:rsid w:val="00ED6E93"/>
    <w:rsid w:val="00EE468A"/>
    <w:rsid w:val="00EE6F39"/>
    <w:rsid w:val="00EF4463"/>
    <w:rsid w:val="00EF5036"/>
    <w:rsid w:val="00F00D7C"/>
    <w:rsid w:val="00F2624E"/>
    <w:rsid w:val="00F90720"/>
    <w:rsid w:val="00FC784C"/>
    <w:rsid w:val="00FC7AFA"/>
    <w:rsid w:val="00FF18E4"/>
    <w:rsid w:val="00FF51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C40"/>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0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CCD"/>
    <w:rPr>
      <w:rFonts w:ascii="Segoe UI" w:eastAsiaTheme="minorEastAsia" w:hAnsi="Segoe UI" w:cs="Segoe UI"/>
      <w:sz w:val="18"/>
      <w:szCs w:val="18"/>
    </w:rPr>
  </w:style>
  <w:style w:type="paragraph" w:styleId="ListParagraph">
    <w:name w:val="List Paragraph"/>
    <w:basedOn w:val="Normal"/>
    <w:uiPriority w:val="34"/>
    <w:qFormat/>
    <w:rsid w:val="00924346"/>
    <w:pPr>
      <w:spacing w:after="200" w:line="276" w:lineRule="auto"/>
      <w:ind w:left="720"/>
      <w:contextualSpacing/>
    </w:pPr>
    <w:rPr>
      <w:rFonts w:eastAsiaTheme="minorHAnsi" w:cstheme="minorBidi"/>
    </w:rPr>
  </w:style>
  <w:style w:type="paragraph" w:styleId="NoSpacing">
    <w:name w:val="No Spacing"/>
    <w:uiPriority w:val="1"/>
    <w:qFormat/>
    <w:rsid w:val="00924346"/>
    <w:pPr>
      <w:spacing w:after="0" w:line="240" w:lineRule="auto"/>
    </w:pPr>
  </w:style>
  <w:style w:type="paragraph" w:styleId="Header">
    <w:name w:val="header"/>
    <w:basedOn w:val="Normal"/>
    <w:link w:val="HeaderChar"/>
    <w:uiPriority w:val="99"/>
    <w:unhideWhenUsed/>
    <w:rsid w:val="00262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898"/>
    <w:rPr>
      <w:rFonts w:eastAsiaTheme="minorEastAsia" w:cs="Times New Roman"/>
    </w:rPr>
  </w:style>
  <w:style w:type="paragraph" w:styleId="Footer">
    <w:name w:val="footer"/>
    <w:basedOn w:val="Normal"/>
    <w:link w:val="FooterChar"/>
    <w:uiPriority w:val="99"/>
    <w:unhideWhenUsed/>
    <w:rsid w:val="00262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898"/>
    <w:rPr>
      <w:rFonts w:eastAsiaTheme="minorEastAsia" w:cs="Times New Roman"/>
    </w:rPr>
  </w:style>
  <w:style w:type="character" w:styleId="CommentReference">
    <w:name w:val="annotation reference"/>
    <w:basedOn w:val="DefaultParagraphFont"/>
    <w:uiPriority w:val="99"/>
    <w:semiHidden/>
    <w:unhideWhenUsed/>
    <w:rsid w:val="00FF18E4"/>
    <w:rPr>
      <w:sz w:val="16"/>
      <w:szCs w:val="16"/>
    </w:rPr>
  </w:style>
  <w:style w:type="paragraph" w:styleId="CommentText">
    <w:name w:val="annotation text"/>
    <w:basedOn w:val="Normal"/>
    <w:link w:val="CommentTextChar"/>
    <w:uiPriority w:val="99"/>
    <w:semiHidden/>
    <w:unhideWhenUsed/>
    <w:rsid w:val="00FF18E4"/>
    <w:pPr>
      <w:spacing w:line="240" w:lineRule="auto"/>
    </w:pPr>
    <w:rPr>
      <w:sz w:val="20"/>
      <w:szCs w:val="20"/>
    </w:rPr>
  </w:style>
  <w:style w:type="character" w:customStyle="1" w:styleId="CommentTextChar">
    <w:name w:val="Comment Text Char"/>
    <w:basedOn w:val="DefaultParagraphFont"/>
    <w:link w:val="CommentText"/>
    <w:uiPriority w:val="99"/>
    <w:semiHidden/>
    <w:rsid w:val="00FF18E4"/>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FF18E4"/>
    <w:rPr>
      <w:b/>
      <w:bCs/>
    </w:rPr>
  </w:style>
  <w:style w:type="character" w:customStyle="1" w:styleId="CommentSubjectChar">
    <w:name w:val="Comment Subject Char"/>
    <w:basedOn w:val="CommentTextChar"/>
    <w:link w:val="CommentSubject"/>
    <w:uiPriority w:val="99"/>
    <w:semiHidden/>
    <w:rsid w:val="00FF18E4"/>
    <w:rPr>
      <w:rFonts w:eastAsiaTheme="minorEastAs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C40"/>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0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CCD"/>
    <w:rPr>
      <w:rFonts w:ascii="Segoe UI" w:eastAsiaTheme="minorEastAsia" w:hAnsi="Segoe UI" w:cs="Segoe UI"/>
      <w:sz w:val="18"/>
      <w:szCs w:val="18"/>
    </w:rPr>
  </w:style>
  <w:style w:type="paragraph" w:styleId="ListParagraph">
    <w:name w:val="List Paragraph"/>
    <w:basedOn w:val="Normal"/>
    <w:uiPriority w:val="34"/>
    <w:qFormat/>
    <w:rsid w:val="00924346"/>
    <w:pPr>
      <w:spacing w:after="200" w:line="276" w:lineRule="auto"/>
      <w:ind w:left="720"/>
      <w:contextualSpacing/>
    </w:pPr>
    <w:rPr>
      <w:rFonts w:eastAsiaTheme="minorHAnsi" w:cstheme="minorBidi"/>
    </w:rPr>
  </w:style>
  <w:style w:type="paragraph" w:styleId="NoSpacing">
    <w:name w:val="No Spacing"/>
    <w:uiPriority w:val="1"/>
    <w:qFormat/>
    <w:rsid w:val="00924346"/>
    <w:pPr>
      <w:spacing w:after="0" w:line="240" w:lineRule="auto"/>
    </w:pPr>
  </w:style>
  <w:style w:type="paragraph" w:styleId="Header">
    <w:name w:val="header"/>
    <w:basedOn w:val="Normal"/>
    <w:link w:val="HeaderChar"/>
    <w:uiPriority w:val="99"/>
    <w:unhideWhenUsed/>
    <w:rsid w:val="00262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898"/>
    <w:rPr>
      <w:rFonts w:eastAsiaTheme="minorEastAsia" w:cs="Times New Roman"/>
    </w:rPr>
  </w:style>
  <w:style w:type="paragraph" w:styleId="Footer">
    <w:name w:val="footer"/>
    <w:basedOn w:val="Normal"/>
    <w:link w:val="FooterChar"/>
    <w:uiPriority w:val="99"/>
    <w:unhideWhenUsed/>
    <w:rsid w:val="00262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898"/>
    <w:rPr>
      <w:rFonts w:eastAsiaTheme="minorEastAsia" w:cs="Times New Roman"/>
    </w:rPr>
  </w:style>
  <w:style w:type="character" w:styleId="CommentReference">
    <w:name w:val="annotation reference"/>
    <w:basedOn w:val="DefaultParagraphFont"/>
    <w:uiPriority w:val="99"/>
    <w:semiHidden/>
    <w:unhideWhenUsed/>
    <w:rsid w:val="00FF18E4"/>
    <w:rPr>
      <w:sz w:val="16"/>
      <w:szCs w:val="16"/>
    </w:rPr>
  </w:style>
  <w:style w:type="paragraph" w:styleId="CommentText">
    <w:name w:val="annotation text"/>
    <w:basedOn w:val="Normal"/>
    <w:link w:val="CommentTextChar"/>
    <w:uiPriority w:val="99"/>
    <w:semiHidden/>
    <w:unhideWhenUsed/>
    <w:rsid w:val="00FF18E4"/>
    <w:pPr>
      <w:spacing w:line="240" w:lineRule="auto"/>
    </w:pPr>
    <w:rPr>
      <w:sz w:val="20"/>
      <w:szCs w:val="20"/>
    </w:rPr>
  </w:style>
  <w:style w:type="character" w:customStyle="1" w:styleId="CommentTextChar">
    <w:name w:val="Comment Text Char"/>
    <w:basedOn w:val="DefaultParagraphFont"/>
    <w:link w:val="CommentText"/>
    <w:uiPriority w:val="99"/>
    <w:semiHidden/>
    <w:rsid w:val="00FF18E4"/>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FF18E4"/>
    <w:rPr>
      <w:b/>
      <w:bCs/>
    </w:rPr>
  </w:style>
  <w:style w:type="character" w:customStyle="1" w:styleId="CommentSubjectChar">
    <w:name w:val="Comment Subject Char"/>
    <w:basedOn w:val="CommentTextChar"/>
    <w:link w:val="CommentSubject"/>
    <w:uiPriority w:val="99"/>
    <w:semiHidden/>
    <w:rsid w:val="00FF18E4"/>
    <w:rPr>
      <w:rFonts w:eastAsiaTheme="minorEastAsia"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52518-324D-47E3-A8D3-E0C809F9A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1878</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Djulijaza Spuzanin</dc:creator>
  <cp:lastModifiedBy>Aleksandra Popovic</cp:lastModifiedBy>
  <cp:revision>6</cp:revision>
  <cp:lastPrinted>2019-02-04T07:16:00Z</cp:lastPrinted>
  <dcterms:created xsi:type="dcterms:W3CDTF">2019-02-04T08:56:00Z</dcterms:created>
  <dcterms:modified xsi:type="dcterms:W3CDTF">2019-04-01T06:27:00Z</dcterms:modified>
</cp:coreProperties>
</file>