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84A" w:rsidRPr="00E2584A" w:rsidRDefault="00E2584A" w:rsidP="00E2584A">
      <w:pPr>
        <w:spacing w:after="0" w:line="240" w:lineRule="auto"/>
        <w:jc w:val="right"/>
        <w:rPr>
          <w:rFonts w:ascii="Arial" w:eastAsia="Times New Roman" w:hAnsi="Arial" w:cs="Arial"/>
          <w:b/>
          <w:lang w:val="sr-Latn-ME" w:eastAsia="hr-HR"/>
        </w:rPr>
      </w:pPr>
      <w:r w:rsidRPr="00E2584A">
        <w:rPr>
          <w:rFonts w:ascii="Arial" w:eastAsia="Times New Roman" w:hAnsi="Arial" w:cs="Arial"/>
          <w:b/>
          <w:lang w:val="sr-Latn-ME" w:eastAsia="hr-HR"/>
        </w:rPr>
        <w:t>PREDLOG</w:t>
      </w:r>
    </w:p>
    <w:p w:rsidR="00E2584A" w:rsidRPr="00E2584A" w:rsidRDefault="00E2584A" w:rsidP="00E2584A">
      <w:pPr>
        <w:spacing w:after="0" w:line="240" w:lineRule="auto"/>
        <w:jc w:val="center"/>
        <w:rPr>
          <w:rFonts w:ascii="Arial" w:eastAsia="Times New Roman" w:hAnsi="Arial" w:cs="Arial"/>
          <w:b/>
          <w:lang w:val="sr-Latn-ME" w:eastAsia="hr-HR"/>
        </w:rPr>
      </w:pPr>
    </w:p>
    <w:p w:rsidR="00E2584A" w:rsidRPr="00E2584A" w:rsidRDefault="00E2584A" w:rsidP="00E2584A">
      <w:pPr>
        <w:spacing w:after="0" w:line="240" w:lineRule="auto"/>
        <w:jc w:val="center"/>
        <w:rPr>
          <w:rFonts w:ascii="Arial" w:eastAsia="Times New Roman" w:hAnsi="Arial" w:cs="Arial"/>
          <w:b/>
          <w:sz w:val="24"/>
          <w:szCs w:val="24"/>
          <w:lang w:val="sr-Latn-ME" w:eastAsia="hr-HR"/>
        </w:rPr>
      </w:pPr>
      <w:r w:rsidRPr="00E2584A">
        <w:rPr>
          <w:rFonts w:ascii="Arial" w:eastAsia="Times New Roman" w:hAnsi="Arial" w:cs="Arial"/>
          <w:b/>
          <w:sz w:val="24"/>
          <w:szCs w:val="24"/>
          <w:lang w:val="sr-Latn-ME" w:eastAsia="hr-HR"/>
        </w:rPr>
        <w:t xml:space="preserve">Zakon </w:t>
      </w:r>
    </w:p>
    <w:p w:rsidR="00E2584A" w:rsidRPr="00E2584A" w:rsidRDefault="00E2584A" w:rsidP="00E2584A">
      <w:pPr>
        <w:spacing w:after="0" w:line="240" w:lineRule="auto"/>
        <w:jc w:val="center"/>
        <w:rPr>
          <w:rFonts w:ascii="Arial" w:eastAsia="Times New Roman" w:hAnsi="Arial" w:cs="Arial"/>
          <w:b/>
          <w:sz w:val="24"/>
          <w:szCs w:val="24"/>
          <w:lang w:val="sr-Latn-ME" w:eastAsia="hr-HR"/>
        </w:rPr>
      </w:pPr>
      <w:r w:rsidRPr="00E2584A">
        <w:rPr>
          <w:rFonts w:ascii="Arial" w:eastAsia="Times New Roman" w:hAnsi="Arial" w:cs="Arial"/>
          <w:b/>
          <w:sz w:val="24"/>
          <w:szCs w:val="24"/>
          <w:lang w:val="sr-Latn-ME" w:eastAsia="hr-HR"/>
        </w:rPr>
        <w:t>o dopunama Zakona o ugovorima o prevozu u drumskom saobraćaju</w:t>
      </w:r>
    </w:p>
    <w:p w:rsidR="00E2584A" w:rsidRPr="00E2584A" w:rsidRDefault="00E2584A" w:rsidP="00E2584A">
      <w:pPr>
        <w:spacing w:after="0" w:line="240" w:lineRule="auto"/>
        <w:jc w:val="center"/>
        <w:rPr>
          <w:rFonts w:ascii="Arial" w:eastAsia="Times New Roman" w:hAnsi="Arial" w:cs="Arial"/>
          <w:b/>
          <w:lang w:val="sr-Latn-ME" w:eastAsia="hr-HR"/>
        </w:rPr>
      </w:pP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1</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U Zakonu o ugovorima o prevozu u drumskom saobraćaju (</w:t>
      </w:r>
      <w:r w:rsidRPr="00E2584A">
        <w:rPr>
          <w:rFonts w:ascii="Arial" w:eastAsia="Times New Roman" w:hAnsi="Arial" w:cs="Arial"/>
          <w:lang w:val="sr-Latn-CS" w:eastAsia="hr-HR"/>
        </w:rPr>
        <w:t>"Služben</w:t>
      </w:r>
      <w:r w:rsidRPr="00E2584A">
        <w:rPr>
          <w:rFonts w:ascii="Arial" w:eastAsia="Times New Roman" w:hAnsi="Arial" w:cs="Arial"/>
          <w:lang w:val="sr-Latn-ME" w:eastAsia="hr-HR"/>
        </w:rPr>
        <w:t xml:space="preserve">i </w:t>
      </w:r>
      <w:r w:rsidRPr="00E2584A">
        <w:rPr>
          <w:rFonts w:ascii="Arial" w:eastAsia="Times New Roman" w:hAnsi="Arial" w:cs="Arial"/>
          <w:lang w:val="sr-Latn-CS" w:eastAsia="hr-HR"/>
        </w:rPr>
        <w:t xml:space="preserve">list CG", br. </w:t>
      </w:r>
      <w:hyperlink w:anchor="zk53/09" w:history="1">
        <w:r w:rsidRPr="00E2584A">
          <w:rPr>
            <w:rFonts w:ascii="Arial" w:eastAsia="Times New Roman" w:hAnsi="Arial" w:cs="Arial"/>
            <w:color w:val="000080"/>
            <w:u w:val="single"/>
            <w:lang w:val="sr-Latn-CS" w:eastAsia="hr-HR"/>
          </w:rPr>
          <w:t>53/09</w:t>
        </w:r>
      </w:hyperlink>
      <w:r w:rsidRPr="00E2584A">
        <w:rPr>
          <w:rFonts w:ascii="Arial" w:eastAsia="Times New Roman" w:hAnsi="Arial" w:cs="Arial"/>
          <w:lang w:val="sr-Latn-CS" w:eastAsia="hr-HR"/>
        </w:rPr>
        <w:t xml:space="preserve"> </w:t>
      </w:r>
      <w:r w:rsidRPr="00E2584A">
        <w:rPr>
          <w:rFonts w:ascii="Arial" w:eastAsia="Times New Roman" w:hAnsi="Arial" w:cs="Arial"/>
          <w:lang w:val="sr-Cyrl-CS" w:eastAsia="hr-HR"/>
        </w:rPr>
        <w:t xml:space="preserve">i </w:t>
      </w:r>
      <w:hyperlink w:anchor="zk36/13" w:history="1">
        <w:r w:rsidRPr="00E2584A">
          <w:rPr>
            <w:rFonts w:ascii="Arial" w:eastAsia="Times New Roman" w:hAnsi="Arial" w:cs="Arial"/>
            <w:color w:val="000080"/>
            <w:u w:val="single"/>
            <w:lang w:val="sr-Cyrl-CS" w:eastAsia="hr-HR"/>
          </w:rPr>
          <w:t>36/13</w:t>
        </w:r>
      </w:hyperlink>
      <w:r w:rsidRPr="00E2584A">
        <w:rPr>
          <w:rFonts w:ascii="Arial" w:eastAsia="Times New Roman" w:hAnsi="Arial" w:cs="Arial"/>
          <w:lang w:val="sr-Latn-ME" w:eastAsia="hr-HR"/>
        </w:rPr>
        <w:t>), poslije člana 7a dodaje se novi član koji glasi:</w:t>
      </w: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„Boravak lica sa invaliditetom na autobuskim stanicama</w:t>
      </w: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7b</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Pravno lice i preduzetnik koje upravlja autobuskom stanicom dužno je da licima sa invaliditetom obezbijedi pomoć pri ulasku, kretanju i izlasku sa autobuske stanice, ulasku i izlasku iz autobusa, ukrcaju i iskrcaju prtljaga i uvođenju psa vodiča u autobus.</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Pravno lice i preduzetnik koje upravlja autobuskom stanicom obezbjeđuje pomoć licu sa invaliditetom ako je zahtjev lica sa invaliditetom dostavljen 36 sati prije nego mu je potrebna pomoć, odnosno ako se lice sa invaliditetom pojavi na licu mjesta 30 minuta prije vremena polaska po redu vožnje.</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Pravno lice i preduzetnik koje upravlja autobuskom stanicom određuje mjesto na kojem lica sa invaliditetom mogu prijaviti svoj dolazak i zatražiti pomoć.</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Pomoć iz stava 1 ovog člana pruža besplatno.</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Mjesto iz stava 3 ovog člana mora da bude jasno označeno sa neophodnim informacijama o autobuskoj stanici i obezbjeđenju pomoći.“</w:t>
      </w:r>
    </w:p>
    <w:p w:rsidR="00E2584A" w:rsidRPr="00E2584A" w:rsidRDefault="00E2584A" w:rsidP="00E2584A">
      <w:pPr>
        <w:spacing w:after="0" w:line="240" w:lineRule="auto"/>
        <w:jc w:val="both"/>
        <w:rPr>
          <w:rFonts w:ascii="Arial" w:eastAsia="Times New Roman" w:hAnsi="Arial" w:cs="Arial"/>
          <w:lang w:val="sr-Latn-ME" w:eastAsia="hr-HR"/>
        </w:rPr>
      </w:pPr>
    </w:p>
    <w:p w:rsidR="00E2584A" w:rsidRPr="00E2584A" w:rsidRDefault="00E2584A" w:rsidP="00E2584A">
      <w:pPr>
        <w:tabs>
          <w:tab w:val="left" w:pos="708"/>
          <w:tab w:val="left" w:pos="1416"/>
          <w:tab w:val="left" w:pos="2124"/>
          <w:tab w:val="left" w:pos="2832"/>
          <w:tab w:val="left" w:pos="3540"/>
          <w:tab w:val="left" w:pos="4248"/>
          <w:tab w:val="left" w:pos="4956"/>
          <w:tab w:val="left" w:pos="5720"/>
        </w:tabs>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2</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U članu 14 poslije stava 1 dodaje se novi stav koji glasi:</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„U slučaju iz stava 1 tač. 2 i 3 ovog člana prevoznik je dužan da u punom iznosu vrati naknadu za dio ili djelove neiskorišćenog puta, i za dio ili djelove iskorišćenog puta ako putovanje više ne služi namjeni u odnosu izvorni plan putovanja, a u slučaju mjesečnih karata da vrati naknadu za prevoz proporcionalno dijelu neiskorišćenih polazaka u gotovini, osim ako putnik na prihvati drugi način povrata.“</w:t>
      </w:r>
    </w:p>
    <w:p w:rsidR="00E2584A" w:rsidRPr="00E2584A" w:rsidRDefault="00E2584A" w:rsidP="00E2584A">
      <w:pPr>
        <w:tabs>
          <w:tab w:val="left" w:pos="708"/>
          <w:tab w:val="left" w:pos="1416"/>
          <w:tab w:val="left" w:pos="2124"/>
          <w:tab w:val="left" w:pos="2832"/>
          <w:tab w:val="left" w:pos="3540"/>
          <w:tab w:val="left" w:pos="4248"/>
          <w:tab w:val="left" w:pos="4956"/>
          <w:tab w:val="left" w:pos="5720"/>
        </w:tabs>
        <w:spacing w:after="0" w:line="240" w:lineRule="auto"/>
        <w:jc w:val="center"/>
        <w:rPr>
          <w:rFonts w:ascii="Arial" w:eastAsia="Times New Roman" w:hAnsi="Arial" w:cs="Arial"/>
          <w:b/>
          <w:lang w:val="sr-Latn-ME" w:eastAsia="hr-HR"/>
        </w:rPr>
      </w:pPr>
    </w:p>
    <w:p w:rsidR="00E2584A" w:rsidRPr="00E2584A" w:rsidRDefault="00E2584A" w:rsidP="00E2584A">
      <w:pPr>
        <w:tabs>
          <w:tab w:val="left" w:pos="708"/>
          <w:tab w:val="left" w:pos="1416"/>
          <w:tab w:val="left" w:pos="2124"/>
          <w:tab w:val="left" w:pos="2832"/>
          <w:tab w:val="left" w:pos="3540"/>
          <w:tab w:val="left" w:pos="4248"/>
          <w:tab w:val="left" w:pos="4956"/>
          <w:tab w:val="left" w:pos="5720"/>
        </w:tabs>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3</w:t>
      </w:r>
    </w:p>
    <w:p w:rsidR="00E2584A" w:rsidRPr="00E2584A" w:rsidRDefault="00E2584A" w:rsidP="00E2584A">
      <w:pPr>
        <w:tabs>
          <w:tab w:val="left" w:pos="708"/>
          <w:tab w:val="left" w:pos="1416"/>
          <w:tab w:val="left" w:pos="2124"/>
          <w:tab w:val="left" w:pos="2832"/>
          <w:tab w:val="left" w:pos="3540"/>
          <w:tab w:val="left" w:pos="4248"/>
          <w:tab w:val="left" w:pos="4956"/>
          <w:tab w:val="left" w:pos="5720"/>
        </w:tabs>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Poslije člana 16 dodaje se novi član koji glasi:</w:t>
      </w:r>
      <w:r w:rsidRPr="00E2584A">
        <w:rPr>
          <w:rFonts w:ascii="Arial" w:eastAsia="Times New Roman" w:hAnsi="Arial" w:cs="Arial"/>
          <w:lang w:val="sr-Latn-ME" w:eastAsia="hr-HR"/>
        </w:rPr>
        <w:tab/>
      </w: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lang w:val="sr-Latn-ME" w:eastAsia="hr-HR"/>
        </w:rPr>
        <w:t>„</w:t>
      </w:r>
      <w:r w:rsidRPr="00E2584A">
        <w:rPr>
          <w:rFonts w:ascii="Arial" w:eastAsia="Times New Roman" w:hAnsi="Arial" w:cs="Arial"/>
          <w:b/>
          <w:lang w:val="sr-Latn-ME" w:eastAsia="hr-HR"/>
        </w:rPr>
        <w:t xml:space="preserve">Iznos naknade za štetu nastalu u prevozu putnika u međunarodnom drumskom saobraćaju </w:t>
      </w: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16a</w:t>
      </w:r>
    </w:p>
    <w:p w:rsidR="00E2584A" w:rsidRPr="00E2584A" w:rsidRDefault="00E2584A" w:rsidP="00E2584A">
      <w:pPr>
        <w:spacing w:after="0" w:line="240" w:lineRule="auto"/>
        <w:jc w:val="both"/>
        <w:rPr>
          <w:rFonts w:ascii="Arial" w:eastAsia="Times New Roman" w:hAnsi="Arial" w:cs="Arial"/>
          <w:b/>
          <w:lang w:val="sr-Latn-ME" w:eastAsia="hr-HR"/>
        </w:rPr>
      </w:pPr>
      <w:r w:rsidRPr="00E2584A">
        <w:rPr>
          <w:rFonts w:ascii="Arial" w:eastAsia="Times New Roman" w:hAnsi="Arial" w:cs="Arial"/>
          <w:lang w:val="sr-Latn-ME" w:eastAsia="hr-HR"/>
        </w:rPr>
        <w:tab/>
        <w:t xml:space="preserve">Za štetu nastalu zbog smrti putnika, tjelesne povrede ili oštećenja zdravlja putnika u prevozu u međunarodnom drumskom saobraćaju prevoznik odgovara po putniku </w:t>
      </w:r>
      <w:r w:rsidRPr="00E2584A">
        <w:rPr>
          <w:rFonts w:ascii="Arial" w:eastAsia="Times New Roman" w:hAnsi="Arial" w:cs="Arial"/>
          <w:color w:val="000000"/>
          <w:lang w:val="sr-Latn-ME" w:eastAsia="hr-HR"/>
        </w:rPr>
        <w:t xml:space="preserve">do </w:t>
      </w:r>
      <w:r w:rsidRPr="00E2584A">
        <w:rPr>
          <w:rFonts w:ascii="Arial" w:eastAsia="Times New Roman" w:hAnsi="Arial" w:cs="Arial"/>
          <w:lang w:val="sr-Latn-ME" w:eastAsia="hr-HR"/>
        </w:rPr>
        <w:t>220 000 €.</w:t>
      </w:r>
    </w:p>
    <w:p w:rsidR="00E2584A" w:rsidRPr="00E2584A" w:rsidRDefault="00E2584A" w:rsidP="00E2584A">
      <w:pPr>
        <w:tabs>
          <w:tab w:val="left" w:pos="709"/>
          <w:tab w:val="left" w:pos="1418"/>
        </w:tabs>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Za štetu nastalu zbog zakašnjenja, odnosno prekida putovanja, putniku u prevozu u međunarodnom drumskom saobraćaju prevoznik odgovara do iznosa od trostruke do šestostruke naknade za prevoz.“</w:t>
      </w:r>
    </w:p>
    <w:p w:rsidR="00E2584A" w:rsidRPr="00E2584A" w:rsidRDefault="00E2584A" w:rsidP="00E2584A">
      <w:pPr>
        <w:tabs>
          <w:tab w:val="left" w:pos="709"/>
          <w:tab w:val="left" w:pos="1418"/>
        </w:tabs>
        <w:spacing w:after="0" w:line="240" w:lineRule="auto"/>
        <w:jc w:val="both"/>
        <w:rPr>
          <w:rFonts w:ascii="Arial" w:eastAsia="Times New Roman" w:hAnsi="Arial" w:cs="Arial"/>
          <w:lang w:val="sr-Latn-ME" w:eastAsia="hr-HR"/>
        </w:rPr>
      </w:pP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4</w:t>
      </w:r>
    </w:p>
    <w:p w:rsidR="00E2584A" w:rsidRPr="00E2584A" w:rsidRDefault="00E2584A" w:rsidP="00E2584A">
      <w:pPr>
        <w:spacing w:after="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Poslije člana 26 dodaje se novi član koji glasi:</w:t>
      </w:r>
    </w:p>
    <w:p w:rsidR="00E2584A" w:rsidRPr="00E2584A" w:rsidRDefault="00E2584A" w:rsidP="00E2584A">
      <w:pPr>
        <w:spacing w:after="0" w:line="240" w:lineRule="auto"/>
        <w:ind w:left="525" w:right="525" w:firstLine="240"/>
        <w:jc w:val="center"/>
        <w:rPr>
          <w:rFonts w:ascii="Times New Roman" w:eastAsia="Times New Roman" w:hAnsi="Times New Roman" w:cs="Times New Roman"/>
        </w:rPr>
      </w:pPr>
      <w:r w:rsidRPr="00E2584A">
        <w:rPr>
          <w:rFonts w:ascii="Arial" w:eastAsia="Times New Roman" w:hAnsi="Arial" w:cs="Arial"/>
          <w:lang w:val="sr-Latn-ME"/>
        </w:rPr>
        <w:t>„</w:t>
      </w:r>
      <w:r w:rsidRPr="00E2584A">
        <w:rPr>
          <w:rFonts w:ascii="Arial" w:eastAsia="Times New Roman" w:hAnsi="Arial" w:cs="Arial"/>
          <w:b/>
          <w:lang w:val="sr-Latn-ME"/>
        </w:rPr>
        <w:t>Naknada za gubitak ili oštećenje prtljaga u prevozu putnika u međunarodnom drumskom saobraćaju</w:t>
      </w: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26a</w:t>
      </w:r>
    </w:p>
    <w:p w:rsidR="00E2584A" w:rsidRPr="00E2584A" w:rsidRDefault="00E2584A" w:rsidP="00E2584A">
      <w:pPr>
        <w:spacing w:after="120" w:line="240" w:lineRule="auto"/>
        <w:jc w:val="both"/>
        <w:rPr>
          <w:rFonts w:ascii="Arial" w:eastAsia="Times New Roman" w:hAnsi="Arial" w:cs="Arial"/>
          <w:lang w:val="sr-Latn-ME" w:eastAsia="hr-HR"/>
        </w:rPr>
      </w:pPr>
      <w:r w:rsidRPr="00E2584A">
        <w:rPr>
          <w:rFonts w:ascii="Arial" w:eastAsia="Times New Roman" w:hAnsi="Arial" w:cs="Arial"/>
          <w:lang w:val="sr-Latn-ME" w:eastAsia="hr-HR"/>
        </w:rPr>
        <w:tab/>
        <w:t>Za štetu nastalu zbog potpunog ili djelimičnog gubitka ili oštećenja prtljaga, odnosno ručnog prtljaga putniku u prevozu u međunarodnom drumskom saobraćaju prevoznik odgovara po jedinici prtljaga u iznosu do 1200 €.“</w:t>
      </w:r>
    </w:p>
    <w:p w:rsidR="00E2584A" w:rsidRPr="00E2584A" w:rsidRDefault="00E2584A" w:rsidP="00E2584A">
      <w:pPr>
        <w:spacing w:after="0" w:line="240" w:lineRule="auto"/>
        <w:jc w:val="both"/>
        <w:rPr>
          <w:rFonts w:ascii="Arial" w:eastAsia="Times New Roman" w:hAnsi="Arial" w:cs="Arial"/>
          <w:lang w:val="sr-Latn-ME" w:eastAsia="hr-HR"/>
        </w:rPr>
      </w:pP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5</w:t>
      </w:r>
    </w:p>
    <w:p w:rsidR="00E2584A" w:rsidRPr="00E2584A" w:rsidRDefault="00E2584A" w:rsidP="00E2584A">
      <w:pPr>
        <w:spacing w:after="0" w:line="240" w:lineRule="auto"/>
        <w:ind w:firstLine="708"/>
        <w:jc w:val="both"/>
        <w:rPr>
          <w:rFonts w:ascii="Arial" w:eastAsia="Times New Roman" w:hAnsi="Arial" w:cs="Arial"/>
          <w:lang w:val="sr-Latn-ME" w:eastAsia="hr-HR"/>
        </w:rPr>
      </w:pPr>
      <w:r w:rsidRPr="00E2584A">
        <w:rPr>
          <w:rFonts w:ascii="Arial" w:eastAsia="Times New Roman" w:hAnsi="Arial" w:cs="Arial"/>
          <w:lang w:val="sr-Latn-ME" w:eastAsia="hr-HR"/>
        </w:rPr>
        <w:t>Poslije člana 98 dodaje se novi član koji glasi:</w:t>
      </w:r>
    </w:p>
    <w:p w:rsidR="00E2584A" w:rsidRPr="00E2584A" w:rsidRDefault="00E2584A" w:rsidP="00E2584A">
      <w:pPr>
        <w:spacing w:after="0" w:line="240" w:lineRule="auto"/>
        <w:ind w:firstLine="708"/>
        <w:jc w:val="center"/>
        <w:rPr>
          <w:rFonts w:ascii="Arial" w:eastAsia="Times New Roman" w:hAnsi="Arial" w:cs="Arial"/>
          <w:b/>
          <w:lang w:val="sr-Latn-ME" w:eastAsia="hr-HR"/>
        </w:rPr>
      </w:pPr>
      <w:r w:rsidRPr="00E2584A">
        <w:rPr>
          <w:rFonts w:ascii="Arial" w:eastAsia="Times New Roman" w:hAnsi="Arial" w:cs="Arial"/>
          <w:b/>
          <w:lang w:val="sr-Latn-ME" w:eastAsia="hr-HR"/>
        </w:rPr>
        <w:t>„Početak primjene</w:t>
      </w:r>
    </w:p>
    <w:p w:rsidR="00E2584A" w:rsidRPr="00E2584A" w:rsidRDefault="00E2584A" w:rsidP="00E2584A">
      <w:pPr>
        <w:spacing w:after="0" w:line="240" w:lineRule="auto"/>
        <w:ind w:firstLine="142"/>
        <w:jc w:val="center"/>
        <w:rPr>
          <w:rFonts w:ascii="Arial" w:eastAsia="Times New Roman" w:hAnsi="Arial" w:cs="Arial"/>
          <w:b/>
          <w:lang w:val="sr-Latn-ME" w:eastAsia="hr-HR"/>
        </w:rPr>
      </w:pPr>
      <w:r w:rsidRPr="00E2584A">
        <w:rPr>
          <w:rFonts w:ascii="Arial" w:eastAsia="Times New Roman" w:hAnsi="Arial" w:cs="Arial"/>
          <w:b/>
          <w:lang w:val="sr-Latn-ME" w:eastAsia="hr-HR"/>
        </w:rPr>
        <w:t>Član 98a</w:t>
      </w:r>
    </w:p>
    <w:p w:rsidR="00E2584A" w:rsidRPr="00E2584A" w:rsidRDefault="00E2584A" w:rsidP="00E2584A">
      <w:pPr>
        <w:spacing w:after="0" w:line="240" w:lineRule="auto"/>
        <w:ind w:firstLine="708"/>
        <w:rPr>
          <w:rFonts w:ascii="Arial" w:eastAsia="Times New Roman" w:hAnsi="Arial" w:cs="Arial"/>
          <w:lang w:val="sr-Latn-ME" w:eastAsia="hr-HR"/>
        </w:rPr>
      </w:pPr>
      <w:r w:rsidRPr="00E2584A">
        <w:rPr>
          <w:rFonts w:ascii="Arial" w:eastAsia="Times New Roman" w:hAnsi="Arial" w:cs="Arial"/>
          <w:lang w:val="sr-Latn-ME" w:eastAsia="hr-HR"/>
        </w:rPr>
        <w:t xml:space="preserve">Odredbe čl. 16a i 26a </w:t>
      </w:r>
      <w:r w:rsidRPr="00E2584A">
        <w:rPr>
          <w:rFonts w:ascii="Arial" w:eastAsia="Times New Roman" w:hAnsi="Arial" w:cs="Arial"/>
          <w:color w:val="000000"/>
          <w:lang w:val="sr-Latn-ME" w:eastAsia="hr-HR"/>
        </w:rPr>
        <w:t>ovog zakona primjenjivaće se od dana pristupanja Crne Gore Evropskoj uniji.“</w:t>
      </w:r>
    </w:p>
    <w:p w:rsidR="00E2584A" w:rsidRPr="00E2584A" w:rsidRDefault="00E2584A" w:rsidP="00E2584A">
      <w:pPr>
        <w:spacing w:after="0" w:line="240" w:lineRule="auto"/>
        <w:rPr>
          <w:rFonts w:ascii="Arial" w:eastAsia="Times New Roman" w:hAnsi="Arial" w:cs="Arial"/>
          <w:lang w:val="sr-Latn-ME" w:eastAsia="hr-HR"/>
        </w:rPr>
      </w:pPr>
    </w:p>
    <w:p w:rsidR="00E2584A" w:rsidRPr="00E2584A" w:rsidRDefault="00E2584A" w:rsidP="00E2584A">
      <w:pPr>
        <w:spacing w:after="0" w:line="240" w:lineRule="auto"/>
        <w:jc w:val="center"/>
        <w:rPr>
          <w:rFonts w:ascii="Arial" w:eastAsia="Times New Roman" w:hAnsi="Arial" w:cs="Arial"/>
          <w:b/>
          <w:lang w:val="sr-Latn-ME" w:eastAsia="hr-HR"/>
        </w:rPr>
      </w:pPr>
      <w:r w:rsidRPr="00E2584A">
        <w:rPr>
          <w:rFonts w:ascii="Arial" w:eastAsia="Times New Roman" w:hAnsi="Arial" w:cs="Arial"/>
          <w:b/>
          <w:lang w:val="sr-Latn-ME" w:eastAsia="hr-HR"/>
        </w:rPr>
        <w:t>Član 6</w:t>
      </w:r>
    </w:p>
    <w:p w:rsidR="00E2584A" w:rsidRPr="00E2584A" w:rsidRDefault="00E2584A" w:rsidP="00E2584A">
      <w:pPr>
        <w:spacing w:after="0" w:line="240" w:lineRule="auto"/>
        <w:jc w:val="both"/>
        <w:rPr>
          <w:rFonts w:ascii="Arial" w:eastAsia="Times New Roman" w:hAnsi="Arial" w:cs="Arial"/>
          <w:b/>
          <w:lang w:val="sr-Latn-ME" w:eastAsia="hr-HR"/>
        </w:rPr>
      </w:pPr>
      <w:r w:rsidRPr="00E2584A">
        <w:rPr>
          <w:rFonts w:ascii="Arial" w:eastAsia="Times New Roman" w:hAnsi="Arial" w:cs="Arial"/>
          <w:lang w:val="sr-Latn-ME" w:eastAsia="hr-HR"/>
        </w:rPr>
        <w:tab/>
        <w:t xml:space="preserve">Ovaj zakon stupa na snagu osmog dana od dana objavljivanja u "Službenom listu Crne Gore". </w:t>
      </w:r>
    </w:p>
    <w:p w:rsidR="00E2584A" w:rsidRPr="00E2584A" w:rsidRDefault="00E2584A" w:rsidP="00E2584A">
      <w:pPr>
        <w:spacing w:before="240" w:after="60" w:line="276" w:lineRule="auto"/>
        <w:jc w:val="center"/>
        <w:outlineLvl w:val="5"/>
        <w:rPr>
          <w:rFonts w:ascii="Arial" w:eastAsia="Times New Roman" w:hAnsi="Arial" w:cs="Arial"/>
          <w:b/>
          <w:bCs/>
          <w:sz w:val="24"/>
          <w:szCs w:val="24"/>
          <w:lang w:val="pl-PL"/>
        </w:rPr>
      </w:pPr>
    </w:p>
    <w:p w:rsidR="00E2584A" w:rsidRDefault="00E2584A" w:rsidP="00E2584A">
      <w:pPr>
        <w:spacing w:before="240" w:after="60" w:line="276" w:lineRule="auto"/>
        <w:jc w:val="center"/>
        <w:outlineLvl w:val="5"/>
        <w:rPr>
          <w:rFonts w:ascii="Arial" w:eastAsia="Times New Roman" w:hAnsi="Arial" w:cs="Arial"/>
          <w:b/>
          <w:bCs/>
          <w:sz w:val="24"/>
          <w:szCs w:val="24"/>
          <w:lang w:val="pl-PL"/>
        </w:rPr>
      </w:pPr>
    </w:p>
    <w:p w:rsidR="00E2584A" w:rsidRDefault="00E2584A"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Default="00E8127C" w:rsidP="00E8127C">
      <w:pPr>
        <w:rPr>
          <w:lang w:val="pl-PL"/>
        </w:rPr>
      </w:pPr>
    </w:p>
    <w:p w:rsidR="00E8127C" w:rsidRPr="00E2584A" w:rsidRDefault="00E8127C" w:rsidP="00E8127C">
      <w:pPr>
        <w:rPr>
          <w:lang w:val="pl-PL"/>
        </w:rPr>
      </w:pPr>
      <w:bookmarkStart w:id="0" w:name="_GoBack"/>
      <w:bookmarkEnd w:id="0"/>
    </w:p>
    <w:p w:rsidR="00E2584A" w:rsidRPr="00E2584A" w:rsidRDefault="00E2584A" w:rsidP="00E2584A">
      <w:pPr>
        <w:spacing w:before="240" w:after="60" w:line="276" w:lineRule="auto"/>
        <w:jc w:val="center"/>
        <w:outlineLvl w:val="5"/>
        <w:rPr>
          <w:rFonts w:ascii="Arial" w:eastAsia="Times New Roman" w:hAnsi="Arial" w:cs="Arial"/>
          <w:b/>
          <w:bCs/>
          <w:sz w:val="24"/>
          <w:szCs w:val="24"/>
          <w:lang w:val="pl-PL"/>
        </w:rPr>
      </w:pPr>
    </w:p>
    <w:p w:rsidR="00E2584A" w:rsidRPr="00E2584A" w:rsidRDefault="00E2584A" w:rsidP="00E2584A">
      <w:pPr>
        <w:spacing w:before="240" w:after="60" w:line="276" w:lineRule="auto"/>
        <w:jc w:val="center"/>
        <w:outlineLvl w:val="5"/>
        <w:rPr>
          <w:rFonts w:ascii="Arial" w:eastAsia="Times New Roman" w:hAnsi="Arial" w:cs="Arial"/>
          <w:b/>
          <w:bCs/>
          <w:sz w:val="24"/>
          <w:szCs w:val="24"/>
          <w:lang w:val="pl-PL"/>
        </w:rPr>
      </w:pPr>
    </w:p>
    <w:p w:rsidR="00E8127C" w:rsidRPr="00E8127C" w:rsidRDefault="00E8127C" w:rsidP="00E8127C">
      <w:pPr>
        <w:spacing w:before="240" w:after="60" w:line="276" w:lineRule="auto"/>
        <w:jc w:val="center"/>
        <w:outlineLvl w:val="5"/>
        <w:rPr>
          <w:rFonts w:ascii="Arial" w:eastAsia="Times New Roman" w:hAnsi="Arial" w:cs="Arial"/>
          <w:bCs/>
          <w:sz w:val="24"/>
          <w:szCs w:val="24"/>
          <w:lang w:val="sr-Latn-CS"/>
        </w:rPr>
      </w:pPr>
      <w:r w:rsidRPr="00E8127C">
        <w:rPr>
          <w:rFonts w:ascii="Arial" w:eastAsia="Times New Roman" w:hAnsi="Arial" w:cs="Arial"/>
          <w:b/>
          <w:bCs/>
          <w:sz w:val="24"/>
          <w:szCs w:val="24"/>
          <w:lang w:val="pl-PL"/>
        </w:rPr>
        <w:lastRenderedPageBreak/>
        <w:t>O B R A Z L O Ž E N J E</w:t>
      </w:r>
    </w:p>
    <w:p w:rsidR="00E8127C" w:rsidRPr="00E8127C" w:rsidRDefault="00E8127C" w:rsidP="00E8127C">
      <w:pPr>
        <w:spacing w:after="0" w:line="240" w:lineRule="auto"/>
        <w:jc w:val="both"/>
        <w:rPr>
          <w:rFonts w:ascii="Arial" w:eastAsia="Times New Roman" w:hAnsi="Arial" w:cs="Arial"/>
          <w:lang w:val="pl-PL" w:eastAsia="hr-HR"/>
        </w:rPr>
      </w:pPr>
    </w:p>
    <w:p w:rsidR="00E8127C" w:rsidRPr="00E8127C" w:rsidRDefault="00E8127C" w:rsidP="00E8127C">
      <w:pPr>
        <w:spacing w:after="120" w:line="240" w:lineRule="auto"/>
        <w:jc w:val="both"/>
        <w:rPr>
          <w:rFonts w:ascii="Arial" w:eastAsia="Times New Roman" w:hAnsi="Arial" w:cs="Arial"/>
          <w:b/>
          <w:bCs/>
          <w:lang w:val="pl-PL" w:eastAsia="hr-HR"/>
        </w:rPr>
      </w:pPr>
      <w:r w:rsidRPr="00E8127C">
        <w:rPr>
          <w:rFonts w:ascii="Arial" w:eastAsia="Times New Roman" w:hAnsi="Arial" w:cs="Arial"/>
          <w:b/>
          <w:bCs/>
          <w:lang w:val="pl-PL" w:eastAsia="hr-HR"/>
        </w:rPr>
        <w:t xml:space="preserve">I.    USTAVNI OSNOV </w:t>
      </w:r>
    </w:p>
    <w:p w:rsidR="00E8127C" w:rsidRPr="00E8127C" w:rsidRDefault="00E8127C" w:rsidP="00E8127C">
      <w:pPr>
        <w:spacing w:after="120" w:line="240" w:lineRule="auto"/>
        <w:ind w:firstLine="708"/>
        <w:jc w:val="both"/>
        <w:rPr>
          <w:rFonts w:ascii="Arial" w:eastAsia="Times New Roman" w:hAnsi="Arial" w:cs="Arial"/>
          <w:lang w:val="pl-PL" w:eastAsia="hr-HR"/>
        </w:rPr>
      </w:pPr>
      <w:r w:rsidRPr="00E8127C">
        <w:rPr>
          <w:rFonts w:ascii="Arial" w:eastAsia="Times New Roman" w:hAnsi="Arial" w:cs="Arial"/>
          <w:lang w:val="pl-PL" w:eastAsia="hr-HR"/>
        </w:rPr>
        <w:t>Ustavni osnov za donošenje ovog zakona sadržan je u odredbama člana 16 stav 1 tačka 5 Ustava Crne Gore, kojim je propisano da se zakonom u skladu sa Ustavom uređuju pitanja od interesa za državu.</w:t>
      </w:r>
    </w:p>
    <w:p w:rsidR="00E8127C" w:rsidRPr="00E8127C" w:rsidRDefault="00E8127C" w:rsidP="00E8127C">
      <w:pPr>
        <w:spacing w:after="120" w:line="240" w:lineRule="auto"/>
        <w:jc w:val="both"/>
        <w:rPr>
          <w:rFonts w:ascii="Arial" w:eastAsia="Times New Roman" w:hAnsi="Arial" w:cs="Arial"/>
          <w:b/>
          <w:bCs/>
          <w:lang w:val="pl-PL" w:eastAsia="hr-HR"/>
        </w:rPr>
      </w:pPr>
      <w:r w:rsidRPr="00E8127C">
        <w:rPr>
          <w:rFonts w:ascii="Arial" w:eastAsia="Times New Roman" w:hAnsi="Arial" w:cs="Arial"/>
          <w:b/>
          <w:bCs/>
          <w:lang w:val="pl-PL" w:eastAsia="hr-HR"/>
        </w:rPr>
        <w:t>II.   RAZLOZI ZA DONOŠENJE ZAKONA</w:t>
      </w:r>
    </w:p>
    <w:p w:rsidR="00E8127C" w:rsidRPr="00E8127C" w:rsidRDefault="00E8127C" w:rsidP="00E8127C">
      <w:pPr>
        <w:spacing w:after="120" w:line="240" w:lineRule="auto"/>
        <w:ind w:firstLine="360"/>
        <w:jc w:val="both"/>
        <w:rPr>
          <w:rFonts w:ascii="Arial" w:eastAsia="Times New Roman" w:hAnsi="Arial" w:cs="Arial"/>
          <w:lang w:val="pl-PL" w:eastAsia="hr-HR"/>
        </w:rPr>
      </w:pPr>
      <w:r w:rsidRPr="00E8127C">
        <w:rPr>
          <w:rFonts w:ascii="Arial" w:eastAsia="Times New Roman" w:hAnsi="Arial" w:cs="Arial"/>
          <w:lang w:val="pl-PL" w:eastAsia="hr-HR"/>
        </w:rPr>
        <w:t>Osnovni razlozi za donošenje ovog zakona su:</w:t>
      </w:r>
    </w:p>
    <w:p w:rsidR="00E8127C" w:rsidRPr="00E8127C" w:rsidRDefault="00E8127C" w:rsidP="00E8127C">
      <w:pPr>
        <w:numPr>
          <w:ilvl w:val="0"/>
          <w:numId w:val="1"/>
        </w:numPr>
        <w:spacing w:after="120" w:line="240" w:lineRule="auto"/>
        <w:jc w:val="both"/>
        <w:outlineLvl w:val="0"/>
        <w:rPr>
          <w:rFonts w:ascii="Arial" w:eastAsia="Times New Roman" w:hAnsi="Arial" w:cs="Arial"/>
          <w:lang w:val="hr-HR" w:eastAsia="hr-HR"/>
        </w:rPr>
      </w:pPr>
      <w:r w:rsidRPr="00E8127C">
        <w:rPr>
          <w:rFonts w:ascii="Arial" w:eastAsia="Times New Roman" w:hAnsi="Arial" w:cs="Arial"/>
          <w:lang w:val="bs-Latn-BA" w:eastAsia="hr-HR"/>
        </w:rPr>
        <w:t>Usklađivanje zakonodavstva Crne Gore sa</w:t>
      </w:r>
      <w:r w:rsidRPr="00E8127C">
        <w:rPr>
          <w:rFonts w:ascii="Arial" w:eastAsia="Times New Roman" w:hAnsi="Arial" w:cs="Arial"/>
          <w:i/>
          <w:lang w:val="bs-Latn-BA" w:eastAsia="hr-HR"/>
        </w:rPr>
        <w:t xml:space="preserve"> acquis communautaire </w:t>
      </w:r>
      <w:r w:rsidRPr="00E8127C">
        <w:rPr>
          <w:rFonts w:ascii="Arial" w:eastAsia="Times New Roman" w:hAnsi="Arial" w:cs="Arial"/>
          <w:lang w:val="bs-Latn-BA" w:eastAsia="hr-HR"/>
        </w:rPr>
        <w:t xml:space="preserve">kao jedan od uslova pridruživanja Evropskoj uniji, a </w:t>
      </w:r>
      <w:r w:rsidRPr="00E8127C">
        <w:rPr>
          <w:rFonts w:ascii="Arial" w:eastAsia="Times New Roman" w:hAnsi="Arial" w:cs="Arial"/>
          <w:lang w:val="hr-HR" w:eastAsia="hr-HR"/>
        </w:rPr>
        <w:t>prema potpisanom Sporazumu o stabilizaciji i pridruživanju, u čl. 16 i 18 Protokola IV (o kopnenom saobraćaju) Crna Gora ima obavezu potpunog usklađivanja sa direktivama i uredbama iz područja drumskog prevoza. Usklađivanjem sa propisima EU iz oblasti prava putnika izvršiće se i obaveza koju je Crna Gora preuzela potpisivanjem Sporazuma o stabilizaciji i pridruživanju Crne Gore EU, da će svoje zakonodavstvo uskladiti sa</w:t>
      </w:r>
      <w:r w:rsidRPr="00E8127C">
        <w:rPr>
          <w:rFonts w:ascii="Arial" w:eastAsia="Times New Roman" w:hAnsi="Arial" w:cs="Arial"/>
          <w:i/>
          <w:lang w:val="bs-Latn-BA" w:eastAsia="hr-HR"/>
        </w:rPr>
        <w:t xml:space="preserve"> </w:t>
      </w:r>
      <w:r w:rsidRPr="00E8127C">
        <w:rPr>
          <w:rFonts w:ascii="Arial" w:eastAsia="Times New Roman" w:hAnsi="Arial" w:cs="Arial"/>
          <w:lang w:val="bs-Latn-BA" w:eastAsia="hr-HR"/>
        </w:rPr>
        <w:t>propisima EU</w:t>
      </w:r>
      <w:r w:rsidRPr="00E8127C">
        <w:rPr>
          <w:rFonts w:ascii="Arial" w:eastAsia="Times New Roman" w:hAnsi="Arial" w:cs="Arial"/>
          <w:i/>
          <w:lang w:val="bs-Latn-BA" w:eastAsia="hr-HR"/>
        </w:rPr>
        <w:t xml:space="preserve"> </w:t>
      </w:r>
      <w:r w:rsidRPr="00E8127C">
        <w:rPr>
          <w:rFonts w:ascii="Arial" w:eastAsia="Times New Roman" w:hAnsi="Arial" w:cs="Arial"/>
          <w:lang w:val="bs-Latn-BA" w:eastAsia="hr-HR"/>
        </w:rPr>
        <w:t>iz oblasti drumskog prevoza</w:t>
      </w:r>
    </w:p>
    <w:p w:rsidR="00E8127C" w:rsidRPr="00E8127C" w:rsidRDefault="00E8127C" w:rsidP="00E8127C">
      <w:pPr>
        <w:numPr>
          <w:ilvl w:val="0"/>
          <w:numId w:val="1"/>
        </w:numPr>
        <w:spacing w:after="120" w:line="240" w:lineRule="auto"/>
        <w:jc w:val="both"/>
        <w:rPr>
          <w:rFonts w:ascii="Arial" w:eastAsia="Times New Roman" w:hAnsi="Arial" w:cs="Arial"/>
          <w:b/>
          <w:bCs/>
          <w:u w:val="single"/>
          <w:lang w:val="hr-HR" w:eastAsia="hr-HR"/>
        </w:rPr>
      </w:pPr>
      <w:r w:rsidRPr="00E8127C">
        <w:rPr>
          <w:rFonts w:ascii="Arial" w:eastAsia="Times New Roman" w:hAnsi="Arial" w:cs="Arial"/>
          <w:lang w:val="sr-Latn-CS" w:eastAsia="hr-HR"/>
        </w:rPr>
        <w:t>Obaveze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koje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proizilaze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iz</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Programa</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rada</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Vlade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Crne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Gore</w:t>
      </w:r>
      <w:r w:rsidRPr="00E8127C">
        <w:rPr>
          <w:rFonts w:ascii="Arial" w:eastAsia="Times New Roman" w:hAnsi="Arial" w:cs="Arial"/>
          <w:lang w:val="hr-HR" w:eastAsia="hr-HR"/>
        </w:rPr>
        <w:t xml:space="preserve"> </w:t>
      </w:r>
      <w:r w:rsidRPr="00E8127C">
        <w:rPr>
          <w:rFonts w:ascii="Arial" w:eastAsia="Times New Roman" w:hAnsi="Arial" w:cs="Arial"/>
          <w:lang w:val="sr-Latn-CS" w:eastAsia="hr-HR"/>
        </w:rPr>
        <w:t>za</w:t>
      </w:r>
      <w:r w:rsidRPr="00E8127C">
        <w:rPr>
          <w:rFonts w:ascii="Arial" w:eastAsia="Times New Roman" w:hAnsi="Arial" w:cs="Arial"/>
          <w:lang w:val="hr-HR" w:eastAsia="hr-HR"/>
        </w:rPr>
        <w:t xml:space="preserve"> 2019. </w:t>
      </w:r>
      <w:r w:rsidRPr="00E8127C">
        <w:rPr>
          <w:rFonts w:ascii="Arial" w:eastAsia="Times New Roman" w:hAnsi="Arial" w:cs="Arial"/>
          <w:lang w:val="sr-Latn-CS" w:eastAsia="hr-HR"/>
        </w:rPr>
        <w:t>godinu</w:t>
      </w:r>
      <w:r w:rsidRPr="00E8127C">
        <w:rPr>
          <w:rFonts w:ascii="Arial" w:eastAsia="Times New Roman" w:hAnsi="Arial" w:cs="Arial"/>
          <w:lang w:val="hr-HR" w:eastAsia="hr-HR"/>
        </w:rPr>
        <w:t xml:space="preserve"> i </w:t>
      </w:r>
      <w:r w:rsidRPr="00E8127C">
        <w:rPr>
          <w:rFonts w:ascii="Arial" w:eastAsia="Times New Roman" w:hAnsi="Arial" w:cs="Arial"/>
          <w:lang w:val="sr-Latn-CS" w:eastAsia="hr-HR"/>
        </w:rPr>
        <w:t>Programa pristupanja Crne Gore</w:t>
      </w:r>
      <w:r w:rsidRPr="00E8127C">
        <w:rPr>
          <w:rFonts w:ascii="Arial" w:eastAsia="Times New Roman" w:hAnsi="Arial" w:cs="Arial"/>
          <w:lang w:val="hr-HR" w:eastAsia="hr-HR"/>
        </w:rPr>
        <w:t xml:space="preserve"> EU (PPCG)</w:t>
      </w:r>
    </w:p>
    <w:p w:rsidR="00E8127C" w:rsidRPr="00E8127C" w:rsidRDefault="00E8127C" w:rsidP="00E8127C">
      <w:pPr>
        <w:spacing w:after="120" w:line="240" w:lineRule="auto"/>
        <w:jc w:val="both"/>
        <w:rPr>
          <w:rFonts w:ascii="Arial" w:eastAsia="Times New Roman" w:hAnsi="Arial" w:cs="Arial"/>
          <w:b/>
          <w:bCs/>
          <w:lang w:val="sr-Latn-CS" w:eastAsia="hr-HR"/>
        </w:rPr>
      </w:pPr>
      <w:r w:rsidRPr="00E8127C">
        <w:rPr>
          <w:rFonts w:ascii="Arial" w:eastAsia="Times New Roman" w:hAnsi="Arial" w:cs="Arial"/>
          <w:b/>
          <w:bCs/>
          <w:lang w:val="sr-Latn-CS" w:eastAsia="hr-HR"/>
        </w:rPr>
        <w:t>III.</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USAGLA</w:t>
      </w:r>
      <w:r w:rsidRPr="00E8127C">
        <w:rPr>
          <w:rFonts w:ascii="Arial" w:eastAsia="Times New Roman" w:hAnsi="Arial" w:cs="Arial"/>
          <w:b/>
          <w:bCs/>
          <w:lang w:val="hr-HR" w:eastAsia="hr-HR"/>
        </w:rPr>
        <w:t>Š</w:t>
      </w:r>
      <w:r w:rsidRPr="00E8127C">
        <w:rPr>
          <w:rFonts w:ascii="Arial" w:eastAsia="Times New Roman" w:hAnsi="Arial" w:cs="Arial"/>
          <w:b/>
          <w:bCs/>
          <w:lang w:val="sr-Latn-CS" w:eastAsia="hr-HR"/>
        </w:rPr>
        <w:t>ENOST</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SA</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EVROPSKIM</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ZAKONODAVSTVOM</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I</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POTVR</w:t>
      </w:r>
      <w:r w:rsidRPr="00E8127C">
        <w:rPr>
          <w:rFonts w:ascii="Arial" w:eastAsia="Times New Roman" w:hAnsi="Arial" w:cs="Arial"/>
          <w:b/>
          <w:bCs/>
          <w:lang w:val="hr-HR" w:eastAsia="hr-HR"/>
        </w:rPr>
        <w:t>Đ</w:t>
      </w:r>
      <w:r w:rsidRPr="00E8127C">
        <w:rPr>
          <w:rFonts w:ascii="Arial" w:eastAsia="Times New Roman" w:hAnsi="Arial" w:cs="Arial"/>
          <w:b/>
          <w:bCs/>
          <w:lang w:val="sr-Latn-CS" w:eastAsia="hr-HR"/>
        </w:rPr>
        <w:t>ENIM</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ME</w:t>
      </w:r>
      <w:r w:rsidRPr="00E8127C">
        <w:rPr>
          <w:rFonts w:ascii="Arial" w:eastAsia="Times New Roman" w:hAnsi="Arial" w:cs="Arial"/>
          <w:b/>
          <w:bCs/>
          <w:lang w:val="hr-HR" w:eastAsia="hr-HR"/>
        </w:rPr>
        <w:t>Đ</w:t>
      </w:r>
      <w:r w:rsidRPr="00E8127C">
        <w:rPr>
          <w:rFonts w:ascii="Arial" w:eastAsia="Times New Roman" w:hAnsi="Arial" w:cs="Arial"/>
          <w:b/>
          <w:bCs/>
          <w:lang w:val="sr-Latn-CS" w:eastAsia="hr-HR"/>
        </w:rPr>
        <w:t>UNARODNIM</w:t>
      </w:r>
      <w:r w:rsidRPr="00E8127C">
        <w:rPr>
          <w:rFonts w:ascii="Arial" w:eastAsia="Times New Roman" w:hAnsi="Arial" w:cs="Arial"/>
          <w:b/>
          <w:bCs/>
          <w:lang w:val="hr-HR" w:eastAsia="hr-HR"/>
        </w:rPr>
        <w:t xml:space="preserve"> </w:t>
      </w:r>
      <w:r w:rsidRPr="00E8127C">
        <w:rPr>
          <w:rFonts w:ascii="Arial" w:eastAsia="Times New Roman" w:hAnsi="Arial" w:cs="Arial"/>
          <w:b/>
          <w:bCs/>
          <w:lang w:val="sr-Latn-CS" w:eastAsia="hr-HR"/>
        </w:rPr>
        <w:t>KONVENCIJAMA</w:t>
      </w:r>
    </w:p>
    <w:p w:rsidR="00E8127C" w:rsidRPr="00E8127C" w:rsidRDefault="00E8127C" w:rsidP="00E8127C">
      <w:pPr>
        <w:tabs>
          <w:tab w:val="center" w:pos="4513"/>
          <w:tab w:val="right" w:pos="9026"/>
        </w:tabs>
        <w:spacing w:after="120" w:line="240" w:lineRule="auto"/>
        <w:jc w:val="both"/>
        <w:rPr>
          <w:rFonts w:ascii="Arial" w:eastAsia="Calibri" w:hAnsi="Arial" w:cs="Arial"/>
          <w:lang w:val="bs-Latn-BA"/>
        </w:rPr>
      </w:pPr>
      <w:r w:rsidRPr="00E8127C">
        <w:rPr>
          <w:rFonts w:ascii="Arial" w:eastAsia="Calibri" w:hAnsi="Arial" w:cs="Arial"/>
          <w:lang w:val="bs-Latn-BA"/>
        </w:rPr>
        <w:tab/>
      </w:r>
      <w:r w:rsidRPr="00E8127C">
        <w:rPr>
          <w:rFonts w:ascii="Arial" w:eastAsia="Calibri" w:hAnsi="Arial" w:cs="Arial"/>
          <w:lang w:val="hr-BA"/>
        </w:rPr>
        <w:t xml:space="preserve">          Predlog zakona o dopunama Zakona o ugovorima o prevozu u drumskom saobraćaju je propis čije donošenje i implementacija predstavlja daljnje usklađivanje zakonodavstva Crne Gore sa </w:t>
      </w:r>
      <w:r w:rsidRPr="00E8127C">
        <w:rPr>
          <w:rFonts w:ascii="Arial" w:eastAsia="Calibri" w:hAnsi="Arial" w:cs="Arial"/>
          <w:i/>
          <w:lang w:val="bs-Latn-BA"/>
        </w:rPr>
        <w:t>acquis communautaire</w:t>
      </w:r>
      <w:r w:rsidRPr="00E8127C">
        <w:rPr>
          <w:rFonts w:ascii="Arial" w:eastAsia="Calibri" w:hAnsi="Arial" w:cs="Arial"/>
          <w:lang w:val="bs-Latn-BA"/>
        </w:rPr>
        <w:t xml:space="preserve"> u oblasti drumskog prevoza, odnosno odredbe Zakona se usklađuju sa:</w:t>
      </w:r>
    </w:p>
    <w:p w:rsidR="00E8127C" w:rsidRPr="00E8127C" w:rsidRDefault="00E8127C" w:rsidP="00E8127C">
      <w:pPr>
        <w:numPr>
          <w:ilvl w:val="0"/>
          <w:numId w:val="2"/>
        </w:numPr>
        <w:autoSpaceDE w:val="0"/>
        <w:autoSpaceDN w:val="0"/>
        <w:adjustRightInd w:val="0"/>
        <w:spacing w:after="120" w:line="276" w:lineRule="auto"/>
        <w:ind w:left="714" w:hanging="357"/>
        <w:jc w:val="both"/>
        <w:rPr>
          <w:rFonts w:ascii="Arial" w:eastAsia="Calibri" w:hAnsi="Arial" w:cs="Arial"/>
          <w:bCs/>
          <w:color w:val="000000"/>
          <w:lang w:val="sr-Latn-ME" w:eastAsia="hr-HR"/>
        </w:rPr>
      </w:pPr>
      <w:r w:rsidRPr="00E8127C">
        <w:rPr>
          <w:rFonts w:ascii="Arial" w:eastAsia="Calibri" w:hAnsi="Arial" w:cs="Arial"/>
          <w:bCs/>
          <w:color w:val="000000"/>
          <w:lang w:val="sr-Latn-ME" w:eastAsia="hr-HR"/>
        </w:rPr>
        <w:t xml:space="preserve">Regulativa </w:t>
      </w:r>
      <w:r w:rsidRPr="00E8127C">
        <w:rPr>
          <w:rFonts w:ascii="Arial" w:eastAsia="Calibri" w:hAnsi="Arial" w:cs="Arial"/>
          <w:bCs/>
          <w:color w:val="000000"/>
          <w:lang w:val="sr-Cyrl-ME" w:eastAsia="hr-HR"/>
        </w:rPr>
        <w:t>(EU) br</w:t>
      </w:r>
      <w:r w:rsidRPr="00E8127C">
        <w:rPr>
          <w:rFonts w:ascii="Arial" w:eastAsia="Calibri" w:hAnsi="Arial" w:cs="Arial"/>
          <w:bCs/>
          <w:color w:val="000000"/>
          <w:lang w:val="sr-Latn-ME" w:eastAsia="hr-HR"/>
        </w:rPr>
        <w:t>oj</w:t>
      </w:r>
      <w:r w:rsidRPr="00E8127C">
        <w:rPr>
          <w:rFonts w:ascii="Arial" w:eastAsia="Calibri" w:hAnsi="Arial" w:cs="Arial"/>
          <w:bCs/>
          <w:color w:val="000000"/>
          <w:lang w:val="sr-Cyrl-ME" w:eastAsia="hr-HR"/>
        </w:rPr>
        <w:t xml:space="preserve"> 181/2011 E</w:t>
      </w:r>
      <w:r w:rsidRPr="00E8127C">
        <w:rPr>
          <w:rFonts w:ascii="Arial" w:eastAsia="Calibri" w:hAnsi="Arial" w:cs="Arial"/>
          <w:bCs/>
          <w:color w:val="000000"/>
          <w:lang w:val="sr-Latn-ME" w:eastAsia="hr-HR"/>
        </w:rPr>
        <w:t>V</w:t>
      </w:r>
      <w:r w:rsidRPr="00E8127C">
        <w:rPr>
          <w:rFonts w:ascii="Arial" w:eastAsia="Calibri" w:hAnsi="Arial" w:cs="Arial"/>
          <w:bCs/>
          <w:color w:val="000000"/>
          <w:lang w:val="sr-Cyrl-ME" w:eastAsia="hr-HR"/>
        </w:rPr>
        <w:t xml:space="preserve">ROPSKOG PARLAMENTA I </w:t>
      </w:r>
      <w:r w:rsidRPr="00E8127C">
        <w:rPr>
          <w:rFonts w:ascii="Arial" w:eastAsia="Calibri" w:hAnsi="Arial" w:cs="Arial"/>
          <w:bCs/>
          <w:color w:val="000000"/>
          <w:lang w:val="sr-Latn-ME" w:eastAsia="hr-HR"/>
        </w:rPr>
        <w:t>SAVJETA</w:t>
      </w:r>
      <w:r w:rsidRPr="00E8127C">
        <w:rPr>
          <w:rFonts w:ascii="Arial" w:eastAsia="Calibri" w:hAnsi="Arial" w:cs="Arial"/>
          <w:bCs/>
          <w:color w:val="000000"/>
          <w:lang w:val="sr-Cyrl-ME" w:eastAsia="hr-HR"/>
        </w:rPr>
        <w:t xml:space="preserve"> od 16. </w:t>
      </w:r>
      <w:r w:rsidRPr="00E8127C">
        <w:rPr>
          <w:rFonts w:ascii="Arial" w:eastAsia="Calibri" w:hAnsi="Arial" w:cs="Arial"/>
          <w:bCs/>
          <w:color w:val="000000"/>
          <w:lang w:val="sr-Latn-ME" w:eastAsia="hr-HR"/>
        </w:rPr>
        <w:t>februara</w:t>
      </w:r>
      <w:r w:rsidRPr="00E8127C">
        <w:rPr>
          <w:rFonts w:ascii="Arial" w:eastAsia="Calibri" w:hAnsi="Arial" w:cs="Arial"/>
          <w:bCs/>
          <w:color w:val="000000"/>
          <w:lang w:val="sr-Cyrl-ME" w:eastAsia="hr-HR"/>
        </w:rPr>
        <w:t xml:space="preserve"> 2011.</w:t>
      </w:r>
      <w:r w:rsidRPr="00E8127C">
        <w:rPr>
          <w:rFonts w:ascii="Arial" w:eastAsia="Calibri" w:hAnsi="Arial" w:cs="Arial"/>
          <w:bCs/>
          <w:color w:val="000000"/>
          <w:lang w:val="sr-Latn-ME" w:eastAsia="hr-HR"/>
        </w:rPr>
        <w:t xml:space="preserve"> godine</w:t>
      </w:r>
      <w:r w:rsidRPr="00E8127C">
        <w:rPr>
          <w:rFonts w:ascii="Arial" w:eastAsia="Calibri" w:hAnsi="Arial" w:cs="Arial"/>
          <w:bCs/>
          <w:color w:val="000000"/>
          <w:lang w:val="sr-Cyrl-ME" w:eastAsia="hr-HR"/>
        </w:rPr>
        <w:t xml:space="preserve"> o pravima putnika u autobus</w:t>
      </w:r>
      <w:r w:rsidRPr="00E8127C">
        <w:rPr>
          <w:rFonts w:ascii="Arial" w:eastAsia="Calibri" w:hAnsi="Arial" w:cs="Arial"/>
          <w:bCs/>
          <w:color w:val="000000"/>
          <w:lang w:val="sr-Latn-ME" w:eastAsia="hr-HR"/>
        </w:rPr>
        <w:t>k</w:t>
      </w:r>
      <w:r w:rsidRPr="00E8127C">
        <w:rPr>
          <w:rFonts w:ascii="Arial" w:eastAsia="Calibri" w:hAnsi="Arial" w:cs="Arial"/>
          <w:bCs/>
          <w:color w:val="000000"/>
          <w:lang w:val="sr-Cyrl-ME" w:eastAsia="hr-HR"/>
        </w:rPr>
        <w:t>om prevozu i izmjeni Uredbe (EZ) br. 2006/2004</w:t>
      </w:r>
    </w:p>
    <w:p w:rsidR="00E8127C" w:rsidRPr="00E8127C" w:rsidRDefault="00E8127C" w:rsidP="00E8127C">
      <w:pPr>
        <w:spacing w:after="120" w:line="240" w:lineRule="auto"/>
        <w:jc w:val="both"/>
        <w:rPr>
          <w:rFonts w:ascii="Arial" w:eastAsia="Times New Roman" w:hAnsi="Arial" w:cs="Arial"/>
          <w:b/>
          <w:bCs/>
          <w:lang w:val="sr-Latn-CS" w:eastAsia="hr-HR"/>
        </w:rPr>
      </w:pPr>
      <w:r w:rsidRPr="00E8127C">
        <w:rPr>
          <w:rFonts w:ascii="Arial" w:eastAsia="Times New Roman" w:hAnsi="Arial" w:cs="Arial"/>
          <w:lang w:val="bs-Latn-BA" w:eastAsia="hr-HR"/>
        </w:rPr>
        <w:t xml:space="preserve"> </w:t>
      </w:r>
      <w:r w:rsidRPr="00E8127C">
        <w:rPr>
          <w:rFonts w:ascii="Arial" w:eastAsia="Times New Roman" w:hAnsi="Arial" w:cs="Arial"/>
          <w:b/>
          <w:bCs/>
          <w:lang w:val="sr-Latn-CS" w:eastAsia="hr-HR"/>
        </w:rPr>
        <w:t>IV. </w:t>
      </w:r>
      <w:r w:rsidRPr="00E8127C">
        <w:rPr>
          <w:rFonts w:ascii="Arial" w:eastAsia="Times New Roman" w:hAnsi="Arial" w:cs="Arial"/>
          <w:b/>
          <w:bCs/>
          <w:lang w:val="bs-Latn-BA" w:eastAsia="hr-HR"/>
        </w:rPr>
        <w:t xml:space="preserve"> </w:t>
      </w:r>
      <w:r w:rsidRPr="00E8127C">
        <w:rPr>
          <w:rFonts w:ascii="Arial" w:eastAsia="Times New Roman" w:hAnsi="Arial" w:cs="Arial"/>
          <w:b/>
          <w:bCs/>
          <w:lang w:val="sr-Latn-CS" w:eastAsia="hr-HR"/>
        </w:rPr>
        <w:t>OBRAZLO</w:t>
      </w:r>
      <w:r w:rsidRPr="00E8127C">
        <w:rPr>
          <w:rFonts w:ascii="Arial" w:eastAsia="Times New Roman" w:hAnsi="Arial" w:cs="Arial"/>
          <w:b/>
          <w:bCs/>
          <w:lang w:val="bs-Latn-BA" w:eastAsia="hr-HR"/>
        </w:rPr>
        <w:t>Ž</w:t>
      </w:r>
      <w:r w:rsidRPr="00E8127C">
        <w:rPr>
          <w:rFonts w:ascii="Arial" w:eastAsia="Times New Roman" w:hAnsi="Arial" w:cs="Arial"/>
          <w:b/>
          <w:bCs/>
          <w:lang w:val="sr-Latn-CS" w:eastAsia="hr-HR"/>
        </w:rPr>
        <w:t>ENJE</w:t>
      </w:r>
      <w:r w:rsidRPr="00E8127C">
        <w:rPr>
          <w:rFonts w:ascii="Arial" w:eastAsia="Times New Roman" w:hAnsi="Arial" w:cs="Arial"/>
          <w:b/>
          <w:bCs/>
          <w:lang w:val="bs-Latn-BA" w:eastAsia="hr-HR"/>
        </w:rPr>
        <w:t xml:space="preserve"> </w:t>
      </w:r>
      <w:r w:rsidRPr="00E8127C">
        <w:rPr>
          <w:rFonts w:ascii="Arial" w:eastAsia="Times New Roman" w:hAnsi="Arial" w:cs="Arial"/>
          <w:b/>
          <w:bCs/>
          <w:lang w:val="sr-Latn-CS" w:eastAsia="hr-HR"/>
        </w:rPr>
        <w:t>OSNOVNIH</w:t>
      </w:r>
      <w:r w:rsidRPr="00E8127C">
        <w:rPr>
          <w:rFonts w:ascii="Arial" w:eastAsia="Times New Roman" w:hAnsi="Arial" w:cs="Arial"/>
          <w:b/>
          <w:bCs/>
          <w:lang w:val="bs-Latn-BA" w:eastAsia="hr-HR"/>
        </w:rPr>
        <w:t xml:space="preserve"> </w:t>
      </w:r>
      <w:r w:rsidRPr="00E8127C">
        <w:rPr>
          <w:rFonts w:ascii="Arial" w:eastAsia="Times New Roman" w:hAnsi="Arial" w:cs="Arial"/>
          <w:b/>
          <w:bCs/>
          <w:lang w:val="sr-Latn-CS" w:eastAsia="hr-HR"/>
        </w:rPr>
        <w:t>PRAVNIH</w:t>
      </w:r>
      <w:r w:rsidRPr="00E8127C">
        <w:rPr>
          <w:rFonts w:ascii="Arial" w:eastAsia="Times New Roman" w:hAnsi="Arial" w:cs="Arial"/>
          <w:b/>
          <w:bCs/>
          <w:lang w:val="bs-Latn-BA" w:eastAsia="hr-HR"/>
        </w:rPr>
        <w:t xml:space="preserve"> </w:t>
      </w:r>
      <w:r w:rsidRPr="00E8127C">
        <w:rPr>
          <w:rFonts w:ascii="Arial" w:eastAsia="Times New Roman" w:hAnsi="Arial" w:cs="Arial"/>
          <w:b/>
          <w:bCs/>
          <w:lang w:val="sr-Latn-CS" w:eastAsia="hr-HR"/>
        </w:rPr>
        <w:t>INSTITUTA</w:t>
      </w:r>
    </w:p>
    <w:p w:rsidR="00E8127C" w:rsidRPr="00E8127C" w:rsidRDefault="00E8127C" w:rsidP="00E8127C">
      <w:pPr>
        <w:spacing w:after="120" w:line="240" w:lineRule="auto"/>
        <w:rPr>
          <w:rFonts w:ascii="Arial" w:eastAsia="Times New Roman" w:hAnsi="Arial" w:cs="Arial"/>
          <w:b/>
          <w:bCs/>
          <w:lang w:val="sr-Latn-CS" w:eastAsia="hr-HR"/>
        </w:rPr>
      </w:pPr>
      <w:r w:rsidRPr="00E8127C">
        <w:rPr>
          <w:rFonts w:ascii="Arial" w:eastAsia="Times New Roman" w:hAnsi="Arial" w:cs="Arial"/>
          <w:b/>
          <w:bCs/>
          <w:lang w:val="sr-Latn-CS" w:eastAsia="hr-HR"/>
        </w:rPr>
        <w:tab/>
        <w:t>Odredbe koje se odnose na prava lica sa invaliditetom</w:t>
      </w:r>
    </w:p>
    <w:p w:rsidR="00E8127C" w:rsidRPr="00E8127C" w:rsidRDefault="00E8127C" w:rsidP="00E8127C">
      <w:pPr>
        <w:spacing w:after="120" w:line="240" w:lineRule="auto"/>
        <w:rPr>
          <w:rFonts w:ascii="Arial" w:eastAsia="Times New Roman" w:hAnsi="Arial" w:cs="Arial"/>
          <w:b/>
          <w:bCs/>
          <w:lang w:val="sr-Latn-CS" w:eastAsia="hr-HR"/>
        </w:rPr>
      </w:pPr>
      <w:r w:rsidRPr="00E8127C">
        <w:rPr>
          <w:rFonts w:ascii="Arial" w:eastAsia="Times New Roman" w:hAnsi="Arial" w:cs="Arial"/>
          <w:b/>
          <w:bCs/>
          <w:lang w:val="sr-Latn-CS" w:eastAsia="hr-HR"/>
        </w:rPr>
        <w:tab/>
        <w:t xml:space="preserve">Član 1 </w:t>
      </w:r>
    </w:p>
    <w:p w:rsidR="00E8127C" w:rsidRPr="00E8127C" w:rsidRDefault="00E8127C" w:rsidP="00E8127C">
      <w:pPr>
        <w:spacing w:after="120" w:line="240" w:lineRule="auto"/>
        <w:jc w:val="both"/>
        <w:rPr>
          <w:rFonts w:ascii="Arial" w:eastAsia="Times New Roman" w:hAnsi="Arial" w:cs="Arial"/>
          <w:lang w:val="sr-Latn-ME" w:eastAsia="hr-HR"/>
        </w:rPr>
      </w:pPr>
      <w:r w:rsidRPr="00E8127C">
        <w:rPr>
          <w:rFonts w:ascii="Arial" w:eastAsia="Times New Roman" w:hAnsi="Arial" w:cs="Arial"/>
          <w:bCs/>
          <w:lang w:val="sr-Latn-CS" w:eastAsia="hr-HR"/>
        </w:rPr>
        <w:tab/>
        <w:t>U članu 1 definisane su obaveze l</w:t>
      </w:r>
      <w:r w:rsidRPr="00E8127C">
        <w:rPr>
          <w:rFonts w:ascii="Arial" w:eastAsia="Times New Roman" w:hAnsi="Arial" w:cs="Arial"/>
          <w:lang w:val="sr-Latn-ME" w:eastAsia="hr-HR"/>
        </w:rPr>
        <w:t xml:space="preserve">ica koje upravlja autobuskom stanicom da obezbijedi licima sa invaliditetom pomoć pri ulasku, kretanju i izlasku sa autobuske stanice, ulasku i izlasku iz autobusa, ukrcaju i iskrcaju prtljaga i uvođenju psa vodiča u autobus. Nadalje, lice koje upravlja autobuskom stanicom dužno je da licu sa invaliditetom definisanu pomoć pruža besplatno. </w:t>
      </w:r>
    </w:p>
    <w:p w:rsidR="00E8127C" w:rsidRPr="00E8127C" w:rsidRDefault="00E8127C" w:rsidP="00E8127C">
      <w:pPr>
        <w:spacing w:after="120" w:line="240" w:lineRule="auto"/>
        <w:jc w:val="both"/>
        <w:rPr>
          <w:rFonts w:ascii="Arial" w:eastAsia="Times New Roman" w:hAnsi="Arial" w:cs="Arial"/>
          <w:b/>
          <w:lang w:val="sr-Latn-ME" w:eastAsia="hr-HR"/>
        </w:rPr>
      </w:pPr>
      <w:r w:rsidRPr="00E8127C">
        <w:rPr>
          <w:rFonts w:ascii="Arial" w:eastAsia="Times New Roman" w:hAnsi="Arial" w:cs="Arial"/>
          <w:lang w:val="sr-Latn-ME" w:eastAsia="hr-HR"/>
        </w:rPr>
        <w:tab/>
      </w:r>
      <w:r w:rsidRPr="00E8127C">
        <w:rPr>
          <w:rFonts w:ascii="Arial" w:eastAsia="Times New Roman" w:hAnsi="Arial" w:cs="Arial"/>
          <w:b/>
          <w:lang w:val="sr-Latn-ME" w:eastAsia="hr-HR"/>
        </w:rPr>
        <w:t>Prekid putovanja</w:t>
      </w:r>
    </w:p>
    <w:p w:rsidR="00E8127C" w:rsidRPr="00E8127C" w:rsidRDefault="00E8127C" w:rsidP="00E8127C">
      <w:pPr>
        <w:spacing w:after="120" w:line="240" w:lineRule="auto"/>
        <w:jc w:val="both"/>
        <w:rPr>
          <w:rFonts w:ascii="Arial" w:eastAsia="Times New Roman" w:hAnsi="Arial" w:cs="Arial"/>
          <w:b/>
          <w:lang w:val="sr-Latn-ME" w:eastAsia="hr-HR"/>
        </w:rPr>
      </w:pPr>
      <w:r w:rsidRPr="00E8127C">
        <w:rPr>
          <w:rFonts w:ascii="Arial" w:eastAsia="Times New Roman" w:hAnsi="Arial" w:cs="Arial"/>
          <w:lang w:val="sr-Latn-ME" w:eastAsia="hr-HR"/>
        </w:rPr>
        <w:tab/>
      </w:r>
      <w:r w:rsidRPr="00E8127C">
        <w:rPr>
          <w:rFonts w:ascii="Arial" w:eastAsia="Times New Roman" w:hAnsi="Arial" w:cs="Arial"/>
          <w:b/>
          <w:lang w:val="sr-Latn-ME" w:eastAsia="hr-HR"/>
        </w:rPr>
        <w:t>Član 2</w:t>
      </w:r>
    </w:p>
    <w:p w:rsidR="00E8127C" w:rsidRPr="00E8127C" w:rsidRDefault="00E8127C" w:rsidP="00E8127C">
      <w:pPr>
        <w:spacing w:after="120" w:line="240" w:lineRule="auto"/>
        <w:jc w:val="both"/>
        <w:rPr>
          <w:rFonts w:ascii="Arial" w:eastAsia="Times New Roman" w:hAnsi="Arial" w:cs="Arial"/>
          <w:lang w:val="sr-Latn-ME" w:eastAsia="hr-HR"/>
        </w:rPr>
      </w:pPr>
      <w:r w:rsidRPr="00E8127C">
        <w:rPr>
          <w:rFonts w:ascii="Arial" w:eastAsia="Times New Roman" w:hAnsi="Arial" w:cs="Arial"/>
          <w:b/>
          <w:bCs/>
          <w:lang w:val="sr-Latn-CS" w:eastAsia="hr-HR"/>
        </w:rPr>
        <w:tab/>
      </w:r>
      <w:r w:rsidRPr="00E8127C">
        <w:rPr>
          <w:rFonts w:ascii="Arial" w:eastAsia="Times New Roman" w:hAnsi="Arial" w:cs="Arial"/>
          <w:lang w:val="sr-Latn-ME" w:eastAsia="hr-HR"/>
        </w:rPr>
        <w:t>Članom 2 su definisane obaveze prevoznika usled prekida putovanja iz razloga za koji putnik nije odgovoran, a koje se odnose na njegovu dužnost da u punom iznosu vrati naknadu za dio ili djelove neiskorišćenog puta, i za dio ili djelove iskorišćenog puta ako putovanje više ne služi namjeni u odnosu izvorni plan putovanja, kao i da u slučaju mjesečnih karata vrati naknadu za prevoz proporcionalno dijelu neiskorišćenih polazaka u gotovini, osim ako putnik na prihvati drugi način povrata.</w:t>
      </w:r>
    </w:p>
    <w:p w:rsidR="00E8127C" w:rsidRPr="00E8127C" w:rsidRDefault="00E8127C" w:rsidP="00E8127C">
      <w:pPr>
        <w:spacing w:after="120" w:line="240" w:lineRule="auto"/>
        <w:jc w:val="both"/>
        <w:rPr>
          <w:rFonts w:ascii="Arial" w:eastAsia="Times New Roman" w:hAnsi="Arial" w:cs="Arial"/>
          <w:b/>
          <w:lang w:val="sr-Latn-ME" w:eastAsia="hr-HR"/>
        </w:rPr>
      </w:pPr>
      <w:r w:rsidRPr="00E8127C">
        <w:rPr>
          <w:rFonts w:ascii="Arial" w:eastAsia="Times New Roman" w:hAnsi="Arial" w:cs="Arial"/>
          <w:b/>
          <w:lang w:val="sr-Latn-ME" w:eastAsia="hr-HR"/>
        </w:rPr>
        <w:lastRenderedPageBreak/>
        <w:tab/>
        <w:t xml:space="preserve">Odredbe koje se odnose na iznos naknade za štetu nastalu u prevozu putnika u međunarodnom drumskom saobraćaju </w:t>
      </w:r>
    </w:p>
    <w:p w:rsidR="00E8127C" w:rsidRPr="00E8127C" w:rsidRDefault="00E8127C" w:rsidP="00E8127C">
      <w:pPr>
        <w:spacing w:after="120" w:line="240" w:lineRule="auto"/>
        <w:jc w:val="both"/>
        <w:rPr>
          <w:rFonts w:ascii="Arial" w:eastAsia="Times New Roman" w:hAnsi="Arial" w:cs="Arial"/>
          <w:b/>
          <w:lang w:val="sr-Latn-ME" w:eastAsia="hr-HR"/>
        </w:rPr>
      </w:pPr>
      <w:r w:rsidRPr="00E8127C">
        <w:rPr>
          <w:rFonts w:ascii="Arial" w:eastAsia="Times New Roman" w:hAnsi="Arial" w:cs="Arial"/>
          <w:b/>
          <w:lang w:val="sr-Latn-ME" w:eastAsia="hr-HR"/>
        </w:rPr>
        <w:tab/>
        <w:t xml:space="preserve">Članovi 3 i 4 </w:t>
      </w:r>
    </w:p>
    <w:p w:rsidR="00E8127C" w:rsidRPr="00E8127C" w:rsidRDefault="00E8127C" w:rsidP="00E8127C">
      <w:pPr>
        <w:spacing w:after="120" w:line="240" w:lineRule="auto"/>
        <w:jc w:val="both"/>
        <w:rPr>
          <w:rFonts w:ascii="Arial" w:eastAsia="Times New Roman" w:hAnsi="Arial" w:cs="Arial"/>
          <w:lang w:val="sr-Latn-ME" w:eastAsia="hr-HR"/>
        </w:rPr>
      </w:pPr>
      <w:r w:rsidRPr="00E8127C">
        <w:rPr>
          <w:rFonts w:ascii="Arial" w:eastAsia="Times New Roman" w:hAnsi="Arial" w:cs="Arial"/>
          <w:bCs/>
          <w:lang w:val="sr-Latn-CS" w:eastAsia="hr-HR"/>
        </w:rPr>
        <w:tab/>
        <w:t xml:space="preserve">Članovima 3 i 4 definisan je </w:t>
      </w:r>
      <w:r w:rsidRPr="00E8127C">
        <w:rPr>
          <w:rFonts w:ascii="Arial" w:eastAsia="Times New Roman" w:hAnsi="Arial" w:cs="Arial"/>
          <w:lang w:val="sr-Latn-ME" w:eastAsia="hr-HR"/>
        </w:rPr>
        <w:t>iznos naknade za štetu nastalu u prevozu putnika u međunarodnom drumskom saobraćaju. Naime, članom 3 definisana je visina naknade za štetu nastalu zbog smrti putnika, tjelesne povrede ili oštećenja zdravlja putnika u prevozu u međunarodnom drumskom saobraćaju gdje prevoznik odgovara po putniku do 220 000 €. Članom 4 definisana je visina naknade za štetu nastalu zbog potpunog ili djelimičnog gubitka ili oštećenja prtljaga, odnosno ručnog prtljaga putniku u prevozu u međunarodnom drumskom saobraćaju gdje prevoznik odgovara po jedinici prtljaga u iznosu do 1200 €.</w:t>
      </w:r>
    </w:p>
    <w:p w:rsidR="00E8127C" w:rsidRPr="00E8127C" w:rsidRDefault="00E8127C" w:rsidP="00E8127C">
      <w:pPr>
        <w:spacing w:after="120" w:line="240" w:lineRule="auto"/>
        <w:rPr>
          <w:rFonts w:ascii="Arial" w:eastAsia="Times New Roman" w:hAnsi="Arial" w:cs="Arial"/>
          <w:b/>
          <w:lang w:val="sr-Latn-ME" w:eastAsia="hr-HR"/>
        </w:rPr>
      </w:pPr>
      <w:r w:rsidRPr="00E8127C">
        <w:rPr>
          <w:rFonts w:ascii="Arial" w:eastAsia="Times New Roman" w:hAnsi="Arial" w:cs="Arial"/>
          <w:b/>
          <w:lang w:val="sr-Latn-ME" w:eastAsia="hr-HR"/>
        </w:rPr>
        <w:tab/>
        <w:t>Odredbe koje se odnose na odlaganje primjene čl. 2 i 3 do dana pristupanja Crne Gore Evropskoj uniji</w:t>
      </w:r>
    </w:p>
    <w:p w:rsidR="00E8127C" w:rsidRPr="00E8127C" w:rsidRDefault="00E8127C" w:rsidP="00E8127C">
      <w:pPr>
        <w:spacing w:after="120" w:line="240" w:lineRule="auto"/>
        <w:rPr>
          <w:rFonts w:ascii="Arial" w:eastAsia="Times New Roman" w:hAnsi="Arial" w:cs="Arial"/>
          <w:b/>
          <w:lang w:val="sr-Latn-ME" w:eastAsia="hr-HR"/>
        </w:rPr>
      </w:pPr>
      <w:r w:rsidRPr="00E8127C">
        <w:rPr>
          <w:rFonts w:ascii="Arial" w:eastAsia="Times New Roman" w:hAnsi="Arial" w:cs="Arial"/>
          <w:b/>
          <w:lang w:val="sr-Latn-ME" w:eastAsia="hr-HR"/>
        </w:rPr>
        <w:tab/>
        <w:t>Član 5</w:t>
      </w:r>
    </w:p>
    <w:p w:rsidR="00E8127C" w:rsidRPr="00E8127C" w:rsidRDefault="00E8127C" w:rsidP="00E8127C">
      <w:pPr>
        <w:spacing w:after="120" w:line="240" w:lineRule="auto"/>
        <w:jc w:val="both"/>
        <w:rPr>
          <w:rFonts w:ascii="Arial" w:eastAsia="Times New Roman" w:hAnsi="Arial" w:cs="Arial"/>
          <w:lang w:val="sr-Latn-ME" w:eastAsia="hr-HR"/>
        </w:rPr>
      </w:pPr>
      <w:r w:rsidRPr="00E8127C">
        <w:rPr>
          <w:rFonts w:ascii="Arial" w:eastAsia="Times New Roman" w:hAnsi="Arial" w:cs="Arial"/>
          <w:lang w:val="sr-Latn-ME" w:eastAsia="hr-HR"/>
        </w:rPr>
        <w:tab/>
        <w:t xml:space="preserve">Članom 5 definisana je primjena čl. 3 i 4 od dana pristupanja Crne Gore Evropskoj uniji. Crna Gora iz razloga usklađivanja nacionalnog zakonodavstva iz oblasti prava putnika u drumskom saobraćaju, u obavezi je implementirati predmetne naknade za štetu nastalu u prevozu putnika u međunarodnom drumskom saobraćaju. Međutim kako se radi o visokim iznosima osiguranja, koji su </w:t>
      </w:r>
      <w:r w:rsidRPr="00E8127C">
        <w:rPr>
          <w:rFonts w:ascii="Arial" w:eastAsia="Times New Roman" w:hAnsi="Arial" w:cs="Arial"/>
          <w:color w:val="000000"/>
          <w:lang w:val="sr-Latn-ME" w:eastAsia="hr-HR"/>
        </w:rPr>
        <w:t xml:space="preserve">značajno </w:t>
      </w:r>
      <w:r w:rsidRPr="00E8127C">
        <w:rPr>
          <w:rFonts w:ascii="Arial" w:eastAsia="Times New Roman" w:hAnsi="Arial" w:cs="Arial"/>
          <w:lang w:val="sr-Latn-ME" w:eastAsia="hr-HR"/>
        </w:rPr>
        <w:t>povećani u odnosu na trenutne visine naknada, ove odredbe će se primjenjivati od dana ulaska Crne Gore u Evropsku uniju. Bitno istaći da je predmetno zaključeno imajući u vidu povećanje premije osiguranja putnika od posljedica nesrećnog slučaja koju plaćaju prevoznici čime bi se stvorio veliki namet prevoznicima u javnom prevozu putnika uzimajući u obzir ekonomsku moć crnogorskih prevoznika u ovom trenutku.</w:t>
      </w:r>
    </w:p>
    <w:p w:rsidR="00E8127C" w:rsidRPr="00E8127C" w:rsidRDefault="00E8127C" w:rsidP="00E8127C">
      <w:pPr>
        <w:spacing w:after="120" w:line="240" w:lineRule="auto"/>
        <w:rPr>
          <w:rFonts w:ascii="Arial" w:eastAsia="Times New Roman" w:hAnsi="Arial" w:cs="Arial"/>
          <w:b/>
          <w:bCs/>
          <w:lang w:val="pl-PL" w:eastAsia="hr-HR"/>
        </w:rPr>
      </w:pPr>
      <w:r w:rsidRPr="00E8127C">
        <w:rPr>
          <w:rFonts w:ascii="Arial" w:eastAsia="Times New Roman" w:hAnsi="Arial" w:cs="Arial"/>
          <w:b/>
          <w:bCs/>
          <w:lang w:val="pl-PL" w:eastAsia="hr-HR"/>
        </w:rPr>
        <w:t>V. PROCJENA FINANSIJSKIH  SREDSTAVA ZA SPROVOĐENJE ZAKONA</w:t>
      </w:r>
    </w:p>
    <w:p w:rsidR="00E8127C" w:rsidRPr="00E8127C" w:rsidRDefault="00E8127C" w:rsidP="00E8127C">
      <w:pPr>
        <w:spacing w:after="120" w:line="240" w:lineRule="auto"/>
        <w:ind w:firstLine="708"/>
        <w:jc w:val="both"/>
        <w:rPr>
          <w:rFonts w:ascii="Arial" w:eastAsia="Times New Roman" w:hAnsi="Arial" w:cs="Arial"/>
          <w:lang w:val="sr-Latn-CS" w:eastAsia="hr-HR"/>
        </w:rPr>
      </w:pPr>
      <w:r w:rsidRPr="00E8127C">
        <w:rPr>
          <w:rFonts w:ascii="Arial" w:eastAsia="Times New Roman" w:hAnsi="Arial" w:cs="Arial"/>
          <w:lang w:val="pl-PL" w:eastAsia="hr-HR"/>
        </w:rPr>
        <w:t>Za sprovođenje ovog zakona nijesu potrebna finansijska sredstva.</w:t>
      </w:r>
    </w:p>
    <w:p w:rsidR="00E8127C" w:rsidRPr="00E8127C" w:rsidRDefault="00E8127C" w:rsidP="00E8127C">
      <w:pPr>
        <w:spacing w:after="0" w:line="240" w:lineRule="auto"/>
        <w:rPr>
          <w:rFonts w:ascii="Arial" w:eastAsia="Times New Roman" w:hAnsi="Arial" w:cs="Arial"/>
          <w:lang w:val="sr-Latn-CS" w:eastAsia="hr-HR"/>
        </w:rPr>
      </w:pPr>
    </w:p>
    <w:p w:rsidR="00E8127C" w:rsidRPr="00E8127C" w:rsidRDefault="00E8127C" w:rsidP="00E8127C">
      <w:pPr>
        <w:spacing w:after="0" w:line="240" w:lineRule="auto"/>
        <w:rPr>
          <w:rFonts w:ascii="Times New Roman" w:eastAsia="Times New Roman" w:hAnsi="Times New Roman" w:cs="Times New Roman"/>
          <w:sz w:val="20"/>
          <w:szCs w:val="20"/>
          <w:lang w:val="sr-Latn-CS" w:eastAsia="hr-HR"/>
        </w:rPr>
      </w:pPr>
    </w:p>
    <w:p w:rsidR="00E8127C" w:rsidRPr="00E8127C" w:rsidRDefault="00E8127C" w:rsidP="00E8127C">
      <w:pPr>
        <w:spacing w:after="0" w:line="240" w:lineRule="auto"/>
        <w:rPr>
          <w:rFonts w:ascii="Times New Roman" w:eastAsia="Times New Roman" w:hAnsi="Times New Roman" w:cs="Times New Roman"/>
          <w:sz w:val="20"/>
          <w:szCs w:val="20"/>
          <w:lang w:val="sr-Latn-CS" w:eastAsia="hr-HR"/>
        </w:rPr>
      </w:pPr>
    </w:p>
    <w:p w:rsidR="00E8127C" w:rsidRPr="00E8127C" w:rsidRDefault="00E8127C" w:rsidP="00E8127C">
      <w:pPr>
        <w:spacing w:after="0" w:line="240" w:lineRule="auto"/>
        <w:rPr>
          <w:rFonts w:ascii="Times New Roman" w:eastAsia="Times New Roman" w:hAnsi="Times New Roman" w:cs="Times New Roman"/>
          <w:sz w:val="20"/>
          <w:szCs w:val="20"/>
          <w:lang w:val="sr-Latn-CS" w:eastAsia="hr-HR"/>
        </w:rPr>
      </w:pPr>
    </w:p>
    <w:p w:rsidR="009C5F0E" w:rsidRDefault="009C5F0E"/>
    <w:sectPr w:rsidR="009C5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078A4"/>
    <w:multiLevelType w:val="hybridMultilevel"/>
    <w:tmpl w:val="04DE2F7E"/>
    <w:lvl w:ilvl="0" w:tplc="04090005">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2E3D091C"/>
    <w:multiLevelType w:val="hybridMultilevel"/>
    <w:tmpl w:val="304EACCE"/>
    <w:lvl w:ilvl="0" w:tplc="04090005">
      <w:start w:val="1"/>
      <w:numFmt w:val="bullet"/>
      <w:lvlText w:val=""/>
      <w:lvlJc w:val="left"/>
      <w:pPr>
        <w:ind w:left="720" w:hanging="360"/>
      </w:pPr>
      <w:rPr>
        <w:rFonts w:ascii="Wingdings" w:hAnsi="Wingdings" w:hint="default"/>
      </w:rPr>
    </w:lvl>
    <w:lvl w:ilvl="1" w:tplc="301A0003" w:tentative="1">
      <w:start w:val="1"/>
      <w:numFmt w:val="bullet"/>
      <w:lvlText w:val="o"/>
      <w:lvlJc w:val="left"/>
      <w:pPr>
        <w:ind w:left="1440" w:hanging="360"/>
      </w:pPr>
      <w:rPr>
        <w:rFonts w:ascii="Courier New" w:hAnsi="Courier New" w:cs="Courier New" w:hint="default"/>
      </w:rPr>
    </w:lvl>
    <w:lvl w:ilvl="2" w:tplc="301A0005" w:tentative="1">
      <w:start w:val="1"/>
      <w:numFmt w:val="bullet"/>
      <w:lvlText w:val=""/>
      <w:lvlJc w:val="left"/>
      <w:pPr>
        <w:ind w:left="2160" w:hanging="360"/>
      </w:pPr>
      <w:rPr>
        <w:rFonts w:ascii="Wingdings" w:hAnsi="Wingdings" w:hint="default"/>
      </w:rPr>
    </w:lvl>
    <w:lvl w:ilvl="3" w:tplc="301A0001" w:tentative="1">
      <w:start w:val="1"/>
      <w:numFmt w:val="bullet"/>
      <w:lvlText w:val=""/>
      <w:lvlJc w:val="left"/>
      <w:pPr>
        <w:ind w:left="2880" w:hanging="360"/>
      </w:pPr>
      <w:rPr>
        <w:rFonts w:ascii="Symbol" w:hAnsi="Symbol" w:hint="default"/>
      </w:rPr>
    </w:lvl>
    <w:lvl w:ilvl="4" w:tplc="301A0003" w:tentative="1">
      <w:start w:val="1"/>
      <w:numFmt w:val="bullet"/>
      <w:lvlText w:val="o"/>
      <w:lvlJc w:val="left"/>
      <w:pPr>
        <w:ind w:left="3600" w:hanging="360"/>
      </w:pPr>
      <w:rPr>
        <w:rFonts w:ascii="Courier New" w:hAnsi="Courier New" w:cs="Courier New" w:hint="default"/>
      </w:rPr>
    </w:lvl>
    <w:lvl w:ilvl="5" w:tplc="301A0005" w:tentative="1">
      <w:start w:val="1"/>
      <w:numFmt w:val="bullet"/>
      <w:lvlText w:val=""/>
      <w:lvlJc w:val="left"/>
      <w:pPr>
        <w:ind w:left="4320" w:hanging="360"/>
      </w:pPr>
      <w:rPr>
        <w:rFonts w:ascii="Wingdings" w:hAnsi="Wingdings" w:hint="default"/>
      </w:rPr>
    </w:lvl>
    <w:lvl w:ilvl="6" w:tplc="301A0001" w:tentative="1">
      <w:start w:val="1"/>
      <w:numFmt w:val="bullet"/>
      <w:lvlText w:val=""/>
      <w:lvlJc w:val="left"/>
      <w:pPr>
        <w:ind w:left="5040" w:hanging="360"/>
      </w:pPr>
      <w:rPr>
        <w:rFonts w:ascii="Symbol" w:hAnsi="Symbol" w:hint="default"/>
      </w:rPr>
    </w:lvl>
    <w:lvl w:ilvl="7" w:tplc="301A0003" w:tentative="1">
      <w:start w:val="1"/>
      <w:numFmt w:val="bullet"/>
      <w:lvlText w:val="o"/>
      <w:lvlJc w:val="left"/>
      <w:pPr>
        <w:ind w:left="5760" w:hanging="360"/>
      </w:pPr>
      <w:rPr>
        <w:rFonts w:ascii="Courier New" w:hAnsi="Courier New" w:cs="Courier New" w:hint="default"/>
      </w:rPr>
    </w:lvl>
    <w:lvl w:ilvl="8" w:tplc="30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B1A"/>
    <w:rsid w:val="00056B1A"/>
    <w:rsid w:val="009C5F0E"/>
    <w:rsid w:val="00E2584A"/>
    <w:rsid w:val="00E81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01B60"/>
  <w15:chartTrackingRefBased/>
  <w15:docId w15:val="{BE5B7D35-D6CF-41B3-89C3-A8F3E503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6148</Characters>
  <Application>Microsoft Office Word</Application>
  <DocSecurity>0</DocSecurity>
  <Lines>51</Lines>
  <Paragraphs>14</Paragraphs>
  <ScaleCrop>false</ScaleCrop>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Demir Djesevic</dc:creator>
  <cp:keywords/>
  <dc:description/>
  <cp:lastModifiedBy>Demir Djesevic</cp:lastModifiedBy>
  <cp:revision>3</cp:revision>
  <dcterms:created xsi:type="dcterms:W3CDTF">2021-07-12T10:39:00Z</dcterms:created>
  <dcterms:modified xsi:type="dcterms:W3CDTF">2021-07-15T06:29:00Z</dcterms:modified>
</cp:coreProperties>
</file>