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189" w:rsidRPr="004A4638" w:rsidRDefault="00DF1189">
      <w:pPr>
        <w:rPr>
          <w:rFonts w:ascii="Arial" w:hAnsi="Arial" w:cs="Arial"/>
        </w:rPr>
      </w:pPr>
      <w:r w:rsidRPr="004A4638">
        <w:rPr>
          <w:rFonts w:ascii="Arial" w:hAnsi="Arial" w:cs="Arial"/>
        </w:rPr>
        <w:t>Pursuant to Article 35, Paragraph 8 of the Trademark Act ("Official Gazette of Montenegro", Nos. 72/10, 44/12, 18/14, 40/16, and 2/17) and Article 34, Paragraph 6 of the Law on Legal Protection of Industrial Designs ("Official Gazette of Montenegro", Nos. 80/10, 27/13, 42/16, and 2/17), the Ministry of Economy has enacted</w:t>
      </w:r>
    </w:p>
    <w:p w:rsidR="00DF1189" w:rsidRPr="004A4638" w:rsidRDefault="00DF1189">
      <w:pPr>
        <w:rPr>
          <w:rFonts w:ascii="Arial" w:hAnsi="Arial" w:cs="Arial"/>
        </w:rPr>
      </w:pPr>
    </w:p>
    <w:p w:rsidR="00DF1189" w:rsidRPr="004A4638" w:rsidRDefault="00DF1189" w:rsidP="00C64C7A">
      <w:pPr>
        <w:jc w:val="center"/>
        <w:rPr>
          <w:rFonts w:ascii="Arial" w:hAnsi="Arial" w:cs="Arial"/>
          <w:b/>
        </w:rPr>
      </w:pPr>
      <w:bookmarkStart w:id="0" w:name="_Hlk183514129"/>
      <w:bookmarkStart w:id="1" w:name="_GoBack"/>
      <w:r w:rsidRPr="004A4638">
        <w:rPr>
          <w:rFonts w:ascii="Arial" w:hAnsi="Arial" w:cs="Arial"/>
          <w:b/>
        </w:rPr>
        <w:t>RULEBOOK</w:t>
      </w:r>
    </w:p>
    <w:p w:rsidR="004A4638" w:rsidRPr="004A4638" w:rsidRDefault="00DF1189" w:rsidP="00C64C7A">
      <w:pPr>
        <w:jc w:val="center"/>
        <w:rPr>
          <w:rFonts w:ascii="Arial" w:hAnsi="Arial" w:cs="Arial"/>
          <w:b/>
        </w:rPr>
      </w:pPr>
      <w:r w:rsidRPr="004A4638">
        <w:rPr>
          <w:rFonts w:ascii="Arial" w:hAnsi="Arial" w:cs="Arial"/>
          <w:b/>
        </w:rPr>
        <w:t>ON CONTENT OF TRADEMARK AND DESIGN</w:t>
      </w:r>
      <w:r w:rsidR="004E5513" w:rsidRPr="004A4638">
        <w:rPr>
          <w:rFonts w:ascii="Arial" w:hAnsi="Arial" w:cs="Arial"/>
          <w:b/>
        </w:rPr>
        <w:t xml:space="preserve"> </w:t>
      </w:r>
      <w:r w:rsidRPr="004A4638">
        <w:rPr>
          <w:rFonts w:ascii="Arial" w:hAnsi="Arial" w:cs="Arial"/>
          <w:b/>
        </w:rPr>
        <w:t>CERTIFICATES</w:t>
      </w:r>
    </w:p>
    <w:bookmarkEnd w:id="0"/>
    <w:bookmarkEnd w:id="1"/>
    <w:p w:rsidR="00DF1189" w:rsidRPr="004A4638" w:rsidRDefault="00DF1189" w:rsidP="004A4638">
      <w:pPr>
        <w:jc w:val="center"/>
        <w:rPr>
          <w:rFonts w:ascii="Arial" w:hAnsi="Arial" w:cs="Arial"/>
          <w:b/>
        </w:rPr>
      </w:pPr>
      <w:r w:rsidRPr="004A4638">
        <w:rPr>
          <w:rFonts w:ascii="Arial" w:hAnsi="Arial" w:cs="Arial"/>
        </w:rPr>
        <w:t>("Official Gazette of Montenegro", No. 19/17)</w:t>
      </w:r>
    </w:p>
    <w:p w:rsidR="00DF1189" w:rsidRPr="004A4638" w:rsidRDefault="00DF1189" w:rsidP="00DF1189">
      <w:pPr>
        <w:rPr>
          <w:rFonts w:ascii="Arial" w:hAnsi="Arial" w:cs="Arial"/>
        </w:rPr>
      </w:pPr>
    </w:p>
    <w:p w:rsidR="00DF1189" w:rsidRPr="004A4638" w:rsidRDefault="00DF1189" w:rsidP="004A4638">
      <w:pPr>
        <w:jc w:val="center"/>
        <w:rPr>
          <w:rFonts w:ascii="Arial" w:hAnsi="Arial" w:cs="Arial"/>
        </w:rPr>
      </w:pPr>
      <w:r w:rsidRPr="004A4638">
        <w:rPr>
          <w:rFonts w:ascii="Arial" w:hAnsi="Arial" w:cs="Arial"/>
          <w:b/>
          <w:bCs/>
        </w:rPr>
        <w:t>Subject Matter</w:t>
      </w:r>
    </w:p>
    <w:p w:rsidR="00DF1189" w:rsidRPr="004A4638" w:rsidRDefault="00DF1189" w:rsidP="004A4638">
      <w:pPr>
        <w:jc w:val="center"/>
        <w:rPr>
          <w:rFonts w:ascii="Arial" w:hAnsi="Arial" w:cs="Arial"/>
        </w:rPr>
      </w:pPr>
      <w:r w:rsidRPr="004A4638">
        <w:rPr>
          <w:rFonts w:ascii="Arial" w:hAnsi="Arial" w:cs="Arial"/>
          <w:b/>
          <w:bCs/>
        </w:rPr>
        <w:t>Article 1</w:t>
      </w:r>
    </w:p>
    <w:p w:rsidR="00DF1189" w:rsidRPr="004A4638" w:rsidRDefault="00DF1189" w:rsidP="004A4638">
      <w:pPr>
        <w:jc w:val="both"/>
        <w:rPr>
          <w:rFonts w:ascii="Arial" w:hAnsi="Arial" w:cs="Arial"/>
        </w:rPr>
      </w:pPr>
      <w:r w:rsidRPr="004A4638">
        <w:rPr>
          <w:rFonts w:ascii="Arial" w:hAnsi="Arial" w:cs="Arial"/>
        </w:rPr>
        <w:t>The trademark certificate and the design certificate contain the information specified by this rulebook.</w:t>
      </w:r>
    </w:p>
    <w:p w:rsidR="00DF1189" w:rsidRPr="004A4638" w:rsidRDefault="00DF1189" w:rsidP="00DF1189">
      <w:pPr>
        <w:rPr>
          <w:rFonts w:ascii="Arial" w:hAnsi="Arial" w:cs="Arial"/>
        </w:rPr>
      </w:pPr>
    </w:p>
    <w:p w:rsidR="00DF1189" w:rsidRPr="004A4638" w:rsidRDefault="00DF1189" w:rsidP="004A4638">
      <w:pPr>
        <w:jc w:val="center"/>
        <w:rPr>
          <w:rFonts w:ascii="Arial" w:hAnsi="Arial" w:cs="Arial"/>
          <w:b/>
        </w:rPr>
      </w:pPr>
      <w:r w:rsidRPr="004A4638">
        <w:rPr>
          <w:rFonts w:ascii="Arial" w:hAnsi="Arial" w:cs="Arial"/>
          <w:b/>
        </w:rPr>
        <w:t>Content of the Trademark Certificate</w:t>
      </w:r>
    </w:p>
    <w:p w:rsidR="00DF1189" w:rsidRPr="004A4638" w:rsidRDefault="00DF1189" w:rsidP="004A4638">
      <w:pPr>
        <w:jc w:val="center"/>
        <w:rPr>
          <w:rFonts w:ascii="Arial" w:hAnsi="Arial" w:cs="Arial"/>
          <w:b/>
        </w:rPr>
      </w:pPr>
      <w:r w:rsidRPr="004A4638">
        <w:rPr>
          <w:rFonts w:ascii="Arial" w:hAnsi="Arial" w:cs="Arial"/>
          <w:b/>
        </w:rPr>
        <w:t>Article 2</w:t>
      </w:r>
    </w:p>
    <w:p w:rsidR="00DF1189" w:rsidRPr="004A4638" w:rsidRDefault="00DF1189" w:rsidP="004A4638">
      <w:pPr>
        <w:spacing w:line="240" w:lineRule="auto"/>
        <w:jc w:val="both"/>
        <w:rPr>
          <w:rFonts w:ascii="Arial" w:hAnsi="Arial" w:cs="Arial"/>
        </w:rPr>
      </w:pPr>
      <w:r w:rsidRPr="004A4638">
        <w:rPr>
          <w:rFonts w:ascii="Arial" w:hAnsi="Arial" w:cs="Arial"/>
        </w:rPr>
        <w:t>The trademark certificate contains:</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Trademark registration number;</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Date of trademark registration and date of entry into the Trademark Register;</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 xml:space="preserve">Date of </w:t>
      </w:r>
      <w:r w:rsidR="001E501E" w:rsidRPr="004A4638">
        <w:rPr>
          <w:rFonts w:ascii="Arial" w:hAnsi="Arial" w:cs="Arial"/>
        </w:rPr>
        <w:t xml:space="preserve">filing </w:t>
      </w:r>
      <w:r w:rsidRPr="004A4638">
        <w:rPr>
          <w:rFonts w:ascii="Arial" w:hAnsi="Arial" w:cs="Arial"/>
        </w:rPr>
        <w:t>trademark application;</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 xml:space="preserve">Name, surname, and address or name and </w:t>
      </w:r>
      <w:r w:rsidR="001E501E" w:rsidRPr="004A4638">
        <w:rPr>
          <w:rFonts w:ascii="Arial" w:hAnsi="Arial" w:cs="Arial"/>
        </w:rPr>
        <w:t>headquarter</w:t>
      </w:r>
      <w:r w:rsidRPr="004A4638">
        <w:rPr>
          <w:rFonts w:ascii="Arial" w:hAnsi="Arial" w:cs="Arial"/>
        </w:rPr>
        <w:t xml:space="preserve"> of the trademark holder;</w:t>
      </w:r>
    </w:p>
    <w:p w:rsidR="001E501E" w:rsidRPr="004A4638" w:rsidRDefault="00DF1189" w:rsidP="004A4638">
      <w:pPr>
        <w:numPr>
          <w:ilvl w:val="0"/>
          <w:numId w:val="1"/>
        </w:numPr>
        <w:spacing w:line="240" w:lineRule="auto"/>
        <w:jc w:val="both"/>
        <w:rPr>
          <w:rFonts w:ascii="Arial" w:hAnsi="Arial" w:cs="Arial"/>
        </w:rPr>
      </w:pPr>
      <w:r w:rsidRPr="004A4638">
        <w:rPr>
          <w:rFonts w:ascii="Arial" w:hAnsi="Arial" w:cs="Arial"/>
        </w:rPr>
        <w:t>Name, surname, and address of the attorney or representative, if the trademark holder has an attorney or representative;</w:t>
      </w:r>
      <w:r w:rsidR="001E501E" w:rsidRPr="004A4638">
        <w:rPr>
          <w:rFonts w:ascii="Arial" w:eastAsia="Times New Roman" w:hAnsi="Arial" w:cs="Arial"/>
          <w:lang w:val="en-GB"/>
        </w:rPr>
        <w:t xml:space="preserve"> </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List of goods or services to which the trademark applies, with an indication of the classes in which these goods or services are classified according to the International Classification of Goods and Services;</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about the recognized priority right;</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Appearance of the protected mark;</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that the mark is in color and indication of the colors that are distinctive elements of the mark;</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that the mark is verbal, if the mark is verbal;</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that the trademark is figurative, if the trademark is figurative, with an indication of the classes of figurative elements according to the International Classification of Figurative Elements of Trademarks;</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lastRenderedPageBreak/>
        <w:t>Information that the trademark is three-dimensional, if the trademark is three-dimensional;</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that the mark consists of one color or a combination of colors, if the mark consists of one color or a combination of colors;</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whether the trademark is individual or collective;</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Information that the trademark is musical, if the trademark is musical;</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Date of publication of the trademark registration in the official gazette of the competent authority, and</w:t>
      </w:r>
    </w:p>
    <w:p w:rsidR="00DF1189" w:rsidRPr="004A4638" w:rsidRDefault="00DF1189" w:rsidP="004A4638">
      <w:pPr>
        <w:numPr>
          <w:ilvl w:val="0"/>
          <w:numId w:val="1"/>
        </w:numPr>
        <w:spacing w:line="240" w:lineRule="auto"/>
        <w:jc w:val="both"/>
        <w:rPr>
          <w:rFonts w:ascii="Arial" w:hAnsi="Arial" w:cs="Arial"/>
        </w:rPr>
      </w:pPr>
      <w:r w:rsidRPr="004A4638">
        <w:rPr>
          <w:rFonts w:ascii="Arial" w:hAnsi="Arial" w:cs="Arial"/>
        </w:rPr>
        <w:t>The date until which the trademark is valid.</w:t>
      </w:r>
    </w:p>
    <w:p w:rsidR="00DF1189" w:rsidRPr="004A4638" w:rsidRDefault="00DF1189" w:rsidP="004A4638">
      <w:pPr>
        <w:spacing w:line="240" w:lineRule="auto"/>
        <w:ind w:left="720"/>
        <w:jc w:val="both"/>
        <w:rPr>
          <w:rFonts w:ascii="Arial" w:hAnsi="Arial" w:cs="Arial"/>
        </w:rPr>
      </w:pPr>
    </w:p>
    <w:p w:rsidR="00D312E7" w:rsidRPr="004A4638" w:rsidRDefault="00D312E7" w:rsidP="004A4638">
      <w:pPr>
        <w:jc w:val="center"/>
        <w:rPr>
          <w:rFonts w:ascii="Arial" w:hAnsi="Arial" w:cs="Arial"/>
        </w:rPr>
      </w:pPr>
      <w:r w:rsidRPr="004A4638">
        <w:rPr>
          <w:rFonts w:ascii="Arial" w:hAnsi="Arial" w:cs="Arial"/>
          <w:b/>
          <w:bCs/>
        </w:rPr>
        <w:t>Content of the Design Certificate</w:t>
      </w:r>
    </w:p>
    <w:p w:rsidR="00D312E7" w:rsidRPr="004A4638" w:rsidRDefault="00D312E7" w:rsidP="004A4638">
      <w:pPr>
        <w:jc w:val="center"/>
        <w:rPr>
          <w:rFonts w:ascii="Arial" w:hAnsi="Arial" w:cs="Arial"/>
        </w:rPr>
      </w:pPr>
      <w:r w:rsidRPr="004A4638">
        <w:rPr>
          <w:rFonts w:ascii="Arial" w:hAnsi="Arial" w:cs="Arial"/>
          <w:b/>
          <w:bCs/>
        </w:rPr>
        <w:t>Article 3</w:t>
      </w:r>
    </w:p>
    <w:p w:rsidR="00D312E7" w:rsidRPr="004A4638" w:rsidRDefault="00D312E7" w:rsidP="004A4638">
      <w:pPr>
        <w:jc w:val="both"/>
        <w:rPr>
          <w:rFonts w:ascii="Arial" w:hAnsi="Arial" w:cs="Arial"/>
        </w:rPr>
      </w:pPr>
      <w:r w:rsidRPr="004A4638">
        <w:rPr>
          <w:rFonts w:ascii="Arial" w:hAnsi="Arial" w:cs="Arial"/>
        </w:rPr>
        <w:t>The design certificate contains:</w:t>
      </w:r>
    </w:p>
    <w:p w:rsidR="00D312E7" w:rsidRPr="004A4638" w:rsidRDefault="00D312E7" w:rsidP="004A4638">
      <w:pPr>
        <w:numPr>
          <w:ilvl w:val="0"/>
          <w:numId w:val="2"/>
        </w:numPr>
        <w:jc w:val="both"/>
        <w:rPr>
          <w:rFonts w:ascii="Arial" w:hAnsi="Arial" w:cs="Arial"/>
        </w:rPr>
      </w:pPr>
      <w:r w:rsidRPr="004A4638">
        <w:rPr>
          <w:rFonts w:ascii="Arial" w:hAnsi="Arial" w:cs="Arial"/>
        </w:rPr>
        <w:t>Design registration number;</w:t>
      </w:r>
    </w:p>
    <w:p w:rsidR="00D312E7" w:rsidRPr="004A4638" w:rsidRDefault="00D312E7" w:rsidP="004A4638">
      <w:pPr>
        <w:numPr>
          <w:ilvl w:val="0"/>
          <w:numId w:val="2"/>
        </w:numPr>
        <w:jc w:val="both"/>
        <w:rPr>
          <w:rFonts w:ascii="Arial" w:hAnsi="Arial" w:cs="Arial"/>
        </w:rPr>
      </w:pPr>
      <w:r w:rsidRPr="004A4638">
        <w:rPr>
          <w:rFonts w:ascii="Arial" w:hAnsi="Arial" w:cs="Arial"/>
        </w:rPr>
        <w:t>Date of design registration and date of entry into the Design Register;</w:t>
      </w:r>
    </w:p>
    <w:p w:rsidR="00D312E7" w:rsidRPr="004A4638" w:rsidRDefault="00D312E7" w:rsidP="004A4638">
      <w:pPr>
        <w:numPr>
          <w:ilvl w:val="0"/>
          <w:numId w:val="2"/>
        </w:numPr>
        <w:jc w:val="both"/>
        <w:rPr>
          <w:rFonts w:ascii="Arial" w:hAnsi="Arial" w:cs="Arial"/>
        </w:rPr>
      </w:pPr>
      <w:r w:rsidRPr="004A4638">
        <w:rPr>
          <w:rFonts w:ascii="Arial" w:hAnsi="Arial" w:cs="Arial"/>
        </w:rPr>
        <w:t xml:space="preserve">Date of </w:t>
      </w:r>
      <w:r w:rsidR="000A6A7E" w:rsidRPr="004A4638">
        <w:rPr>
          <w:rFonts w:ascii="Arial" w:hAnsi="Arial" w:cs="Arial"/>
        </w:rPr>
        <w:t xml:space="preserve">filing </w:t>
      </w:r>
      <w:r w:rsidRPr="004A4638">
        <w:rPr>
          <w:rFonts w:ascii="Arial" w:hAnsi="Arial" w:cs="Arial"/>
        </w:rPr>
        <w:t>design application;</w:t>
      </w:r>
    </w:p>
    <w:p w:rsidR="00D312E7" w:rsidRPr="004A4638" w:rsidRDefault="00D312E7" w:rsidP="004A4638">
      <w:pPr>
        <w:numPr>
          <w:ilvl w:val="0"/>
          <w:numId w:val="2"/>
        </w:numPr>
        <w:jc w:val="both"/>
        <w:rPr>
          <w:rFonts w:ascii="Arial" w:hAnsi="Arial" w:cs="Arial"/>
        </w:rPr>
      </w:pPr>
      <w:r w:rsidRPr="004A4638">
        <w:rPr>
          <w:rFonts w:ascii="Arial" w:hAnsi="Arial" w:cs="Arial"/>
        </w:rPr>
        <w:t xml:space="preserve">Name, surname, and address or name and </w:t>
      </w:r>
      <w:r w:rsidR="000A6A7E" w:rsidRPr="004A4638">
        <w:rPr>
          <w:rFonts w:ascii="Arial" w:hAnsi="Arial" w:cs="Arial"/>
        </w:rPr>
        <w:t>headquarter</w:t>
      </w:r>
      <w:r w:rsidRPr="004A4638">
        <w:rPr>
          <w:rFonts w:ascii="Arial" w:hAnsi="Arial" w:cs="Arial"/>
        </w:rPr>
        <w:t xml:space="preserve"> of the design holder;</w:t>
      </w:r>
    </w:p>
    <w:p w:rsidR="00D312E7" w:rsidRPr="004A4638" w:rsidRDefault="00D312E7" w:rsidP="004A4638">
      <w:pPr>
        <w:numPr>
          <w:ilvl w:val="0"/>
          <w:numId w:val="2"/>
        </w:numPr>
        <w:jc w:val="both"/>
        <w:rPr>
          <w:rFonts w:ascii="Arial" w:hAnsi="Arial" w:cs="Arial"/>
        </w:rPr>
      </w:pPr>
      <w:r w:rsidRPr="004A4638">
        <w:rPr>
          <w:rFonts w:ascii="Arial" w:hAnsi="Arial" w:cs="Arial"/>
        </w:rPr>
        <w:t>Name, surname, and address of the attorney or representative, if the design holder has an attorney or representative;</w:t>
      </w:r>
    </w:p>
    <w:p w:rsidR="00D312E7" w:rsidRPr="004A4638" w:rsidRDefault="00D312E7" w:rsidP="004A4638">
      <w:pPr>
        <w:numPr>
          <w:ilvl w:val="0"/>
          <w:numId w:val="2"/>
        </w:numPr>
        <w:jc w:val="both"/>
        <w:rPr>
          <w:rFonts w:ascii="Arial" w:hAnsi="Arial" w:cs="Arial"/>
        </w:rPr>
      </w:pPr>
      <w:r w:rsidRPr="004A4638">
        <w:rPr>
          <w:rFonts w:ascii="Arial" w:hAnsi="Arial" w:cs="Arial"/>
        </w:rPr>
        <w:t>Name, surname, and address of the designer or design team, unless they have stated that they do not wish to be mentioned in the application;</w:t>
      </w:r>
    </w:p>
    <w:p w:rsidR="00D312E7" w:rsidRPr="004A4638" w:rsidRDefault="00D312E7" w:rsidP="004A4638">
      <w:pPr>
        <w:numPr>
          <w:ilvl w:val="0"/>
          <w:numId w:val="2"/>
        </w:numPr>
        <w:jc w:val="both"/>
        <w:rPr>
          <w:rFonts w:ascii="Arial" w:hAnsi="Arial" w:cs="Arial"/>
        </w:rPr>
      </w:pPr>
      <w:r w:rsidRPr="004A4638">
        <w:rPr>
          <w:rFonts w:ascii="Arial" w:hAnsi="Arial" w:cs="Arial"/>
        </w:rPr>
        <w:t>Name of the product or part of the product in which the design is contained or to which the design is applied;</w:t>
      </w:r>
    </w:p>
    <w:p w:rsidR="00D312E7" w:rsidRPr="004A4638" w:rsidRDefault="00D312E7" w:rsidP="004A4638">
      <w:pPr>
        <w:numPr>
          <w:ilvl w:val="0"/>
          <w:numId w:val="2"/>
        </w:numPr>
        <w:jc w:val="both"/>
        <w:rPr>
          <w:rFonts w:ascii="Arial" w:hAnsi="Arial" w:cs="Arial"/>
        </w:rPr>
      </w:pPr>
      <w:r w:rsidRPr="004A4638">
        <w:rPr>
          <w:rFonts w:ascii="Arial" w:hAnsi="Arial" w:cs="Arial"/>
        </w:rPr>
        <w:t>Number of classes and subclasses according to the International Classification;</w:t>
      </w:r>
    </w:p>
    <w:p w:rsidR="00D312E7" w:rsidRPr="004A4638" w:rsidRDefault="00D312E7" w:rsidP="004A4638">
      <w:pPr>
        <w:numPr>
          <w:ilvl w:val="0"/>
          <w:numId w:val="2"/>
        </w:numPr>
        <w:jc w:val="both"/>
        <w:rPr>
          <w:rFonts w:ascii="Arial" w:hAnsi="Arial" w:cs="Arial"/>
        </w:rPr>
      </w:pPr>
      <w:r w:rsidRPr="004A4638">
        <w:rPr>
          <w:rFonts w:ascii="Arial" w:hAnsi="Arial" w:cs="Arial"/>
        </w:rPr>
        <w:t>Information about the recognized priority right;</w:t>
      </w:r>
    </w:p>
    <w:p w:rsidR="00D312E7" w:rsidRPr="004A4638" w:rsidRDefault="000A6A7E" w:rsidP="004A4638">
      <w:pPr>
        <w:numPr>
          <w:ilvl w:val="0"/>
          <w:numId w:val="2"/>
        </w:numPr>
        <w:jc w:val="both"/>
        <w:rPr>
          <w:rFonts w:ascii="Arial" w:hAnsi="Arial" w:cs="Arial"/>
        </w:rPr>
      </w:pPr>
      <w:r w:rsidRPr="004A4638">
        <w:rPr>
          <w:rFonts w:ascii="Arial" w:hAnsi="Arial" w:cs="Arial"/>
        </w:rPr>
        <w:t>The industrial design depiction (appearance)</w:t>
      </w:r>
      <w:r w:rsidR="00D312E7" w:rsidRPr="004A4638">
        <w:rPr>
          <w:rFonts w:ascii="Arial" w:hAnsi="Arial" w:cs="Arial"/>
        </w:rPr>
        <w:t>;</w:t>
      </w:r>
    </w:p>
    <w:p w:rsidR="00D312E7" w:rsidRPr="004A4638" w:rsidRDefault="00D312E7" w:rsidP="004A4638">
      <w:pPr>
        <w:numPr>
          <w:ilvl w:val="0"/>
          <w:numId w:val="2"/>
        </w:numPr>
        <w:jc w:val="both"/>
        <w:rPr>
          <w:rFonts w:ascii="Arial" w:hAnsi="Arial" w:cs="Arial"/>
        </w:rPr>
      </w:pPr>
      <w:r w:rsidRPr="004A4638">
        <w:rPr>
          <w:rFonts w:ascii="Arial" w:hAnsi="Arial" w:cs="Arial"/>
        </w:rPr>
        <w:t>Date of publication of the design registration in the official gazette of the competent authority;</w:t>
      </w:r>
    </w:p>
    <w:p w:rsidR="00BA3A1E" w:rsidRPr="004A4638" w:rsidRDefault="00BA3A1E" w:rsidP="004A4638">
      <w:pPr>
        <w:numPr>
          <w:ilvl w:val="0"/>
          <w:numId w:val="2"/>
        </w:numPr>
        <w:jc w:val="both"/>
        <w:rPr>
          <w:rFonts w:ascii="Arial" w:hAnsi="Arial" w:cs="Arial"/>
        </w:rPr>
      </w:pPr>
      <w:r w:rsidRPr="004A4638">
        <w:rPr>
          <w:rFonts w:ascii="Arial" w:hAnsi="Arial" w:cs="Arial"/>
        </w:rPr>
        <w:t xml:space="preserve">Information about the deferral of the design registration publication, if deferral was requested. </w:t>
      </w:r>
    </w:p>
    <w:p w:rsidR="00D312E7" w:rsidRPr="004A4638" w:rsidRDefault="00D312E7" w:rsidP="004A4638">
      <w:pPr>
        <w:numPr>
          <w:ilvl w:val="0"/>
          <w:numId w:val="2"/>
        </w:numPr>
        <w:jc w:val="both"/>
        <w:rPr>
          <w:rFonts w:ascii="Arial" w:hAnsi="Arial" w:cs="Arial"/>
        </w:rPr>
      </w:pPr>
      <w:r w:rsidRPr="004A4638">
        <w:rPr>
          <w:rFonts w:ascii="Arial" w:hAnsi="Arial" w:cs="Arial"/>
        </w:rPr>
        <w:t>The date until which the registered design is valid.</w:t>
      </w:r>
    </w:p>
    <w:p w:rsidR="00D312E7" w:rsidRPr="004A4638" w:rsidRDefault="00D312E7" w:rsidP="004A4638">
      <w:pPr>
        <w:jc w:val="both"/>
        <w:rPr>
          <w:rFonts w:ascii="Arial" w:hAnsi="Arial" w:cs="Arial"/>
        </w:rPr>
      </w:pPr>
      <w:r w:rsidRPr="004A4638">
        <w:rPr>
          <w:rFonts w:ascii="Arial" w:hAnsi="Arial" w:cs="Arial"/>
        </w:rPr>
        <w:t>If the design is registered based on a multiple application, a unified or separate design certificate is issued for each registered design, depending on the request of the design holder.</w:t>
      </w:r>
    </w:p>
    <w:p w:rsidR="004A4638" w:rsidRDefault="004A4638" w:rsidP="004A4638">
      <w:pPr>
        <w:rPr>
          <w:rFonts w:ascii="Arial" w:hAnsi="Arial" w:cs="Arial"/>
          <w:b/>
          <w:bCs/>
        </w:rPr>
      </w:pPr>
    </w:p>
    <w:p w:rsidR="008303D8" w:rsidRPr="004A4638" w:rsidRDefault="004A4638" w:rsidP="004A4638">
      <w:pPr>
        <w:jc w:val="center"/>
        <w:rPr>
          <w:rFonts w:ascii="Arial" w:hAnsi="Arial" w:cs="Arial"/>
          <w:b/>
          <w:bCs/>
        </w:rPr>
      </w:pPr>
      <w:r w:rsidRPr="004A4638">
        <w:rPr>
          <w:rFonts w:ascii="Arial" w:hAnsi="Arial" w:cs="Arial"/>
          <w:b/>
          <w:bCs/>
        </w:rPr>
        <w:lastRenderedPageBreak/>
        <w:t>Effectiveness</w:t>
      </w:r>
    </w:p>
    <w:p w:rsidR="00D312E7" w:rsidRPr="004A4638" w:rsidRDefault="00D312E7" w:rsidP="004A4638">
      <w:pPr>
        <w:jc w:val="center"/>
        <w:rPr>
          <w:rFonts w:ascii="Arial" w:hAnsi="Arial" w:cs="Arial"/>
        </w:rPr>
      </w:pPr>
      <w:r w:rsidRPr="004A4638">
        <w:rPr>
          <w:rFonts w:ascii="Arial" w:hAnsi="Arial" w:cs="Arial"/>
          <w:b/>
          <w:bCs/>
        </w:rPr>
        <w:t>Article 4</w:t>
      </w:r>
    </w:p>
    <w:p w:rsidR="00D312E7" w:rsidRPr="004A4638" w:rsidRDefault="00D312E7" w:rsidP="004A4638">
      <w:pPr>
        <w:jc w:val="both"/>
        <w:rPr>
          <w:rFonts w:ascii="Arial" w:hAnsi="Arial" w:cs="Arial"/>
        </w:rPr>
      </w:pPr>
      <w:r w:rsidRPr="004A4638">
        <w:rPr>
          <w:rFonts w:ascii="Arial" w:hAnsi="Arial" w:cs="Arial"/>
        </w:rPr>
        <w:t xml:space="preserve">This </w:t>
      </w:r>
      <w:r w:rsidR="004A4638">
        <w:rPr>
          <w:rFonts w:ascii="Arial" w:hAnsi="Arial" w:cs="Arial"/>
        </w:rPr>
        <w:t>R</w:t>
      </w:r>
      <w:r w:rsidRPr="004A4638">
        <w:rPr>
          <w:rFonts w:ascii="Arial" w:hAnsi="Arial" w:cs="Arial"/>
        </w:rPr>
        <w:t xml:space="preserve">ulebook </w:t>
      </w:r>
      <w:r w:rsidR="004A4638" w:rsidRPr="004A4638">
        <w:rPr>
          <w:rFonts w:ascii="Arial" w:eastAsia="Calibri" w:hAnsi="Arial" w:cs="Arial"/>
          <w:color w:val="000000"/>
        </w:rPr>
        <w:t xml:space="preserve">shall enter </w:t>
      </w:r>
      <w:r w:rsidRPr="004A4638">
        <w:rPr>
          <w:rFonts w:ascii="Arial" w:hAnsi="Arial" w:cs="Arial"/>
        </w:rPr>
        <w:t xml:space="preserve">into </w:t>
      </w:r>
      <w:r w:rsidR="004A4638" w:rsidRPr="004A4638">
        <w:rPr>
          <w:rFonts w:ascii="Arial" w:eastAsia="Calibri" w:hAnsi="Arial" w:cs="Arial"/>
          <w:color w:val="000000"/>
        </w:rPr>
        <w:t xml:space="preserve">force on the eighth day from the date of its publication in the </w:t>
      </w:r>
      <w:r w:rsidR="004A4638" w:rsidRPr="004A4638">
        <w:rPr>
          <w:rFonts w:ascii="Arial" w:eastAsia="Calibri" w:hAnsi="Arial" w:cs="Arial"/>
          <w:i/>
          <w:iCs/>
          <w:color w:val="000000"/>
        </w:rPr>
        <w:t>Official Gazette of Montenegro</w:t>
      </w:r>
      <w:r w:rsidRPr="004A4638">
        <w:rPr>
          <w:rFonts w:ascii="Arial" w:hAnsi="Arial" w:cs="Arial"/>
        </w:rPr>
        <w:t>.</w:t>
      </w:r>
    </w:p>
    <w:p w:rsidR="001E501E" w:rsidRPr="004A4638" w:rsidRDefault="001E501E" w:rsidP="001E501E">
      <w:pPr>
        <w:rPr>
          <w:rFonts w:ascii="Arial" w:hAnsi="Arial" w:cs="Arial"/>
        </w:rPr>
      </w:pPr>
    </w:p>
    <w:sectPr w:rsidR="001E501E" w:rsidRPr="004A4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474F"/>
    <w:multiLevelType w:val="multilevel"/>
    <w:tmpl w:val="A7EC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4E1A80"/>
    <w:multiLevelType w:val="multilevel"/>
    <w:tmpl w:val="C2A8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189"/>
    <w:rsid w:val="000A6A7E"/>
    <w:rsid w:val="001E501E"/>
    <w:rsid w:val="002C77FF"/>
    <w:rsid w:val="00311CB7"/>
    <w:rsid w:val="00490062"/>
    <w:rsid w:val="004A4638"/>
    <w:rsid w:val="004E5513"/>
    <w:rsid w:val="005D1827"/>
    <w:rsid w:val="0065571C"/>
    <w:rsid w:val="008303D8"/>
    <w:rsid w:val="0085639E"/>
    <w:rsid w:val="00892431"/>
    <w:rsid w:val="00BA3A1E"/>
    <w:rsid w:val="00C64C7A"/>
    <w:rsid w:val="00D312E7"/>
    <w:rsid w:val="00DF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AED8"/>
  <w15:chartTrackingRefBased/>
  <w15:docId w15:val="{C8787944-9899-472D-A45C-4588BDE9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962007">
          <w:marLeft w:val="0"/>
          <w:marRight w:val="0"/>
          <w:marTop w:val="0"/>
          <w:marBottom w:val="0"/>
          <w:divBdr>
            <w:top w:val="none" w:sz="0" w:space="0" w:color="auto"/>
            <w:left w:val="none" w:sz="0" w:space="0" w:color="auto"/>
            <w:bottom w:val="none" w:sz="0" w:space="0" w:color="auto"/>
            <w:right w:val="none" w:sz="0" w:space="0" w:color="auto"/>
          </w:divBdr>
          <w:divsChild>
            <w:div w:id="1060984770">
              <w:marLeft w:val="0"/>
              <w:marRight w:val="0"/>
              <w:marTop w:val="0"/>
              <w:marBottom w:val="0"/>
              <w:divBdr>
                <w:top w:val="none" w:sz="0" w:space="0" w:color="auto"/>
                <w:left w:val="none" w:sz="0" w:space="0" w:color="auto"/>
                <w:bottom w:val="none" w:sz="0" w:space="0" w:color="auto"/>
                <w:right w:val="none" w:sz="0" w:space="0" w:color="auto"/>
              </w:divBdr>
              <w:divsChild>
                <w:div w:id="1720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1789">
          <w:marLeft w:val="0"/>
          <w:marRight w:val="0"/>
          <w:marTop w:val="0"/>
          <w:marBottom w:val="0"/>
          <w:divBdr>
            <w:top w:val="none" w:sz="0" w:space="0" w:color="auto"/>
            <w:left w:val="none" w:sz="0" w:space="0" w:color="auto"/>
            <w:bottom w:val="none" w:sz="0" w:space="0" w:color="auto"/>
            <w:right w:val="none" w:sz="0" w:space="0" w:color="auto"/>
          </w:divBdr>
          <w:divsChild>
            <w:div w:id="10904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8459">
      <w:bodyDiv w:val="1"/>
      <w:marLeft w:val="0"/>
      <w:marRight w:val="0"/>
      <w:marTop w:val="0"/>
      <w:marBottom w:val="0"/>
      <w:divBdr>
        <w:top w:val="none" w:sz="0" w:space="0" w:color="auto"/>
        <w:left w:val="none" w:sz="0" w:space="0" w:color="auto"/>
        <w:bottom w:val="none" w:sz="0" w:space="0" w:color="auto"/>
        <w:right w:val="none" w:sz="0" w:space="0" w:color="auto"/>
      </w:divBdr>
    </w:div>
    <w:div w:id="1884511534">
      <w:bodyDiv w:val="1"/>
      <w:marLeft w:val="0"/>
      <w:marRight w:val="0"/>
      <w:marTop w:val="0"/>
      <w:marBottom w:val="0"/>
      <w:divBdr>
        <w:top w:val="none" w:sz="0" w:space="0" w:color="auto"/>
        <w:left w:val="none" w:sz="0" w:space="0" w:color="auto"/>
        <w:bottom w:val="none" w:sz="0" w:space="0" w:color="auto"/>
        <w:right w:val="none" w:sz="0" w:space="0" w:color="auto"/>
      </w:divBdr>
      <w:divsChild>
        <w:div w:id="1256936595">
          <w:marLeft w:val="0"/>
          <w:marRight w:val="0"/>
          <w:marTop w:val="0"/>
          <w:marBottom w:val="0"/>
          <w:divBdr>
            <w:top w:val="none" w:sz="0" w:space="0" w:color="auto"/>
            <w:left w:val="none" w:sz="0" w:space="0" w:color="auto"/>
            <w:bottom w:val="none" w:sz="0" w:space="0" w:color="auto"/>
            <w:right w:val="none" w:sz="0" w:space="0" w:color="auto"/>
          </w:divBdr>
          <w:divsChild>
            <w:div w:id="1839345929">
              <w:marLeft w:val="0"/>
              <w:marRight w:val="0"/>
              <w:marTop w:val="0"/>
              <w:marBottom w:val="0"/>
              <w:divBdr>
                <w:top w:val="none" w:sz="0" w:space="0" w:color="auto"/>
                <w:left w:val="none" w:sz="0" w:space="0" w:color="auto"/>
                <w:bottom w:val="none" w:sz="0" w:space="0" w:color="auto"/>
                <w:right w:val="none" w:sz="0" w:space="0" w:color="auto"/>
              </w:divBdr>
              <w:divsChild>
                <w:div w:id="15355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8481">
          <w:marLeft w:val="0"/>
          <w:marRight w:val="0"/>
          <w:marTop w:val="0"/>
          <w:marBottom w:val="0"/>
          <w:divBdr>
            <w:top w:val="none" w:sz="0" w:space="0" w:color="auto"/>
            <w:left w:val="none" w:sz="0" w:space="0" w:color="auto"/>
            <w:bottom w:val="none" w:sz="0" w:space="0" w:color="auto"/>
            <w:right w:val="none" w:sz="0" w:space="0" w:color="auto"/>
          </w:divBdr>
          <w:divsChild>
            <w:div w:id="8998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Vucelic</dc:creator>
  <cp:keywords/>
  <dc:description/>
  <cp:lastModifiedBy>Dragana Ranitovic</cp:lastModifiedBy>
  <cp:revision>4</cp:revision>
  <dcterms:created xsi:type="dcterms:W3CDTF">2024-11-25T12:16:00Z</dcterms:created>
  <dcterms:modified xsi:type="dcterms:W3CDTF">2024-11-26T10:49:00Z</dcterms:modified>
</cp:coreProperties>
</file>