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6F4DB3" w:rsidRDefault="00C20E0A" w:rsidP="003A6DB5">
      <w:pPr>
        <w:rPr>
          <w:rFonts w:ascii="Arial" w:hAnsi="Arial" w:cs="Arial"/>
          <w:lang w:val="sr-Latn-RS"/>
        </w:rPr>
      </w:pPr>
    </w:p>
    <w:p w:rsidR="00451F6C" w:rsidRPr="006F4DB3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lang w:val="sr-Latn-RS"/>
        </w:rPr>
      </w:pPr>
    </w:p>
    <w:p w:rsidR="000F2BFC" w:rsidRPr="006F4DB3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sr-Latn-RS"/>
        </w:rPr>
      </w:pPr>
      <w:r w:rsidRPr="006F4DB3">
        <w:rPr>
          <w:rFonts w:ascii="Arial" w:hAnsi="Arial" w:cs="Arial"/>
          <w:bCs/>
          <w:sz w:val="20"/>
          <w:lang w:val="sr-Latn-RS"/>
        </w:rPr>
        <w:t xml:space="preserve">Br: </w:t>
      </w:r>
      <w:r w:rsidR="00464FCC">
        <w:rPr>
          <w:rFonts w:ascii="Arial" w:hAnsi="Arial" w:cs="Arial"/>
          <w:bCs/>
          <w:sz w:val="20"/>
          <w:u w:val="single"/>
          <w:lang w:val="sr-Latn-RS"/>
        </w:rPr>
        <w:t>01-056/24-349</w:t>
      </w:r>
      <w:r w:rsidRPr="006F4DB3">
        <w:rPr>
          <w:rFonts w:ascii="Arial" w:hAnsi="Arial" w:cs="Arial"/>
          <w:bCs/>
          <w:sz w:val="20"/>
          <w:lang w:val="sr-Latn-RS"/>
        </w:rPr>
        <w:t xml:space="preserve">                                                                                        </w:t>
      </w:r>
      <w:r w:rsidR="005E2CF3" w:rsidRPr="006F4DB3">
        <w:rPr>
          <w:rFonts w:ascii="Arial" w:hAnsi="Arial" w:cs="Arial"/>
          <w:bCs/>
          <w:sz w:val="20"/>
          <w:lang w:val="sr-Latn-RS"/>
        </w:rPr>
        <w:t xml:space="preserve">                              </w:t>
      </w:r>
      <w:r w:rsidRPr="006F4DB3">
        <w:rPr>
          <w:rFonts w:ascii="Arial" w:hAnsi="Arial" w:cs="Arial"/>
          <w:bCs/>
          <w:sz w:val="20"/>
          <w:lang w:val="sr-Latn-RS"/>
        </w:rPr>
        <w:t xml:space="preserve"> </w:t>
      </w:r>
      <w:r w:rsidR="00370754" w:rsidRPr="006F4DB3">
        <w:rPr>
          <w:rFonts w:ascii="Arial" w:hAnsi="Arial" w:cs="Arial"/>
          <w:bCs/>
          <w:sz w:val="20"/>
          <w:lang w:val="sr-Latn-RS"/>
        </w:rPr>
        <w:tab/>
      </w:r>
      <w:r w:rsidR="00370754" w:rsidRPr="006F4DB3">
        <w:rPr>
          <w:rFonts w:ascii="Arial" w:hAnsi="Arial" w:cs="Arial"/>
          <w:bCs/>
          <w:sz w:val="20"/>
          <w:lang w:val="sr-Latn-RS"/>
        </w:rPr>
        <w:tab/>
      </w:r>
      <w:r w:rsidR="00370754" w:rsidRPr="006F4DB3">
        <w:rPr>
          <w:rFonts w:ascii="Arial" w:hAnsi="Arial" w:cs="Arial"/>
          <w:bCs/>
          <w:sz w:val="20"/>
          <w:lang w:val="sr-Latn-RS"/>
        </w:rPr>
        <w:tab/>
      </w:r>
      <w:r w:rsidR="00370754" w:rsidRPr="006F4DB3">
        <w:rPr>
          <w:rFonts w:ascii="Arial" w:hAnsi="Arial" w:cs="Arial"/>
          <w:bCs/>
          <w:sz w:val="20"/>
          <w:lang w:val="sr-Latn-RS"/>
        </w:rPr>
        <w:tab/>
      </w:r>
      <w:r w:rsidR="00370754" w:rsidRPr="006F4DB3">
        <w:rPr>
          <w:rFonts w:ascii="Arial" w:hAnsi="Arial" w:cs="Arial"/>
          <w:bCs/>
          <w:sz w:val="20"/>
          <w:lang w:val="sr-Latn-RS"/>
        </w:rPr>
        <w:tab/>
      </w:r>
      <w:r w:rsidR="00464FCC">
        <w:rPr>
          <w:rFonts w:ascii="Arial" w:hAnsi="Arial" w:cs="Arial"/>
          <w:bCs/>
          <w:sz w:val="20"/>
          <w:lang w:val="sr-Latn-RS"/>
        </w:rPr>
        <w:t xml:space="preserve">             </w:t>
      </w:r>
      <w:r w:rsidR="00084433" w:rsidRPr="006F4DB3">
        <w:rPr>
          <w:rFonts w:ascii="Arial" w:hAnsi="Arial" w:cs="Arial"/>
          <w:bCs/>
          <w:sz w:val="20"/>
          <w:lang w:val="sr-Latn-RS"/>
        </w:rPr>
        <w:t>3</w:t>
      </w:r>
      <w:r w:rsidR="00464FCC">
        <w:rPr>
          <w:rFonts w:ascii="Arial" w:hAnsi="Arial" w:cs="Arial"/>
          <w:bCs/>
          <w:sz w:val="20"/>
          <w:lang w:val="sr-Latn-RS"/>
        </w:rPr>
        <w:t>1</w:t>
      </w:r>
      <w:r w:rsidR="00084433" w:rsidRPr="006F4DB3">
        <w:rPr>
          <w:rFonts w:ascii="Arial" w:hAnsi="Arial" w:cs="Arial"/>
          <w:bCs/>
          <w:sz w:val="20"/>
          <w:lang w:val="sr-Latn-RS"/>
        </w:rPr>
        <w:t>.</w:t>
      </w:r>
      <w:r w:rsidR="00464FCC">
        <w:rPr>
          <w:rFonts w:ascii="Arial" w:hAnsi="Arial" w:cs="Arial"/>
          <w:bCs/>
          <w:sz w:val="20"/>
          <w:lang w:val="sr-Latn-RS"/>
        </w:rPr>
        <w:t xml:space="preserve"> oktobar </w:t>
      </w:r>
      <w:r w:rsidR="005E2CF3" w:rsidRPr="006F4DB3">
        <w:rPr>
          <w:rFonts w:ascii="Arial" w:hAnsi="Arial" w:cs="Arial"/>
          <w:bCs/>
          <w:sz w:val="20"/>
          <w:lang w:val="sr-Latn-RS"/>
        </w:rPr>
        <w:t>20</w:t>
      </w:r>
      <w:r w:rsidR="009F5AED" w:rsidRPr="006F4DB3">
        <w:rPr>
          <w:rFonts w:ascii="Arial" w:hAnsi="Arial" w:cs="Arial"/>
          <w:bCs/>
          <w:sz w:val="20"/>
          <w:lang w:val="sr-Latn-RS"/>
        </w:rPr>
        <w:t>2</w:t>
      </w:r>
      <w:r w:rsidR="00084433" w:rsidRPr="006F4DB3">
        <w:rPr>
          <w:rFonts w:ascii="Arial" w:hAnsi="Arial" w:cs="Arial"/>
          <w:bCs/>
          <w:sz w:val="20"/>
          <w:lang w:val="sr-Latn-RS"/>
        </w:rPr>
        <w:t>4</w:t>
      </w:r>
      <w:r w:rsidR="009F5AED" w:rsidRPr="006F4DB3">
        <w:rPr>
          <w:rFonts w:ascii="Arial" w:hAnsi="Arial" w:cs="Arial"/>
          <w:bCs/>
          <w:sz w:val="20"/>
          <w:lang w:val="sr-Latn-RS"/>
        </w:rPr>
        <w:t>.</w:t>
      </w:r>
      <w:r w:rsidR="00464FCC">
        <w:rPr>
          <w:rFonts w:ascii="Arial" w:hAnsi="Arial" w:cs="Arial"/>
          <w:bCs/>
          <w:sz w:val="20"/>
          <w:lang w:val="sr-Latn-RS"/>
        </w:rPr>
        <w:t xml:space="preserve"> godine</w:t>
      </w:r>
      <w:r w:rsidR="00683884" w:rsidRPr="006F4DB3">
        <w:rPr>
          <w:rFonts w:ascii="Arial" w:hAnsi="Arial" w:cs="Arial"/>
          <w:bCs/>
          <w:sz w:val="20"/>
          <w:lang w:val="sr-Latn-RS"/>
        </w:rPr>
        <w:tab/>
      </w:r>
    </w:p>
    <w:p w:rsidR="00370754" w:rsidRPr="006F4DB3" w:rsidRDefault="00370754" w:rsidP="00370754">
      <w:pPr>
        <w:jc w:val="center"/>
        <w:rPr>
          <w:rFonts w:ascii="Arial" w:hAnsi="Arial" w:cs="Arial"/>
          <w:b/>
          <w:lang w:val="sr-Latn-RS"/>
        </w:rPr>
      </w:pPr>
      <w:r w:rsidRPr="006F4DB3">
        <w:rPr>
          <w:rFonts w:ascii="Arial" w:hAnsi="Arial" w:cs="Arial"/>
          <w:b/>
          <w:sz w:val="36"/>
          <w:szCs w:val="36"/>
          <w:lang w:val="sr-Latn-RS"/>
        </w:rPr>
        <w:t>S E K T O R S K A   A N A L I Z A</w:t>
      </w:r>
      <w:r w:rsidRPr="006F4DB3">
        <w:rPr>
          <w:rFonts w:ascii="Arial" w:hAnsi="Arial" w:cs="Arial"/>
          <w:b/>
          <w:sz w:val="36"/>
          <w:szCs w:val="36"/>
          <w:lang w:val="sr-Latn-RS"/>
        </w:rPr>
        <w:br/>
      </w:r>
      <w:r w:rsidRPr="006F4DB3">
        <w:rPr>
          <w:rFonts w:ascii="Arial" w:hAnsi="Arial" w:cs="Arial"/>
          <w:b/>
          <w:lang w:val="sr-Latn-RS"/>
        </w:rPr>
        <w:t xml:space="preserve">za utvrđivanje predloga prioritetnih oblasti od javnog interesa i potrebnih sredstava </w:t>
      </w:r>
      <w:r w:rsidRPr="006F4DB3">
        <w:rPr>
          <w:rFonts w:ascii="Arial" w:hAnsi="Arial" w:cs="Arial"/>
          <w:b/>
          <w:lang w:val="sr-Latn-RS"/>
        </w:rPr>
        <w:br/>
        <w:t>za finansiranje projekata i programa nevladinih organizaci</w:t>
      </w:r>
      <w:r w:rsidR="009F5AED" w:rsidRPr="006F4DB3">
        <w:rPr>
          <w:rFonts w:ascii="Arial" w:hAnsi="Arial" w:cs="Arial"/>
          <w:b/>
          <w:lang w:val="sr-Latn-RS"/>
        </w:rPr>
        <w:t>ja</w:t>
      </w:r>
      <w:r w:rsidR="009F5AED" w:rsidRPr="006F4DB3">
        <w:rPr>
          <w:rFonts w:ascii="Arial" w:hAnsi="Arial" w:cs="Arial"/>
          <w:b/>
          <w:lang w:val="sr-Latn-RS"/>
        </w:rPr>
        <w:br/>
        <w:t xml:space="preserve">iz Budžeta Crne Gore u </w:t>
      </w:r>
      <w:r w:rsidR="00084433" w:rsidRPr="006F4DB3">
        <w:rPr>
          <w:rFonts w:ascii="Arial" w:hAnsi="Arial" w:cs="Arial"/>
          <w:b/>
          <w:lang w:val="sr-Latn-RS"/>
        </w:rPr>
        <w:t>2025</w:t>
      </w:r>
      <w:r w:rsidRPr="006F4DB3">
        <w:rPr>
          <w:rFonts w:ascii="Arial" w:hAnsi="Arial" w:cs="Arial"/>
          <w:b/>
          <w:lang w:val="sr-Latn-RS"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6F4DB3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i/>
                <w:lang w:val="sr-Latn-RS"/>
              </w:rPr>
            </w:pPr>
            <w:r w:rsidRPr="006F4DB3">
              <w:rPr>
                <w:rFonts w:ascii="Arial" w:hAnsi="Arial" w:cs="Arial"/>
                <w:i/>
                <w:lang w:val="sr-Latn-RS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640F0" w:rsidRPr="006F4DB3" w:rsidRDefault="00A640F0" w:rsidP="00370754">
      <w:pPr>
        <w:rPr>
          <w:rFonts w:ascii="Arial" w:hAnsi="Arial" w:cs="Arial"/>
          <w:lang w:val="sr-Latn-RS"/>
        </w:rPr>
      </w:pPr>
    </w:p>
    <w:p w:rsidR="00107D7D" w:rsidRPr="006F4DB3" w:rsidRDefault="00107D7D" w:rsidP="00370754">
      <w:pPr>
        <w:rPr>
          <w:rFonts w:ascii="Arial" w:hAnsi="Arial" w:cs="Arial"/>
          <w:lang w:val="sr-Latn-RS"/>
        </w:rPr>
      </w:pPr>
    </w:p>
    <w:p w:rsidR="00107D7D" w:rsidRDefault="00107D7D" w:rsidP="00370754">
      <w:pPr>
        <w:rPr>
          <w:rFonts w:ascii="Arial" w:hAnsi="Arial" w:cs="Arial"/>
          <w:lang w:val="sr-Latn-RS"/>
        </w:rPr>
      </w:pPr>
    </w:p>
    <w:p w:rsidR="00464FCC" w:rsidRDefault="00464FCC" w:rsidP="00370754">
      <w:pPr>
        <w:rPr>
          <w:rFonts w:ascii="Arial" w:hAnsi="Arial" w:cs="Arial"/>
          <w:lang w:val="sr-Latn-RS"/>
        </w:rPr>
      </w:pPr>
    </w:p>
    <w:p w:rsidR="00464FCC" w:rsidRPr="006F4DB3" w:rsidRDefault="00464FCC" w:rsidP="00370754">
      <w:pPr>
        <w:rPr>
          <w:rFonts w:ascii="Arial" w:hAnsi="Arial" w:cs="Arial"/>
          <w:lang w:val="sr-Latn-RS"/>
        </w:rPr>
      </w:pPr>
    </w:p>
    <w:p w:rsidR="00107D7D" w:rsidRPr="006F4DB3" w:rsidRDefault="00107D7D" w:rsidP="00370754">
      <w:pPr>
        <w:rPr>
          <w:rFonts w:ascii="Arial" w:hAnsi="Arial" w:cs="Arial"/>
          <w:lang w:val="sr-Latn-RS"/>
        </w:rPr>
      </w:pPr>
    </w:p>
    <w:p w:rsidR="00370754" w:rsidRPr="006F4DB3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RS"/>
        </w:rPr>
      </w:pPr>
      <w:r w:rsidRPr="006F4DB3">
        <w:rPr>
          <w:rFonts w:ascii="Arial" w:hAnsi="Arial" w:cs="Arial"/>
          <w:b/>
          <w:u w:val="single"/>
          <w:lang w:val="sr-Latn-RS"/>
        </w:rPr>
        <w:lastRenderedPageBreak/>
        <w:t>OBLASTI OD JAVNOG INTERESA U KOJIMA SE PLANIRA FINANSIJSKA PODRŠKA ZA PROJEKTE I PROGRAME NVO</w:t>
      </w:r>
    </w:p>
    <w:p w:rsidR="00370754" w:rsidRPr="006F4DB3" w:rsidRDefault="00A640F0" w:rsidP="00370754">
      <w:pPr>
        <w:pStyle w:val="ListParagrap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1.1.</w:t>
      </w:r>
      <w:r w:rsidR="00370754" w:rsidRPr="006F4DB3">
        <w:rPr>
          <w:rFonts w:ascii="Arial" w:hAnsi="Arial" w:cs="Arial"/>
          <w:lang w:val="sr-Latn-RS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6F4DB3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2033AE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zaštita životne sredine</w:t>
            </w:r>
          </w:p>
        </w:tc>
      </w:tr>
      <w:tr w:rsidR="00370754" w:rsidRPr="006F4DB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2033AE" w:rsidP="000A502D">
            <w:pPr>
              <w:rPr>
                <w:rFonts w:ascii="Arial" w:hAnsi="Arial" w:cs="Arial"/>
                <w:sz w:val="16"/>
                <w:szCs w:val="16"/>
                <w:highlight w:val="cyan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2033AE" w:rsidP="000A502D">
            <w:pPr>
              <w:rPr>
                <w:rFonts w:ascii="Arial" w:hAnsi="Arial" w:cs="Arial"/>
                <w:sz w:val="20"/>
                <w:szCs w:val="20"/>
                <w:highlight w:val="cyan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poljoprivreda i ruralni razvoj</w:t>
            </w:r>
          </w:p>
        </w:tc>
      </w:tr>
      <w:tr w:rsidR="00370754" w:rsidRPr="006F4DB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2033AE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održivi razvoj</w:t>
            </w:r>
          </w:p>
        </w:tc>
      </w:tr>
      <w:tr w:rsidR="00370754" w:rsidRPr="006F4DB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zaštita potrošača</w:t>
            </w:r>
          </w:p>
        </w:tc>
      </w:tr>
      <w:tr w:rsidR="00370754" w:rsidRPr="006F4DB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rodna ravnopravnost</w:t>
            </w:r>
          </w:p>
        </w:tc>
      </w:tr>
      <w:tr w:rsidR="00370754" w:rsidRPr="006F4DB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borba protiv korupcije i organizovanog kriminala</w:t>
            </w:r>
          </w:p>
        </w:tc>
      </w:tr>
      <w:tr w:rsidR="00370754" w:rsidRPr="006F4DB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 w:val="20"/>
                <w:szCs w:val="20"/>
                <w:lang w:val="sr-Latn-RS"/>
              </w:rPr>
              <w:t>borba  protiv  bolesti  zavisnosti</w:t>
            </w:r>
          </w:p>
        </w:tc>
      </w:tr>
      <w:tr w:rsidR="00370754" w:rsidRPr="006F4DB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F4DB3">
              <w:rPr>
                <w:rFonts w:ascii="Arial" w:hAnsi="Arial" w:cs="Arial"/>
                <w:sz w:val="16"/>
                <w:szCs w:val="16"/>
                <w:lang w:val="sr-Latn-RS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8F7D2B" w:rsidRPr="00B05443" w:rsidRDefault="00370754" w:rsidP="008F7D2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u w:val="single"/>
                <w:lang w:val="sr-Latn-RS"/>
              </w:rPr>
            </w:pPr>
            <w:r w:rsidRPr="00B05443">
              <w:rPr>
                <w:rFonts w:ascii="Arial" w:hAnsi="Arial" w:cs="Arial"/>
                <w:sz w:val="20"/>
                <w:szCs w:val="20"/>
                <w:lang w:val="sr-Latn-RS"/>
              </w:rPr>
              <w:t xml:space="preserve">druge  oblasti  od  javnog  interesa  utvrđene posebnim zakonom (navesti koje):  </w:t>
            </w:r>
            <w:r w:rsidR="006D2B2D" w:rsidRPr="00B05443">
              <w:rPr>
                <w:rFonts w:ascii="Arial" w:hAnsi="Arial" w:cs="Arial"/>
                <w:sz w:val="20"/>
                <w:szCs w:val="20"/>
                <w:u w:val="single"/>
                <w:lang w:val="sr-Latn-RS"/>
              </w:rPr>
              <w:t xml:space="preserve">regionalni razvoj i </w:t>
            </w:r>
            <w:r w:rsidR="009A7691" w:rsidRPr="00B05443">
              <w:rPr>
                <w:rFonts w:ascii="Arial" w:hAnsi="Arial" w:cs="Arial"/>
                <w:sz w:val="20"/>
                <w:szCs w:val="20"/>
                <w:u w:val="single"/>
                <w:lang w:val="sr-Latn-RS"/>
              </w:rPr>
              <w:t xml:space="preserve"> investicioni ambijen</w:t>
            </w:r>
            <w:r w:rsidR="00816114" w:rsidRPr="00B05443">
              <w:rPr>
                <w:rFonts w:ascii="Arial" w:hAnsi="Arial" w:cs="Arial"/>
                <w:sz w:val="20"/>
                <w:szCs w:val="20"/>
                <w:u w:val="single"/>
                <w:lang w:val="sr-Latn-RS"/>
              </w:rPr>
              <w:t>t</w:t>
            </w:r>
            <w:r w:rsidR="008F7D2B" w:rsidRPr="00B05443">
              <w:rPr>
                <w:rFonts w:ascii="Arial" w:hAnsi="Arial" w:cs="Arial"/>
                <w:sz w:val="20"/>
                <w:szCs w:val="20"/>
                <w:u w:val="single"/>
                <w:lang w:val="sr-Latn-RS"/>
              </w:rPr>
              <w:t xml:space="preserve"> </w:t>
            </w:r>
            <w:bookmarkStart w:id="0" w:name="_GoBack"/>
            <w:bookmarkEnd w:id="0"/>
          </w:p>
          <w:p w:rsidR="006D2B2D" w:rsidRPr="00B05443" w:rsidRDefault="006D2B2D" w:rsidP="008F7D2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0E160A" w:rsidRPr="00B05443" w:rsidRDefault="006D2B2D" w:rsidP="006D2B2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05443">
              <w:rPr>
                <w:rFonts w:ascii="Arial" w:hAnsi="Arial" w:cs="Arial"/>
                <w:sz w:val="20"/>
                <w:szCs w:val="20"/>
                <w:lang w:val="sr-Latn-RS"/>
              </w:rPr>
              <w:t>Zakon o regionalnom razvoju (“Službeni list Crne Gore</w:t>
            </w:r>
            <w:r w:rsidR="00EF4B5C" w:rsidRPr="00B05443">
              <w:rPr>
                <w:rFonts w:ascii="Arial" w:hAnsi="Arial" w:cs="Arial"/>
                <w:sz w:val="20"/>
                <w:szCs w:val="20"/>
                <w:lang w:val="sr-Latn-RS"/>
              </w:rPr>
              <w:t>”</w:t>
            </w:r>
            <w:r w:rsidRPr="00B05443">
              <w:rPr>
                <w:rFonts w:ascii="Arial" w:hAnsi="Arial" w:cs="Arial"/>
                <w:sz w:val="20"/>
                <w:szCs w:val="20"/>
                <w:lang w:val="sr-Latn-RS"/>
              </w:rPr>
              <w:t>, br. 20/2011, 26/2011, 20/2015 i 47/2019)</w:t>
            </w:r>
          </w:p>
          <w:p w:rsidR="008F7D2B" w:rsidRPr="00B05443" w:rsidRDefault="008F7D2B" w:rsidP="000E16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05443">
              <w:rPr>
                <w:rFonts w:ascii="Arial" w:hAnsi="Arial" w:cs="Arial"/>
                <w:sz w:val="20"/>
                <w:szCs w:val="20"/>
                <w:lang w:val="sr-Latn-RS"/>
              </w:rPr>
              <w:t>Zakon o unaprjeđenju poslovnog ambijenta ("Službeni list Crne Gore", br. 040/10 i 018/19)</w:t>
            </w:r>
            <w:r w:rsidR="000E160A" w:rsidRPr="00B05443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:rsidR="008F7D2B" w:rsidRPr="00B05443" w:rsidRDefault="008F7D2B" w:rsidP="000E16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05443">
              <w:rPr>
                <w:rFonts w:ascii="Arial" w:hAnsi="Arial" w:cs="Arial"/>
                <w:sz w:val="20"/>
                <w:szCs w:val="20"/>
                <w:lang w:val="sr-Latn-RS"/>
              </w:rPr>
              <w:t>Zakon o privrednim društvima ("Službeni list Crne Gore", br. 065/20, 146/21 i 004/24)</w:t>
            </w:r>
          </w:p>
          <w:p w:rsidR="00370754" w:rsidRPr="006F4DB3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:rsidR="00370754" w:rsidRPr="006F4DB3" w:rsidRDefault="00370754" w:rsidP="00370754">
      <w:pPr>
        <w:pStyle w:val="ListParagraph"/>
        <w:rPr>
          <w:rFonts w:ascii="Arial" w:hAnsi="Arial" w:cs="Arial"/>
          <w:b/>
          <w:lang w:val="sr-Latn-RS"/>
        </w:rPr>
      </w:pPr>
    </w:p>
    <w:p w:rsidR="00370754" w:rsidRPr="006F4DB3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RS"/>
        </w:rPr>
      </w:pPr>
      <w:r w:rsidRPr="006F4DB3">
        <w:rPr>
          <w:rFonts w:ascii="Arial" w:hAnsi="Arial" w:cs="Arial"/>
          <w:b/>
          <w:lang w:val="sr-Latn-RS"/>
        </w:rPr>
        <w:t>PRIORITETNI PROBLEMI I POTR</w:t>
      </w:r>
      <w:r w:rsidR="00EA22A1" w:rsidRPr="006F4DB3">
        <w:rPr>
          <w:rFonts w:ascii="Arial" w:hAnsi="Arial" w:cs="Arial"/>
          <w:b/>
          <w:lang w:val="sr-Latn-RS"/>
        </w:rPr>
        <w:t xml:space="preserve">EBE KOJE TREBA RIJEŠITI U </w:t>
      </w:r>
      <w:r w:rsidR="009A7691" w:rsidRPr="006F4DB3">
        <w:rPr>
          <w:rFonts w:ascii="Arial" w:hAnsi="Arial" w:cs="Arial"/>
          <w:b/>
          <w:u w:val="single"/>
          <w:lang w:val="sr-Latn-RS"/>
        </w:rPr>
        <w:t>2025.</w:t>
      </w:r>
      <w:r w:rsidRPr="006F4DB3">
        <w:rPr>
          <w:rFonts w:ascii="Arial" w:hAnsi="Arial" w:cs="Arial"/>
          <w:b/>
          <w:u w:val="single"/>
          <w:lang w:val="sr-Latn-RS"/>
        </w:rPr>
        <w:t>GODINI</w:t>
      </w:r>
      <w:r w:rsidRPr="006F4DB3">
        <w:rPr>
          <w:rFonts w:ascii="Arial" w:hAnsi="Arial" w:cs="Arial"/>
          <w:b/>
          <w:lang w:val="sr-Latn-RS"/>
        </w:rPr>
        <w:t xml:space="preserve"> FINANSIRANJEM PROJEKATA I</w:t>
      </w:r>
      <w:r w:rsidR="00A640F0" w:rsidRPr="006F4DB3">
        <w:rPr>
          <w:rFonts w:ascii="Arial" w:hAnsi="Arial" w:cs="Arial"/>
          <w:b/>
          <w:lang w:val="sr-Latn-RS"/>
        </w:rPr>
        <w:t xml:space="preserve"> </w:t>
      </w:r>
      <w:r w:rsidRPr="006F4DB3">
        <w:rPr>
          <w:rFonts w:ascii="Arial" w:hAnsi="Arial" w:cs="Arial"/>
          <w:b/>
          <w:lang w:val="sr-Latn-RS"/>
        </w:rPr>
        <w:t>PROGRAMA NVO</w:t>
      </w:r>
    </w:p>
    <w:p w:rsidR="00370754" w:rsidRPr="006F4DB3" w:rsidRDefault="00A640F0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 xml:space="preserve">2.1. </w:t>
      </w:r>
      <w:r w:rsidR="00370754" w:rsidRPr="006F4DB3">
        <w:rPr>
          <w:rFonts w:ascii="Arial" w:hAnsi="Arial" w:cs="Arial"/>
          <w:lang w:val="sr-Latn-RS"/>
        </w:rPr>
        <w:t xml:space="preserve">Navesti prioritetne probleme u oblasti(ma) iz nadležnosti ministarstva koji se planiraju rješavati finansiranjem projekata i programa nevladinih organizacija. Opis problema obrazložiti koristeći konkretne mjerljive pokazatelje trenutnog stanja i željenog stanja odnosno </w:t>
      </w:r>
      <w:r w:rsidR="00370754" w:rsidRPr="006F4DB3">
        <w:rPr>
          <w:rFonts w:ascii="Arial" w:hAnsi="Arial" w:cs="Arial"/>
          <w:lang w:val="sr-Latn-RS"/>
        </w:rPr>
        <w:lastRenderedPageBreak/>
        <w:t>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6F4DB3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Opis problema:</w:t>
            </w:r>
          </w:p>
        </w:tc>
      </w:tr>
      <w:tr w:rsidR="00370754" w:rsidRPr="006F4DB3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E83D20" w:rsidRPr="006F4DB3" w:rsidRDefault="00643692" w:rsidP="00643692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Kada je riječ o regionalnom razvoju Crne Gore, brojni su </w:t>
            </w:r>
            <w:r w:rsidR="003040AC" w:rsidRPr="006F4DB3">
              <w:rPr>
                <w:rFonts w:ascii="Arial" w:hAnsi="Arial" w:cs="Arial"/>
                <w:lang w:val="sr-Latn-RS"/>
              </w:rPr>
              <w:t xml:space="preserve">uzroci koji </w:t>
            </w:r>
            <w:r w:rsidRPr="006F4DB3">
              <w:rPr>
                <w:rFonts w:ascii="Arial" w:hAnsi="Arial" w:cs="Arial"/>
                <w:lang w:val="sr-Latn-RS"/>
              </w:rPr>
              <w:t xml:space="preserve">utiču na </w:t>
            </w:r>
            <w:r w:rsidR="003040AC" w:rsidRPr="006F4DB3">
              <w:rPr>
                <w:rFonts w:ascii="Arial" w:hAnsi="Arial" w:cs="Arial"/>
                <w:lang w:val="sr-Latn-RS"/>
              </w:rPr>
              <w:t>različit nivo razvijenosti kako regiona, tako i lokalnih samouprava</w:t>
            </w:r>
            <w:r w:rsidR="004754B7" w:rsidRPr="006F4DB3">
              <w:rPr>
                <w:rFonts w:ascii="Arial" w:hAnsi="Arial" w:cs="Arial"/>
                <w:lang w:val="sr-Latn-RS"/>
              </w:rPr>
              <w:t>, stoga imamo veliki jaz konkretno u</w:t>
            </w:r>
            <w:r w:rsidR="003040AC" w:rsidRPr="006F4DB3">
              <w:rPr>
                <w:rFonts w:ascii="Arial" w:hAnsi="Arial" w:cs="Arial"/>
                <w:lang w:val="sr-Latn-RS"/>
              </w:rPr>
              <w:t xml:space="preserve"> </w:t>
            </w:r>
            <w:r w:rsidR="004754B7" w:rsidRPr="006F4DB3">
              <w:rPr>
                <w:rFonts w:ascii="Arial" w:hAnsi="Arial" w:cs="Arial"/>
                <w:lang w:val="sr-Latn-RS"/>
              </w:rPr>
              <w:t>stepenu razvijenosti izmedju najmanje i najviše razvijene lokalne samouprave.</w:t>
            </w:r>
          </w:p>
          <w:p w:rsidR="004754B7" w:rsidRPr="006F4DB3" w:rsidRDefault="00E83D20" w:rsidP="00643692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Prema obračunu indeksa razvijenosti </w:t>
            </w:r>
            <w:r w:rsidR="00691833" w:rsidRPr="006F4DB3">
              <w:rPr>
                <w:rFonts w:ascii="Arial" w:hAnsi="Arial" w:cs="Arial"/>
                <w:lang w:val="sr-Latn-RS"/>
              </w:rPr>
              <w:t xml:space="preserve">jedinica lokalne samouprave kojeg obračunava Ministarstvo, a </w:t>
            </w:r>
            <w:r w:rsidR="004A175D" w:rsidRPr="006F4DB3">
              <w:rPr>
                <w:rFonts w:ascii="Arial" w:hAnsi="Arial" w:cs="Arial"/>
                <w:lang w:val="sr-Latn-RS"/>
              </w:rPr>
              <w:t>koji je objavljen početkom</w:t>
            </w:r>
            <w:r w:rsidRPr="006F4DB3">
              <w:rPr>
                <w:rFonts w:ascii="Arial" w:hAnsi="Arial" w:cs="Arial"/>
                <w:lang w:val="sr-Latn-RS"/>
              </w:rPr>
              <w:t xml:space="preserve"> 202</w:t>
            </w:r>
            <w:r w:rsidR="004A175D" w:rsidRPr="006F4DB3">
              <w:rPr>
                <w:rFonts w:ascii="Arial" w:hAnsi="Arial" w:cs="Arial"/>
                <w:lang w:val="sr-Latn-RS"/>
              </w:rPr>
              <w:t>3</w:t>
            </w:r>
            <w:r w:rsidRPr="006F4DB3">
              <w:rPr>
                <w:rFonts w:ascii="Arial" w:hAnsi="Arial" w:cs="Arial"/>
                <w:lang w:val="sr-Latn-RS"/>
              </w:rPr>
              <w:t>. godine, najrazvijenije opštine u Crnoj Gori su Budva sa</w:t>
            </w:r>
            <w:r w:rsidR="004A175D" w:rsidRPr="006F4DB3">
              <w:rPr>
                <w:rFonts w:ascii="Arial" w:hAnsi="Arial" w:cs="Arial"/>
                <w:lang w:val="sr-Latn-RS"/>
              </w:rPr>
              <w:t xml:space="preserve"> indeksom</w:t>
            </w:r>
            <w:r w:rsidRPr="006F4DB3">
              <w:rPr>
                <w:rFonts w:ascii="Arial" w:hAnsi="Arial" w:cs="Arial"/>
                <w:lang w:val="sr-Latn-RS"/>
              </w:rPr>
              <w:t xml:space="preserve"> 142,7, Tivat 128,8</w:t>
            </w:r>
            <w:r w:rsidR="004754B7" w:rsidRPr="006F4DB3">
              <w:rPr>
                <w:rFonts w:ascii="Arial" w:hAnsi="Arial" w:cs="Arial"/>
                <w:lang w:val="sr-Latn-RS"/>
              </w:rPr>
              <w:t xml:space="preserve"> </w:t>
            </w:r>
            <w:r w:rsidRPr="006F4DB3">
              <w:rPr>
                <w:rFonts w:ascii="Arial" w:hAnsi="Arial" w:cs="Arial"/>
                <w:lang w:val="sr-Latn-RS"/>
              </w:rPr>
              <w:t>i</w:t>
            </w:r>
            <w:r w:rsidR="00231D5F" w:rsidRPr="006F4DB3">
              <w:rPr>
                <w:rFonts w:ascii="Arial" w:hAnsi="Arial" w:cs="Arial"/>
                <w:lang w:val="sr-Latn-RS"/>
              </w:rPr>
              <w:t xml:space="preserve"> </w:t>
            </w:r>
            <w:r w:rsidRPr="006F4DB3">
              <w:rPr>
                <w:rFonts w:ascii="Arial" w:hAnsi="Arial" w:cs="Arial"/>
                <w:lang w:val="sr-Latn-RS"/>
              </w:rPr>
              <w:t xml:space="preserve">Podgorica </w:t>
            </w:r>
            <w:r w:rsidR="004A175D" w:rsidRPr="006F4DB3">
              <w:rPr>
                <w:rFonts w:ascii="Arial" w:hAnsi="Arial" w:cs="Arial"/>
                <w:lang w:val="sr-Latn-RS"/>
              </w:rPr>
              <w:t>122,8</w:t>
            </w:r>
            <w:r w:rsidRPr="006F4DB3">
              <w:rPr>
                <w:rFonts w:ascii="Arial" w:hAnsi="Arial" w:cs="Arial"/>
                <w:lang w:val="sr-Latn-RS"/>
              </w:rPr>
              <w:t xml:space="preserve">, dok su </w:t>
            </w:r>
            <w:r w:rsidR="00231D5F" w:rsidRPr="006F4DB3">
              <w:rPr>
                <w:rFonts w:ascii="Arial" w:hAnsi="Arial" w:cs="Arial"/>
                <w:lang w:val="sr-Latn-RS"/>
              </w:rPr>
              <w:t>najnerazvijenije opštine Petnjica sa indeksom 28,3, P</w:t>
            </w:r>
            <w:r w:rsidR="004A175D" w:rsidRPr="006F4DB3">
              <w:rPr>
                <w:rFonts w:ascii="Arial" w:hAnsi="Arial" w:cs="Arial"/>
                <w:lang w:val="sr-Latn-RS"/>
              </w:rPr>
              <w:t xml:space="preserve">lav </w:t>
            </w:r>
            <w:r w:rsidR="00231D5F" w:rsidRPr="006F4DB3">
              <w:rPr>
                <w:rFonts w:ascii="Arial" w:hAnsi="Arial" w:cs="Arial"/>
                <w:lang w:val="sr-Latn-RS"/>
              </w:rPr>
              <w:t xml:space="preserve">44,3 i Gusinje </w:t>
            </w:r>
            <w:r w:rsidR="004A175D" w:rsidRPr="006F4DB3">
              <w:rPr>
                <w:rFonts w:ascii="Arial" w:hAnsi="Arial" w:cs="Arial"/>
                <w:lang w:val="sr-Latn-RS"/>
              </w:rPr>
              <w:t>48,1</w:t>
            </w:r>
            <w:r w:rsidR="00231D5F" w:rsidRPr="006F4DB3">
              <w:rPr>
                <w:rFonts w:ascii="Arial" w:hAnsi="Arial" w:cs="Arial"/>
                <w:lang w:val="sr-Latn-RS"/>
              </w:rPr>
              <w:t xml:space="preserve">. Među 10 najnerazvijenijih opština, </w:t>
            </w:r>
            <w:r w:rsidR="00231417" w:rsidRPr="006F4DB3">
              <w:rPr>
                <w:rFonts w:ascii="Arial" w:hAnsi="Arial" w:cs="Arial"/>
                <w:lang w:val="sr-Latn-RS"/>
              </w:rPr>
              <w:t>devet</w:t>
            </w:r>
            <w:r w:rsidR="00231D5F" w:rsidRPr="006F4DB3">
              <w:rPr>
                <w:rFonts w:ascii="Arial" w:hAnsi="Arial" w:cs="Arial"/>
                <w:lang w:val="sr-Latn-RS"/>
              </w:rPr>
              <w:t xml:space="preserve"> je iz Sjevernog regiona.</w:t>
            </w:r>
            <w:r w:rsidRPr="006F4DB3">
              <w:rPr>
                <w:rFonts w:ascii="Arial" w:hAnsi="Arial" w:cs="Arial"/>
                <w:lang w:val="sr-Latn-RS"/>
              </w:rPr>
              <w:t xml:space="preserve"> </w:t>
            </w:r>
            <w:r w:rsidR="00AD5C08" w:rsidRPr="006F4DB3">
              <w:rPr>
                <w:rFonts w:ascii="Arial" w:hAnsi="Arial" w:cs="Arial"/>
                <w:lang w:val="sr-Latn-RS"/>
              </w:rPr>
              <w:t xml:space="preserve">Podaci </w:t>
            </w:r>
            <w:r w:rsidR="00231417" w:rsidRPr="006F4DB3">
              <w:rPr>
                <w:rFonts w:ascii="Arial" w:hAnsi="Arial" w:cs="Arial"/>
                <w:lang w:val="sr-Latn-RS"/>
              </w:rPr>
              <w:t>P</w:t>
            </w:r>
            <w:r w:rsidR="00AD5C08" w:rsidRPr="006F4DB3">
              <w:rPr>
                <w:rFonts w:ascii="Arial" w:hAnsi="Arial" w:cs="Arial"/>
                <w:lang w:val="sr-Latn-RS"/>
              </w:rPr>
              <w:t>opisa</w:t>
            </w:r>
            <w:r w:rsidR="00231417" w:rsidRPr="006F4DB3">
              <w:rPr>
                <w:rFonts w:ascii="Arial" w:hAnsi="Arial" w:cs="Arial"/>
                <w:lang w:val="sr-Latn-RS"/>
              </w:rPr>
              <w:t xml:space="preserve"> stanovništva, domaćinstava i stanova u 2023. godini</w:t>
            </w:r>
            <w:r w:rsidR="00AD5C08" w:rsidRPr="006F4DB3">
              <w:rPr>
                <w:rFonts w:ascii="Arial" w:hAnsi="Arial" w:cs="Arial"/>
                <w:lang w:val="sr-Latn-RS"/>
              </w:rPr>
              <w:t xml:space="preserve">, shodno kojem je broj stanovnika u Sjevernom regionu manji za 14,2% u odnosu na prethodni </w:t>
            </w:r>
            <w:r w:rsidR="00231417" w:rsidRPr="006F4DB3">
              <w:rPr>
                <w:rFonts w:ascii="Arial" w:hAnsi="Arial" w:cs="Arial"/>
                <w:lang w:val="sr-Latn-RS"/>
              </w:rPr>
              <w:t>p</w:t>
            </w:r>
            <w:r w:rsidR="00AD5C08" w:rsidRPr="006F4DB3">
              <w:rPr>
                <w:rFonts w:ascii="Arial" w:hAnsi="Arial" w:cs="Arial"/>
                <w:lang w:val="sr-Latn-RS"/>
              </w:rPr>
              <w:t>opis, dodatno ukazuju na potrebu preis</w:t>
            </w:r>
            <w:r w:rsidR="00231417" w:rsidRPr="006F4DB3">
              <w:rPr>
                <w:rFonts w:ascii="Arial" w:hAnsi="Arial" w:cs="Arial"/>
                <w:lang w:val="sr-Latn-RS"/>
              </w:rPr>
              <w:t>p</w:t>
            </w:r>
            <w:r w:rsidR="00AD5C08" w:rsidRPr="006F4DB3">
              <w:rPr>
                <w:rFonts w:ascii="Arial" w:hAnsi="Arial" w:cs="Arial"/>
                <w:lang w:val="sr-Latn-RS"/>
              </w:rPr>
              <w:t>itivanja politika i kreiranje adekvatnih smjernica za dalje djelovanje. Ove razlike prati i niz drugih socio-ekonomskih indikatora, stope nezaposlenosti, indeksa konkurentnosti, broja privrednih subjekata, dohotka po stanovniku i</w:t>
            </w:r>
            <w:r w:rsidR="00231417" w:rsidRPr="006F4DB3">
              <w:rPr>
                <w:rFonts w:ascii="Arial" w:hAnsi="Arial" w:cs="Arial"/>
                <w:lang w:val="sr-Latn-RS"/>
              </w:rPr>
              <w:t>td</w:t>
            </w:r>
            <w:r w:rsidR="00AD5C08" w:rsidRPr="006F4DB3">
              <w:rPr>
                <w:rFonts w:ascii="Arial" w:hAnsi="Arial" w:cs="Arial"/>
                <w:lang w:val="sr-Latn-RS"/>
              </w:rPr>
              <w:t xml:space="preserve">.  </w:t>
            </w:r>
          </w:p>
          <w:p w:rsidR="009732F8" w:rsidRPr="006F4DB3" w:rsidRDefault="004754B7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Politika regionalnog razvoja bazirana na principu „odozdo na gore“ znači jasan fokus na lokalne samouprave, od kojih se očekuje veliko učešće u lokalnom ekonomskom razv</w:t>
            </w:r>
            <w:r w:rsidR="005E5C14" w:rsidRPr="006F4DB3">
              <w:rPr>
                <w:rFonts w:ascii="Arial" w:hAnsi="Arial" w:cs="Arial"/>
                <w:lang w:val="sr-Latn-RS"/>
              </w:rPr>
              <w:t>o</w:t>
            </w:r>
            <w:r w:rsidRPr="006F4DB3">
              <w:rPr>
                <w:rFonts w:ascii="Arial" w:hAnsi="Arial" w:cs="Arial"/>
                <w:lang w:val="sr-Latn-RS"/>
              </w:rPr>
              <w:t>ju, ali i upućivanju smjernica za kreiranje državnih politika. Na toj liniji, namjera je da se  d</w:t>
            </w:r>
            <w:r w:rsidR="00933725" w:rsidRPr="006F4DB3">
              <w:rPr>
                <w:rFonts w:ascii="Arial" w:hAnsi="Arial" w:cs="Arial"/>
                <w:lang w:val="sr-Latn-RS"/>
              </w:rPr>
              <w:t>ub</w:t>
            </w:r>
            <w:r w:rsidRPr="006F4DB3">
              <w:rPr>
                <w:rFonts w:ascii="Arial" w:hAnsi="Arial" w:cs="Arial"/>
                <w:lang w:val="sr-Latn-RS"/>
              </w:rPr>
              <w:t>lje analiziraju potencijali razvoja na lokalnom nivou, kako bi se sa više nivoa i uz jaku međuresornu saradnju resursi usmjerili na bolje i optimalno korišćenje potencijala. Na ovaj način stv</w:t>
            </w:r>
            <w:r w:rsidR="00B63CC6" w:rsidRPr="006F4DB3">
              <w:rPr>
                <w:rFonts w:ascii="Arial" w:hAnsi="Arial" w:cs="Arial"/>
                <w:lang w:val="sr-Latn-RS"/>
              </w:rPr>
              <w:t>o</w:t>
            </w:r>
            <w:r w:rsidRPr="006F4DB3">
              <w:rPr>
                <w:rFonts w:ascii="Arial" w:hAnsi="Arial" w:cs="Arial"/>
                <w:lang w:val="sr-Latn-RS"/>
              </w:rPr>
              <w:t xml:space="preserve">rila bi se dobra baza iz koje bi lokalne samouprave mogle izvući smjernice za svoje dalje planove, a takođe i smjernice za bolju koordinaciju politike regionalnog razvoja. </w:t>
            </w:r>
          </w:p>
          <w:p w:rsidR="00FB409E" w:rsidRPr="006F4DB3" w:rsidRDefault="00B63CC6" w:rsidP="00FB409E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Takođe, problem koji je potrebno riješiti odnosi se na Registar nameta.</w:t>
            </w:r>
            <w:r w:rsidR="00FB409E" w:rsidRPr="006F4DB3">
              <w:rPr>
                <w:rFonts w:ascii="Arial" w:hAnsi="Arial" w:cs="Arial"/>
                <w:lang w:val="sr-Latn-RS"/>
              </w:rPr>
              <w:t xml:space="preserve"> Registar nameta sadrži spisak nameta na državnom i lokalnom nivou, koje su u obavezi da plaćaju fizička i pravna lica. Osnovni cilj kreiranja ovog Registra je centralizacija podataka o nametima koji se naplaćuju u Crnoj Gori, na državnom i lokalnom nivou, a u cilju pojednostavljenja procesa poslovanja i povećanja transparentnosti.</w:t>
            </w:r>
          </w:p>
          <w:p w:rsidR="00FB409E" w:rsidRPr="006F4DB3" w:rsidRDefault="00FB409E" w:rsidP="00FB409E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Registar omogućava javnom sektoru da ima uvid u opterećenost nametima po sektorima privrede, analizira neophodnost postojećih nameta i na osnovu tih inputa donosi odluku u kojim slučajevima se namet može smanjiti, odložiti ili ukinuti. Ova baza treba da pomogne donosiocima odluka pri izradi nove regulative i utvrđivanja novih nameta. Sa druge strane, za privredu ovakav </w:t>
            </w:r>
            <w:r w:rsidRPr="006F4DB3">
              <w:rPr>
                <w:rFonts w:ascii="Arial" w:hAnsi="Arial" w:cs="Arial"/>
                <w:lang w:val="sr-Latn-RS"/>
              </w:rPr>
              <w:lastRenderedPageBreak/>
              <w:t>registar omogućuje da na transparentan način ima uvid u listu nameta i iznos istih za oblasti koje se odnose na njihovo poslovanje, kao i mogućnost da unaprijed izračunaju i planiraju troškove koji se odnose na njihove obaveze prema javnom sektoru.</w:t>
            </w:r>
          </w:p>
          <w:p w:rsidR="00FB409E" w:rsidRPr="006F4DB3" w:rsidRDefault="00FB409E" w:rsidP="00FB409E">
            <w:pPr>
              <w:rPr>
                <w:rFonts w:ascii="Arial" w:eastAsiaTheme="minorHAnsi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U cilju poboljšanja efikasnosti, transparentnosti i tačnosti Registra nameta u Crnoj Gori, potrebno je sprovesti sveobuhvatnu analizu podataka unijetih od avgusta mjeseca 2020. godine. </w:t>
            </w:r>
            <w:r w:rsidR="006D0238" w:rsidRPr="006F4DB3">
              <w:rPr>
                <w:rFonts w:ascii="Arial" w:hAnsi="Arial" w:cs="Arial"/>
                <w:lang w:val="sr-Latn-RS"/>
              </w:rPr>
              <w:t>P</w:t>
            </w:r>
            <w:r w:rsidR="003D33D6" w:rsidRPr="006F4DB3">
              <w:rPr>
                <w:rFonts w:ascii="Arial" w:hAnsi="Arial" w:cs="Arial"/>
                <w:lang w:val="sr-Latn-RS"/>
              </w:rPr>
              <w:t xml:space="preserve">rema </w:t>
            </w:r>
            <w:r w:rsidR="006D0238" w:rsidRPr="006F4DB3">
              <w:rPr>
                <w:rFonts w:ascii="Arial" w:hAnsi="Arial" w:cs="Arial"/>
                <w:lang w:val="sr-Latn-RS"/>
              </w:rPr>
              <w:t xml:space="preserve">trenutnom </w:t>
            </w:r>
            <w:r w:rsidR="003D33D6" w:rsidRPr="006F4DB3">
              <w:rPr>
                <w:rFonts w:ascii="Arial" w:hAnsi="Arial" w:cs="Arial"/>
                <w:lang w:val="sr-Latn-RS"/>
              </w:rPr>
              <w:t>presjeku stanja sa platforme, broj unijetih nameta u Registru je 1</w:t>
            </w:r>
            <w:r w:rsidR="006D0238" w:rsidRPr="006F4DB3">
              <w:rPr>
                <w:rFonts w:ascii="Arial" w:hAnsi="Arial" w:cs="Arial"/>
                <w:lang w:val="sr-Latn-RS"/>
              </w:rPr>
              <w:t>717</w:t>
            </w:r>
            <w:r w:rsidR="003D33D6" w:rsidRPr="006F4DB3">
              <w:rPr>
                <w:rFonts w:ascii="Arial" w:hAnsi="Arial" w:cs="Arial"/>
                <w:lang w:val="sr-Latn-RS"/>
              </w:rPr>
              <w:t>, dok je broj razvrstanih nameta 2</w:t>
            </w:r>
            <w:r w:rsidR="006D0238" w:rsidRPr="006F4DB3">
              <w:rPr>
                <w:rFonts w:ascii="Arial" w:hAnsi="Arial" w:cs="Arial"/>
                <w:lang w:val="sr-Latn-RS"/>
              </w:rPr>
              <w:t>6</w:t>
            </w:r>
            <w:r w:rsidR="003D33D6" w:rsidRPr="006F4DB3">
              <w:rPr>
                <w:rFonts w:ascii="Arial" w:hAnsi="Arial" w:cs="Arial"/>
                <w:lang w:val="sr-Latn-RS"/>
              </w:rPr>
              <w:t xml:space="preserve"> </w:t>
            </w:r>
            <w:r w:rsidR="006D0238" w:rsidRPr="006F4DB3">
              <w:rPr>
                <w:rFonts w:ascii="Arial" w:hAnsi="Arial" w:cs="Arial"/>
                <w:lang w:val="sr-Latn-RS"/>
              </w:rPr>
              <w:t>485</w:t>
            </w:r>
            <w:r w:rsidR="003D33D6" w:rsidRPr="006F4DB3">
              <w:rPr>
                <w:rFonts w:ascii="Arial" w:hAnsi="Arial" w:cs="Arial"/>
                <w:lang w:val="sr-Latn-RS"/>
              </w:rPr>
              <w:t xml:space="preserve">, koji su opisani sa 20 atributa, a unešeni iz </w:t>
            </w:r>
            <w:r w:rsidR="006D0238" w:rsidRPr="006F4DB3">
              <w:rPr>
                <w:rFonts w:ascii="Arial" w:hAnsi="Arial" w:cs="Arial"/>
                <w:lang w:val="sr-Latn-RS"/>
              </w:rPr>
              <w:t>825</w:t>
            </w:r>
            <w:r w:rsidR="003D33D6" w:rsidRPr="006F4DB3">
              <w:rPr>
                <w:rFonts w:ascii="Arial" w:hAnsi="Arial" w:cs="Arial"/>
                <w:lang w:val="sr-Latn-RS"/>
              </w:rPr>
              <w:t xml:space="preserve"> propisa.</w:t>
            </w:r>
          </w:p>
          <w:p w:rsidR="00572D76" w:rsidRPr="006F4DB3" w:rsidRDefault="00093D71" w:rsidP="00572D76">
            <w:pPr>
              <w:rPr>
                <w:rFonts w:ascii="Arial" w:eastAsia="Times New Roman" w:hAnsi="Arial" w:cs="Arial"/>
                <w:szCs w:val="24"/>
                <w:lang w:val="sr-Latn-RS"/>
              </w:rPr>
            </w:pPr>
            <w:bookmarkStart w:id="1" w:name="_Hlk181180095"/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Ponekad su nameti zastarjeli ili neodgovarajući, što dodatno otežava planira</w:t>
            </w:r>
            <w:r w:rsidR="006159EE" w:rsidRPr="006F4DB3">
              <w:rPr>
                <w:rFonts w:ascii="Arial" w:eastAsia="Times New Roman" w:hAnsi="Arial" w:cs="Arial"/>
                <w:szCs w:val="24"/>
                <w:lang w:val="sr-Latn-RS"/>
              </w:rPr>
              <w:t>n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j</w:t>
            </w:r>
            <w:r w:rsidR="005D3EB1" w:rsidRPr="006F4DB3">
              <w:rPr>
                <w:rFonts w:ascii="Arial" w:eastAsia="Times New Roman" w:hAnsi="Arial" w:cs="Arial"/>
                <w:szCs w:val="24"/>
                <w:lang w:val="sr-Latn-RS"/>
              </w:rPr>
              <w:t>e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i upravlj</w:t>
            </w:r>
            <w:r w:rsidR="005D3EB1" w:rsidRPr="006F4DB3">
              <w:rPr>
                <w:rFonts w:ascii="Arial" w:eastAsia="Times New Roman" w:hAnsi="Arial" w:cs="Arial"/>
                <w:szCs w:val="24"/>
                <w:lang w:val="sr-Latn-RS"/>
              </w:rPr>
              <w:t>anje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troškovima.</w:t>
            </w:r>
            <w:r w:rsidR="00572D76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Takođe, neproporcionalno opterećenje po regionima, odnosno opštinama, ne daje pravu sliku o konkurentnosti </w:t>
            </w:r>
            <w:r w:rsidR="001C6822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samih </w:t>
            </w:r>
            <w:r w:rsidR="00572D76" w:rsidRPr="006F4DB3">
              <w:rPr>
                <w:rFonts w:ascii="Arial" w:eastAsia="Times New Roman" w:hAnsi="Arial" w:cs="Arial"/>
                <w:szCs w:val="24"/>
                <w:lang w:val="sr-Latn-RS"/>
              </w:rPr>
              <w:t>opština, jer različiti faktori utiču na poslovanje u svakom području. Kada su nameti i troškovi neproporcionalni, to može dovesti do toga da neka područja izgledaju manje konkurentna zbog prekomjernih troškova, dok druga mogu d</w:t>
            </w:r>
            <w:r w:rsidR="001C6822" w:rsidRPr="006F4DB3">
              <w:rPr>
                <w:rFonts w:ascii="Arial" w:eastAsia="Times New Roman" w:hAnsi="Arial" w:cs="Arial"/>
                <w:szCs w:val="24"/>
                <w:lang w:val="sr-Latn-RS"/>
              </w:rPr>
              <w:t>j</w:t>
            </w:r>
            <w:r w:rsidR="00572D76" w:rsidRPr="006F4DB3">
              <w:rPr>
                <w:rFonts w:ascii="Arial" w:eastAsia="Times New Roman" w:hAnsi="Arial" w:cs="Arial"/>
                <w:szCs w:val="24"/>
                <w:lang w:val="sr-Latn-RS"/>
              </w:rPr>
              <w:t>elovati povoljnije, iako možda nemaju iste potencijale ili resurse.</w:t>
            </w:r>
          </w:p>
          <w:bookmarkEnd w:id="1"/>
          <w:p w:rsidR="00084433" w:rsidRPr="006F4DB3" w:rsidRDefault="00093D71" w:rsidP="00FB40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val="sr-Latn-RS"/>
              </w:rPr>
            </w:pP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Postoji potreba za boljom saradnjom između</w:t>
            </w:r>
            <w:r w:rsidR="003028E5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samih jedinica lokalne samouprave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i nivoa vlasti kako bi se osigurala efikasnija prim</w:t>
            </w:r>
            <w:r w:rsidR="00F657FC" w:rsidRPr="006F4DB3">
              <w:rPr>
                <w:rFonts w:ascii="Arial" w:eastAsia="Times New Roman" w:hAnsi="Arial" w:cs="Arial"/>
                <w:szCs w:val="24"/>
                <w:lang w:val="sr-Latn-RS"/>
              </w:rPr>
              <w:t>j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ena politika koje se odnose na namete. </w:t>
            </w:r>
          </w:p>
          <w:p w:rsidR="00084433" w:rsidRPr="006F4DB3" w:rsidRDefault="00FB409E" w:rsidP="00084433">
            <w:pPr>
              <w:rPr>
                <w:rFonts w:ascii="Arial" w:eastAsiaTheme="minorHAnsi" w:hAnsi="Arial" w:cs="Arial"/>
                <w:lang w:val="sr-Latn-RS"/>
              </w:rPr>
            </w:pP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U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loga nevladinih organizacija 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je izuzetno važ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>na u sprovođenju projekata koji mogu doprin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ij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>eti r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j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>eš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ava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>nju problema sa nametima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. 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Njihova ekspertiza u prikupljanju podataka, organizaciji </w:t>
            </w:r>
            <w:r w:rsidR="005E5C14" w:rsidRPr="006F4DB3">
              <w:rPr>
                <w:rFonts w:ascii="Arial" w:eastAsia="Times New Roman" w:hAnsi="Arial" w:cs="Arial"/>
                <w:szCs w:val="24"/>
                <w:lang w:val="sr-Latn-RS"/>
              </w:rPr>
              <w:t>okruglih stolova, panela,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radionica</w:t>
            </w:r>
            <w:r w:rsidR="005E5C14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i drugih događaja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može biti korisna u procesu identifikacije i analize nameta.</w:t>
            </w:r>
            <w:r w:rsidR="00084433" w:rsidRPr="006F4DB3">
              <w:rPr>
                <w:rFonts w:ascii="Arial" w:hAnsi="Arial" w:cs="Arial"/>
                <w:lang w:val="sr-Latn-RS"/>
              </w:rPr>
              <w:t xml:space="preserve"> Kako bi se identifikovala tačnost unijetih podataka, provjerili zastarjeli ili nevažeći nameti, kao i dodali izostavljeni potrebno je:</w:t>
            </w:r>
          </w:p>
          <w:p w:rsidR="00084433" w:rsidRPr="006F4DB3" w:rsidRDefault="00084433" w:rsidP="00084433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- provjeriti da li su svi nameti pravilno povezani sa odgovarajućim sektorima; </w:t>
            </w:r>
          </w:p>
          <w:p w:rsidR="00093D71" w:rsidRPr="006F4DB3" w:rsidRDefault="00084433" w:rsidP="00084433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- osigurati da su svi nameti registrovani, tj. da neki nisu izostavljeni, a u slučaju da se utvrdi da neki nameti nisu u Registru, treba ih dodati uz odgovarajuću validaciju; </w:t>
            </w:r>
          </w:p>
          <w:p w:rsidR="00084433" w:rsidRPr="006F4DB3" w:rsidRDefault="00093D71" w:rsidP="006D02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val="sr-Latn-RS"/>
              </w:rPr>
            </w:pP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N</w:t>
            </w:r>
            <w:r w:rsidR="00F657FC" w:rsidRPr="006F4DB3">
              <w:rPr>
                <w:rFonts w:ascii="Arial" w:eastAsia="Times New Roman" w:hAnsi="Arial" w:cs="Arial"/>
                <w:szCs w:val="24"/>
                <w:lang w:val="sr-Latn-RS"/>
              </w:rPr>
              <w:t>evladine organizacije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mogu preuzeti ulogu u prikupljanju podataka o nametima kroz istraživanja, ankete i javne konsultacije. Ova praksa može doprin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>ij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eti tačnijem uvidu u opterećenja sa kojima se suočavaju 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>građani</w:t>
            </w:r>
            <w:r w:rsidR="003028E5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i privreda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. 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Kroz edukativne kampanje, </w:t>
            </w:r>
            <w:r w:rsidR="00847A3A" w:rsidRPr="006F4DB3">
              <w:rPr>
                <w:rFonts w:ascii="Arial" w:eastAsia="Times New Roman" w:hAnsi="Arial" w:cs="Arial"/>
                <w:szCs w:val="24"/>
                <w:lang w:val="sr-Latn-RS"/>
              </w:rPr>
              <w:t>nevladine organizacije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mogu informisat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i 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preduzetnike o pravilima vezanim za namete, njihovim pravima i obavezama. Ovaj pristup može pomoći privrednicima da bolje planiraju svoje aktivnosti</w:t>
            </w:r>
            <w:r w:rsidR="003028E5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, </w:t>
            </w:r>
            <w:r w:rsidR="006D0238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a istovremeno poslužiti i </w:t>
            </w:r>
            <w:r w:rsidR="003028E5" w:rsidRPr="006F4DB3">
              <w:rPr>
                <w:rFonts w:ascii="Arial" w:eastAsia="Times New Roman" w:hAnsi="Arial" w:cs="Arial"/>
                <w:szCs w:val="24"/>
                <w:lang w:val="sr-Latn-RS"/>
              </w:rPr>
              <w:t>kao</w:t>
            </w:r>
            <w:r w:rsidR="006D0238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adekvatna smjernica</w:t>
            </w:r>
            <w:r w:rsidR="003028E5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kreatorima politika.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</w:t>
            </w:r>
            <w:r w:rsidR="00847A3A" w:rsidRPr="006F4DB3">
              <w:rPr>
                <w:rFonts w:ascii="Arial" w:eastAsia="Times New Roman" w:hAnsi="Arial" w:cs="Arial"/>
                <w:szCs w:val="24"/>
                <w:lang w:val="sr-Latn-RS"/>
              </w:rPr>
              <w:t>Nevladine organizacije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mogu z</w:t>
            </w:r>
            <w:r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>agovara</w:t>
            </w:r>
            <w:r w:rsidR="00084433"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>ti</w:t>
            </w:r>
            <w:r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 xml:space="preserve"> </w:t>
            </w:r>
            <w:r w:rsidR="00084433"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>m</w:t>
            </w:r>
            <w:r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>eđuresorn</w:t>
            </w:r>
            <w:r w:rsidR="00084433"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>u</w:t>
            </w:r>
            <w:r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 xml:space="preserve"> saradnj</w:t>
            </w:r>
            <w:r w:rsidR="00084433"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>u, naime</w:t>
            </w:r>
            <w:r w:rsidR="00847A3A" w:rsidRPr="006F4DB3">
              <w:rPr>
                <w:rFonts w:ascii="Arial" w:eastAsia="Times New Roman" w:hAnsi="Arial" w:cs="Arial"/>
                <w:bCs/>
                <w:szCs w:val="24"/>
                <w:lang w:val="sr-Latn-RS"/>
              </w:rPr>
              <w:t>, nevladine organizacije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mogu poslužiti kao platforma za okupljanje različitih aktera (javnog sektora, privatnog sektora i civilnog društva) kako bi se unapr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>ij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edila 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lastRenderedPageBreak/>
              <w:t>međuresorna saradnja i efikasnost u upravljanju nametima</w:t>
            </w:r>
            <w:r w:rsidR="00084433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. 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N</w:t>
            </w:r>
            <w:r w:rsidR="00847A3A" w:rsidRPr="006F4DB3">
              <w:rPr>
                <w:rFonts w:ascii="Arial" w:eastAsia="Times New Roman" w:hAnsi="Arial" w:cs="Arial"/>
                <w:szCs w:val="24"/>
                <w:lang w:val="sr-Latn-RS"/>
              </w:rPr>
              <w:t>evladine organizacije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mogu inicirati pilot projekte koji bi testirali nove pristupe u upravljanju nametima, čime bi se stvorili modeli koji se mogu </w:t>
            </w:r>
            <w:r w:rsidR="00847A3A" w:rsidRPr="006F4DB3">
              <w:rPr>
                <w:rFonts w:ascii="Arial" w:eastAsia="Times New Roman" w:hAnsi="Arial" w:cs="Arial"/>
                <w:szCs w:val="24"/>
                <w:lang w:val="sr-Latn-RS"/>
              </w:rPr>
              <w:t>primjenjiv</w:t>
            </w:r>
            <w:r w:rsidRPr="006F4DB3">
              <w:rPr>
                <w:rFonts w:ascii="Arial" w:eastAsia="Times New Roman" w:hAnsi="Arial" w:cs="Arial"/>
                <w:szCs w:val="24"/>
                <w:lang w:val="sr-Latn-RS"/>
              </w:rPr>
              <w:t>ati na širem nivou</w:t>
            </w:r>
            <w:r w:rsidR="006D0238" w:rsidRPr="006F4DB3">
              <w:rPr>
                <w:rFonts w:ascii="Arial" w:eastAsia="Times New Roman" w:hAnsi="Arial" w:cs="Arial"/>
                <w:szCs w:val="24"/>
                <w:lang w:val="sr-Latn-RS"/>
              </w:rPr>
              <w:t>.</w:t>
            </w:r>
          </w:p>
        </w:tc>
      </w:tr>
      <w:tr w:rsidR="00370754" w:rsidRPr="006F4DB3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Izvor(i) podataka</w:t>
            </w:r>
          </w:p>
        </w:tc>
      </w:tr>
      <w:tr w:rsidR="00370754" w:rsidRPr="006F4DB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E62554" w:rsidRPr="006F4DB3" w:rsidRDefault="00E62554" w:rsidP="00ED745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Strategija regionalnog razvoja Crne Gore 2023-2027. godina</w:t>
            </w:r>
          </w:p>
          <w:p w:rsidR="00E62554" w:rsidRPr="006F4DB3" w:rsidRDefault="00E62554" w:rsidP="00E625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E62554" w:rsidRPr="006F4DB3" w:rsidRDefault="00E62554" w:rsidP="00847A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Izvještaj o realizaciji Akcionog plana Strategije regionalnog razvoja Crne Gore 2023-2027, za 2023. godinu</w:t>
            </w:r>
          </w:p>
          <w:p w:rsidR="003040AC" w:rsidRPr="006F4DB3" w:rsidRDefault="003040AC" w:rsidP="00E625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E62554" w:rsidRPr="006F4DB3" w:rsidRDefault="00E62554" w:rsidP="00E6255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Završni izvještaj o realizaciji Strategije regionalnog razvoja Crne Gore 2014-2020. godina</w:t>
            </w:r>
          </w:p>
          <w:p w:rsidR="00217254" w:rsidRPr="006F4DB3" w:rsidRDefault="00217254" w:rsidP="002172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217254" w:rsidRPr="006F4DB3" w:rsidRDefault="00217254" w:rsidP="00E6255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Strateški planovi razvoja lokalnih samouprava</w:t>
            </w:r>
          </w:p>
          <w:p w:rsidR="003040AC" w:rsidRPr="006F4DB3" w:rsidRDefault="003040AC" w:rsidP="003040AC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847A3A" w:rsidRPr="006F4DB3" w:rsidRDefault="003040AC" w:rsidP="00847A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Indeks razvijenosti lokalnih samouprava </w:t>
            </w:r>
          </w:p>
          <w:p w:rsidR="003040AC" w:rsidRPr="006F4DB3" w:rsidRDefault="003040AC" w:rsidP="003040AC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847A3A" w:rsidRPr="006F4DB3" w:rsidRDefault="003040AC" w:rsidP="00847A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Indeks konkurentnosti lokalnih samouprava</w:t>
            </w:r>
          </w:p>
          <w:p w:rsidR="00E62554" w:rsidRPr="006F4DB3" w:rsidRDefault="00E62554" w:rsidP="00E625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370754" w:rsidRPr="006F4DB3" w:rsidRDefault="00EA3F9B" w:rsidP="00ED745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Podaci </w:t>
            </w:r>
            <w:r w:rsidR="005237D4" w:rsidRPr="006F4DB3">
              <w:rPr>
                <w:rFonts w:ascii="Arial" w:hAnsi="Arial" w:cs="Arial"/>
                <w:szCs w:val="20"/>
                <w:lang w:val="sr-Latn-RS"/>
              </w:rPr>
              <w:t>Savjeta za konkurentnost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;</w:t>
            </w:r>
          </w:p>
          <w:p w:rsidR="00EA3F9B" w:rsidRPr="006F4DB3" w:rsidRDefault="00EA3F9B" w:rsidP="000A502D">
            <w:pPr>
              <w:rPr>
                <w:rFonts w:ascii="Arial" w:hAnsi="Arial" w:cs="Arial"/>
                <w:lang w:val="sr-Latn-RS"/>
              </w:rPr>
            </w:pPr>
          </w:p>
          <w:p w:rsidR="00EA3F9B" w:rsidRPr="006F4DB3" w:rsidRDefault="00EA3F9B" w:rsidP="00ED745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Katalog propisa Crne Gore - Zakonodavni akti koji regulišu oblast nameta;</w:t>
            </w:r>
          </w:p>
          <w:p w:rsidR="00EA3F9B" w:rsidRPr="006F4DB3" w:rsidRDefault="00EA3F9B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EA3F9B">
            <w:pPr>
              <w:rPr>
                <w:rFonts w:ascii="Arial" w:hAnsi="Arial" w:cs="Arial"/>
                <w:lang w:val="sr-Latn-RS"/>
              </w:rPr>
            </w:pPr>
          </w:p>
          <w:p w:rsidR="00933054" w:rsidRPr="006F4DB3" w:rsidRDefault="00933054" w:rsidP="000A2B0F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EA3F9B" w:rsidRPr="006F4DB3" w:rsidRDefault="00EA3F9B" w:rsidP="0093305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Podzakonski akti – Pravilnici i odluke koje detaljno uređuju naplatu i administraciju nameta na lokalnom nivou</w:t>
            </w:r>
          </w:p>
          <w:p w:rsidR="00EA3F9B" w:rsidRPr="006F4DB3" w:rsidRDefault="00EA3F9B" w:rsidP="000A502D">
            <w:pPr>
              <w:rPr>
                <w:rFonts w:ascii="Arial" w:hAnsi="Arial" w:cs="Arial"/>
                <w:lang w:val="sr-Latn-RS"/>
              </w:rPr>
            </w:pPr>
          </w:p>
          <w:p w:rsidR="0079207C" w:rsidRPr="006F4DB3" w:rsidRDefault="0079207C" w:rsidP="000A502D">
            <w:pPr>
              <w:rPr>
                <w:rFonts w:ascii="Arial" w:hAnsi="Arial" w:cs="Arial"/>
                <w:lang w:val="sr-Latn-RS"/>
              </w:rPr>
            </w:pPr>
          </w:p>
          <w:p w:rsidR="00922BAC" w:rsidRPr="006F4DB3" w:rsidRDefault="00922BAC" w:rsidP="00ED745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Registar nameta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62554" w:rsidRPr="006F4DB3" w:rsidRDefault="00CC0261" w:rsidP="00ED745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hyperlink r:id="rId9" w:history="1">
              <w:r w:rsidR="00E62554" w:rsidRPr="006F4DB3">
                <w:rPr>
                  <w:rStyle w:val="Hyperlink"/>
                  <w:rFonts w:ascii="Arial" w:hAnsi="Arial" w:cs="Arial"/>
                  <w:szCs w:val="20"/>
                  <w:lang w:val="sr-Latn-RS"/>
                </w:rPr>
                <w:t>Strategija regionalnog razvoja Crne Gore 2023-2027 (www.gov.me)</w:t>
              </w:r>
            </w:hyperlink>
          </w:p>
          <w:p w:rsidR="00E62554" w:rsidRPr="006F4DB3" w:rsidRDefault="00E62554" w:rsidP="00E625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E62554" w:rsidRPr="006F4DB3" w:rsidRDefault="00CC0261" w:rsidP="00ED745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hyperlink r:id="rId10" w:history="1">
              <w:r w:rsidR="00E62554" w:rsidRPr="006F4DB3">
                <w:rPr>
                  <w:rStyle w:val="Hyperlink"/>
                  <w:rFonts w:ascii="Arial" w:hAnsi="Arial" w:cs="Arial"/>
                  <w:szCs w:val="20"/>
                  <w:lang w:val="sr-Latn-RS"/>
                </w:rPr>
                <w:t>Izvještaj o realizaciji Akcionog plana Strategije regionalnog razvoja Crne Gore 2023-2027, za 2023. godine (www.gov.me)</w:t>
              </w:r>
            </w:hyperlink>
          </w:p>
          <w:p w:rsidR="00E62554" w:rsidRPr="006F4DB3" w:rsidRDefault="00E62554" w:rsidP="002172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E62554" w:rsidRPr="006F4DB3" w:rsidRDefault="00CC0261" w:rsidP="00ED745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hyperlink r:id="rId11" w:history="1">
              <w:r w:rsidR="00217254" w:rsidRPr="006F4DB3">
                <w:rPr>
                  <w:rStyle w:val="Hyperlink"/>
                  <w:rFonts w:ascii="Arial" w:hAnsi="Arial" w:cs="Arial"/>
                  <w:szCs w:val="20"/>
                  <w:lang w:val="sr-Latn-RS"/>
                </w:rPr>
                <w:t>Završni izvještaj o realizaciji Strategije regionalnog razvoja Crne Gore, za period 2014-2020. godine (www.gov.me)</w:t>
              </w:r>
            </w:hyperlink>
          </w:p>
          <w:p w:rsidR="00217254" w:rsidRPr="006F4DB3" w:rsidRDefault="00217254" w:rsidP="002172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217254" w:rsidRPr="006F4DB3" w:rsidRDefault="00217254" w:rsidP="0021725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Zvanične web stranice lokalnih samouprava</w:t>
            </w:r>
          </w:p>
          <w:p w:rsidR="003040AC" w:rsidRPr="006F4DB3" w:rsidRDefault="003040AC" w:rsidP="003040AC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3040AC" w:rsidRPr="006F4DB3" w:rsidRDefault="00CC0261" w:rsidP="0021725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hyperlink r:id="rId12" w:history="1">
              <w:r w:rsidR="003040AC" w:rsidRPr="006F4DB3">
                <w:rPr>
                  <w:rStyle w:val="Hyperlink"/>
                  <w:rFonts w:ascii="Arial" w:hAnsi="Arial" w:cs="Arial"/>
                  <w:szCs w:val="20"/>
                  <w:lang w:val="sr-Latn-RS"/>
                </w:rPr>
                <w:t>Pregled dokumenta | Sluzbeni list Crne Gore</w:t>
              </w:r>
            </w:hyperlink>
          </w:p>
          <w:p w:rsidR="003040AC" w:rsidRPr="006F4DB3" w:rsidRDefault="003040AC" w:rsidP="003040AC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217254" w:rsidRPr="006F4DB3" w:rsidRDefault="00CC0261" w:rsidP="00304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hyperlink r:id="rId13" w:history="1">
              <w:r w:rsidR="003040AC" w:rsidRPr="006F4DB3">
                <w:rPr>
                  <w:rStyle w:val="Hyperlink"/>
                  <w:rFonts w:ascii="Arial" w:hAnsi="Arial" w:cs="Arial"/>
                  <w:szCs w:val="20"/>
                  <w:lang w:val="sr-Latn-RS"/>
                </w:rPr>
                <w:t>Pregled dokumenta | Sluzbeni list Crne Gore</w:t>
              </w:r>
            </w:hyperlink>
          </w:p>
          <w:p w:rsidR="00E62554" w:rsidRPr="006F4DB3" w:rsidRDefault="00E62554" w:rsidP="0021725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EA3F9B" w:rsidRPr="006F4DB3" w:rsidRDefault="00EA3F9B" w:rsidP="00ED745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Zaključci sa sjednica Savjeta za konkurentnost;</w:t>
            </w:r>
          </w:p>
          <w:p w:rsidR="00EA3F9B" w:rsidRPr="006F4DB3" w:rsidRDefault="00EA3F9B" w:rsidP="000A502D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EA3F9B" w:rsidP="00ED745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Zakon o porezu na dobit pravnih lica</w:t>
            </w:r>
            <w:r w:rsidR="00FF047E" w:rsidRPr="006F4DB3">
              <w:rPr>
                <w:rFonts w:ascii="Arial" w:hAnsi="Arial" w:cs="Arial"/>
                <w:szCs w:val="20"/>
                <w:lang w:val="sr-Latn-RS"/>
              </w:rPr>
              <w:t xml:space="preserve"> ("Službeni list Republike Crne Gore", br. 065/01, 012/02, 080/04, "Službeni list Crne Gore", br. 040/08, 086/09, 040/11, 014/12, 061/13, 055/16, 146/21, 152/22, 028/23, 125/23 i 088/24)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; </w:t>
            </w:r>
          </w:p>
          <w:p w:rsidR="00ED7458" w:rsidRPr="006F4DB3" w:rsidRDefault="00ED7458" w:rsidP="00ED7458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FF047E" w:rsidRPr="006F4DB3" w:rsidRDefault="00EA3F9B" w:rsidP="00ED745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lastRenderedPageBreak/>
              <w:t>Zakon o porezu na dohodak fizičkih lica</w:t>
            </w:r>
            <w:r w:rsidR="00FF047E" w:rsidRPr="006F4DB3">
              <w:rPr>
                <w:rFonts w:ascii="Arial" w:hAnsi="Arial" w:cs="Arial"/>
                <w:szCs w:val="20"/>
                <w:lang w:val="sr-Latn-RS"/>
              </w:rPr>
              <w:t xml:space="preserve"> ("Službeni list Republike Crne Gore", br. 065/01, 012/02, 037/04, 029/05, 078/06, 004/07, "Službeni list Crne Gore", br. 086/09, 073/10, 040/11, 014/12, 006/13, 062/13, 060/14, 079/15, 083/16, 067/19, 059/21, 146/21, 152/22 i 088/24)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; </w:t>
            </w:r>
          </w:p>
          <w:p w:rsidR="00FF047E" w:rsidRPr="006F4DB3" w:rsidRDefault="00FF047E" w:rsidP="000A502D">
            <w:pPr>
              <w:rPr>
                <w:rFonts w:ascii="Arial" w:hAnsi="Arial" w:cs="Arial"/>
                <w:lang w:val="sr-Latn-RS"/>
              </w:rPr>
            </w:pPr>
          </w:p>
          <w:p w:rsidR="00EA3F9B" w:rsidRPr="006F4DB3" w:rsidRDefault="00EA3F9B" w:rsidP="00ED745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Zakon o porezu na promet nepokretnosti</w:t>
            </w:r>
            <w:r w:rsidR="00FF047E" w:rsidRPr="006F4DB3">
              <w:rPr>
                <w:rFonts w:ascii="Arial" w:hAnsi="Arial" w:cs="Arial"/>
                <w:szCs w:val="20"/>
                <w:lang w:val="sr-Latn-RS"/>
              </w:rPr>
              <w:t xml:space="preserve"> ("Službeni list Crne Gore", br. 036/13, 003/23 i 028/23) 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i dr.;</w:t>
            </w:r>
          </w:p>
          <w:p w:rsidR="00EA3F9B" w:rsidRPr="006F4DB3" w:rsidRDefault="00EA3F9B" w:rsidP="000A502D">
            <w:pPr>
              <w:rPr>
                <w:rFonts w:ascii="Arial" w:hAnsi="Arial" w:cs="Arial"/>
                <w:lang w:val="sr-Latn-RS"/>
              </w:rPr>
            </w:pPr>
          </w:p>
          <w:p w:rsidR="00FF047E" w:rsidRPr="006F4DB3" w:rsidRDefault="00FF047E" w:rsidP="000A502D">
            <w:pPr>
              <w:rPr>
                <w:rFonts w:ascii="Arial" w:hAnsi="Arial" w:cs="Arial"/>
                <w:lang w:val="sr-Latn-RS"/>
              </w:rPr>
            </w:pPr>
          </w:p>
          <w:p w:rsidR="00EA3F9B" w:rsidRPr="006F4DB3" w:rsidRDefault="00EA3F9B" w:rsidP="00ED745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Pravilnik o određivanju kriterijuma i visini naknade za registraciju privrednih subjekata u Centralnom registru privrednih subjekta </w:t>
            </w:r>
            <w:r w:rsidR="00ED7458" w:rsidRPr="006F4DB3">
              <w:rPr>
                <w:rFonts w:ascii="Arial" w:hAnsi="Arial" w:cs="Arial"/>
                <w:szCs w:val="20"/>
                <w:lang w:val="sr-Latn-RS"/>
              </w:rPr>
              <w:t xml:space="preserve">("Službeni list Crne Gore", br. 098/20) 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i dr.;</w:t>
            </w:r>
          </w:p>
          <w:p w:rsidR="00ED7458" w:rsidRPr="006F4DB3" w:rsidRDefault="00ED7458" w:rsidP="000A502D">
            <w:pPr>
              <w:rPr>
                <w:rFonts w:ascii="Arial" w:hAnsi="Arial" w:cs="Arial"/>
                <w:lang w:val="sr-Latn-RS"/>
              </w:rPr>
            </w:pPr>
          </w:p>
          <w:p w:rsidR="00ED7458" w:rsidRPr="006F4DB3" w:rsidRDefault="00922BAC" w:rsidP="00ED745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Elektronska baza Registra nameta</w:t>
            </w:r>
            <w:r w:rsidR="00ED7458" w:rsidRPr="006F4DB3">
              <w:rPr>
                <w:rFonts w:ascii="Arial" w:hAnsi="Arial" w:cs="Arial"/>
                <w:szCs w:val="20"/>
                <w:lang w:val="sr-Latn-RS"/>
              </w:rPr>
              <w:t xml:space="preserve"> </w:t>
            </w:r>
          </w:p>
          <w:p w:rsidR="00922BAC" w:rsidRPr="006F4DB3" w:rsidRDefault="00CC0261" w:rsidP="005E5C14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  <w:hyperlink r:id="rId14" w:history="1">
              <w:r w:rsidR="00ED7458" w:rsidRPr="006F4DB3">
                <w:rPr>
                  <w:rStyle w:val="Hyperlink"/>
                  <w:rFonts w:ascii="Arial" w:hAnsi="Arial" w:cs="Arial"/>
                  <w:szCs w:val="20"/>
                  <w:lang w:val="sr-Latn-RS"/>
                </w:rPr>
                <w:t>Nameti (javninameti.gov.me)</w:t>
              </w:r>
            </w:hyperlink>
          </w:p>
        </w:tc>
      </w:tr>
    </w:tbl>
    <w:p w:rsidR="00D218F0" w:rsidRPr="006F4DB3" w:rsidRDefault="00D218F0" w:rsidP="00370754">
      <w:pPr>
        <w:rPr>
          <w:rFonts w:ascii="Arial" w:hAnsi="Arial" w:cs="Arial"/>
          <w:lang w:val="sr-Latn-RS"/>
        </w:rPr>
      </w:pPr>
    </w:p>
    <w:p w:rsidR="00ED7458" w:rsidRPr="006F4DB3" w:rsidRDefault="00ED7458" w:rsidP="00370754">
      <w:pPr>
        <w:rPr>
          <w:rFonts w:ascii="Arial" w:hAnsi="Arial" w:cs="Arial"/>
          <w:lang w:val="sr-Latn-RS"/>
        </w:rPr>
      </w:pPr>
    </w:p>
    <w:p w:rsidR="00370754" w:rsidRPr="006F4DB3" w:rsidRDefault="00A640F0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2.2.</w:t>
      </w:r>
      <w:r w:rsidR="00370754" w:rsidRPr="006F4DB3">
        <w:rPr>
          <w:rFonts w:ascii="Arial" w:hAnsi="Arial" w:cs="Arial"/>
          <w:lang w:val="sr-Latn-RS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3629"/>
        <w:gridCol w:w="10564"/>
      </w:tblGrid>
      <w:tr w:rsidR="00370754" w:rsidRPr="006F4DB3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lastRenderedPageBreak/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Naziv poglavlja/ mjere/ aktivnosti</w:t>
            </w:r>
          </w:p>
        </w:tc>
      </w:tr>
      <w:tr w:rsidR="00370754" w:rsidRPr="006F4DB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6F4DB3" w:rsidRDefault="005237D4" w:rsidP="002D444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Strategija</w:t>
            </w:r>
            <w:r w:rsidR="00ED7458" w:rsidRPr="006F4DB3">
              <w:rPr>
                <w:rFonts w:ascii="Arial" w:hAnsi="Arial" w:cs="Arial"/>
                <w:szCs w:val="20"/>
                <w:lang w:val="sr-Latn-RS"/>
              </w:rPr>
              <w:t xml:space="preserve"> 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regionalnog razvoja 2023 – 2027</w:t>
            </w:r>
          </w:p>
          <w:p w:rsidR="000775A8" w:rsidRPr="006F4DB3" w:rsidRDefault="000775A8" w:rsidP="000A502D">
            <w:pPr>
              <w:rPr>
                <w:rFonts w:ascii="Arial" w:hAnsi="Arial" w:cs="Arial"/>
                <w:lang w:val="sr-Latn-RS"/>
              </w:rPr>
            </w:pPr>
          </w:p>
          <w:p w:rsidR="000775A8" w:rsidRPr="006F4DB3" w:rsidRDefault="000775A8" w:rsidP="000A502D">
            <w:pPr>
              <w:rPr>
                <w:rFonts w:ascii="Arial" w:hAnsi="Arial" w:cs="Arial"/>
                <w:lang w:val="sr-Latn-RS"/>
              </w:rPr>
            </w:pPr>
          </w:p>
          <w:p w:rsidR="000775A8" w:rsidRPr="006F4DB3" w:rsidRDefault="000775A8" w:rsidP="000A502D">
            <w:pPr>
              <w:rPr>
                <w:rFonts w:ascii="Arial" w:hAnsi="Arial" w:cs="Arial"/>
                <w:lang w:val="sr-Latn-RS"/>
              </w:rPr>
            </w:pPr>
          </w:p>
          <w:p w:rsidR="0039558B" w:rsidRPr="006F4DB3" w:rsidRDefault="0039558B" w:rsidP="000A502D">
            <w:pPr>
              <w:rPr>
                <w:rFonts w:ascii="Arial" w:hAnsi="Arial" w:cs="Arial"/>
                <w:lang w:val="sr-Latn-RS" w:eastAsia="ja-JP"/>
              </w:rPr>
            </w:pPr>
          </w:p>
          <w:p w:rsidR="00546D0B" w:rsidRPr="006F4DB3" w:rsidRDefault="00546D0B" w:rsidP="000A502D">
            <w:pPr>
              <w:rPr>
                <w:rFonts w:ascii="Arial" w:hAnsi="Arial" w:cs="Arial"/>
                <w:lang w:val="sr-Latn-RS"/>
              </w:rPr>
            </w:pPr>
          </w:p>
          <w:p w:rsidR="00546D0B" w:rsidRPr="006F4DB3" w:rsidRDefault="00546D0B" w:rsidP="000A502D">
            <w:pPr>
              <w:rPr>
                <w:rFonts w:ascii="Arial" w:hAnsi="Arial" w:cs="Arial"/>
                <w:lang w:val="sr-Latn-RS"/>
              </w:rPr>
            </w:pPr>
          </w:p>
          <w:p w:rsidR="00546D0B" w:rsidRPr="006F4DB3" w:rsidRDefault="00546D0B" w:rsidP="000A502D">
            <w:pPr>
              <w:rPr>
                <w:rFonts w:ascii="Arial" w:hAnsi="Arial" w:cs="Arial"/>
                <w:lang w:val="sr-Latn-RS"/>
              </w:rPr>
            </w:pPr>
          </w:p>
          <w:p w:rsidR="000775A8" w:rsidRPr="006F4DB3" w:rsidRDefault="005237D4" w:rsidP="000A502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Strategija razvoja MMSP</w:t>
            </w:r>
            <w:r w:rsidR="004B5AE9" w:rsidRPr="006F4DB3">
              <w:rPr>
                <w:rFonts w:ascii="Arial" w:hAnsi="Arial" w:cs="Arial"/>
                <w:szCs w:val="20"/>
                <w:lang w:val="sr-Latn-RS"/>
              </w:rPr>
              <w:t xml:space="preserve"> 2023 </w:t>
            </w:r>
            <w:r w:rsidR="000775A8" w:rsidRPr="006F4DB3">
              <w:rPr>
                <w:rFonts w:ascii="Arial" w:hAnsi="Arial" w:cs="Arial"/>
                <w:szCs w:val="20"/>
                <w:lang w:val="sr-Latn-RS"/>
              </w:rPr>
              <w:t>–</w:t>
            </w:r>
            <w:r w:rsidR="004B5AE9" w:rsidRPr="006F4DB3">
              <w:rPr>
                <w:rFonts w:ascii="Arial" w:hAnsi="Arial" w:cs="Arial"/>
                <w:szCs w:val="20"/>
                <w:lang w:val="sr-Latn-RS"/>
              </w:rPr>
              <w:t xml:space="preserve"> 2026</w:t>
            </w:r>
          </w:p>
          <w:p w:rsidR="00207835" w:rsidRPr="006F4DB3" w:rsidRDefault="00207835" w:rsidP="00207835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207835" w:rsidRPr="006F4DB3" w:rsidRDefault="00207835" w:rsidP="00207835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4B5AE9" w:rsidRPr="006F4DB3" w:rsidRDefault="004B5AE9" w:rsidP="00ED745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Program ekonomskih reformi za Crnu Goru 2023 – 2025</w:t>
            </w:r>
          </w:p>
          <w:p w:rsidR="00ED7458" w:rsidRPr="006F4DB3" w:rsidRDefault="00ED7458" w:rsidP="00ED7458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ED7458" w:rsidRPr="006F4DB3" w:rsidRDefault="00ED7458" w:rsidP="00ED7458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4B5AE9" w:rsidRPr="006F4DB3" w:rsidRDefault="004B5AE9" w:rsidP="00ED745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Strategija industrijske politike Crne Gore 2024 - 2028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tbl>
            <w:tblPr>
              <w:tblW w:w="10240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0"/>
            </w:tblGrid>
            <w:tr w:rsidR="000775A8" w:rsidRPr="006F4DB3" w:rsidTr="000775A8">
              <w:trPr>
                <w:trHeight w:val="300"/>
              </w:trPr>
              <w:tc>
                <w:tcPr>
                  <w:tcW w:w="91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75A8" w:rsidRPr="006F4DB3" w:rsidRDefault="000775A8" w:rsidP="000775A8">
                  <w:pPr>
                    <w:rPr>
                      <w:rFonts w:ascii="Arial" w:hAnsi="Arial" w:cs="Arial"/>
                      <w:lang w:val="sr-Latn-RS"/>
                    </w:rPr>
                  </w:pPr>
                  <w:r w:rsidRPr="006F4DB3">
                    <w:rPr>
                      <w:rFonts w:ascii="Arial" w:hAnsi="Arial" w:cs="Arial"/>
                      <w:lang w:val="sr-Latn-RS"/>
                    </w:rPr>
                    <w:t>SC 1: Jačanje funkcionalnosti JLS kroz sistemsko upravljanje regionalnim razvojem</w:t>
                  </w:r>
                  <w:r w:rsidR="0039558B" w:rsidRPr="006F4DB3">
                    <w:rPr>
                      <w:rFonts w:ascii="Arial" w:hAnsi="Arial" w:cs="Arial"/>
                      <w:lang w:val="sr-Latn-RS"/>
                    </w:rPr>
                    <w:t xml:space="preserve"> (svi operativni ciljevi)</w:t>
                  </w:r>
                  <w:r w:rsidRPr="006F4DB3">
                    <w:rPr>
                      <w:rFonts w:ascii="Arial" w:hAnsi="Arial" w:cs="Arial"/>
                      <w:lang w:val="sr-Latn-RS"/>
                    </w:rPr>
                    <w:t xml:space="preserve"> </w:t>
                  </w:r>
                </w:p>
                <w:p w:rsidR="0039558B" w:rsidRPr="006F4DB3" w:rsidRDefault="0039558B" w:rsidP="000775A8">
                  <w:pPr>
                    <w:rPr>
                      <w:rFonts w:ascii="Arial" w:hAnsi="Arial" w:cs="Arial"/>
                      <w:lang w:val="sr-Latn-RS"/>
                    </w:rPr>
                  </w:pPr>
                  <w:r w:rsidRPr="006F4DB3">
                    <w:rPr>
                      <w:rFonts w:ascii="Arial" w:hAnsi="Arial" w:cs="Arial"/>
                      <w:lang w:val="sr-Latn-RS"/>
                    </w:rPr>
                    <w:t xml:space="preserve">SC 2:  Ostvarenje održivog ekonomskog razvoja regiona kroz jačanje ljudskih potencijala i podsticanja za zapošljavanje radi poboljšanja kvaliteta života (svi operativni ciljevi) </w:t>
                  </w:r>
                </w:p>
                <w:p w:rsidR="0039558B" w:rsidRPr="006F4DB3" w:rsidRDefault="000775A8" w:rsidP="0039558B">
                  <w:pPr>
                    <w:rPr>
                      <w:rFonts w:ascii="Arial" w:hAnsi="Arial" w:cs="Arial"/>
                      <w:lang w:val="sr-Latn-RS"/>
                    </w:rPr>
                  </w:pPr>
                  <w:r w:rsidRPr="006F4DB3">
                    <w:rPr>
                      <w:rFonts w:ascii="Arial" w:hAnsi="Arial" w:cs="Arial"/>
                      <w:lang w:val="sr-Latn-RS"/>
                    </w:rPr>
                    <w:t>SC 3: Povećanje konkurentnosti regiona, zasnovano na unaprjeđenju infrastrukture, poboljšanje poslovnog ambijenta i razvoj prioritetnih sektora i sektora sa potencijalom rasta</w:t>
                  </w:r>
                  <w:r w:rsidR="0039558B" w:rsidRPr="006F4DB3">
                    <w:rPr>
                      <w:rFonts w:ascii="Arial" w:hAnsi="Arial" w:cs="Arial"/>
                      <w:lang w:val="sr-Latn-RS"/>
                    </w:rPr>
                    <w:t xml:space="preserve"> (svi operativni ciljevi) </w:t>
                  </w:r>
                </w:p>
                <w:p w:rsidR="000775A8" w:rsidRPr="006F4DB3" w:rsidRDefault="000775A8" w:rsidP="0039558B">
                  <w:pPr>
                    <w:rPr>
                      <w:rFonts w:ascii="Arial" w:hAnsi="Arial" w:cs="Arial"/>
                      <w:lang w:val="sr-Latn-RS"/>
                    </w:rPr>
                  </w:pPr>
                </w:p>
              </w:tc>
            </w:tr>
            <w:tr w:rsidR="000775A8" w:rsidRPr="006F4DB3" w:rsidTr="000775A8">
              <w:trPr>
                <w:trHeight w:val="300"/>
              </w:trPr>
              <w:tc>
                <w:tcPr>
                  <w:tcW w:w="91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7458" w:rsidRPr="006F4DB3" w:rsidRDefault="00ED7458" w:rsidP="000775A8">
                  <w:pPr>
                    <w:rPr>
                      <w:rFonts w:ascii="Arial" w:hAnsi="Arial" w:cs="Arial"/>
                      <w:lang w:val="sr-Latn-RS"/>
                    </w:rPr>
                  </w:pPr>
                </w:p>
                <w:p w:rsidR="00847A3A" w:rsidRPr="006F4DB3" w:rsidRDefault="00847A3A" w:rsidP="000775A8">
                  <w:pPr>
                    <w:rPr>
                      <w:rFonts w:ascii="Arial" w:hAnsi="Arial" w:cs="Arial"/>
                      <w:lang w:val="sr-Latn-RS"/>
                    </w:rPr>
                  </w:pPr>
                </w:p>
                <w:p w:rsidR="000775A8" w:rsidRPr="006F4DB3" w:rsidRDefault="000775A8" w:rsidP="000775A8">
                  <w:pPr>
                    <w:rPr>
                      <w:rFonts w:ascii="Arial" w:hAnsi="Arial" w:cs="Arial"/>
                      <w:lang w:val="sr-Latn-RS"/>
                    </w:rPr>
                  </w:pPr>
                  <w:r w:rsidRPr="006F4DB3">
                    <w:rPr>
                      <w:rFonts w:ascii="Arial" w:hAnsi="Arial" w:cs="Arial"/>
                      <w:lang w:val="sr-Latn-RS"/>
                    </w:rPr>
                    <w:t>SC 1</w:t>
                  </w:r>
                  <w:r w:rsidR="00922BAC" w:rsidRPr="006F4DB3">
                    <w:rPr>
                      <w:rFonts w:ascii="Arial" w:hAnsi="Arial" w:cs="Arial"/>
                      <w:lang w:val="sr-Latn-RS"/>
                    </w:rPr>
                    <w:t>:</w:t>
                  </w:r>
                  <w:r w:rsidRPr="006F4DB3">
                    <w:rPr>
                      <w:rFonts w:ascii="Arial" w:hAnsi="Arial" w:cs="Arial"/>
                      <w:lang w:val="sr-Latn-RS"/>
                    </w:rPr>
                    <w:t xml:space="preserve"> Unaprijeđen poslovni/regulatorni ambijent i preduzetnički ekosistem/institucionalni okvir (OC 1 Smanjene administrativne i regulatorne prepreke poslovanju MMSP)</w:t>
                  </w:r>
                </w:p>
              </w:tc>
            </w:tr>
            <w:tr w:rsidR="000775A8" w:rsidRPr="006F4DB3" w:rsidTr="000775A8">
              <w:trPr>
                <w:trHeight w:val="300"/>
              </w:trPr>
              <w:tc>
                <w:tcPr>
                  <w:tcW w:w="91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7458" w:rsidRPr="006F4DB3" w:rsidRDefault="00ED7458" w:rsidP="000775A8">
                  <w:pPr>
                    <w:rPr>
                      <w:rFonts w:ascii="Arial" w:hAnsi="Arial" w:cs="Arial"/>
                      <w:lang w:val="sr-Latn-RS"/>
                    </w:rPr>
                  </w:pPr>
                </w:p>
                <w:p w:rsidR="000775A8" w:rsidRPr="006F4DB3" w:rsidRDefault="00EA3F9B" w:rsidP="000775A8">
                  <w:pPr>
                    <w:rPr>
                      <w:rFonts w:ascii="Arial" w:hAnsi="Arial" w:cs="Arial"/>
                      <w:lang w:val="sr-Latn-RS"/>
                    </w:rPr>
                  </w:pPr>
                  <w:r w:rsidRPr="006F4DB3">
                    <w:rPr>
                      <w:rFonts w:ascii="Arial" w:hAnsi="Arial" w:cs="Arial"/>
                      <w:lang w:val="sr-Latn-RS"/>
                    </w:rPr>
                    <w:t>Poglavlje 5. Strukturne reforme - 5.1. Ključne prepreke konkurentnosti i inkluzivnom rastu i povezane reformske mjere, izazov br. 2</w:t>
                  </w:r>
                </w:p>
                <w:p w:rsidR="00ED7458" w:rsidRPr="006F4DB3" w:rsidRDefault="00ED7458" w:rsidP="000775A8">
                  <w:pPr>
                    <w:rPr>
                      <w:rFonts w:ascii="Arial" w:eastAsia="MS Mincho" w:hAnsi="Arial" w:cs="Arial"/>
                      <w:szCs w:val="20"/>
                      <w:lang w:val="sr-Latn-RS"/>
                    </w:rPr>
                  </w:pPr>
                </w:p>
                <w:p w:rsidR="000775A8" w:rsidRPr="006F4DB3" w:rsidRDefault="00922BAC" w:rsidP="000775A8">
                  <w:pPr>
                    <w:rPr>
                      <w:rFonts w:ascii="Arial" w:hAnsi="Arial" w:cs="Arial"/>
                      <w:lang w:val="sr-Latn-RS"/>
                    </w:rPr>
                  </w:pPr>
                  <w:r w:rsidRPr="006F4DB3">
                    <w:rPr>
                      <w:rFonts w:ascii="Arial" w:eastAsia="MS Mincho" w:hAnsi="Arial" w:cs="Arial"/>
                      <w:szCs w:val="20"/>
                      <w:lang w:val="sr-Latn-RS"/>
                    </w:rPr>
                    <w:t>Operativni cilj 1.4. - Unapređenje poslovnog ambijenta za podršku industrijskom razvoju</w:t>
                  </w:r>
                </w:p>
              </w:tc>
            </w:tr>
          </w:tbl>
          <w:p w:rsidR="004B5AE9" w:rsidRPr="006F4DB3" w:rsidRDefault="004B5AE9" w:rsidP="000A502D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1822F4" w:rsidRPr="006F4DB3" w:rsidRDefault="001822F4" w:rsidP="00AD29CE">
      <w:pPr>
        <w:pStyle w:val="ListParagraph"/>
        <w:jc w:val="both"/>
        <w:rPr>
          <w:rFonts w:ascii="Arial" w:hAnsi="Arial" w:cs="Arial"/>
          <w:lang w:val="sr-Latn-RS"/>
        </w:rPr>
      </w:pPr>
    </w:p>
    <w:p w:rsidR="00370754" w:rsidRPr="006F4DB3" w:rsidRDefault="00A640F0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lastRenderedPageBreak/>
        <w:t>2.3.</w:t>
      </w:r>
      <w:r w:rsidR="00370754" w:rsidRPr="006F4DB3">
        <w:rPr>
          <w:rFonts w:ascii="Arial" w:hAnsi="Arial" w:cs="Arial"/>
          <w:lang w:val="sr-Latn-RS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14229" w:type="dxa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5065"/>
      </w:tblGrid>
      <w:tr w:rsidR="00370754" w:rsidRPr="006F4DB3" w:rsidTr="006D22B2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Konkretni mjerljivi pokazatelji doprinosa nevladinih organizacija</w:t>
            </w:r>
          </w:p>
        </w:tc>
        <w:tc>
          <w:tcPr>
            <w:tcW w:w="5065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Izvor(i) podataka</w:t>
            </w:r>
          </w:p>
        </w:tc>
      </w:tr>
      <w:tr w:rsidR="00370754" w:rsidRPr="006F4DB3" w:rsidTr="006D22B2">
        <w:tc>
          <w:tcPr>
            <w:tcW w:w="4582" w:type="dxa"/>
            <w:tcMar>
              <w:top w:w="57" w:type="dxa"/>
              <w:bottom w:w="57" w:type="dxa"/>
            </w:tcMar>
          </w:tcPr>
          <w:p w:rsidR="00D06E02" w:rsidRPr="006F4DB3" w:rsidRDefault="002E01C2" w:rsidP="00D06E02">
            <w:pPr>
              <w:rPr>
                <w:rFonts w:ascii="Arial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Nevladine organizacije mogu biti 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važan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partner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 xml:space="preserve"> Ministarstvu regionalno-investicionog razvoja i saradnje sa </w:t>
            </w:r>
            <w:r w:rsidR="006F4DB3">
              <w:rPr>
                <w:rFonts w:ascii="Arial" w:hAnsi="Arial" w:cs="Arial"/>
                <w:szCs w:val="24"/>
                <w:lang w:val="sr-Latn-RS"/>
              </w:rPr>
              <w:t>nevladinim organizacijama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 xml:space="preserve"> i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jedinicama lokalne samouprave u prepoznavanju i iskorišćavanju prilika za razvoj. 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Nevladine organizacije</w:t>
            </w:r>
            <w:r w:rsidR="002B633A" w:rsidRPr="006F4DB3">
              <w:rPr>
                <w:rFonts w:ascii="Arial" w:hAnsi="Arial" w:cs="Arial"/>
                <w:szCs w:val="24"/>
                <w:lang w:val="sr-Latn-RS"/>
              </w:rPr>
              <w:t xml:space="preserve"> u okviru svojih aktivnosti mogu sprovesti istraživanje o potrebama lokalnih zajednica i njihovim razvojnim potencijalima, kako bi korišćenje dobijenih rezultata doprinijelo kreiranju kvalitetnih strateških dokumenata i određivanju prioriteta. 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>N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evladine organizacije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često imaju bliski kontakt sa zajednicom i mogu sprovesti istraživanja  kako bi identifikoval</w:t>
            </w:r>
            <w:r w:rsidR="002B633A" w:rsidRPr="006F4DB3">
              <w:rPr>
                <w:rFonts w:ascii="Arial" w:hAnsi="Arial" w:cs="Arial"/>
                <w:szCs w:val="24"/>
                <w:lang w:val="sr-Latn-RS"/>
              </w:rPr>
              <w:t xml:space="preserve">i 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>specifične potrebe i prioritete građana. Na primjer, mogu organizovati anke</w:t>
            </w:r>
            <w:r w:rsidR="00D06E02" w:rsidRPr="006F4DB3">
              <w:rPr>
                <w:rFonts w:ascii="Arial" w:hAnsi="Arial" w:cs="Arial"/>
                <w:szCs w:val="24"/>
                <w:lang w:val="sr-Latn-RS"/>
              </w:rPr>
              <w:t xml:space="preserve">te, fokus grupe i radionice sa građanima kako bi došle do relevantnih informacija. Na temelju prikupljenih podataka, 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 xml:space="preserve">nevladine 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lastRenderedPageBreak/>
              <w:t>organizacije</w:t>
            </w:r>
            <w:r w:rsidR="00D06E02" w:rsidRPr="006F4DB3">
              <w:rPr>
                <w:rFonts w:ascii="Arial" w:hAnsi="Arial" w:cs="Arial"/>
                <w:szCs w:val="24"/>
                <w:lang w:val="sr-Latn-RS"/>
              </w:rPr>
              <w:t xml:space="preserve"> mogu pomoći lokalnoj vlasti da identifikuje koje su oblasti i projekti prioritetni za ulaganje.</w:t>
            </w:r>
          </w:p>
          <w:p w:rsidR="00D06E02" w:rsidRPr="006F4DB3" w:rsidRDefault="00D06E02" w:rsidP="00D06E02">
            <w:pPr>
              <w:rPr>
                <w:rFonts w:ascii="Arial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Takodje, 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nevladine organizacije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često zapošljavaju</w:t>
            </w:r>
            <w:r w:rsidR="00EB4DC0" w:rsidRPr="006F4DB3">
              <w:rPr>
                <w:rFonts w:ascii="Arial" w:hAnsi="Arial" w:cs="Arial"/>
                <w:szCs w:val="24"/>
                <w:lang w:val="sr-Latn-RS"/>
              </w:rPr>
              <w:t>/angažuju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stručnjake iz različitih oblasti kao što su npr. urbanizam, ekonomski razvoj i socijalna politika. Oni mogu predložiti inovativna rešenja koja su prilagođena lokalnim uslovima. Takođe, 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nevladin sektor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mo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že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informisati i ukazati na određene prilike lokalnim vlastima</w:t>
            </w:r>
            <w:r w:rsidR="00C17D54" w:rsidRPr="006F4DB3">
              <w:rPr>
                <w:rFonts w:ascii="Arial" w:hAnsi="Arial" w:cs="Arial"/>
                <w:szCs w:val="24"/>
                <w:lang w:val="sr-Latn-RS"/>
              </w:rPr>
              <w:t>,</w:t>
            </w:r>
            <w:r w:rsidR="0032257A" w:rsidRPr="006F4DB3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C17D54" w:rsidRPr="006F4DB3">
              <w:rPr>
                <w:rFonts w:ascii="Arial" w:hAnsi="Arial" w:cs="Arial"/>
                <w:szCs w:val="24"/>
                <w:lang w:val="sr-Latn-RS"/>
              </w:rPr>
              <w:t>naročito u Sjevernom regionu,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koje nemaju dovoljno kapaciteta za pristup fondovima i drugim izvorima finansiranja, kako bi se prepoznali projekti sa najviše potencijala. N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evladine organizacije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mogu ukazati, čak i pomoći, lokalnim vlastima u pronalaženju i apliciranju za finansijska sredstva, posebno iz međunarodnih fondova (EU fondovi, grantovi i drugi programi)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,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pa tako uvećati svoje šanse za dobijanje sredstava za projekte. </w:t>
            </w:r>
            <w:r w:rsidR="006C3891">
              <w:rPr>
                <w:rFonts w:ascii="Arial" w:hAnsi="Arial" w:cs="Arial"/>
                <w:szCs w:val="24"/>
                <w:lang w:val="sr-Latn-RS"/>
              </w:rPr>
              <w:t>Nevladine organizacije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takođe mogu pomoći lokalnoj upravi da prepozna specifične lokalne resurse ili prilike koje možda nisu odmah uočljive, a zatim mogu aktivirati i 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lastRenderedPageBreak/>
              <w:t xml:space="preserve">podstaći građane da se uključe u proces i dodatno angažuju. </w:t>
            </w:r>
          </w:p>
          <w:p w:rsidR="00217254" w:rsidRPr="006F4DB3" w:rsidRDefault="00EF4B5C" w:rsidP="00D06E02">
            <w:pPr>
              <w:rPr>
                <w:rFonts w:ascii="Arial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Saradnja sa 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nevladinim organizacijama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pruža priliku lokalnim samoupravama da unaprije</w:t>
            </w:r>
            <w:r w:rsidR="00B82085" w:rsidRPr="006F4DB3">
              <w:rPr>
                <w:rFonts w:ascii="Arial" w:hAnsi="Arial" w:cs="Arial"/>
                <w:szCs w:val="24"/>
                <w:lang w:val="sr-Latn-RS"/>
              </w:rPr>
              <w:t>de svoje kapacitete, steknu dodatna znanja i sredstva, i bolje odgovore na potrebe građana. N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evladin sektor</w:t>
            </w:r>
            <w:r w:rsidR="00B82085" w:rsidRPr="006F4DB3">
              <w:rPr>
                <w:rFonts w:ascii="Arial" w:hAnsi="Arial" w:cs="Arial"/>
                <w:szCs w:val="24"/>
                <w:lang w:val="sr-Latn-RS"/>
              </w:rPr>
              <w:t xml:space="preserve"> omogućava lokalnim zajednicama da otvore nova razvojna poglavlja 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i</w:t>
            </w:r>
            <w:r w:rsidR="00B82085" w:rsidRPr="006F4DB3">
              <w:rPr>
                <w:rFonts w:ascii="Arial" w:hAnsi="Arial" w:cs="Arial"/>
                <w:szCs w:val="24"/>
                <w:lang w:val="sr-Latn-RS"/>
              </w:rPr>
              <w:t xml:space="preserve"> maksimiziraju svoje resurse.</w:t>
            </w:r>
          </w:p>
          <w:p w:rsidR="00531C38" w:rsidRPr="006F4DB3" w:rsidRDefault="00217254" w:rsidP="002C3D77">
            <w:pPr>
              <w:rPr>
                <w:rFonts w:ascii="Arial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Cilj je </w:t>
            </w:r>
            <w:r w:rsidR="00237940">
              <w:rPr>
                <w:rFonts w:ascii="Arial" w:hAnsi="Arial" w:cs="Arial"/>
                <w:szCs w:val="24"/>
                <w:lang w:val="sr-Latn-RS"/>
              </w:rPr>
              <w:t xml:space="preserve">da  se 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>na bazi terenskog rada i analize dokumenata na lokalnom i državnom nivou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>izradi pregled razvojnih poten</w:t>
            </w:r>
            <w:r w:rsidR="00847A3A" w:rsidRPr="006F4DB3">
              <w:rPr>
                <w:rFonts w:ascii="Arial" w:hAnsi="Arial" w:cs="Arial"/>
                <w:szCs w:val="24"/>
                <w:lang w:val="sr-Latn-RS"/>
              </w:rPr>
              <w:t>c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>ijala na lokalnom nivou, sa fokusom na komprativne prednosti i predlogom smjernica za njihovo bolje</w:t>
            </w:r>
            <w:r w:rsidR="00476B33">
              <w:rPr>
                <w:rFonts w:ascii="Arial" w:hAnsi="Arial" w:cs="Arial"/>
                <w:szCs w:val="24"/>
                <w:lang w:val="sr-Latn-RS"/>
              </w:rPr>
              <w:t>,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optimalno korišćenje. </w:t>
            </w:r>
          </w:p>
          <w:p w:rsidR="00CD2473" w:rsidRPr="00703BEA" w:rsidRDefault="00CD2473" w:rsidP="002C3D77">
            <w:pPr>
              <w:rPr>
                <w:rFonts w:ascii="Arial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Nevladine organizacije mogu pomoći </w:t>
            </w:r>
            <w:r w:rsidR="00C63E01" w:rsidRPr="006F4DB3">
              <w:rPr>
                <w:rFonts w:ascii="Arial" w:hAnsi="Arial" w:cs="Arial"/>
                <w:szCs w:val="24"/>
                <w:lang w:val="sr-Latn-RS"/>
              </w:rPr>
              <w:t xml:space="preserve">da se 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osmisli</w:t>
            </w:r>
            <w:r w:rsidR="00C63E01" w:rsidRPr="006F4DB3">
              <w:rPr>
                <w:rFonts w:ascii="Arial" w:hAnsi="Arial" w:cs="Arial"/>
                <w:szCs w:val="24"/>
                <w:lang w:val="sr-Latn-RS"/>
              </w:rPr>
              <w:t xml:space="preserve"> odgovarajući način </w:t>
            </w:r>
            <w:r w:rsidR="00C63E01" w:rsidRPr="00F2167D">
              <w:rPr>
                <w:rFonts w:ascii="Arial" w:hAnsi="Arial" w:cs="Arial"/>
                <w:szCs w:val="24"/>
                <w:lang w:val="sr-Latn-RS"/>
              </w:rPr>
              <w:t xml:space="preserve">za </w:t>
            </w:r>
            <w:r w:rsidR="00F2167D" w:rsidRPr="00F2167D">
              <w:rPr>
                <w:rFonts w:ascii="Arial" w:hAnsi="Arial" w:cs="Arial"/>
                <w:szCs w:val="24"/>
                <w:lang w:val="sr-Latn-RS"/>
              </w:rPr>
              <w:t>analizu</w:t>
            </w:r>
            <w:r w:rsidR="00F2167D">
              <w:rPr>
                <w:rFonts w:ascii="Arial" w:hAnsi="Arial" w:cs="Arial"/>
                <w:szCs w:val="24"/>
                <w:highlight w:val="yellow"/>
                <w:lang w:val="sr-Latn-RS"/>
              </w:rPr>
              <w:t xml:space="preserve"> </w:t>
            </w:r>
            <w:r w:rsidR="00C63E01" w:rsidRPr="006F4DB3">
              <w:rPr>
                <w:rFonts w:ascii="Arial" w:hAnsi="Arial" w:cs="Arial"/>
                <w:szCs w:val="24"/>
                <w:lang w:val="sr-Latn-RS"/>
              </w:rPr>
              <w:t>podataka koji su već u Registru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C63E01" w:rsidRPr="006F4DB3">
              <w:rPr>
                <w:rFonts w:ascii="Arial" w:hAnsi="Arial" w:cs="Arial"/>
                <w:szCs w:val="24"/>
                <w:lang w:val="sr-Latn-RS"/>
              </w:rPr>
              <w:t>(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izvor podataka - </w:t>
            </w:r>
            <w:r w:rsidR="00C63E01" w:rsidRPr="006F4DB3">
              <w:rPr>
                <w:rFonts w:ascii="Arial" w:hAnsi="Arial" w:cs="Arial"/>
                <w:szCs w:val="24"/>
                <w:lang w:val="sr-Latn-RS"/>
              </w:rPr>
              <w:t xml:space="preserve">excel tabela 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koja </w:t>
            </w:r>
            <w:r w:rsidR="00C63E01" w:rsidRPr="006F4DB3">
              <w:rPr>
                <w:rFonts w:ascii="Arial" w:hAnsi="Arial" w:cs="Arial"/>
                <w:szCs w:val="24"/>
                <w:lang w:val="sr-Latn-RS"/>
              </w:rPr>
              <w:t xml:space="preserve">daje mogućnost izdvajanja svih nameta po opštinama sa nametima koji su važeći/aktivni, kao i onima koji su </w:t>
            </w:r>
            <w:r w:rsidR="00C63E01" w:rsidRPr="00703BEA">
              <w:rPr>
                <w:rFonts w:ascii="Arial" w:hAnsi="Arial" w:cs="Arial"/>
                <w:szCs w:val="24"/>
                <w:lang w:val="sr-Latn-RS"/>
              </w:rPr>
              <w:t>stavljeni van snage</w:t>
            </w:r>
            <w:r w:rsidRPr="00703BEA">
              <w:rPr>
                <w:rFonts w:ascii="Arial" w:hAnsi="Arial" w:cs="Arial"/>
                <w:szCs w:val="24"/>
                <w:lang w:val="sr-Latn-RS"/>
              </w:rPr>
              <w:t>)</w:t>
            </w:r>
            <w:r w:rsidR="00C63E01" w:rsidRPr="00703BEA">
              <w:rPr>
                <w:rFonts w:ascii="Arial" w:hAnsi="Arial" w:cs="Arial"/>
                <w:szCs w:val="24"/>
                <w:lang w:val="sr-Latn-RS"/>
              </w:rPr>
              <w:t xml:space="preserve">. </w:t>
            </w:r>
          </w:p>
          <w:p w:rsidR="00810076" w:rsidRPr="006F4DB3" w:rsidRDefault="00C63E01" w:rsidP="002C3D77">
            <w:pPr>
              <w:rPr>
                <w:rFonts w:ascii="Arial" w:hAnsi="Arial" w:cs="Arial"/>
                <w:szCs w:val="24"/>
                <w:lang w:val="sr-Latn-RS"/>
              </w:rPr>
            </w:pPr>
            <w:r w:rsidRPr="00703BEA">
              <w:rPr>
                <w:rFonts w:ascii="Arial" w:hAnsi="Arial" w:cs="Arial"/>
                <w:szCs w:val="24"/>
                <w:lang w:val="sr-Latn-RS"/>
              </w:rPr>
              <w:t xml:space="preserve">Potrebno je </w:t>
            </w:r>
            <w:r w:rsidR="00FD30CD" w:rsidRPr="00703BEA">
              <w:rPr>
                <w:rFonts w:ascii="Arial" w:hAnsi="Arial" w:cs="Arial"/>
                <w:szCs w:val="24"/>
                <w:lang w:val="sr-Latn-RS"/>
              </w:rPr>
              <w:t>analizirati</w:t>
            </w:r>
            <w:r w:rsidR="002B4A70" w:rsidRPr="00703BEA">
              <w:rPr>
                <w:rFonts w:ascii="Arial" w:hAnsi="Arial" w:cs="Arial"/>
                <w:szCs w:val="24"/>
                <w:lang w:val="sr-Latn-RS"/>
              </w:rPr>
              <w:t xml:space="preserve"> unešene podatke u Registar nameta</w:t>
            </w:r>
            <w:r w:rsidR="00FD30CD" w:rsidRPr="00703BEA">
              <w:rPr>
                <w:rFonts w:ascii="Arial" w:hAnsi="Arial" w:cs="Arial"/>
                <w:szCs w:val="24"/>
                <w:lang w:val="sr-Latn-RS"/>
              </w:rPr>
              <w:t xml:space="preserve">, u saradnji sa </w:t>
            </w:r>
            <w:r w:rsidR="0085342C" w:rsidRPr="00703BEA">
              <w:rPr>
                <w:rFonts w:ascii="Arial" w:hAnsi="Arial" w:cs="Arial"/>
                <w:szCs w:val="24"/>
                <w:lang w:val="sr-Latn-RS"/>
              </w:rPr>
              <w:lastRenderedPageBreak/>
              <w:t>predstavnicima opštin</w:t>
            </w:r>
            <w:r w:rsidR="002B4A70" w:rsidRPr="00703BEA">
              <w:rPr>
                <w:rFonts w:ascii="Arial" w:hAnsi="Arial" w:cs="Arial"/>
                <w:szCs w:val="24"/>
                <w:lang w:val="sr-Latn-RS"/>
              </w:rPr>
              <w:t>a, zatim</w:t>
            </w:r>
            <w:r w:rsidR="002D4447" w:rsidRPr="00703BEA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2C3D77" w:rsidRPr="00703BEA">
              <w:rPr>
                <w:rFonts w:ascii="Arial" w:hAnsi="Arial" w:cs="Arial"/>
                <w:szCs w:val="24"/>
                <w:lang w:val="sr-Latn-RS"/>
              </w:rPr>
              <w:t>analizirati zakonodavnu usklađenost, preklapanja i administrativnu efikasnost nameta sa ciljem njihovog optimizovanja; u</w:t>
            </w:r>
            <w:r w:rsidR="00810076" w:rsidRPr="00703BEA">
              <w:rPr>
                <w:rFonts w:ascii="Arial" w:hAnsi="Arial" w:cs="Arial"/>
                <w:szCs w:val="24"/>
                <w:lang w:val="sr-Latn-RS"/>
              </w:rPr>
              <w:t>porediti podatke sa zvaničnim zakonodavstvom i podzakonskim aktima kako bi se identifikovali zastar</w:t>
            </w:r>
            <w:r w:rsidR="00EE1681" w:rsidRPr="00703BEA">
              <w:rPr>
                <w:rFonts w:ascii="Arial" w:hAnsi="Arial" w:cs="Arial"/>
                <w:szCs w:val="24"/>
                <w:lang w:val="sr-Latn-RS"/>
              </w:rPr>
              <w:t>j</w:t>
            </w:r>
            <w:r w:rsidR="00810076" w:rsidRPr="00703BEA">
              <w:rPr>
                <w:rFonts w:ascii="Arial" w:hAnsi="Arial" w:cs="Arial"/>
                <w:szCs w:val="24"/>
                <w:lang w:val="sr-Latn-RS"/>
              </w:rPr>
              <w:t>eli ili nevažeći nameti</w:t>
            </w:r>
            <w:r w:rsidR="002B4A70" w:rsidRPr="00703BEA">
              <w:rPr>
                <w:rFonts w:ascii="Arial" w:hAnsi="Arial" w:cs="Arial"/>
                <w:szCs w:val="24"/>
                <w:lang w:val="sr-Latn-RS"/>
              </w:rPr>
              <w:t xml:space="preserve"> u Registru, te shodno tome dale preporuke za njihovu izmjenu.</w:t>
            </w:r>
            <w:r w:rsidR="000E160A" w:rsidRPr="00703BEA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2B4A70" w:rsidRPr="00703BEA">
              <w:rPr>
                <w:rFonts w:ascii="Arial" w:hAnsi="Arial" w:cs="Arial"/>
                <w:szCs w:val="24"/>
                <w:lang w:val="sr-Latn-RS"/>
              </w:rPr>
              <w:t>Takođe, mogu uraditi</w:t>
            </w:r>
            <w:r w:rsidR="002D4447" w:rsidRPr="00703BEA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0E160A" w:rsidRPr="00703BEA">
              <w:rPr>
                <w:rFonts w:ascii="Arial" w:hAnsi="Arial" w:cs="Arial"/>
                <w:szCs w:val="24"/>
                <w:lang w:val="sr-Latn-RS"/>
              </w:rPr>
              <w:t>analiz</w:t>
            </w:r>
            <w:r w:rsidR="002B4A70" w:rsidRPr="00703BEA">
              <w:rPr>
                <w:rFonts w:ascii="Arial" w:hAnsi="Arial" w:cs="Arial"/>
                <w:szCs w:val="24"/>
                <w:lang w:val="sr-Latn-RS"/>
              </w:rPr>
              <w:t>u</w:t>
            </w:r>
            <w:r w:rsidR="000E160A" w:rsidRPr="00703BEA">
              <w:rPr>
                <w:rFonts w:ascii="Arial" w:hAnsi="Arial" w:cs="Arial"/>
                <w:szCs w:val="24"/>
                <w:lang w:val="sr-Latn-RS"/>
              </w:rPr>
              <w:t xml:space="preserve"> i usklađivanje istih vrsta nameta koji imaju razli</w:t>
            </w:r>
            <w:r w:rsidR="002D4447" w:rsidRPr="00703BEA">
              <w:rPr>
                <w:rFonts w:ascii="Arial" w:hAnsi="Arial" w:cs="Arial"/>
                <w:szCs w:val="24"/>
                <w:lang w:val="sr-Latn-RS"/>
              </w:rPr>
              <w:t>č</w:t>
            </w:r>
            <w:r w:rsidR="000E160A" w:rsidRPr="00703BEA">
              <w:rPr>
                <w:rFonts w:ascii="Arial" w:hAnsi="Arial" w:cs="Arial"/>
                <w:szCs w:val="24"/>
                <w:lang w:val="sr-Latn-RS"/>
              </w:rPr>
              <w:t>ite nazive po opštinama itd.</w:t>
            </w:r>
          </w:p>
          <w:p w:rsidR="0085342C" w:rsidRPr="006F4DB3" w:rsidRDefault="002C3D77" w:rsidP="00D218F0">
            <w:pPr>
              <w:rPr>
                <w:rFonts w:ascii="Arial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>Nevladine organizacije mogu da k</w:t>
            </w:r>
            <w:r w:rsidR="00D218F0" w:rsidRPr="006F4DB3">
              <w:rPr>
                <w:rFonts w:ascii="Arial" w:hAnsi="Arial" w:cs="Arial"/>
                <w:szCs w:val="24"/>
                <w:lang w:val="sr-Latn-RS"/>
              </w:rPr>
              <w:t>ontaktira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>ju</w:t>
            </w:r>
            <w:r w:rsidR="00D218F0" w:rsidRPr="006F4DB3">
              <w:rPr>
                <w:rFonts w:ascii="Arial" w:hAnsi="Arial" w:cs="Arial"/>
                <w:szCs w:val="24"/>
                <w:lang w:val="sr-Latn-RS"/>
              </w:rPr>
              <w:t xml:space="preserve"> lokalne zajednice povodom taksativno navedenih nameta koji se naplaćuju na njihovom području prema podacima iz Registra nameta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D218F0" w:rsidRPr="006F4DB3">
              <w:rPr>
                <w:rFonts w:ascii="Arial" w:hAnsi="Arial" w:cs="Arial"/>
                <w:szCs w:val="24"/>
                <w:lang w:val="sr-Latn-RS"/>
              </w:rPr>
              <w:t>u cilju razmatranja,</w:t>
            </w:r>
            <w:r w:rsidR="0085342C" w:rsidRPr="006F4DB3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D218F0" w:rsidRPr="006F4DB3">
              <w:rPr>
                <w:rFonts w:ascii="Arial" w:hAnsi="Arial" w:cs="Arial"/>
                <w:szCs w:val="24"/>
                <w:lang w:val="sr-Latn-RS"/>
              </w:rPr>
              <w:t>davanja</w:t>
            </w:r>
            <w:r w:rsidR="0085342C" w:rsidRPr="006F4DB3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D218F0" w:rsidRPr="006F4DB3">
              <w:rPr>
                <w:rFonts w:ascii="Arial" w:hAnsi="Arial" w:cs="Arial"/>
                <w:szCs w:val="24"/>
                <w:lang w:val="sr-Latn-RS"/>
              </w:rPr>
              <w:t xml:space="preserve">sugestija, komentara i slično. </w:t>
            </w:r>
          </w:p>
          <w:p w:rsidR="00D218F0" w:rsidRPr="006F4DB3" w:rsidRDefault="002D4447" w:rsidP="000A502D">
            <w:pPr>
              <w:rPr>
                <w:rFonts w:ascii="Arial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>Takođe, nevladine organizacije mogu da promovišu, i na taj način motivišu društvo na korišćenje portala Registra nameta</w:t>
            </w:r>
            <w:r w:rsidR="00A707B0">
              <w:rPr>
                <w:rFonts w:ascii="Arial" w:hAnsi="Arial" w:cs="Arial"/>
                <w:szCs w:val="24"/>
                <w:lang w:val="sr-Latn-RS"/>
              </w:rPr>
              <w:t>, a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u cilju prikupljanja relevantnih informacija.</w:t>
            </w:r>
          </w:p>
          <w:p w:rsidR="00D218F0" w:rsidRPr="006F4DB3" w:rsidRDefault="0079207C" w:rsidP="003D33D6">
            <w:pPr>
              <w:rPr>
                <w:rFonts w:ascii="Arial" w:eastAsia="Times New Roman" w:hAnsi="Arial" w:cs="Arial"/>
                <w:szCs w:val="24"/>
                <w:lang w:val="sr-Latn-RS"/>
              </w:rPr>
            </w:pPr>
            <w:r w:rsidRPr="006F4DB3">
              <w:rPr>
                <w:rFonts w:ascii="Arial" w:hAnsi="Arial" w:cs="Arial"/>
                <w:szCs w:val="24"/>
                <w:lang w:val="sr-Latn-RS"/>
              </w:rPr>
              <w:t>Dodatno</w:t>
            </w:r>
            <w:r w:rsidR="00AE277F">
              <w:rPr>
                <w:rFonts w:ascii="Arial" w:hAnsi="Arial" w:cs="Arial"/>
                <w:szCs w:val="24"/>
                <w:lang w:val="sr-Latn-RS"/>
              </w:rPr>
              <w:t>,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 xml:space="preserve"> n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evladine organizacije mogu p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rikuplja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ti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 xml:space="preserve"> podata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ke na način da s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provod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e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 xml:space="preserve"> istraživanja među preduzetnicima i lokalnim samoupravama kako bi se identifikovali ključni problemi vezani za 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lastRenderedPageBreak/>
              <w:t>namete</w:t>
            </w:r>
            <w:r w:rsidR="00E97C22">
              <w:rPr>
                <w:rFonts w:ascii="Arial" w:hAnsi="Arial" w:cs="Arial"/>
                <w:szCs w:val="24"/>
                <w:lang w:val="sr-Latn-RS"/>
              </w:rPr>
              <w:t xml:space="preserve">, </w:t>
            </w:r>
            <w:r w:rsidR="00AE277F">
              <w:rPr>
                <w:rFonts w:ascii="Arial" w:hAnsi="Arial" w:cs="Arial"/>
                <w:szCs w:val="24"/>
                <w:lang w:val="sr-Latn-RS"/>
              </w:rPr>
              <w:t xml:space="preserve">kao i da 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p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riprem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aju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 xml:space="preserve"> izv</w:t>
            </w:r>
            <w:r w:rsidRPr="006F4DB3">
              <w:rPr>
                <w:rFonts w:ascii="Arial" w:hAnsi="Arial" w:cs="Arial"/>
                <w:szCs w:val="24"/>
                <w:lang w:val="sr-Latn-RS"/>
              </w:rPr>
              <w:t>j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eštaje koji prikazuju stanje nameta po sektorima, uključujući analize opterećenja i preporuke za poboljšanja.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AE277F">
              <w:rPr>
                <w:rFonts w:ascii="Arial" w:hAnsi="Arial" w:cs="Arial"/>
                <w:szCs w:val="24"/>
                <w:lang w:val="sr-Latn-RS"/>
              </w:rPr>
              <w:t xml:space="preserve">Takođe, mogu 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 organiz</w:t>
            </w:r>
            <w:r w:rsidR="00AE277F">
              <w:rPr>
                <w:rFonts w:ascii="Arial" w:hAnsi="Arial" w:cs="Arial"/>
                <w:szCs w:val="24"/>
                <w:lang w:val="sr-Latn-RS"/>
              </w:rPr>
              <w:t>ovati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 radionice 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o pravilima i procedurama vezanim za namete, kao i o pravima preduzetnika</w:t>
            </w:r>
            <w:r w:rsidR="00AE277F">
              <w:rPr>
                <w:rFonts w:ascii="Arial" w:hAnsi="Arial" w:cs="Arial"/>
                <w:szCs w:val="24"/>
                <w:lang w:val="sr-Latn-RS"/>
              </w:rPr>
              <w:t>,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 ali i 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obuke za predstavnike lokalnih samouprava kako bi bolje razum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j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eli izazove s kojima se suočavaju preduzetnici.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 Nevladin sektor može i da z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agovara prom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j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ene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 na način da s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provo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di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 xml:space="preserve"> kampanj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e 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koje se fokusiraju na smanjenje administrativnih opterećenja i povećanje transparentnosti u vezi s nametima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 xml:space="preserve"> i da daje i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nicijative za dijalog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, odnosno da p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>osred</w:t>
            </w:r>
            <w:r w:rsidR="0096528C" w:rsidRPr="006F4DB3">
              <w:rPr>
                <w:rFonts w:ascii="Arial" w:hAnsi="Arial" w:cs="Arial"/>
                <w:szCs w:val="24"/>
                <w:lang w:val="sr-Latn-RS"/>
              </w:rPr>
              <w:t>uje</w:t>
            </w:r>
            <w:r w:rsidR="00093D71" w:rsidRPr="006F4DB3">
              <w:rPr>
                <w:rFonts w:ascii="Arial" w:hAnsi="Arial" w:cs="Arial"/>
                <w:szCs w:val="24"/>
                <w:lang w:val="sr-Latn-RS"/>
              </w:rPr>
              <w:t xml:space="preserve"> u razgovorima između preduzetnika i donosioca odluka kako bi se čuli glasovi onih koji su direktno pogođeni nametima.</w:t>
            </w:r>
            <w:r w:rsidR="00093D71" w:rsidRPr="006F4DB3">
              <w:rPr>
                <w:rFonts w:ascii="Arial" w:eastAsia="Times New Roman" w:hAnsi="Arial" w:cs="Arial"/>
                <w:szCs w:val="24"/>
                <w:lang w:val="sr-Latn-RS"/>
              </w:rPr>
              <w:t xml:space="preserve">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F4B5C" w:rsidRPr="00811F55" w:rsidRDefault="007D633C" w:rsidP="002C3D7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811F55">
              <w:rPr>
                <w:rFonts w:ascii="Arial" w:hAnsi="Arial" w:cs="Arial"/>
                <w:szCs w:val="20"/>
                <w:lang w:val="sr-Latn-RS"/>
              </w:rPr>
              <w:lastRenderedPageBreak/>
              <w:t>urađene</w:t>
            </w:r>
            <w:r w:rsidR="00EF4B5C" w:rsidRPr="00811F55">
              <w:rPr>
                <w:rFonts w:ascii="Arial" w:hAnsi="Arial" w:cs="Arial"/>
                <w:szCs w:val="20"/>
                <w:lang w:val="sr-Latn-RS"/>
              </w:rPr>
              <w:t xml:space="preserve"> analiz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>e</w:t>
            </w:r>
            <w:r w:rsidR="00EF4B5C" w:rsidRPr="00811F55">
              <w:rPr>
                <w:rFonts w:ascii="Arial" w:hAnsi="Arial" w:cs="Arial"/>
                <w:szCs w:val="20"/>
                <w:lang w:val="sr-Latn-RS"/>
              </w:rPr>
              <w:t xml:space="preserve"> razvojnih potencijala </w:t>
            </w:r>
            <w:r w:rsidR="00217254" w:rsidRPr="00811F55">
              <w:rPr>
                <w:rFonts w:ascii="Arial" w:hAnsi="Arial" w:cs="Arial"/>
                <w:szCs w:val="20"/>
                <w:lang w:val="sr-Latn-RS"/>
              </w:rPr>
              <w:t>na nivou svih lokalnih samouprava, uz preporuke za bolje/optimalno korišćenje istih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(urađene minimum tri regionalne analize</w:t>
            </w:r>
            <w:r w:rsidR="00AD5C08" w:rsidRPr="00811F55">
              <w:rPr>
                <w:rFonts w:ascii="Arial" w:hAnsi="Arial" w:cs="Arial"/>
                <w:szCs w:val="20"/>
                <w:lang w:val="sr-Latn-RS"/>
              </w:rPr>
              <w:t>, koje će integisati podatke na nivou lokalnih samouprava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>)</w:t>
            </w:r>
            <w:r w:rsidR="00AD5C08" w:rsidRPr="00811F55">
              <w:rPr>
                <w:rFonts w:ascii="Arial" w:hAnsi="Arial" w:cs="Arial"/>
                <w:szCs w:val="20"/>
                <w:lang w:val="sr-Latn-RS"/>
              </w:rPr>
              <w:t>, prema pripadnosti regionima</w:t>
            </w:r>
            <w:r w:rsidR="0032257A" w:rsidRPr="00811F55">
              <w:rPr>
                <w:rFonts w:ascii="Arial" w:hAnsi="Arial" w:cs="Arial"/>
                <w:szCs w:val="20"/>
                <w:lang w:val="sr-Latn-RS"/>
              </w:rPr>
              <w:t xml:space="preserve"> </w:t>
            </w:r>
          </w:p>
          <w:p w:rsidR="006D0238" w:rsidRPr="00811F55" w:rsidRDefault="006D0238" w:rsidP="006D0238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6D0238" w:rsidRDefault="002033AE" w:rsidP="00AE277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811F55">
              <w:rPr>
                <w:rFonts w:ascii="Arial" w:hAnsi="Arial" w:cs="Arial"/>
                <w:szCs w:val="20"/>
                <w:lang w:val="sr-Latn-RS"/>
              </w:rPr>
              <w:t>25</w:t>
            </w:r>
            <w:r w:rsidR="00EF4B5C" w:rsidRPr="00811F55">
              <w:rPr>
                <w:rFonts w:ascii="Arial" w:hAnsi="Arial" w:cs="Arial"/>
                <w:szCs w:val="20"/>
                <w:lang w:val="sr-Latn-RS"/>
              </w:rPr>
              <w:t xml:space="preserve"> fokus grupa sa građanima kako bi se </w:t>
            </w:r>
            <w:r w:rsidR="00217254" w:rsidRPr="00811F55">
              <w:rPr>
                <w:rFonts w:ascii="Arial" w:hAnsi="Arial" w:cs="Arial"/>
                <w:szCs w:val="20"/>
                <w:lang w:val="sr-Latn-RS"/>
              </w:rPr>
              <w:t>analiziralo</w:t>
            </w:r>
            <w:r w:rsidR="00EF4B5C" w:rsidRPr="00811F55">
              <w:rPr>
                <w:rFonts w:ascii="Arial" w:hAnsi="Arial" w:cs="Arial"/>
                <w:szCs w:val="20"/>
                <w:lang w:val="sr-Latn-RS"/>
              </w:rPr>
              <w:t xml:space="preserve"> njiho</w:t>
            </w:r>
            <w:r w:rsidR="00217254" w:rsidRPr="00811F55">
              <w:rPr>
                <w:rFonts w:ascii="Arial" w:hAnsi="Arial" w:cs="Arial"/>
                <w:szCs w:val="20"/>
                <w:lang w:val="sr-Latn-RS"/>
              </w:rPr>
              <w:t>vo viđenje identifikovanih</w:t>
            </w:r>
            <w:r w:rsidR="006F4DB3" w:rsidRPr="00811F55">
              <w:rPr>
                <w:rFonts w:ascii="Arial" w:hAnsi="Arial" w:cs="Arial"/>
                <w:szCs w:val="20"/>
                <w:lang w:val="sr-Latn-RS"/>
              </w:rPr>
              <w:t xml:space="preserve"> </w:t>
            </w:r>
            <w:r w:rsidR="00217254" w:rsidRPr="00811F55">
              <w:rPr>
                <w:rFonts w:ascii="Arial" w:hAnsi="Arial" w:cs="Arial"/>
                <w:szCs w:val="20"/>
                <w:lang w:val="sr-Latn-RS"/>
              </w:rPr>
              <w:t>razvojnih potencijala i što je to što oni vide kao prioritet</w:t>
            </w:r>
            <w:r w:rsidR="006F4DB3" w:rsidRPr="00811F55">
              <w:rPr>
                <w:rFonts w:ascii="Arial" w:hAnsi="Arial" w:cs="Arial"/>
                <w:szCs w:val="20"/>
                <w:lang w:val="sr-Latn-RS"/>
              </w:rPr>
              <w:t xml:space="preserve"> (jedna fokus grupa po opštini)</w:t>
            </w:r>
          </w:p>
          <w:p w:rsidR="00AE277F" w:rsidRPr="00AE277F" w:rsidRDefault="00AE277F" w:rsidP="00AE277F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AE277F" w:rsidRPr="00AE277F" w:rsidRDefault="00AE277F" w:rsidP="00AE277F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EF4B5C" w:rsidRPr="00811F55" w:rsidRDefault="00811F55" w:rsidP="002C3D7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>
              <w:rPr>
                <w:rFonts w:ascii="Arial" w:hAnsi="Arial" w:cs="Arial"/>
                <w:szCs w:val="20"/>
                <w:lang w:val="sr-Latn-RS"/>
              </w:rPr>
              <w:t>n</w:t>
            </w:r>
            <w:r w:rsidR="00B82085" w:rsidRPr="00811F55">
              <w:rPr>
                <w:rFonts w:ascii="Arial" w:hAnsi="Arial" w:cs="Arial"/>
                <w:szCs w:val="20"/>
                <w:lang w:val="sr-Latn-RS"/>
              </w:rPr>
              <w:t>ajmanje 25 sastanaka sa predstavnicima lokalnih samouprava kako bi im se prezentova</w:t>
            </w:r>
            <w:r w:rsidR="00217254" w:rsidRPr="00811F55">
              <w:rPr>
                <w:rFonts w:ascii="Arial" w:hAnsi="Arial" w:cs="Arial"/>
                <w:szCs w:val="20"/>
                <w:lang w:val="sr-Latn-RS"/>
              </w:rPr>
              <w:t>li nalazi i iskomunicirali sa njihovim mišljenjima/ planovima</w:t>
            </w:r>
            <w:r w:rsidR="006F4DB3" w:rsidRPr="00811F55">
              <w:rPr>
                <w:rFonts w:ascii="Arial" w:hAnsi="Arial" w:cs="Arial"/>
                <w:szCs w:val="20"/>
                <w:lang w:val="sr-Latn-RS"/>
              </w:rPr>
              <w:t xml:space="preserve"> </w:t>
            </w:r>
            <w:r w:rsidR="006F4DB3" w:rsidRPr="00811F55">
              <w:rPr>
                <w:rFonts w:ascii="Arial" w:hAnsi="Arial" w:cs="Arial"/>
                <w:szCs w:val="20"/>
                <w:lang w:val="sr-Latn-RS"/>
              </w:rPr>
              <w:lastRenderedPageBreak/>
              <w:t>(najmanje jedan sastanak po opštini)</w:t>
            </w:r>
          </w:p>
          <w:p w:rsidR="006D0238" w:rsidRPr="00811F55" w:rsidRDefault="006D0238" w:rsidP="006D0238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2C3D77" w:rsidRPr="00811F55" w:rsidRDefault="007D633C" w:rsidP="002C3D7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811F55">
              <w:rPr>
                <w:rFonts w:ascii="Arial" w:hAnsi="Arial" w:cs="Arial"/>
                <w:szCs w:val="20"/>
                <w:lang w:val="sr-Latn-RS"/>
              </w:rPr>
              <w:t>urađene</w:t>
            </w:r>
            <w:r w:rsidR="002C3D77" w:rsidRPr="00811F55">
              <w:rPr>
                <w:rFonts w:ascii="Arial" w:hAnsi="Arial" w:cs="Arial"/>
                <w:szCs w:val="20"/>
                <w:lang w:val="sr-Latn-RS"/>
              </w:rPr>
              <w:t xml:space="preserve"> </w:t>
            </w:r>
            <w:r w:rsidR="006A6AE2" w:rsidRPr="00811F55">
              <w:rPr>
                <w:rFonts w:ascii="Arial" w:hAnsi="Arial" w:cs="Arial"/>
                <w:szCs w:val="20"/>
                <w:lang w:val="sr-Latn-RS"/>
              </w:rPr>
              <w:t>a</w:t>
            </w:r>
            <w:r w:rsidR="00C63E01" w:rsidRPr="00811F55">
              <w:rPr>
                <w:rFonts w:ascii="Arial" w:hAnsi="Arial" w:cs="Arial"/>
                <w:szCs w:val="20"/>
                <w:lang w:val="sr-Latn-RS"/>
              </w:rPr>
              <w:t>naliz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>e</w:t>
            </w:r>
            <w:r w:rsidR="00C63E01" w:rsidRPr="00811F55">
              <w:rPr>
                <w:rFonts w:ascii="Arial" w:hAnsi="Arial" w:cs="Arial"/>
                <w:szCs w:val="20"/>
                <w:lang w:val="sr-Latn-RS"/>
              </w:rPr>
              <w:t xml:space="preserve"> podataka na području lokalnih samouprava</w:t>
            </w:r>
            <w:r w:rsidR="006A6AE2" w:rsidRPr="00811F55">
              <w:rPr>
                <w:rFonts w:ascii="Arial" w:hAnsi="Arial" w:cs="Arial"/>
                <w:szCs w:val="20"/>
                <w:lang w:val="sr-Latn-RS"/>
              </w:rPr>
              <w:t xml:space="preserve"> u vezi sa </w:t>
            </w:r>
            <w:r w:rsidR="00E0701D" w:rsidRPr="00811F55">
              <w:rPr>
                <w:rFonts w:ascii="Arial" w:hAnsi="Arial" w:cs="Arial"/>
                <w:szCs w:val="20"/>
                <w:lang w:val="sr-Latn-RS"/>
              </w:rPr>
              <w:t>poda</w:t>
            </w:r>
            <w:r w:rsidR="00C80474" w:rsidRPr="00811F55">
              <w:rPr>
                <w:rFonts w:ascii="Arial" w:hAnsi="Arial" w:cs="Arial"/>
                <w:szCs w:val="20"/>
                <w:lang w:val="sr-Latn-RS"/>
              </w:rPr>
              <w:t>cima</w:t>
            </w:r>
            <w:r w:rsidR="00E0701D" w:rsidRPr="00811F55">
              <w:rPr>
                <w:rFonts w:ascii="Arial" w:hAnsi="Arial" w:cs="Arial"/>
                <w:szCs w:val="20"/>
                <w:lang w:val="sr-Latn-RS"/>
              </w:rPr>
              <w:t xml:space="preserve"> unijeti</w:t>
            </w:r>
            <w:r w:rsidR="00017BE5" w:rsidRPr="00811F55">
              <w:rPr>
                <w:rFonts w:ascii="Arial" w:hAnsi="Arial" w:cs="Arial"/>
                <w:szCs w:val="20"/>
                <w:lang w:val="sr-Latn-RS"/>
              </w:rPr>
              <w:t>m</w:t>
            </w:r>
            <w:r w:rsidR="00E0701D" w:rsidRPr="00811F55">
              <w:rPr>
                <w:rFonts w:ascii="Arial" w:hAnsi="Arial" w:cs="Arial"/>
                <w:szCs w:val="20"/>
                <w:lang w:val="sr-Latn-RS"/>
              </w:rPr>
              <w:t xml:space="preserve"> u </w:t>
            </w:r>
            <w:r w:rsidR="006A6AE2" w:rsidRPr="00811F55">
              <w:rPr>
                <w:rFonts w:ascii="Arial" w:hAnsi="Arial" w:cs="Arial"/>
                <w:szCs w:val="20"/>
                <w:lang w:val="sr-Latn-RS"/>
              </w:rPr>
              <w:t>Regist</w:t>
            </w:r>
            <w:r w:rsidR="00E0701D" w:rsidRPr="00811F55">
              <w:rPr>
                <w:rFonts w:ascii="Arial" w:hAnsi="Arial" w:cs="Arial"/>
                <w:szCs w:val="20"/>
                <w:lang w:val="sr-Latn-RS"/>
              </w:rPr>
              <w:t>ar</w:t>
            </w:r>
            <w:r w:rsidR="006A6AE2" w:rsidRPr="00811F55">
              <w:rPr>
                <w:rFonts w:ascii="Arial" w:hAnsi="Arial" w:cs="Arial"/>
                <w:szCs w:val="20"/>
                <w:lang w:val="sr-Latn-RS"/>
              </w:rPr>
              <w:t xml:space="preserve"> nameta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(urađene minimum tri regionalne analize)</w:t>
            </w:r>
            <w:r w:rsidR="00922BAC" w:rsidRPr="00811F55">
              <w:rPr>
                <w:rFonts w:ascii="Arial" w:hAnsi="Arial" w:cs="Arial"/>
                <w:szCs w:val="20"/>
                <w:lang w:val="sr-Latn-RS"/>
              </w:rPr>
              <w:t>;</w:t>
            </w:r>
          </w:p>
          <w:p w:rsidR="002C3D77" w:rsidRPr="00811F55" w:rsidRDefault="002C3D77" w:rsidP="002C3D77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2C3D77" w:rsidRPr="00811F55" w:rsidRDefault="002C3D77" w:rsidP="002C3D77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D218F0" w:rsidRPr="00811F55" w:rsidRDefault="006A6AE2" w:rsidP="002C3D7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811F55">
              <w:rPr>
                <w:rFonts w:ascii="Arial" w:hAnsi="Arial" w:cs="Arial"/>
                <w:szCs w:val="20"/>
                <w:lang w:val="sr-Latn-RS"/>
              </w:rPr>
              <w:t>o</w:t>
            </w:r>
            <w:r w:rsidR="00810076" w:rsidRPr="00811F55">
              <w:rPr>
                <w:rFonts w:ascii="Arial" w:hAnsi="Arial" w:cs="Arial"/>
                <w:szCs w:val="20"/>
                <w:lang w:val="sr-Latn-RS"/>
              </w:rPr>
              <w:t>rgani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>zovan</w:t>
            </w:r>
            <w:r w:rsidR="007D633C" w:rsidRPr="00811F55">
              <w:rPr>
                <w:rFonts w:ascii="Arial" w:hAnsi="Arial" w:cs="Arial"/>
                <w:szCs w:val="20"/>
                <w:lang w:val="sr-Latn-RS"/>
              </w:rPr>
              <w:t>o najmanje 5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okrugl</w:t>
            </w:r>
            <w:r w:rsidR="007D633C" w:rsidRPr="00811F55">
              <w:rPr>
                <w:rFonts w:ascii="Arial" w:hAnsi="Arial" w:cs="Arial"/>
                <w:szCs w:val="20"/>
                <w:lang w:val="sr-Latn-RS"/>
              </w:rPr>
              <w:t>ih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stol</w:t>
            </w:r>
            <w:r w:rsidR="007D633C" w:rsidRPr="00811F55">
              <w:rPr>
                <w:rFonts w:ascii="Arial" w:hAnsi="Arial" w:cs="Arial"/>
                <w:szCs w:val="20"/>
                <w:lang w:val="sr-Latn-RS"/>
              </w:rPr>
              <w:t>ova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</w:t>
            </w:r>
            <w:r w:rsidR="002C3D77" w:rsidRPr="00811F55">
              <w:rPr>
                <w:rFonts w:ascii="Arial" w:hAnsi="Arial" w:cs="Arial"/>
                <w:szCs w:val="20"/>
                <w:lang w:val="sr-Latn-RS"/>
              </w:rPr>
              <w:t xml:space="preserve">u cilju 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>konstruktivn</w:t>
            </w:r>
            <w:r w:rsidR="002C3D77" w:rsidRPr="00811F55">
              <w:rPr>
                <w:rFonts w:ascii="Arial" w:hAnsi="Arial" w:cs="Arial"/>
                <w:szCs w:val="20"/>
                <w:lang w:val="sr-Latn-RS"/>
              </w:rPr>
              <w:t>e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rasprav</w:t>
            </w:r>
            <w:r w:rsidR="002C3D77" w:rsidRPr="00811F55">
              <w:rPr>
                <w:rFonts w:ascii="Arial" w:hAnsi="Arial" w:cs="Arial"/>
                <w:szCs w:val="20"/>
                <w:lang w:val="sr-Latn-RS"/>
              </w:rPr>
              <w:t>e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o problemima vezanim za </w:t>
            </w:r>
            <w:r w:rsidR="000E160A" w:rsidRPr="00811F55">
              <w:rPr>
                <w:rFonts w:ascii="Arial" w:hAnsi="Arial" w:cs="Arial"/>
                <w:szCs w:val="20"/>
                <w:lang w:val="sr-Latn-RS"/>
              </w:rPr>
              <w:t>Registar</w:t>
            </w:r>
            <w:r w:rsidRPr="00811F55">
              <w:rPr>
                <w:rFonts w:ascii="Arial" w:hAnsi="Arial" w:cs="Arial"/>
                <w:szCs w:val="20"/>
                <w:lang w:val="sr-Latn-RS"/>
              </w:rPr>
              <w:t xml:space="preserve"> nameta i zajedničko pronalaženje rješenja</w:t>
            </w:r>
            <w:r w:rsidR="00922BAC" w:rsidRPr="00811F55">
              <w:rPr>
                <w:rFonts w:ascii="Arial" w:hAnsi="Arial" w:cs="Arial"/>
                <w:szCs w:val="20"/>
                <w:lang w:val="sr-Latn-RS"/>
              </w:rPr>
              <w:t>;</w:t>
            </w:r>
          </w:p>
          <w:p w:rsidR="002C3D77" w:rsidRPr="00811F55" w:rsidRDefault="002C3D77" w:rsidP="002C3D77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993FA5" w:rsidRPr="00811F55" w:rsidRDefault="00993FA5" w:rsidP="003D33D6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5065" w:type="dxa"/>
            <w:tcBorders>
              <w:left w:val="single" w:sz="2" w:space="0" w:color="auto"/>
            </w:tcBorders>
          </w:tcPr>
          <w:p w:rsidR="000E160A" w:rsidRDefault="00B82085" w:rsidP="00811F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lastRenderedPageBreak/>
              <w:t xml:space="preserve">Podaci sa web </w:t>
            </w:r>
            <w:r w:rsidR="00217254" w:rsidRPr="006F4DB3">
              <w:rPr>
                <w:rFonts w:ascii="Arial" w:hAnsi="Arial" w:cs="Arial"/>
                <w:szCs w:val="20"/>
                <w:lang w:val="sr-Latn-RS"/>
              </w:rPr>
              <w:t xml:space="preserve">stranica lokalnih samouprava, Agencije za investicije, 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Uprave za statistiku, kao i ostalih relevantnih institucija</w:t>
            </w:r>
          </w:p>
          <w:p w:rsidR="00811F55" w:rsidRPr="00811F55" w:rsidRDefault="00811F55" w:rsidP="00811F55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0E160A" w:rsidRPr="006F4DB3" w:rsidRDefault="00D218F0" w:rsidP="000E160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Podaci sa web sajta Registra nameta i elektronske baze podataka</w:t>
            </w:r>
            <w:r w:rsidR="000E160A" w:rsidRPr="006F4DB3">
              <w:rPr>
                <w:rFonts w:ascii="Arial" w:hAnsi="Arial" w:cs="Arial"/>
                <w:szCs w:val="20"/>
                <w:lang w:val="sr-Latn-RS"/>
              </w:rPr>
              <w:t xml:space="preserve">; </w:t>
            </w:r>
          </w:p>
          <w:p w:rsidR="000E160A" w:rsidRPr="006F4DB3" w:rsidRDefault="000E160A" w:rsidP="000E160A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0E160A" w:rsidRPr="00811F55" w:rsidRDefault="000E160A" w:rsidP="00811F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Izvještaj sa sjednic</w:t>
            </w:r>
            <w:r w:rsidR="002D4447" w:rsidRPr="006F4DB3">
              <w:rPr>
                <w:rFonts w:ascii="Arial" w:hAnsi="Arial" w:cs="Arial"/>
                <w:szCs w:val="20"/>
                <w:lang w:val="sr-Latn-RS"/>
              </w:rPr>
              <w:t>a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Savjeta za konkurentnost;</w:t>
            </w:r>
          </w:p>
          <w:p w:rsidR="000E160A" w:rsidRPr="006F4DB3" w:rsidRDefault="000E160A" w:rsidP="000E160A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0E160A" w:rsidRPr="006F4DB3" w:rsidRDefault="000E160A" w:rsidP="000E160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Informativni i promotivni materijal; </w:t>
            </w:r>
          </w:p>
          <w:p w:rsidR="000E160A" w:rsidRPr="006F4DB3" w:rsidRDefault="000E160A" w:rsidP="000E160A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0E160A" w:rsidRDefault="000E160A" w:rsidP="000E160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Izvještavanje u medijima</w:t>
            </w:r>
          </w:p>
          <w:p w:rsidR="00811F55" w:rsidRPr="00811F55" w:rsidRDefault="00811F55" w:rsidP="00811F55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811F55" w:rsidRPr="006F4DB3" w:rsidRDefault="00811F55" w:rsidP="000E160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0"/>
                <w:lang w:val="sr-Latn-RS"/>
              </w:rPr>
            </w:pPr>
            <w:r>
              <w:rPr>
                <w:rFonts w:ascii="Arial" w:hAnsi="Arial" w:cs="Arial"/>
                <w:szCs w:val="20"/>
                <w:lang w:val="sr-Latn-RS"/>
              </w:rPr>
              <w:t>Izvještaji o realizaciji projekata</w:t>
            </w:r>
          </w:p>
          <w:p w:rsidR="00D218F0" w:rsidRPr="006F4DB3" w:rsidRDefault="00D218F0" w:rsidP="000A502D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1822F4" w:rsidRPr="006F4DB3" w:rsidRDefault="001822F4" w:rsidP="00370754">
      <w:pPr>
        <w:rPr>
          <w:rFonts w:ascii="Arial" w:hAnsi="Arial" w:cs="Arial"/>
          <w:lang w:val="sr-Latn-RS"/>
        </w:rPr>
      </w:pPr>
    </w:p>
    <w:p w:rsidR="00370754" w:rsidRPr="006F4DB3" w:rsidRDefault="00370754" w:rsidP="00ED7458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lang w:val="sr-Latn-RS"/>
        </w:rPr>
      </w:pPr>
      <w:r w:rsidRPr="006F4DB3">
        <w:rPr>
          <w:rFonts w:ascii="Arial" w:hAnsi="Arial" w:cs="Arial"/>
          <w:b/>
          <w:lang w:val="sr-Latn-RS"/>
        </w:rPr>
        <w:t>OSTVARIVANJE STRATEŠKIH CILJEVA</w:t>
      </w:r>
    </w:p>
    <w:p w:rsidR="00370754" w:rsidRPr="006F4DB3" w:rsidRDefault="007A0248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3.1.</w:t>
      </w:r>
      <w:r w:rsidR="00370754" w:rsidRPr="006F4DB3">
        <w:rPr>
          <w:rFonts w:ascii="Arial" w:hAnsi="Arial" w:cs="Arial"/>
          <w:lang w:val="sr-Latn-RS"/>
        </w:rPr>
        <w:t xml:space="preserve">Navesti ključne strateške ciljeve iz sektorske nadležnosti čijem će ostvarenju u </w:t>
      </w:r>
      <w:r w:rsidR="00BB506C" w:rsidRPr="006F4DB3">
        <w:rPr>
          <w:rFonts w:ascii="Arial" w:hAnsi="Arial" w:cs="Arial"/>
          <w:u w:val="single"/>
          <w:lang w:val="sr-Latn-RS"/>
        </w:rPr>
        <w:t>2025</w:t>
      </w:r>
      <w:r w:rsidR="00E17788" w:rsidRPr="006F4DB3">
        <w:rPr>
          <w:rFonts w:ascii="Arial" w:hAnsi="Arial" w:cs="Arial"/>
          <w:u w:val="single"/>
          <w:lang w:val="sr-Latn-RS"/>
        </w:rPr>
        <w:t>.</w:t>
      </w:r>
      <w:r w:rsidR="00370754" w:rsidRPr="006F4DB3">
        <w:rPr>
          <w:rFonts w:ascii="Arial" w:hAnsi="Arial" w:cs="Arial"/>
          <w:u w:val="single"/>
          <w:lang w:val="sr-Latn-RS"/>
        </w:rPr>
        <w:t xml:space="preserve"> godini</w:t>
      </w:r>
      <w:r w:rsidR="00370754" w:rsidRPr="006F4DB3">
        <w:rPr>
          <w:rFonts w:ascii="Arial" w:hAnsi="Arial" w:cs="Arial"/>
          <w:lang w:val="sr-Latn-RS"/>
        </w:rPr>
        <w:t xml:space="preserve"> doprinijeti projekti i programi nevladinih organizacija.</w:t>
      </w:r>
    </w:p>
    <w:tbl>
      <w:tblPr>
        <w:tblStyle w:val="TableGrid"/>
        <w:tblW w:w="14229" w:type="dxa"/>
        <w:tblInd w:w="792" w:type="dxa"/>
        <w:tblLook w:val="04A0" w:firstRow="1" w:lastRow="0" w:firstColumn="1" w:lastColumn="0" w:noHBand="0" w:noVBand="1"/>
      </w:tblPr>
      <w:tblGrid>
        <w:gridCol w:w="6884"/>
        <w:gridCol w:w="7345"/>
      </w:tblGrid>
      <w:tr w:rsidR="00370754" w:rsidRPr="006F4DB3" w:rsidTr="006D22B2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Strateški cilj(evi) čijem ostvarenju će doprinijeti javni konkurs za projekte i programe nevladinih organizacija u </w:t>
            </w:r>
            <w:r w:rsidR="00E17788" w:rsidRPr="006F4DB3">
              <w:rPr>
                <w:rFonts w:ascii="Arial" w:hAnsi="Arial" w:cs="Arial"/>
                <w:u w:val="single"/>
                <w:lang w:val="sr-Latn-RS"/>
              </w:rPr>
              <w:t>2025</w:t>
            </w:r>
            <w:r w:rsidRPr="006F4DB3">
              <w:rPr>
                <w:rFonts w:ascii="Arial" w:hAnsi="Arial" w:cs="Arial"/>
                <w:lang w:val="sr-Latn-RS"/>
              </w:rPr>
              <w:t>. godini</w:t>
            </w:r>
          </w:p>
        </w:tc>
        <w:tc>
          <w:tcPr>
            <w:tcW w:w="734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6F4DB3" w:rsidTr="006D22B2">
        <w:tc>
          <w:tcPr>
            <w:tcW w:w="6884" w:type="dxa"/>
            <w:tcMar>
              <w:top w:w="57" w:type="dxa"/>
              <w:bottom w:w="57" w:type="dxa"/>
            </w:tcMar>
          </w:tcPr>
          <w:p w:rsidR="00E17788" w:rsidRPr="006F4DB3" w:rsidRDefault="00E17788" w:rsidP="00810076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lastRenderedPageBreak/>
              <w:t>Javni konkurs za projekte i programe nevladinih organizacija u 2025. godini, doprinijeće ispunjenju sljedećih ciljeva:</w:t>
            </w:r>
          </w:p>
          <w:p w:rsidR="00D720B1" w:rsidRPr="006F4DB3" w:rsidRDefault="00D720B1" w:rsidP="00810076">
            <w:pPr>
              <w:rPr>
                <w:rFonts w:ascii="Arial" w:hAnsi="Arial" w:cs="Arial"/>
                <w:lang w:val="sr-Latn-RS"/>
              </w:rPr>
            </w:pPr>
          </w:p>
          <w:p w:rsidR="003439BF" w:rsidRPr="006F4DB3" w:rsidRDefault="009B72EE" w:rsidP="00293A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Bolj</w:t>
            </w:r>
            <w:r w:rsidR="00293A0E" w:rsidRPr="006F4DB3">
              <w:rPr>
                <w:rFonts w:ascii="Arial" w:hAnsi="Arial" w:cs="Arial"/>
                <w:szCs w:val="20"/>
                <w:lang w:val="sr-Latn-RS"/>
              </w:rPr>
              <w:t xml:space="preserve">e identifikovanje razvojnih potencijala lokalnih samouprava, u cilju adekvatnijeg kreiranja politika na državnom nivou, koordinacije politike 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regionalnog razvoja</w:t>
            </w:r>
            <w:r w:rsidR="003439BF" w:rsidRPr="006F4DB3">
              <w:rPr>
                <w:rFonts w:ascii="Arial" w:hAnsi="Arial" w:cs="Arial"/>
                <w:szCs w:val="20"/>
                <w:lang w:val="sr-Latn-RS"/>
              </w:rPr>
              <w:t xml:space="preserve">, </w:t>
            </w:r>
            <w:r w:rsidR="00293A0E" w:rsidRPr="006F4DB3">
              <w:rPr>
                <w:rFonts w:ascii="Arial" w:hAnsi="Arial" w:cs="Arial"/>
                <w:szCs w:val="20"/>
                <w:lang w:val="sr-Latn-RS"/>
              </w:rPr>
              <w:t xml:space="preserve">sa ciljem jačanja lokalnog razvoja </w:t>
            </w:r>
          </w:p>
          <w:p w:rsidR="00293A0E" w:rsidRPr="006F4DB3" w:rsidRDefault="00293A0E" w:rsidP="00293A0E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F9760A" w:rsidRPr="006F4DB3" w:rsidRDefault="00F9760A" w:rsidP="00293A0E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810076" w:rsidRPr="006F4DB3" w:rsidRDefault="00810076" w:rsidP="00E1778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Unapređenj</w:t>
            </w:r>
            <w:r w:rsidR="00CD2473" w:rsidRPr="006F4DB3">
              <w:rPr>
                <w:rFonts w:ascii="Arial" w:hAnsi="Arial" w:cs="Arial"/>
                <w:szCs w:val="20"/>
                <w:lang w:val="sr-Latn-RS"/>
              </w:rPr>
              <w:t>u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fiskalne efikasnosti - Provjerom tačnosti unosa podataka i identifikacijom preklapanja može se smanjiti broj nameta, što će doprinijeti boljoj fiskalnoj efikasnosti i smanjenju administrativnog opterećenja za lokalne samouprave;</w:t>
            </w:r>
          </w:p>
          <w:p w:rsidR="00CD2473" w:rsidRPr="006F4DB3" w:rsidRDefault="00CD2473" w:rsidP="00CD2473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810076" w:rsidRPr="006F4DB3" w:rsidRDefault="00810076" w:rsidP="00CD24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Povećanj</w:t>
            </w:r>
            <w:r w:rsidR="00CD2473" w:rsidRPr="006F4DB3">
              <w:rPr>
                <w:rFonts w:ascii="Arial" w:hAnsi="Arial" w:cs="Arial"/>
                <w:szCs w:val="20"/>
                <w:lang w:val="sr-Latn-RS"/>
              </w:rPr>
              <w:t>u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transparentnosti i pov</w:t>
            </w:r>
            <w:r w:rsidR="00922BAC" w:rsidRPr="006F4DB3">
              <w:rPr>
                <w:rFonts w:ascii="Arial" w:hAnsi="Arial" w:cs="Arial"/>
                <w:szCs w:val="20"/>
                <w:lang w:val="sr-Latn-RS"/>
              </w:rPr>
              <w:t>j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erenj</w:t>
            </w:r>
            <w:r w:rsidR="00F9760A" w:rsidRPr="006F4DB3">
              <w:rPr>
                <w:rFonts w:ascii="Arial" w:hAnsi="Arial" w:cs="Arial"/>
                <w:szCs w:val="20"/>
                <w:lang w:val="sr-Latn-RS"/>
              </w:rPr>
              <w:t>e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građana - Uvođenjem veće transparentnosti u procese naplate nameta i prim</w:t>
            </w:r>
            <w:r w:rsidR="00EE1681" w:rsidRPr="006F4DB3">
              <w:rPr>
                <w:rFonts w:ascii="Arial" w:hAnsi="Arial" w:cs="Arial"/>
                <w:szCs w:val="20"/>
                <w:lang w:val="sr-Latn-RS"/>
              </w:rPr>
              <w:t>j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ene zakona, povećavaće se pov</w:t>
            </w:r>
            <w:r w:rsidR="00EE1681" w:rsidRPr="006F4DB3">
              <w:rPr>
                <w:rFonts w:ascii="Arial" w:hAnsi="Arial" w:cs="Arial"/>
                <w:szCs w:val="20"/>
                <w:lang w:val="sr-Latn-RS"/>
              </w:rPr>
              <w:t>j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erenje građana i preduzetnika u rad lokalnih i državnih institucija;</w:t>
            </w:r>
          </w:p>
          <w:p w:rsidR="00CD2473" w:rsidRPr="006F4DB3" w:rsidRDefault="00CD2473" w:rsidP="00CD2473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370754" w:rsidRPr="006F4DB3" w:rsidRDefault="00810076" w:rsidP="00CD24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Podsticanj</w:t>
            </w:r>
            <w:r w:rsidR="00CD2473" w:rsidRPr="006F4DB3">
              <w:rPr>
                <w:rFonts w:ascii="Arial" w:hAnsi="Arial" w:cs="Arial"/>
                <w:szCs w:val="20"/>
                <w:lang w:val="sr-Latn-RS"/>
              </w:rPr>
              <w:t>u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razvoja lokalnih samouprava - Efikasniji Registar nameta može poboljšati fiskalne kapacitete lokalnih samouprava, čime se doprinosi jačanju lokalnih ekonomija i povećanju kvaliteta javnih usluga.</w:t>
            </w:r>
          </w:p>
          <w:p w:rsidR="00F9760A" w:rsidRPr="006F4DB3" w:rsidRDefault="00F9760A" w:rsidP="00F9760A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F9760A" w:rsidRPr="006F4DB3" w:rsidRDefault="00F9760A" w:rsidP="00F9760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Strategija regionalnog razvoja 2023 – 2027</w:t>
            </w: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SC 1: Jačanje funkcionalnosti JLS kroz sistemsko upravljanje regionalnim razvojem (svi operativni ciljevi) </w:t>
            </w: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lastRenderedPageBreak/>
              <w:t xml:space="preserve">SC 2:  Ostvarenje održivog ekonomskog razvoja regiona kroz jačanje ljudskih potencijala i podsticanja za zapošljavanje radi poboljšanja kvaliteta života (svi operativni ciljevi) </w:t>
            </w: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SC 3: Povećanje konkurentnosti regiona, zasnovano na unaprjeđenju infrastrukture, poboljšanje poslovnog ambijenta i razvoj prioritetnih sektora i sektora sa potencijalom rasta (svi operativni ciljevi) </w:t>
            </w: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</w:p>
          <w:p w:rsidR="00F9760A" w:rsidRPr="006F4DB3" w:rsidRDefault="00F9760A" w:rsidP="00F9760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Strategija razvoja MMSP 2023 – 2026</w:t>
            </w:r>
          </w:p>
          <w:p w:rsidR="00F9760A" w:rsidRPr="006F4DB3" w:rsidRDefault="00F9760A" w:rsidP="00F9760A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SC 1: Unaprijeđen poslovni/regulatorni ambijent i preduzetnički ekosistem/institucionalni okvir (OC 1 Smanjene administrativne i regulatorne prepreke poslovanju MMSP)</w:t>
            </w:r>
          </w:p>
          <w:p w:rsidR="00F9760A" w:rsidRPr="006F4DB3" w:rsidRDefault="00F9760A" w:rsidP="00F9760A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F9760A" w:rsidRPr="006F4DB3" w:rsidRDefault="00F9760A" w:rsidP="00F9760A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F9760A" w:rsidRPr="006F4DB3" w:rsidRDefault="00F9760A" w:rsidP="00F9760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Program ekonomskih reformi za Crnu Goru 2023 – 2025</w:t>
            </w:r>
          </w:p>
          <w:p w:rsidR="00F9760A" w:rsidRPr="006F4DB3" w:rsidRDefault="00F9760A" w:rsidP="00F9760A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Poglavlje 5. Strukturne reforme - 5.1. Ključne prepreke konkurentnosti i inkluzivnom rastu i povezane reformske mjere, izazov br. 2</w:t>
            </w:r>
          </w:p>
          <w:p w:rsidR="00F9760A" w:rsidRPr="006F4DB3" w:rsidRDefault="00F9760A" w:rsidP="00F9760A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Strategija industrijske politike Crne Gore 2024 - 2028</w:t>
            </w:r>
          </w:p>
          <w:p w:rsidR="00F9760A" w:rsidRPr="006F4DB3" w:rsidRDefault="00F9760A" w:rsidP="00F9760A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Operativni cilj 1.4. - Unapređenje poslovnog ambijenta za podršku industrijskom razvoju</w:t>
            </w:r>
          </w:p>
        </w:tc>
        <w:tc>
          <w:tcPr>
            <w:tcW w:w="7345" w:type="dxa"/>
            <w:tcMar>
              <w:top w:w="57" w:type="dxa"/>
              <w:bottom w:w="57" w:type="dxa"/>
            </w:tcMar>
          </w:tcPr>
          <w:p w:rsidR="00CD2473" w:rsidRPr="006F4DB3" w:rsidRDefault="00CD2473" w:rsidP="00CD2473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lastRenderedPageBreak/>
              <w:t>Javni konkurs za projekte i programe nevladinih organizacija u 2025. godini kroz finansiranje i realizaciju projektnih aktivnosti, doprinijeće:</w:t>
            </w:r>
          </w:p>
          <w:p w:rsidR="009632DD" w:rsidRPr="006F4DB3" w:rsidRDefault="00293A0E" w:rsidP="00293A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Analiza razvojnih potencijala lokalnih samouprava uz predlog smjernica za njihovo bolje i optimalno korišćenje biće dobra osnova resoru u pravcu unapređenja aktivnosti regionalnog razvoja. Ova aktivnost direktno će uticati na kreiranje podrške loklanim samoupravama sa ciljem jačanja njihovog razvoja, osmišljavanje novih modela koji će unaprijediti lokalnu konkurentnost</w:t>
            </w:r>
            <w:r w:rsidR="00FD30CD">
              <w:rPr>
                <w:rFonts w:ascii="Arial" w:hAnsi="Arial" w:cs="Arial"/>
                <w:szCs w:val="20"/>
                <w:lang w:val="sr-Latn-RS"/>
              </w:rPr>
              <w:t>.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Ukupno, jačanje održivog, pametnog </w:t>
            </w:r>
            <w:r w:rsidR="00FD30CD">
              <w:rPr>
                <w:rFonts w:ascii="Arial" w:hAnsi="Arial" w:cs="Arial"/>
                <w:szCs w:val="20"/>
                <w:lang w:val="sr-Latn-RS"/>
              </w:rPr>
              <w:t>i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inkluzivnog rasta, doprinosi v</w:t>
            </w:r>
            <w:r w:rsidR="007D633C" w:rsidRPr="006F4DB3">
              <w:rPr>
                <w:rFonts w:ascii="Arial" w:hAnsi="Arial" w:cs="Arial"/>
                <w:szCs w:val="20"/>
                <w:lang w:val="sr-Latn-RS"/>
              </w:rPr>
              <w:t>i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ziji Strategije regionalnog razvoja - </w:t>
            </w:r>
            <w:r w:rsidRPr="006F4DB3">
              <w:rPr>
                <w:rFonts w:ascii="Arial" w:hAnsi="Arial" w:cs="Arial"/>
                <w:bCs/>
                <w:szCs w:val="20"/>
                <w:lang w:val="sr-Latn-RS"/>
              </w:rPr>
              <w:t>Ravnomjerniji regionalni razvoj za život po mjeri čovjeka, zasnovan na konkurentnosti, inovativnosti, unaprjeđenju ljudskog kapitala, digitalizaciji, dekarbonizaciji i socijalnoj inkluziji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. Politika regionalnog razvoja bazirana na patricipativnom pristupu upravo znači najviše fokus na lokalni nivo, što je na liniji predmetne aktivnosti. </w:t>
            </w:r>
          </w:p>
          <w:p w:rsidR="00293A0E" w:rsidRPr="006F4DB3" w:rsidRDefault="00293A0E" w:rsidP="00293A0E">
            <w:pPr>
              <w:ind w:left="360"/>
              <w:rPr>
                <w:rFonts w:ascii="Arial" w:hAnsi="Arial" w:cs="Arial"/>
                <w:lang w:val="sr-Latn-RS"/>
              </w:rPr>
            </w:pPr>
          </w:p>
          <w:p w:rsidR="00CD2473" w:rsidRPr="006F4DB3" w:rsidRDefault="00CD2473" w:rsidP="00CD24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</w:t>
            </w:r>
            <w:r w:rsidR="004B5AE9" w:rsidRPr="006F4DB3">
              <w:rPr>
                <w:rFonts w:ascii="Arial" w:hAnsi="Arial" w:cs="Arial"/>
                <w:szCs w:val="20"/>
                <w:lang w:val="sr-Latn-RS"/>
              </w:rPr>
              <w:t>oboljšanj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u</w:t>
            </w:r>
            <w:r w:rsidR="004B5AE9" w:rsidRPr="006F4DB3">
              <w:rPr>
                <w:rFonts w:ascii="Arial" w:hAnsi="Arial" w:cs="Arial"/>
                <w:szCs w:val="20"/>
                <w:lang w:val="sr-Latn-RS"/>
              </w:rPr>
              <w:t xml:space="preserve"> konkurentnosti i optimizacij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i</w:t>
            </w:r>
            <w:r w:rsidR="004B5AE9" w:rsidRPr="006F4DB3">
              <w:rPr>
                <w:rFonts w:ascii="Arial" w:hAnsi="Arial" w:cs="Arial"/>
                <w:szCs w:val="20"/>
                <w:lang w:val="sr-Latn-RS"/>
              </w:rPr>
              <w:t xml:space="preserve"> administrativnog opterećenja; </w:t>
            </w:r>
          </w:p>
          <w:p w:rsidR="00CD2473" w:rsidRPr="006F4DB3" w:rsidRDefault="00CD2473" w:rsidP="00CD2473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CD2473" w:rsidRPr="006F4DB3" w:rsidRDefault="004B5AE9" w:rsidP="00CD24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izgradnj</w:t>
            </w:r>
            <w:r w:rsidR="00CD2473" w:rsidRPr="006F4DB3">
              <w:rPr>
                <w:rFonts w:ascii="Arial" w:hAnsi="Arial" w:cs="Arial"/>
                <w:szCs w:val="20"/>
                <w:lang w:val="sr-Latn-RS"/>
              </w:rPr>
              <w:t>i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efikasnijeg i konkurentnijeg okvira za lokalne samouprave</w:t>
            </w:r>
            <w:r w:rsidR="00CD2473" w:rsidRPr="006F4DB3">
              <w:rPr>
                <w:rFonts w:ascii="Arial" w:hAnsi="Arial" w:cs="Arial"/>
                <w:szCs w:val="20"/>
                <w:lang w:val="sr-Latn-RS"/>
              </w:rPr>
              <w:t>;</w:t>
            </w:r>
          </w:p>
          <w:p w:rsidR="00CD2473" w:rsidRPr="006F4DB3" w:rsidRDefault="00CD2473" w:rsidP="00CD2473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370754" w:rsidRPr="006F4DB3" w:rsidRDefault="004B5AE9" w:rsidP="00CD24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t>preciz</w:t>
            </w:r>
            <w:r w:rsidR="00CD2473" w:rsidRPr="006F4DB3">
              <w:rPr>
                <w:rFonts w:ascii="Arial" w:hAnsi="Arial" w:cs="Arial"/>
                <w:szCs w:val="20"/>
                <w:lang w:val="sr-Latn-RS"/>
              </w:rPr>
              <w:t>niji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 xml:space="preserve"> poda</w:t>
            </w:r>
            <w:r w:rsidR="00CD2473" w:rsidRPr="006F4DB3">
              <w:rPr>
                <w:rFonts w:ascii="Arial" w:hAnsi="Arial" w:cs="Arial"/>
                <w:szCs w:val="20"/>
                <w:lang w:val="sr-Latn-RS"/>
              </w:rPr>
              <w:t>ci</w:t>
            </w:r>
            <w:r w:rsidRPr="006F4DB3">
              <w:rPr>
                <w:rFonts w:ascii="Arial" w:hAnsi="Arial" w:cs="Arial"/>
                <w:szCs w:val="20"/>
                <w:lang w:val="sr-Latn-RS"/>
              </w:rPr>
              <w:t>, eliminacija preklapanja i usklađivanje sa zakonodavstvom</w:t>
            </w:r>
            <w:r w:rsidR="00922BAC" w:rsidRPr="006F4DB3">
              <w:rPr>
                <w:rFonts w:ascii="Arial" w:hAnsi="Arial" w:cs="Arial"/>
                <w:szCs w:val="20"/>
                <w:lang w:val="sr-Latn-RS"/>
              </w:rPr>
              <w:t>;</w:t>
            </w:r>
          </w:p>
          <w:p w:rsidR="00CD2473" w:rsidRPr="006F4DB3" w:rsidRDefault="00CD2473" w:rsidP="00CD2473">
            <w:pPr>
              <w:pStyle w:val="ListParagraph"/>
              <w:rPr>
                <w:rFonts w:ascii="Arial" w:hAnsi="Arial" w:cs="Arial"/>
                <w:szCs w:val="20"/>
                <w:lang w:val="sr-Latn-RS"/>
              </w:rPr>
            </w:pPr>
          </w:p>
          <w:p w:rsidR="00CD2473" w:rsidRPr="006F4DB3" w:rsidRDefault="00CD2473" w:rsidP="00CD247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  <w:lang w:val="sr-Latn-RS"/>
              </w:rPr>
            </w:pPr>
            <w:r w:rsidRPr="006F4DB3">
              <w:rPr>
                <w:rFonts w:ascii="Arial" w:hAnsi="Arial" w:cs="Arial"/>
                <w:szCs w:val="20"/>
                <w:lang w:val="sr-Latn-RS"/>
              </w:rPr>
              <w:lastRenderedPageBreak/>
              <w:t>adekvatan izvještaj sa svim ključnim nalazima analize, uključujući podatke o zakonodavnoj usklađenosti, tačnosti podataka, kao i preklapanju.</w:t>
            </w:r>
          </w:p>
          <w:p w:rsidR="00CD2473" w:rsidRPr="006F4DB3" w:rsidRDefault="00CD2473" w:rsidP="00CD2473">
            <w:pPr>
              <w:pStyle w:val="ListParagraph"/>
              <w:jc w:val="both"/>
              <w:rPr>
                <w:rFonts w:ascii="Arial" w:hAnsi="Arial" w:cs="Arial"/>
                <w:szCs w:val="20"/>
                <w:lang w:val="sr-Latn-RS"/>
              </w:rPr>
            </w:pPr>
          </w:p>
          <w:p w:rsidR="00810076" w:rsidRPr="006F4DB3" w:rsidRDefault="00810076" w:rsidP="000A502D">
            <w:pPr>
              <w:rPr>
                <w:rFonts w:eastAsia="Times New Roman"/>
                <w:lang w:val="sr-Latn-RS"/>
              </w:rPr>
            </w:pPr>
          </w:p>
        </w:tc>
      </w:tr>
    </w:tbl>
    <w:p w:rsidR="00370754" w:rsidRPr="006F4DB3" w:rsidRDefault="00E83D20" w:rsidP="00370754">
      <w:pPr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lastRenderedPageBreak/>
        <w:t xml:space="preserve"> </w:t>
      </w:r>
    </w:p>
    <w:p w:rsidR="00370754" w:rsidRPr="006F4DB3" w:rsidRDefault="00370754" w:rsidP="00ED7458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lang w:val="sr-Latn-RS"/>
        </w:rPr>
      </w:pPr>
      <w:r w:rsidRPr="006F4DB3">
        <w:rPr>
          <w:rFonts w:ascii="Arial" w:hAnsi="Arial" w:cs="Arial"/>
          <w:b/>
          <w:lang w:val="sr-Latn-RS"/>
        </w:rPr>
        <w:t>JAVNI KONKURSI ZA FINANSIRANJE PROJEKATA I PROGRAMA NVO - DOPRINOS OSTVARENJU STRATEŠKIH CILJEVA IZ SEKTORSKE NADLEŽNOSTI MINISTARSTVA</w:t>
      </w:r>
    </w:p>
    <w:p w:rsidR="00370754" w:rsidRPr="006F4DB3" w:rsidRDefault="007A0248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4.1.</w:t>
      </w:r>
      <w:r w:rsidR="00370754" w:rsidRPr="006F4DB3">
        <w:rPr>
          <w:rFonts w:ascii="Arial" w:hAnsi="Arial" w:cs="Arial"/>
          <w:lang w:val="sr-Latn-RS"/>
        </w:rPr>
        <w:t xml:space="preserve">Navesti javne konkurse koji se predlažu za objavljivanje u </w:t>
      </w:r>
      <w:r w:rsidR="00BB506C" w:rsidRPr="006F4DB3">
        <w:rPr>
          <w:rFonts w:ascii="Arial" w:hAnsi="Arial" w:cs="Arial"/>
          <w:u w:val="single"/>
          <w:lang w:val="sr-Latn-RS"/>
        </w:rPr>
        <w:t>2025.</w:t>
      </w:r>
      <w:r w:rsidR="00816114" w:rsidRPr="006F4DB3">
        <w:rPr>
          <w:rFonts w:ascii="Arial" w:hAnsi="Arial" w:cs="Arial"/>
          <w:lang w:val="sr-Latn-RS"/>
        </w:rPr>
        <w:t xml:space="preserve"> </w:t>
      </w:r>
      <w:r w:rsidR="00370754" w:rsidRPr="006F4DB3">
        <w:rPr>
          <w:rFonts w:ascii="Arial" w:hAnsi="Arial" w:cs="Arial"/>
          <w:lang w:val="sr-Latn-RS"/>
        </w:rPr>
        <w:t>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14229" w:type="dxa"/>
        <w:tblInd w:w="792" w:type="dxa"/>
        <w:tblLook w:val="04A0" w:firstRow="1" w:lastRow="0" w:firstColumn="1" w:lastColumn="0" w:noHBand="0" w:noVBand="1"/>
      </w:tblPr>
      <w:tblGrid>
        <w:gridCol w:w="6132"/>
        <w:gridCol w:w="1889"/>
        <w:gridCol w:w="6208"/>
      </w:tblGrid>
      <w:tr w:rsidR="00370754" w:rsidRPr="006F4DB3" w:rsidTr="006D22B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Naziv javnog konkursa </w:t>
            </w:r>
          </w:p>
        </w:tc>
        <w:tc>
          <w:tcPr>
            <w:tcW w:w="1889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Iznos</w:t>
            </w:r>
          </w:p>
        </w:tc>
        <w:tc>
          <w:tcPr>
            <w:tcW w:w="620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Drugi donatori s kojima je potrebno koordinirati oblasti finansiranja</w:t>
            </w:r>
          </w:p>
        </w:tc>
      </w:tr>
      <w:tr w:rsidR="00370754" w:rsidRPr="006F4DB3" w:rsidTr="006D22B2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6F4DB3" w:rsidRDefault="0024788C" w:rsidP="000A502D">
            <w:pPr>
              <w:rPr>
                <w:rFonts w:ascii="Arial" w:hAnsi="Arial" w:cs="Arial"/>
                <w:color w:val="FF0000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„Korak ka </w:t>
            </w:r>
            <w:r w:rsidR="008D5844" w:rsidRPr="006F4DB3">
              <w:rPr>
                <w:rFonts w:ascii="Arial" w:hAnsi="Arial" w:cs="Arial"/>
                <w:lang w:val="sr-Latn-RS"/>
              </w:rPr>
              <w:t xml:space="preserve">lokalnom ekonomskom </w:t>
            </w:r>
            <w:r w:rsidRPr="006F4DB3">
              <w:rPr>
                <w:rFonts w:ascii="Arial" w:hAnsi="Arial" w:cs="Arial"/>
                <w:lang w:val="sr-Latn-RS"/>
              </w:rPr>
              <w:t>razvoju”</w:t>
            </w:r>
          </w:p>
        </w:tc>
        <w:tc>
          <w:tcPr>
            <w:tcW w:w="188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F4DB3" w:rsidRDefault="00F9760A" w:rsidP="000A502D">
            <w:pPr>
              <w:rPr>
                <w:rFonts w:ascii="Arial" w:hAnsi="Arial" w:cs="Arial"/>
                <w:color w:val="FF0000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150.000,00€</w:t>
            </w:r>
          </w:p>
        </w:tc>
        <w:tc>
          <w:tcPr>
            <w:tcW w:w="6208" w:type="dxa"/>
            <w:tcBorders>
              <w:left w:val="single" w:sz="2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370754" w:rsidRPr="006F4DB3" w:rsidRDefault="00370754" w:rsidP="00370754">
      <w:pPr>
        <w:rPr>
          <w:rFonts w:ascii="Arial" w:hAnsi="Arial" w:cs="Arial"/>
          <w:lang w:val="sr-Latn-RS"/>
        </w:rPr>
      </w:pPr>
    </w:p>
    <w:p w:rsidR="00370754" w:rsidRPr="006F4DB3" w:rsidRDefault="007A0248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4.2.</w:t>
      </w:r>
      <w:r w:rsidR="00370754" w:rsidRPr="006F4DB3">
        <w:rPr>
          <w:rFonts w:ascii="Arial" w:hAnsi="Arial" w:cs="Arial"/>
          <w:lang w:val="sr-Latn-RS"/>
        </w:rPr>
        <w:t>Navesti ko su predviđeni glavni korisnici projekata i programa koji će se finansirati putem javnog konkursa. Ukratko navesti glavna obilježja svake grupe korisnika, njihov broj i njihove potrebe na koje projekti i programi treba da odgovore u</w:t>
      </w:r>
      <w:r w:rsidR="00370754" w:rsidRPr="006F4DB3">
        <w:rPr>
          <w:rFonts w:ascii="Arial" w:hAnsi="Arial" w:cs="Arial"/>
          <w:u w:val="single"/>
          <w:lang w:val="sr-Latn-RS"/>
        </w:rPr>
        <w:t xml:space="preserve"> </w:t>
      </w:r>
      <w:r w:rsidR="00BB506C" w:rsidRPr="006F4DB3">
        <w:rPr>
          <w:rFonts w:ascii="Arial" w:hAnsi="Arial" w:cs="Arial"/>
          <w:u w:val="single"/>
          <w:lang w:val="sr-Latn-RS"/>
        </w:rPr>
        <w:t>2025</w:t>
      </w:r>
      <w:r w:rsidR="00BB506C" w:rsidRPr="006F4DB3">
        <w:rPr>
          <w:rFonts w:ascii="Arial" w:hAnsi="Arial" w:cs="Arial"/>
          <w:lang w:val="sr-Latn-RS"/>
        </w:rPr>
        <w:t>.</w:t>
      </w:r>
      <w:r w:rsidR="00816114" w:rsidRPr="006F4DB3">
        <w:rPr>
          <w:rFonts w:ascii="Arial" w:hAnsi="Arial" w:cs="Arial"/>
          <w:lang w:val="sr-Latn-RS"/>
        </w:rPr>
        <w:t xml:space="preserve"> </w:t>
      </w:r>
      <w:r w:rsidR="00370754" w:rsidRPr="006F4DB3">
        <w:rPr>
          <w:rFonts w:ascii="Arial" w:hAnsi="Arial" w:cs="Arial"/>
          <w:lang w:val="sr-Latn-RS"/>
        </w:rPr>
        <w:t>godini.</w:t>
      </w:r>
    </w:p>
    <w:tbl>
      <w:tblPr>
        <w:tblStyle w:val="TableGrid"/>
        <w:tblW w:w="14229" w:type="dxa"/>
        <w:tblInd w:w="792" w:type="dxa"/>
        <w:tblLook w:val="04A0" w:firstRow="1" w:lastRow="0" w:firstColumn="1" w:lastColumn="0" w:noHBand="0" w:noVBand="1"/>
      </w:tblPr>
      <w:tblGrid>
        <w:gridCol w:w="14229"/>
      </w:tblGrid>
      <w:tr w:rsidR="00370754" w:rsidRPr="006F4DB3" w:rsidTr="006D22B2">
        <w:tc>
          <w:tcPr>
            <w:tcW w:w="1422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Opis glavnih grupa korisnika, njihov broj i potrebe</w:t>
            </w:r>
          </w:p>
        </w:tc>
      </w:tr>
      <w:tr w:rsidR="00370754" w:rsidRPr="006F4DB3" w:rsidTr="006D22B2">
        <w:tc>
          <w:tcPr>
            <w:tcW w:w="14229" w:type="dxa"/>
            <w:tcMar>
              <w:top w:w="57" w:type="dxa"/>
              <w:bottom w:w="57" w:type="dxa"/>
            </w:tcMar>
          </w:tcPr>
          <w:p w:rsidR="00370754" w:rsidRPr="006F4DB3" w:rsidRDefault="000835F8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Korisnici ovog projekta su </w:t>
            </w:r>
            <w:r w:rsidR="008D5844" w:rsidRPr="006F4DB3">
              <w:rPr>
                <w:rFonts w:ascii="Arial" w:hAnsi="Arial" w:cs="Arial"/>
                <w:lang w:val="sr-Latn-RS"/>
              </w:rPr>
              <w:t>primarno lokalne samouprave</w:t>
            </w:r>
            <w:r w:rsidR="00703BEA">
              <w:rPr>
                <w:rFonts w:ascii="Arial" w:hAnsi="Arial" w:cs="Arial"/>
                <w:lang w:val="sr-Latn-RS"/>
              </w:rPr>
              <w:t xml:space="preserve"> (25)</w:t>
            </w:r>
            <w:r w:rsidR="008D5844" w:rsidRPr="006F4DB3">
              <w:rPr>
                <w:rFonts w:ascii="Arial" w:hAnsi="Arial" w:cs="Arial"/>
                <w:lang w:val="sr-Latn-RS"/>
              </w:rPr>
              <w:t>, odnosno sve interesne grupe na lokalnom nivou</w:t>
            </w:r>
            <w:r w:rsidR="00703BEA">
              <w:rPr>
                <w:rFonts w:ascii="Arial" w:hAnsi="Arial" w:cs="Arial"/>
                <w:lang w:val="sr-Latn-RS"/>
              </w:rPr>
              <w:t xml:space="preserve"> - </w:t>
            </w:r>
            <w:r w:rsidR="008D5844" w:rsidRPr="006F4DB3">
              <w:rPr>
                <w:rFonts w:ascii="Arial" w:hAnsi="Arial" w:cs="Arial"/>
                <w:lang w:val="sr-Latn-RS"/>
              </w:rPr>
              <w:t xml:space="preserve"> </w:t>
            </w:r>
            <w:r w:rsidRPr="006F4DB3">
              <w:rPr>
                <w:rFonts w:ascii="Arial" w:hAnsi="Arial" w:cs="Arial"/>
                <w:lang w:val="sr-Latn-RS"/>
              </w:rPr>
              <w:t>preduzetnici i građani</w:t>
            </w:r>
            <w:r w:rsidR="00703BEA">
              <w:rPr>
                <w:rFonts w:ascii="Arial" w:hAnsi="Arial" w:cs="Arial"/>
                <w:lang w:val="sr-Latn-RS"/>
              </w:rPr>
              <w:t>, posebno građani sjeverne regije (minimum 20% stanovnika svake opštine)</w:t>
            </w:r>
            <w:r w:rsidR="00323D8A" w:rsidRPr="006F4DB3">
              <w:rPr>
                <w:rFonts w:ascii="Arial" w:hAnsi="Arial" w:cs="Arial"/>
                <w:lang w:val="sr-Latn-RS"/>
              </w:rPr>
              <w:t xml:space="preserve">, </w:t>
            </w:r>
            <w:r w:rsidR="008D5844" w:rsidRPr="006F4DB3">
              <w:rPr>
                <w:rFonts w:ascii="Arial" w:hAnsi="Arial" w:cs="Arial"/>
                <w:lang w:val="sr-Latn-RS"/>
              </w:rPr>
              <w:t xml:space="preserve">kreatori politika na lokalnom i državnom nivou, </w:t>
            </w:r>
            <w:r w:rsidR="00323D8A" w:rsidRPr="006F4DB3">
              <w:rPr>
                <w:rFonts w:ascii="Arial" w:hAnsi="Arial" w:cs="Arial"/>
                <w:lang w:val="sr-Latn-RS"/>
              </w:rPr>
              <w:t>poreske i fiskalne institucije</w:t>
            </w:r>
            <w:r w:rsidRPr="006F4DB3">
              <w:rPr>
                <w:rFonts w:ascii="Arial" w:hAnsi="Arial" w:cs="Arial"/>
                <w:lang w:val="sr-Latn-RS"/>
              </w:rPr>
              <w:t xml:space="preserve"> koji će imati</w:t>
            </w:r>
            <w:r w:rsidR="008D5844" w:rsidRPr="006F4DB3">
              <w:rPr>
                <w:rFonts w:ascii="Arial" w:hAnsi="Arial" w:cs="Arial"/>
                <w:lang w:val="sr-Latn-RS"/>
              </w:rPr>
              <w:t xml:space="preserve"> </w:t>
            </w:r>
            <w:r w:rsidRPr="006F4DB3">
              <w:rPr>
                <w:rFonts w:ascii="Arial" w:hAnsi="Arial" w:cs="Arial"/>
                <w:lang w:val="sr-Latn-RS"/>
              </w:rPr>
              <w:t>bolj</w:t>
            </w:r>
            <w:r w:rsidR="008D5844" w:rsidRPr="006F4DB3">
              <w:rPr>
                <w:rFonts w:ascii="Arial" w:hAnsi="Arial" w:cs="Arial"/>
                <w:lang w:val="sr-Latn-RS"/>
              </w:rPr>
              <w:t>i</w:t>
            </w:r>
            <w:r w:rsidRPr="006F4DB3">
              <w:rPr>
                <w:rFonts w:ascii="Arial" w:hAnsi="Arial" w:cs="Arial"/>
                <w:lang w:val="sr-Latn-RS"/>
              </w:rPr>
              <w:t xml:space="preserve"> i efikasnij</w:t>
            </w:r>
            <w:r w:rsidR="00F9760A" w:rsidRPr="006F4DB3">
              <w:rPr>
                <w:rFonts w:ascii="Arial" w:hAnsi="Arial" w:cs="Arial"/>
                <w:lang w:val="sr-Latn-RS"/>
              </w:rPr>
              <w:t>i</w:t>
            </w:r>
            <w:r w:rsidRPr="006F4DB3">
              <w:rPr>
                <w:rFonts w:ascii="Arial" w:hAnsi="Arial" w:cs="Arial"/>
                <w:lang w:val="sr-Latn-RS"/>
              </w:rPr>
              <w:t xml:space="preserve"> sistem, smanjenog administrativnog opterećenja i većeg fiskalnog usklađivanja.</w:t>
            </w:r>
          </w:p>
        </w:tc>
      </w:tr>
    </w:tbl>
    <w:p w:rsidR="00370754" w:rsidRPr="006F4DB3" w:rsidRDefault="00370754" w:rsidP="00AD29CE">
      <w:pPr>
        <w:rPr>
          <w:rFonts w:ascii="Arial" w:hAnsi="Arial" w:cs="Arial"/>
          <w:lang w:val="sr-Latn-RS"/>
        </w:rPr>
      </w:pPr>
    </w:p>
    <w:p w:rsidR="00370754" w:rsidRPr="006F4DB3" w:rsidRDefault="007A0248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4.3.</w:t>
      </w:r>
      <w:r w:rsidR="00370754" w:rsidRPr="006F4DB3">
        <w:rPr>
          <w:rFonts w:ascii="Arial" w:hAnsi="Arial" w:cs="Arial"/>
          <w:lang w:val="sr-Latn-RS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14229" w:type="dxa"/>
        <w:tblInd w:w="792" w:type="dxa"/>
        <w:tblLook w:val="04A0" w:firstRow="1" w:lastRow="0" w:firstColumn="1" w:lastColumn="0" w:noHBand="0" w:noVBand="1"/>
      </w:tblPr>
      <w:tblGrid>
        <w:gridCol w:w="6884"/>
        <w:gridCol w:w="7345"/>
      </w:tblGrid>
      <w:tr w:rsidR="00370754" w:rsidRPr="006F4DB3" w:rsidTr="006D22B2">
        <w:tc>
          <w:tcPr>
            <w:tcW w:w="14229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lastRenderedPageBreak/>
              <w:t>Očekivani broj projekata koji se planira finansirati / broj ugovora koje se planira zaključiti s NVO</w:t>
            </w:r>
          </w:p>
        </w:tc>
      </w:tr>
      <w:tr w:rsidR="00370754" w:rsidRPr="006F4DB3" w:rsidTr="006D22B2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Naziv javnog konkursa</w:t>
            </w:r>
            <w:r w:rsidR="00F657FC" w:rsidRPr="006F4DB3">
              <w:rPr>
                <w:rFonts w:ascii="Arial" w:hAnsi="Arial" w:cs="Arial"/>
                <w:lang w:val="sr-Latn-RS"/>
              </w:rPr>
              <w:t>: „Korak ka lokalnom ekonomskom razvoju”</w:t>
            </w:r>
          </w:p>
        </w:tc>
        <w:tc>
          <w:tcPr>
            <w:tcW w:w="7345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6F4DB3" w:rsidRDefault="00F9760A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Broj planiranih projekata koji se planira finansirati, odnosno broj ugovora koji se planira zaključiti je osam (8)</w:t>
            </w:r>
          </w:p>
        </w:tc>
      </w:tr>
    </w:tbl>
    <w:p w:rsidR="00370754" w:rsidRPr="006F4DB3" w:rsidRDefault="00370754" w:rsidP="00370754">
      <w:pPr>
        <w:rPr>
          <w:rFonts w:ascii="Arial" w:hAnsi="Arial" w:cs="Arial"/>
          <w:lang w:val="sr-Latn-RS"/>
        </w:rPr>
      </w:pPr>
    </w:p>
    <w:p w:rsidR="00370754" w:rsidRPr="006F4DB3" w:rsidRDefault="007A0248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4.4.</w:t>
      </w:r>
      <w:r w:rsidR="00370754" w:rsidRPr="006F4DB3">
        <w:rPr>
          <w:rFonts w:ascii="Arial" w:hAnsi="Arial" w:cs="Arial"/>
          <w:lang w:val="sr-Latn-RS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14229" w:type="dxa"/>
        <w:tblInd w:w="792" w:type="dxa"/>
        <w:tblLook w:val="04A0" w:firstRow="1" w:lastRow="0" w:firstColumn="1" w:lastColumn="0" w:noHBand="0" w:noVBand="1"/>
      </w:tblPr>
      <w:tblGrid>
        <w:gridCol w:w="6876"/>
        <w:gridCol w:w="7353"/>
      </w:tblGrid>
      <w:tr w:rsidR="00370754" w:rsidRPr="006F4DB3" w:rsidTr="006D22B2">
        <w:trPr>
          <w:trHeight w:val="372"/>
        </w:trPr>
        <w:tc>
          <w:tcPr>
            <w:tcW w:w="14229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Naziv javnog konkursa:</w:t>
            </w:r>
          </w:p>
        </w:tc>
      </w:tr>
      <w:tr w:rsidR="00370754" w:rsidRPr="006F4DB3" w:rsidTr="006D22B2">
        <w:tc>
          <w:tcPr>
            <w:tcW w:w="6876" w:type="dxa"/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Najniži iznos finansijske podrške koju će biti moguće ostvariti na osnovu javnog konkursa: </w:t>
            </w:r>
            <w:r w:rsidR="00F657FC" w:rsidRPr="006F4DB3">
              <w:rPr>
                <w:rFonts w:ascii="Arial" w:hAnsi="Arial" w:cs="Arial"/>
                <w:lang w:val="sr-Latn-RS"/>
              </w:rPr>
              <w:t>15.000,00</w:t>
            </w:r>
            <w:r w:rsidRPr="006F4DB3">
              <w:rPr>
                <w:rFonts w:ascii="Arial" w:hAnsi="Arial" w:cs="Arial"/>
                <w:lang w:val="sr-Latn-RS"/>
              </w:rPr>
              <w:t xml:space="preserve"> EURA</w:t>
            </w:r>
          </w:p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7353" w:type="dxa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Najviši iznos finansijske podrške koju će biti moguće ostvariti na osnovu javnog konkursa: </w:t>
            </w:r>
            <w:r w:rsidR="00F657FC" w:rsidRPr="006F4DB3">
              <w:rPr>
                <w:rFonts w:ascii="Arial" w:hAnsi="Arial" w:cs="Arial"/>
                <w:lang w:val="sr-Latn-RS"/>
              </w:rPr>
              <w:t>25.000,00</w:t>
            </w:r>
            <w:r w:rsidRPr="006F4DB3">
              <w:rPr>
                <w:rFonts w:ascii="Arial" w:hAnsi="Arial" w:cs="Arial"/>
                <w:lang w:val="sr-Latn-RS"/>
              </w:rPr>
              <w:t xml:space="preserve"> EURA</w:t>
            </w:r>
          </w:p>
        </w:tc>
      </w:tr>
    </w:tbl>
    <w:p w:rsidR="00370754" w:rsidRPr="006F4DB3" w:rsidRDefault="00370754" w:rsidP="00370754">
      <w:pPr>
        <w:rPr>
          <w:rFonts w:ascii="Arial" w:hAnsi="Arial" w:cs="Arial"/>
          <w:lang w:val="sr-Latn-RS"/>
        </w:rPr>
      </w:pPr>
    </w:p>
    <w:p w:rsidR="003D1FB1" w:rsidRPr="006F4DB3" w:rsidRDefault="00370754" w:rsidP="00AD29CE">
      <w:pPr>
        <w:rPr>
          <w:rFonts w:ascii="Arial" w:hAnsi="Arial" w:cs="Arial"/>
          <w:b/>
          <w:i/>
          <w:lang w:val="sr-Latn-RS"/>
        </w:rPr>
      </w:pPr>
      <w:r w:rsidRPr="006F4DB3">
        <w:rPr>
          <w:rFonts w:ascii="Arial" w:hAnsi="Arial" w:cs="Arial"/>
          <w:b/>
          <w:lang w:val="sr-Latn-RS"/>
        </w:rPr>
        <w:t>NAPOMENA:</w:t>
      </w:r>
      <w:r w:rsidRPr="006F4DB3">
        <w:rPr>
          <w:rFonts w:ascii="Arial" w:hAnsi="Arial" w:cs="Arial"/>
          <w:lang w:val="sr-Latn-RS"/>
        </w:rPr>
        <w:t xml:space="preserve"> stavom 4 člana 32ž Zakona o NVO, definisano je: </w:t>
      </w:r>
      <w:r w:rsidRPr="006F4DB3">
        <w:rPr>
          <w:rFonts w:ascii="Arial" w:hAnsi="Arial" w:cs="Arial"/>
          <w:b/>
          <w:i/>
          <w:lang w:val="sr-Latn-RS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4B76A4" w:rsidRPr="006F4DB3" w:rsidRDefault="004B76A4" w:rsidP="00AD29CE">
      <w:pPr>
        <w:rPr>
          <w:rFonts w:ascii="Arial" w:hAnsi="Arial" w:cs="Arial"/>
          <w:b/>
          <w:i/>
          <w:lang w:val="sr-Latn-RS"/>
        </w:rPr>
      </w:pPr>
    </w:p>
    <w:p w:rsidR="00370754" w:rsidRPr="006F4DB3" w:rsidRDefault="00370754" w:rsidP="00ED7458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lang w:val="sr-Latn-RS"/>
        </w:rPr>
      </w:pPr>
      <w:r w:rsidRPr="006F4DB3">
        <w:rPr>
          <w:rFonts w:ascii="Arial" w:hAnsi="Arial" w:cs="Arial"/>
          <w:b/>
          <w:lang w:val="sr-Latn-RS"/>
        </w:rPr>
        <w:t>KONSULTACIJE SA ZAIN</w:t>
      </w:r>
      <w:r w:rsidR="006A2698" w:rsidRPr="006F4DB3">
        <w:rPr>
          <w:rFonts w:ascii="Arial" w:hAnsi="Arial" w:cs="Arial"/>
          <w:b/>
          <w:lang w:val="sr-Latn-RS"/>
        </w:rPr>
        <w:t>TERESOVANIM NEVLADINIM ORGANIZA</w:t>
      </w:r>
      <w:r w:rsidRPr="006F4DB3">
        <w:rPr>
          <w:rFonts w:ascii="Arial" w:hAnsi="Arial" w:cs="Arial"/>
          <w:b/>
          <w:lang w:val="sr-Latn-RS"/>
        </w:rPr>
        <w:t>C</w:t>
      </w:r>
      <w:r w:rsidR="006A2698" w:rsidRPr="006F4DB3">
        <w:rPr>
          <w:rFonts w:ascii="Arial" w:hAnsi="Arial" w:cs="Arial"/>
          <w:b/>
          <w:lang w:val="sr-Latn-RS"/>
        </w:rPr>
        <w:t>I</w:t>
      </w:r>
      <w:r w:rsidRPr="006F4DB3">
        <w:rPr>
          <w:rFonts w:ascii="Arial" w:hAnsi="Arial" w:cs="Arial"/>
          <w:b/>
          <w:lang w:val="sr-Latn-RS"/>
        </w:rPr>
        <w:t>JAMA</w:t>
      </w:r>
    </w:p>
    <w:p w:rsidR="00370754" w:rsidRPr="006F4DB3" w:rsidRDefault="007A0248" w:rsidP="00AD29CE">
      <w:pPr>
        <w:pStyle w:val="ListParagraph"/>
        <w:jc w:val="bot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 xml:space="preserve">5.1. </w:t>
      </w:r>
      <w:r w:rsidR="00370754" w:rsidRPr="006F4DB3">
        <w:rPr>
          <w:rFonts w:ascii="Arial" w:hAnsi="Arial" w:cs="Arial"/>
          <w:lang w:val="sr-Latn-RS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14229" w:type="dxa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5065"/>
      </w:tblGrid>
      <w:tr w:rsidR="00370754" w:rsidRPr="006F4DB3" w:rsidTr="006D22B2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Datumi sprovedenih konsultacija</w:t>
            </w:r>
          </w:p>
        </w:tc>
        <w:tc>
          <w:tcPr>
            <w:tcW w:w="5065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Naziv  NVO koje su učestvovale u konsultacijama</w:t>
            </w:r>
          </w:p>
        </w:tc>
      </w:tr>
      <w:tr w:rsidR="00370754" w:rsidRPr="006F4DB3" w:rsidTr="006D22B2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5065" w:type="dxa"/>
            <w:tcBorders>
              <w:left w:val="single" w:sz="2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</w:tr>
      <w:tr w:rsidR="00AF3564" w:rsidRPr="006F4DB3" w:rsidTr="006D22B2">
        <w:tc>
          <w:tcPr>
            <w:tcW w:w="4582" w:type="dxa"/>
            <w:tcMar>
              <w:top w:w="57" w:type="dxa"/>
              <w:bottom w:w="57" w:type="dxa"/>
            </w:tcMar>
          </w:tcPr>
          <w:p w:rsidR="00AF3564" w:rsidRPr="006F4DB3" w:rsidRDefault="00AF356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AF3564" w:rsidRPr="006F4DB3" w:rsidRDefault="00AF356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5065" w:type="dxa"/>
            <w:tcBorders>
              <w:left w:val="single" w:sz="2" w:space="0" w:color="auto"/>
            </w:tcBorders>
          </w:tcPr>
          <w:p w:rsidR="00AF3564" w:rsidRPr="006F4DB3" w:rsidRDefault="00AF3564" w:rsidP="000A502D">
            <w:pPr>
              <w:rPr>
                <w:rFonts w:ascii="Arial" w:hAnsi="Arial" w:cs="Arial"/>
                <w:lang w:val="sr-Latn-RS"/>
              </w:rPr>
            </w:pPr>
          </w:p>
        </w:tc>
      </w:tr>
      <w:tr w:rsidR="00370754" w:rsidRPr="006F4DB3" w:rsidTr="006D22B2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5065" w:type="dxa"/>
            <w:tcBorders>
              <w:left w:val="single" w:sz="2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</w:tr>
      <w:tr w:rsidR="00370754" w:rsidRPr="006F4DB3" w:rsidTr="006D22B2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5065" w:type="dxa"/>
            <w:tcBorders>
              <w:left w:val="single" w:sz="2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1822F4" w:rsidRPr="006F4DB3" w:rsidRDefault="001822F4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370754" w:rsidRPr="006F4DB3" w:rsidRDefault="00370754" w:rsidP="00ED7458">
      <w:pPr>
        <w:pStyle w:val="ListParagraph"/>
        <w:numPr>
          <w:ilvl w:val="0"/>
          <w:numId w:val="12"/>
        </w:numPr>
        <w:rPr>
          <w:rFonts w:ascii="Arial" w:hAnsi="Arial" w:cs="Arial"/>
          <w:b/>
          <w:lang w:val="sr-Latn-RS"/>
        </w:rPr>
      </w:pPr>
      <w:r w:rsidRPr="006F4DB3">
        <w:rPr>
          <w:rFonts w:ascii="Arial" w:hAnsi="Arial" w:cs="Arial"/>
          <w:b/>
          <w:lang w:val="sr-Latn-RS"/>
        </w:rPr>
        <w:t>KAPACITETI ZA SPROVOĐENJE JAVNOG KONKURSA</w:t>
      </w:r>
    </w:p>
    <w:p w:rsidR="00370754" w:rsidRPr="006F4DB3" w:rsidRDefault="004B794D" w:rsidP="00370754">
      <w:pPr>
        <w:pStyle w:val="ListParagraph"/>
        <w:rPr>
          <w:rFonts w:ascii="Arial" w:hAnsi="Arial" w:cs="Arial"/>
          <w:lang w:val="sr-Latn-RS"/>
        </w:rPr>
      </w:pPr>
      <w:r w:rsidRPr="006F4DB3">
        <w:rPr>
          <w:rFonts w:ascii="Arial" w:hAnsi="Arial" w:cs="Arial"/>
          <w:lang w:val="sr-Latn-RS"/>
        </w:rPr>
        <w:t>6.1.</w:t>
      </w:r>
      <w:r w:rsidR="00370754" w:rsidRPr="006F4DB3">
        <w:rPr>
          <w:rFonts w:ascii="Arial" w:hAnsi="Arial" w:cs="Arial"/>
          <w:lang w:val="sr-Latn-RS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7723"/>
      </w:tblGrid>
      <w:tr w:rsidR="00370754" w:rsidRPr="006F4DB3" w:rsidTr="006D22B2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F4DB3" w:rsidRDefault="00370754" w:rsidP="005A2821">
            <w:pPr>
              <w:jc w:val="left"/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Broj službenika/ica zaduženih</w:t>
            </w:r>
            <w:r w:rsidR="005A2821" w:rsidRPr="006F4DB3">
              <w:rPr>
                <w:rFonts w:ascii="Arial" w:hAnsi="Arial" w:cs="Arial"/>
                <w:lang w:val="sr-Latn-RS"/>
              </w:rPr>
              <w:t xml:space="preserve"> za sprovođenje javnog konkursa </w:t>
            </w:r>
            <w:r w:rsidRPr="006F4DB3">
              <w:rPr>
                <w:rFonts w:ascii="Arial" w:hAnsi="Arial" w:cs="Arial"/>
                <w:lang w:val="sr-Latn-RS"/>
              </w:rPr>
              <w:t>i praćenje finansiranih projekata i programa nevladinih organizacija</w:t>
            </w:r>
          </w:p>
        </w:tc>
        <w:tc>
          <w:tcPr>
            <w:tcW w:w="772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F4DB3" w:rsidRDefault="005A2821" w:rsidP="005A2821">
            <w:pPr>
              <w:jc w:val="left"/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Imena </w:t>
            </w:r>
            <w:r w:rsidR="00370754" w:rsidRPr="006F4DB3">
              <w:rPr>
                <w:rFonts w:ascii="Arial" w:hAnsi="Arial" w:cs="Arial"/>
                <w:lang w:val="sr-Latn-RS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6F4DB3" w:rsidTr="006D22B2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6F4DB3" w:rsidRDefault="0032257A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lastRenderedPageBreak/>
              <w:t xml:space="preserve">„Korak ka </w:t>
            </w:r>
            <w:r w:rsidR="008D5844" w:rsidRPr="006F4DB3">
              <w:rPr>
                <w:rFonts w:ascii="Arial" w:hAnsi="Arial" w:cs="Arial"/>
                <w:lang w:val="sr-Latn-RS"/>
              </w:rPr>
              <w:t xml:space="preserve">lokalnom ekonomskom </w:t>
            </w:r>
            <w:r w:rsidRPr="006F4DB3">
              <w:rPr>
                <w:rFonts w:ascii="Arial" w:hAnsi="Arial" w:cs="Arial"/>
                <w:lang w:val="sr-Latn-RS"/>
              </w:rPr>
              <w:t>razvoju”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F4DB3" w:rsidRDefault="009330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3</w:t>
            </w:r>
          </w:p>
        </w:tc>
        <w:tc>
          <w:tcPr>
            <w:tcW w:w="7723" w:type="dxa"/>
            <w:tcBorders>
              <w:left w:val="single" w:sz="2" w:space="0" w:color="auto"/>
            </w:tcBorders>
          </w:tcPr>
          <w:p w:rsidR="00370754" w:rsidRPr="006F4DB3" w:rsidRDefault="00933054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Bojana Bukilić</w:t>
            </w:r>
          </w:p>
        </w:tc>
      </w:tr>
      <w:tr w:rsidR="00370754" w:rsidRPr="006F4DB3" w:rsidTr="006D22B2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7723" w:type="dxa"/>
            <w:tcBorders>
              <w:left w:val="single" w:sz="2" w:space="0" w:color="auto"/>
            </w:tcBorders>
          </w:tcPr>
          <w:p w:rsidR="00370754" w:rsidRPr="006F4DB3" w:rsidRDefault="0032257A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Marija Dragović</w:t>
            </w:r>
          </w:p>
        </w:tc>
      </w:tr>
      <w:tr w:rsidR="003D33D6" w:rsidRPr="006F4DB3" w:rsidTr="006D22B2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D33D6" w:rsidRPr="006F4DB3" w:rsidRDefault="003D33D6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D33D6" w:rsidRPr="006F4DB3" w:rsidRDefault="003D33D6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7723" w:type="dxa"/>
            <w:tcBorders>
              <w:left w:val="single" w:sz="2" w:space="0" w:color="auto"/>
            </w:tcBorders>
          </w:tcPr>
          <w:p w:rsidR="003D33D6" w:rsidRPr="006F4DB3" w:rsidRDefault="003D33D6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Marija Đurović</w:t>
            </w:r>
          </w:p>
        </w:tc>
      </w:tr>
    </w:tbl>
    <w:p w:rsidR="00370754" w:rsidRPr="006F4DB3" w:rsidRDefault="00370754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79207C" w:rsidRPr="006F4DB3" w:rsidRDefault="0079207C" w:rsidP="00370754">
      <w:pPr>
        <w:rPr>
          <w:rFonts w:ascii="Arial" w:hAnsi="Arial" w:cs="Arial"/>
          <w:lang w:val="sr-Latn-RS"/>
        </w:rPr>
      </w:pPr>
    </w:p>
    <w:p w:rsidR="00370754" w:rsidRPr="006F4DB3" w:rsidRDefault="00370754" w:rsidP="003D1FB1">
      <w:pPr>
        <w:jc w:val="center"/>
        <w:rPr>
          <w:rFonts w:ascii="Arial" w:hAnsi="Arial" w:cs="Arial"/>
          <w:b/>
          <w:lang w:val="sr-Latn-RS"/>
        </w:rPr>
      </w:pPr>
      <w:r w:rsidRPr="006F4DB3">
        <w:rPr>
          <w:rFonts w:ascii="Arial" w:hAnsi="Arial" w:cs="Arial"/>
          <w:b/>
          <w:lang w:val="sr-Latn-RS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6F4DB3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24788C" w:rsidRPr="006F4DB3" w:rsidRDefault="0024788C" w:rsidP="0024788C">
            <w:pPr>
              <w:spacing w:after="0"/>
              <w:rPr>
                <w:rFonts w:ascii="Arial" w:hAnsi="Arial" w:cs="Arial"/>
                <w:lang w:val="sr-Latn-RS"/>
              </w:rPr>
            </w:pPr>
          </w:p>
          <w:p w:rsidR="00370754" w:rsidRPr="006F4DB3" w:rsidRDefault="0024788C" w:rsidP="0024788C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>Ernad Suljević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</w:tr>
      <w:tr w:rsidR="00370754" w:rsidRPr="006F4DB3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6F4DB3" w:rsidRDefault="002D3C17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                    </w:t>
            </w:r>
            <w:r w:rsidR="00370754" w:rsidRPr="006F4DB3">
              <w:rPr>
                <w:rFonts w:ascii="Arial" w:hAnsi="Arial" w:cs="Arial"/>
                <w:lang w:val="sr-Latn-RS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6F4DB3" w:rsidRDefault="002D3C17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                          </w:t>
            </w:r>
            <w:r w:rsidR="00370754" w:rsidRPr="006F4DB3">
              <w:rPr>
                <w:rFonts w:ascii="Arial" w:hAnsi="Arial" w:cs="Arial"/>
                <w:lang w:val="sr-Latn-RS"/>
              </w:rPr>
              <w:t>M.P.</w:t>
            </w:r>
          </w:p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6F4DB3" w:rsidRDefault="002D3C17" w:rsidP="000A502D">
            <w:pPr>
              <w:rPr>
                <w:rFonts w:ascii="Arial" w:hAnsi="Arial" w:cs="Arial"/>
                <w:lang w:val="sr-Latn-RS"/>
              </w:rPr>
            </w:pPr>
            <w:r w:rsidRPr="006F4DB3">
              <w:rPr>
                <w:rFonts w:ascii="Arial" w:hAnsi="Arial" w:cs="Arial"/>
                <w:lang w:val="sr-Latn-RS"/>
              </w:rPr>
              <w:t xml:space="preserve">                         </w:t>
            </w:r>
            <w:r w:rsidR="00370754" w:rsidRPr="006F4DB3">
              <w:rPr>
                <w:rFonts w:ascii="Arial" w:hAnsi="Arial" w:cs="Arial"/>
                <w:lang w:val="sr-Latn-RS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6F4DB3" w:rsidRDefault="00370754" w:rsidP="000A502D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C20E0A" w:rsidRPr="006F4DB3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  <w:lang w:val="sr-Latn-RS"/>
        </w:rPr>
      </w:pPr>
    </w:p>
    <w:sectPr w:rsidR="00C20E0A" w:rsidRPr="006F4DB3" w:rsidSect="00370754">
      <w:headerReference w:type="default" r:id="rId15"/>
      <w:headerReference w:type="first" r:id="rId16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261" w:rsidRDefault="00CC0261" w:rsidP="00A6505B">
      <w:pPr>
        <w:spacing w:before="0" w:after="0" w:line="240" w:lineRule="auto"/>
      </w:pPr>
      <w:r>
        <w:separator/>
      </w:r>
    </w:p>
  </w:endnote>
  <w:endnote w:type="continuationSeparator" w:id="0">
    <w:p w:rsidR="00CC0261" w:rsidRDefault="00CC026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261" w:rsidRDefault="00CC0261" w:rsidP="00A6505B">
      <w:pPr>
        <w:spacing w:before="0" w:after="0" w:line="240" w:lineRule="auto"/>
      </w:pPr>
      <w:r>
        <w:separator/>
      </w:r>
    </w:p>
  </w:footnote>
  <w:footnote w:type="continuationSeparator" w:id="0">
    <w:p w:rsidR="00CC0261" w:rsidRDefault="00CC026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64FCC" w:rsidRDefault="00205759" w:rsidP="00451F6C">
    <w:pPr>
      <w:pStyle w:val="Title"/>
      <w:rPr>
        <w:rFonts w:ascii="Arial" w:eastAsiaTheme="majorEastAsia" w:hAnsi="Arial" w:cs="Arial"/>
      </w:rPr>
    </w:pPr>
    <w:r w:rsidRPr="00464FCC"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F222" wp14:editId="2BCFD76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0180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64FCC">
      <w:rPr>
        <w:rFonts w:ascii="Arial" w:hAnsi="Arial" w:cs="Arial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F871DBF" wp14:editId="5D8D235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64FCC">
      <w:rPr>
        <w:rFonts w:ascii="Arial" w:hAnsi="Arial" w:cs="Arial"/>
      </w:rPr>
      <w:t>Crna</w:t>
    </w:r>
    <w:r w:rsidR="00F127D8" w:rsidRPr="00464FCC">
      <w:rPr>
        <w:rFonts w:ascii="Arial" w:hAnsi="Arial" w:cs="Arial"/>
      </w:rPr>
      <w:t xml:space="preserve"> </w:t>
    </w:r>
    <w:r w:rsidR="007904A7" w:rsidRPr="00464FCC">
      <w:rPr>
        <w:rFonts w:ascii="Arial" w:hAnsi="Arial" w:cs="Arial"/>
      </w:rPr>
      <w:t>Gora</w:t>
    </w:r>
  </w:p>
  <w:p w:rsidR="007904A7" w:rsidRPr="00464FCC" w:rsidRDefault="0070005F" w:rsidP="005E2CF3">
    <w:pPr>
      <w:pStyle w:val="Title"/>
      <w:spacing w:after="0"/>
      <w:rPr>
        <w:rFonts w:ascii="Arial" w:hAnsi="Arial" w:cs="Arial"/>
        <w:sz w:val="24"/>
        <w:szCs w:val="24"/>
      </w:rPr>
    </w:pPr>
    <w:r w:rsidRPr="00464FCC">
      <w:rPr>
        <w:rFonts w:ascii="Arial" w:hAnsi="Arial" w:cs="Arial"/>
        <w:sz w:val="24"/>
        <w:szCs w:val="24"/>
      </w:rPr>
      <w:t xml:space="preserve">MINISTARSTVO </w:t>
    </w:r>
    <w:r w:rsidR="00464FCC" w:rsidRPr="00464FCC">
      <w:rPr>
        <w:rFonts w:ascii="Arial" w:hAnsi="Arial" w:cs="Arial"/>
        <w:sz w:val="24"/>
        <w:szCs w:val="24"/>
      </w:rPr>
      <w:t xml:space="preserve">REGIONALNO-INVESTICIONOG RAZVOJA </w:t>
    </w:r>
  </w:p>
  <w:p w:rsidR="00464FCC" w:rsidRPr="00464FCC" w:rsidRDefault="00464FCC" w:rsidP="00464FCC">
    <w:pPr>
      <w:rPr>
        <w:rFonts w:ascii="Arial" w:hAnsi="Arial" w:cs="Arial"/>
        <w:szCs w:val="24"/>
        <w:lang w:val="en-US"/>
      </w:rPr>
    </w:pPr>
    <w:r w:rsidRPr="00464FCC">
      <w:rPr>
        <w:rFonts w:ascii="Arial" w:hAnsi="Arial" w:cs="Arial"/>
        <w:szCs w:val="24"/>
        <w:lang w:val="en-US"/>
      </w:rPr>
      <w:tab/>
      <w:t xml:space="preserve">  </w:t>
    </w:r>
    <w:r w:rsidRPr="00464FCC">
      <w:rPr>
        <w:rFonts w:ascii="Arial" w:eastAsia="Times New Roman" w:hAnsi="Arial" w:cs="Arial"/>
        <w:noProof/>
        <w:spacing w:val="-10"/>
        <w:kern w:val="28"/>
        <w:szCs w:val="24"/>
        <w:lang w:val="en-US"/>
      </w:rPr>
      <w:t xml:space="preserve">    </w:t>
    </w:r>
    <w:r>
      <w:rPr>
        <w:rFonts w:ascii="Arial" w:eastAsia="Times New Roman" w:hAnsi="Arial" w:cs="Arial"/>
        <w:noProof/>
        <w:spacing w:val="-10"/>
        <w:kern w:val="28"/>
        <w:szCs w:val="24"/>
        <w:lang w:val="en-US"/>
      </w:rPr>
      <w:t xml:space="preserve"> </w:t>
    </w:r>
    <w:r w:rsidRPr="00464FCC">
      <w:rPr>
        <w:rFonts w:ascii="Arial" w:eastAsia="Times New Roman" w:hAnsi="Arial" w:cs="Arial"/>
        <w:noProof/>
        <w:spacing w:val="-10"/>
        <w:kern w:val="28"/>
        <w:szCs w:val="24"/>
        <w:lang w:val="en-US"/>
      </w:rPr>
      <w:t>I SARADNJE SA NEVLADINIM ORGANIZACIJAMA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2E"/>
    <w:multiLevelType w:val="hybridMultilevel"/>
    <w:tmpl w:val="45927F6C"/>
    <w:lvl w:ilvl="0" w:tplc="2996DC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118"/>
    <w:multiLevelType w:val="multilevel"/>
    <w:tmpl w:val="3970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64770"/>
    <w:multiLevelType w:val="hybridMultilevel"/>
    <w:tmpl w:val="41549C6E"/>
    <w:lvl w:ilvl="0" w:tplc="A27620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73BB"/>
    <w:multiLevelType w:val="multilevel"/>
    <w:tmpl w:val="27EC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8132F"/>
    <w:multiLevelType w:val="hybridMultilevel"/>
    <w:tmpl w:val="E1C4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74889"/>
    <w:multiLevelType w:val="hybridMultilevel"/>
    <w:tmpl w:val="5F9AF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AAB"/>
    <w:multiLevelType w:val="hybridMultilevel"/>
    <w:tmpl w:val="CA8E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37D3"/>
    <w:multiLevelType w:val="hybridMultilevel"/>
    <w:tmpl w:val="9384D764"/>
    <w:lvl w:ilvl="0" w:tplc="4CD4D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6DD"/>
    <w:multiLevelType w:val="multilevel"/>
    <w:tmpl w:val="E2B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53F9C"/>
    <w:multiLevelType w:val="hybridMultilevel"/>
    <w:tmpl w:val="8A3A7A34"/>
    <w:lvl w:ilvl="0" w:tplc="8F5AE69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87671"/>
    <w:multiLevelType w:val="multilevel"/>
    <w:tmpl w:val="47F8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664E0"/>
    <w:multiLevelType w:val="hybridMultilevel"/>
    <w:tmpl w:val="91A28832"/>
    <w:lvl w:ilvl="0" w:tplc="42066992">
      <w:start w:val="4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00D7C"/>
    <w:multiLevelType w:val="hybridMultilevel"/>
    <w:tmpl w:val="E660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129C5"/>
    <w:multiLevelType w:val="multilevel"/>
    <w:tmpl w:val="617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C2C12"/>
    <w:multiLevelType w:val="multilevel"/>
    <w:tmpl w:val="F45A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8472A"/>
    <w:multiLevelType w:val="hybridMultilevel"/>
    <w:tmpl w:val="1D00E166"/>
    <w:lvl w:ilvl="0" w:tplc="92C2C6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37F85"/>
    <w:multiLevelType w:val="multilevel"/>
    <w:tmpl w:val="D98A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F67B7"/>
    <w:multiLevelType w:val="multilevel"/>
    <w:tmpl w:val="6C48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1"/>
  </w:num>
  <w:num w:numId="4">
    <w:abstractNumId w:val="7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13"/>
  </w:num>
  <w:num w:numId="10">
    <w:abstractNumId w:val="3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0"/>
  </w:num>
  <w:num w:numId="16">
    <w:abstractNumId w:val="1"/>
  </w:num>
  <w:num w:numId="17">
    <w:abstractNumId w:val="20"/>
  </w:num>
  <w:num w:numId="18">
    <w:abstractNumId w:val="4"/>
  </w:num>
  <w:num w:numId="19">
    <w:abstractNumId w:val="19"/>
  </w:num>
  <w:num w:numId="20">
    <w:abstractNumId w:val="12"/>
  </w:num>
  <w:num w:numId="21">
    <w:abstractNumId w:val="17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7BE5"/>
    <w:rsid w:val="00020673"/>
    <w:rsid w:val="00071E3B"/>
    <w:rsid w:val="000775A8"/>
    <w:rsid w:val="000835F8"/>
    <w:rsid w:val="00084433"/>
    <w:rsid w:val="00093D71"/>
    <w:rsid w:val="000A2B0F"/>
    <w:rsid w:val="000E160A"/>
    <w:rsid w:val="000F2AA0"/>
    <w:rsid w:val="000F2B95"/>
    <w:rsid w:val="000F2BFC"/>
    <w:rsid w:val="00104240"/>
    <w:rsid w:val="001053EE"/>
    <w:rsid w:val="00107821"/>
    <w:rsid w:val="00107D7D"/>
    <w:rsid w:val="001478DE"/>
    <w:rsid w:val="00154D42"/>
    <w:rsid w:val="0015527F"/>
    <w:rsid w:val="00173C42"/>
    <w:rsid w:val="001822F4"/>
    <w:rsid w:val="001822FC"/>
    <w:rsid w:val="001847FD"/>
    <w:rsid w:val="0019573A"/>
    <w:rsid w:val="00196664"/>
    <w:rsid w:val="001A79B6"/>
    <w:rsid w:val="001A7E96"/>
    <w:rsid w:val="001C04EB"/>
    <w:rsid w:val="001C2DA5"/>
    <w:rsid w:val="001C6822"/>
    <w:rsid w:val="001D3909"/>
    <w:rsid w:val="001D7FF8"/>
    <w:rsid w:val="001F1805"/>
    <w:rsid w:val="001F75D5"/>
    <w:rsid w:val="002033AE"/>
    <w:rsid w:val="00205759"/>
    <w:rsid w:val="00207835"/>
    <w:rsid w:val="00217254"/>
    <w:rsid w:val="00231417"/>
    <w:rsid w:val="00231D5F"/>
    <w:rsid w:val="00237940"/>
    <w:rsid w:val="0024788C"/>
    <w:rsid w:val="00250B84"/>
    <w:rsid w:val="002511E4"/>
    <w:rsid w:val="00251C96"/>
    <w:rsid w:val="00252A36"/>
    <w:rsid w:val="00292D5E"/>
    <w:rsid w:val="00293A0E"/>
    <w:rsid w:val="002A7CB3"/>
    <w:rsid w:val="002B4A70"/>
    <w:rsid w:val="002B633A"/>
    <w:rsid w:val="002C3D77"/>
    <w:rsid w:val="002D3C17"/>
    <w:rsid w:val="002D4447"/>
    <w:rsid w:val="002E01C2"/>
    <w:rsid w:val="002F461C"/>
    <w:rsid w:val="00302662"/>
    <w:rsid w:val="003028E5"/>
    <w:rsid w:val="003040AC"/>
    <w:rsid w:val="003168DA"/>
    <w:rsid w:val="0032257A"/>
    <w:rsid w:val="00323D8A"/>
    <w:rsid w:val="003247A7"/>
    <w:rsid w:val="003323B3"/>
    <w:rsid w:val="003417B8"/>
    <w:rsid w:val="003439BF"/>
    <w:rsid w:val="00350578"/>
    <w:rsid w:val="00354D08"/>
    <w:rsid w:val="00370754"/>
    <w:rsid w:val="00374FC4"/>
    <w:rsid w:val="00375D08"/>
    <w:rsid w:val="0039558B"/>
    <w:rsid w:val="003A6DB5"/>
    <w:rsid w:val="003B4527"/>
    <w:rsid w:val="003D1FB1"/>
    <w:rsid w:val="003D33D6"/>
    <w:rsid w:val="004112D5"/>
    <w:rsid w:val="004317AE"/>
    <w:rsid w:val="004378E1"/>
    <w:rsid w:val="004501E6"/>
    <w:rsid w:val="00451F6C"/>
    <w:rsid w:val="00451FF9"/>
    <w:rsid w:val="00460F3F"/>
    <w:rsid w:val="0046254F"/>
    <w:rsid w:val="00464FCC"/>
    <w:rsid w:val="004679C3"/>
    <w:rsid w:val="00474298"/>
    <w:rsid w:val="004754B7"/>
    <w:rsid w:val="00476B33"/>
    <w:rsid w:val="00487B7A"/>
    <w:rsid w:val="004934B6"/>
    <w:rsid w:val="00493D19"/>
    <w:rsid w:val="004A175D"/>
    <w:rsid w:val="004B5AE9"/>
    <w:rsid w:val="004B76A4"/>
    <w:rsid w:val="004B794D"/>
    <w:rsid w:val="004E3DA7"/>
    <w:rsid w:val="004F24B0"/>
    <w:rsid w:val="005135BC"/>
    <w:rsid w:val="00523147"/>
    <w:rsid w:val="005237D4"/>
    <w:rsid w:val="00531C38"/>
    <w:rsid w:val="00531FDF"/>
    <w:rsid w:val="00546D0B"/>
    <w:rsid w:val="005723C7"/>
    <w:rsid w:val="00572D76"/>
    <w:rsid w:val="00581722"/>
    <w:rsid w:val="005952BB"/>
    <w:rsid w:val="005A2821"/>
    <w:rsid w:val="005A4E7E"/>
    <w:rsid w:val="005A6AD9"/>
    <w:rsid w:val="005B44BF"/>
    <w:rsid w:val="005C6F24"/>
    <w:rsid w:val="005D0532"/>
    <w:rsid w:val="005D3EB1"/>
    <w:rsid w:val="005E2CF3"/>
    <w:rsid w:val="005E5C14"/>
    <w:rsid w:val="005E6D24"/>
    <w:rsid w:val="005E6ECD"/>
    <w:rsid w:val="005F56D9"/>
    <w:rsid w:val="00612213"/>
    <w:rsid w:val="006159EE"/>
    <w:rsid w:val="00630A76"/>
    <w:rsid w:val="00643692"/>
    <w:rsid w:val="00670FF6"/>
    <w:rsid w:val="006739CA"/>
    <w:rsid w:val="00683884"/>
    <w:rsid w:val="0068793B"/>
    <w:rsid w:val="00691833"/>
    <w:rsid w:val="006A24FA"/>
    <w:rsid w:val="006A2698"/>
    <w:rsid w:val="006A2C40"/>
    <w:rsid w:val="006A6AE2"/>
    <w:rsid w:val="006B0CEE"/>
    <w:rsid w:val="006C3199"/>
    <w:rsid w:val="006C3891"/>
    <w:rsid w:val="006D0238"/>
    <w:rsid w:val="006D05C5"/>
    <w:rsid w:val="006D22B2"/>
    <w:rsid w:val="006D2B2D"/>
    <w:rsid w:val="006D711E"/>
    <w:rsid w:val="006E262C"/>
    <w:rsid w:val="006E4CAE"/>
    <w:rsid w:val="006F4DB3"/>
    <w:rsid w:val="0070005F"/>
    <w:rsid w:val="00703BEA"/>
    <w:rsid w:val="00717B58"/>
    <w:rsid w:val="00722040"/>
    <w:rsid w:val="0073561A"/>
    <w:rsid w:val="0077100B"/>
    <w:rsid w:val="00786F2E"/>
    <w:rsid w:val="007904A7"/>
    <w:rsid w:val="0079207C"/>
    <w:rsid w:val="00794586"/>
    <w:rsid w:val="00796720"/>
    <w:rsid w:val="007978B6"/>
    <w:rsid w:val="007A0248"/>
    <w:rsid w:val="007A118F"/>
    <w:rsid w:val="007B2B13"/>
    <w:rsid w:val="007C5401"/>
    <w:rsid w:val="007D3AD5"/>
    <w:rsid w:val="007D633C"/>
    <w:rsid w:val="007E498B"/>
    <w:rsid w:val="007F67A4"/>
    <w:rsid w:val="00810076"/>
    <w:rsid w:val="00810444"/>
    <w:rsid w:val="008118BE"/>
    <w:rsid w:val="00811F55"/>
    <w:rsid w:val="00816114"/>
    <w:rsid w:val="008472F9"/>
    <w:rsid w:val="00847A3A"/>
    <w:rsid w:val="0085342C"/>
    <w:rsid w:val="00871194"/>
    <w:rsid w:val="0088156B"/>
    <w:rsid w:val="00885190"/>
    <w:rsid w:val="008C7F82"/>
    <w:rsid w:val="008D5844"/>
    <w:rsid w:val="008E6F47"/>
    <w:rsid w:val="008F7D2B"/>
    <w:rsid w:val="00902E6C"/>
    <w:rsid w:val="00907170"/>
    <w:rsid w:val="009116F6"/>
    <w:rsid w:val="009130A0"/>
    <w:rsid w:val="00914A3B"/>
    <w:rsid w:val="00922A8D"/>
    <w:rsid w:val="00922BAC"/>
    <w:rsid w:val="00933054"/>
    <w:rsid w:val="00933725"/>
    <w:rsid w:val="00937684"/>
    <w:rsid w:val="00946A67"/>
    <w:rsid w:val="0096107C"/>
    <w:rsid w:val="009632DD"/>
    <w:rsid w:val="0096528C"/>
    <w:rsid w:val="009732F8"/>
    <w:rsid w:val="009751DF"/>
    <w:rsid w:val="0098130A"/>
    <w:rsid w:val="009902D5"/>
    <w:rsid w:val="00993FA5"/>
    <w:rsid w:val="00997C04"/>
    <w:rsid w:val="009A7691"/>
    <w:rsid w:val="009B72EE"/>
    <w:rsid w:val="009E797A"/>
    <w:rsid w:val="009F5AED"/>
    <w:rsid w:val="00A455E1"/>
    <w:rsid w:val="00A53862"/>
    <w:rsid w:val="00A60445"/>
    <w:rsid w:val="00A640F0"/>
    <w:rsid w:val="00A6505B"/>
    <w:rsid w:val="00A707B0"/>
    <w:rsid w:val="00A912A9"/>
    <w:rsid w:val="00AA5E68"/>
    <w:rsid w:val="00AA6DBF"/>
    <w:rsid w:val="00AD29CE"/>
    <w:rsid w:val="00AD5C08"/>
    <w:rsid w:val="00AE277F"/>
    <w:rsid w:val="00AF27FF"/>
    <w:rsid w:val="00AF3564"/>
    <w:rsid w:val="00B003EE"/>
    <w:rsid w:val="00B05443"/>
    <w:rsid w:val="00B13AFC"/>
    <w:rsid w:val="00B167AC"/>
    <w:rsid w:val="00B30D58"/>
    <w:rsid w:val="00B40A06"/>
    <w:rsid w:val="00B43769"/>
    <w:rsid w:val="00B473C2"/>
    <w:rsid w:val="00B47D2C"/>
    <w:rsid w:val="00B563F5"/>
    <w:rsid w:val="00B609F5"/>
    <w:rsid w:val="00B62805"/>
    <w:rsid w:val="00B63CC6"/>
    <w:rsid w:val="00B7650E"/>
    <w:rsid w:val="00B82085"/>
    <w:rsid w:val="00B83F7A"/>
    <w:rsid w:val="00B84F08"/>
    <w:rsid w:val="00BB014F"/>
    <w:rsid w:val="00BB506C"/>
    <w:rsid w:val="00BB5B0F"/>
    <w:rsid w:val="00BE3206"/>
    <w:rsid w:val="00BF464E"/>
    <w:rsid w:val="00C123D2"/>
    <w:rsid w:val="00C176EB"/>
    <w:rsid w:val="00C17D54"/>
    <w:rsid w:val="00C20E0A"/>
    <w:rsid w:val="00C2622E"/>
    <w:rsid w:val="00C4431F"/>
    <w:rsid w:val="00C503C0"/>
    <w:rsid w:val="00C63E01"/>
    <w:rsid w:val="00C664A7"/>
    <w:rsid w:val="00C80474"/>
    <w:rsid w:val="00C84028"/>
    <w:rsid w:val="00CA4058"/>
    <w:rsid w:val="00CC0261"/>
    <w:rsid w:val="00CC2580"/>
    <w:rsid w:val="00CD159D"/>
    <w:rsid w:val="00CD2473"/>
    <w:rsid w:val="00CF540B"/>
    <w:rsid w:val="00D06E02"/>
    <w:rsid w:val="00D218F0"/>
    <w:rsid w:val="00D23B4D"/>
    <w:rsid w:val="00D2455F"/>
    <w:rsid w:val="00D61A8B"/>
    <w:rsid w:val="00D63B3D"/>
    <w:rsid w:val="00D720B1"/>
    <w:rsid w:val="00DA3DE2"/>
    <w:rsid w:val="00DC116B"/>
    <w:rsid w:val="00DC5DF1"/>
    <w:rsid w:val="00DC61B0"/>
    <w:rsid w:val="00DE3B98"/>
    <w:rsid w:val="00DE73CA"/>
    <w:rsid w:val="00DF60F7"/>
    <w:rsid w:val="00E005A7"/>
    <w:rsid w:val="00E0701D"/>
    <w:rsid w:val="00E16E72"/>
    <w:rsid w:val="00E17788"/>
    <w:rsid w:val="00E62554"/>
    <w:rsid w:val="00E73A9B"/>
    <w:rsid w:val="00E74F68"/>
    <w:rsid w:val="00E75466"/>
    <w:rsid w:val="00E806B7"/>
    <w:rsid w:val="00E83D20"/>
    <w:rsid w:val="00E97C22"/>
    <w:rsid w:val="00EA22A1"/>
    <w:rsid w:val="00EA3F9B"/>
    <w:rsid w:val="00EB4DC0"/>
    <w:rsid w:val="00ED7458"/>
    <w:rsid w:val="00EE1681"/>
    <w:rsid w:val="00EF4B5C"/>
    <w:rsid w:val="00F127D8"/>
    <w:rsid w:val="00F14B0C"/>
    <w:rsid w:val="00F16D1B"/>
    <w:rsid w:val="00F2167D"/>
    <w:rsid w:val="00F21A4A"/>
    <w:rsid w:val="00F323F6"/>
    <w:rsid w:val="00F523C7"/>
    <w:rsid w:val="00F63FBA"/>
    <w:rsid w:val="00F657FC"/>
    <w:rsid w:val="00F9760A"/>
    <w:rsid w:val="00FA745B"/>
    <w:rsid w:val="00FB409E"/>
    <w:rsid w:val="00FD30CD"/>
    <w:rsid w:val="00FD5E79"/>
    <w:rsid w:val="00FD7606"/>
    <w:rsid w:val="00FE3427"/>
    <w:rsid w:val="00FE4CFA"/>
    <w:rsid w:val="00FF047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625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05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luzbenilist.me/pregled-dokumenta-2/?id=%7b9994FFA2-65D0-478E-BD1A-FDE3632194AE%7d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luzbenilist.me/pregled-dokumenta-2/?id=%7bDC12AFCB-56E1-469A-A8B4-4D8559D5568A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me/dokumenta/fe94e317-a6ec-4f6e-a7de-82425b266ae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gov.me/dokumenta/bb5f548a-9275-4547-aaa7-db66478542cb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me/dokumenta/4b0f63fd-e49d-4f0c-9f09-99426dc8d51b" TargetMode="External"/><Relationship Id="rId14" Type="http://schemas.openxmlformats.org/officeDocument/2006/relationships/hyperlink" Target="https://javninameti.gov.m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9082F1-5B40-4474-B0A5-B93F5C8D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Dragovic</cp:lastModifiedBy>
  <cp:revision>19</cp:revision>
  <cp:lastPrinted>2018-06-01T12:23:00Z</cp:lastPrinted>
  <dcterms:created xsi:type="dcterms:W3CDTF">2024-10-30T12:47:00Z</dcterms:created>
  <dcterms:modified xsi:type="dcterms:W3CDTF">2024-11-01T12:38:00Z</dcterms:modified>
</cp:coreProperties>
</file>