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-114300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 mart 2026.godine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05AAF" w:rsidRPr="00735B88" w:rsidRDefault="00905AAF" w:rsidP="00905AAF">
      <w:pPr>
        <w:spacing w:after="160" w:line="252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905AAF" w:rsidRPr="00735B88" w:rsidRDefault="00905AAF" w:rsidP="00905AAF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 xml:space="preserve">■ Kontrole – provjere </w:t>
      </w:r>
    </w:p>
    <w:p w:rsidR="00905AAF" w:rsidRPr="00735B88" w:rsidRDefault="00905AAF" w:rsidP="00905AAF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905AAF" w:rsidRPr="00735B88" w:rsidRDefault="00905AAF" w:rsidP="00905AAF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sz w:val="22"/>
          <w:szCs w:val="22"/>
          <w:lang w:val="sr-Latn-ME"/>
        </w:rPr>
        <w:t>marta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</w:t>
      </w:r>
      <w:r>
        <w:rPr>
          <w:rFonts w:ascii="Arial" w:hAnsi="Arial" w:cs="Arial"/>
          <w:sz w:val="22"/>
          <w:szCs w:val="22"/>
          <w:lang w:val="sr-Latn-ME"/>
        </w:rPr>
        <w:t xml:space="preserve">14 </w:t>
      </w:r>
      <w:r w:rsidRPr="00735B88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905AAF" w:rsidRPr="00735B88" w:rsidRDefault="00905AAF" w:rsidP="00905AAF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05AAF" w:rsidRPr="00735B88" w:rsidRDefault="00905AAF" w:rsidP="00905AAF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>Na osnovu činjenica i dokaza utvrđenih u po</w:t>
      </w:r>
      <w:r>
        <w:rPr>
          <w:rFonts w:ascii="Arial" w:hAnsi="Arial" w:cs="Arial"/>
          <w:iCs/>
          <w:sz w:val="22"/>
          <w:szCs w:val="22"/>
          <w:lang w:val="sr-Latn-ME"/>
        </w:rPr>
        <w:t>stupku unutrašnje kontrole u četiri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 xml:space="preserve"> slučaja kontrola – provjera zakonitosti postupanja policijskih službenika, </w:t>
      </w:r>
      <w:r w:rsidRPr="00735B88">
        <w:rPr>
          <w:rFonts w:ascii="Arial" w:hAnsi="Arial"/>
          <w:sz w:val="22"/>
          <w:szCs w:val="22"/>
          <w:lang w:val="sr-Latn-ME"/>
        </w:rPr>
        <w:t>u postupcima unutrašnje kontrole, utvrđene su činjenice i dokazi koji bi ukazali na nezakonito ili neprofesionalno postupanje policijskih službenika, usljed čega su preduzete sljedeće mjere:</w:t>
      </w:r>
    </w:p>
    <w:p w:rsidR="00905AAF" w:rsidRPr="00735B88" w:rsidRDefault="00905AAF" w:rsidP="00905AAF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905AAF" w:rsidRPr="009D5490" w:rsidRDefault="00905AAF" w:rsidP="00905AAF">
      <w:pPr>
        <w:pStyle w:val="ListParagraph"/>
        <w:numPr>
          <w:ilvl w:val="0"/>
          <w:numId w:val="1"/>
        </w:num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9D5490">
        <w:rPr>
          <w:rFonts w:ascii="Arial" w:eastAsia="Calibri" w:hAnsi="Arial" w:cs="Arial"/>
          <w:sz w:val="22"/>
          <w:szCs w:val="22"/>
          <w:lang w:val="sr-Latn-ME"/>
        </w:rPr>
        <w:t xml:space="preserve">U jednom slučaju, </w:t>
      </w:r>
      <w:r w:rsidRPr="009D5490">
        <w:rPr>
          <w:rFonts w:ascii="Arial" w:hAnsi="Arial"/>
          <w:sz w:val="22"/>
          <w:szCs w:val="22"/>
          <w:lang w:val="sr-Latn-ME"/>
        </w:rPr>
        <w:t xml:space="preserve"> n</w:t>
      </w:r>
      <w:r w:rsidRPr="009D5490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a osnovu činjenica i dokaza utvrđenih u postupku unutrašnje kontrole  povodom predmetnog slučaja, konstatovano je da postoji osnovana sumnja da je policijski službenik </w:t>
      </w:r>
      <w:r w:rsidR="00821EB4">
        <w:rPr>
          <w:rFonts w:ascii="Arial" w:hAnsi="Arial"/>
          <w:color w:val="000000" w:themeColor="text1"/>
          <w:sz w:val="22"/>
          <w:szCs w:val="22"/>
          <w:lang w:val="sr-Latn-ME"/>
        </w:rPr>
        <w:t>Odjeljenja bezbjednosti Kolašin</w:t>
      </w:r>
      <w:r w:rsidRPr="009D5490">
        <w:rPr>
          <w:rFonts w:ascii="Arial" w:hAnsi="Arial"/>
          <w:color w:val="000000" w:themeColor="text1"/>
          <w:sz w:val="22"/>
          <w:szCs w:val="22"/>
          <w:lang w:val="sr-Latn-ME"/>
        </w:rPr>
        <w:t>, počinio težu povredu službene dužnosti iz člana 95 stav 1 tačka 1 Zakona o državnim službenicima i namještenicima – neizvršavanje ili nesavjesno ili neblagovremeno ili nemarno vršenje službenih obaveza, usljed čega je Izvještaj o izvršenim provjerama sa spisima sačinjenim u postupku unutrašnje kontrole dostavljen direktoru Uprave policije, u cilju pokretanja postupka za utvrđivanje disciplinske odgovornosti.</w:t>
      </w:r>
    </w:p>
    <w:p w:rsidR="00905AAF" w:rsidRPr="009D5490" w:rsidRDefault="00905AAF" w:rsidP="00905AAF">
      <w:pPr>
        <w:pStyle w:val="ListParagraph"/>
        <w:ind w:left="420" w:right="178"/>
        <w:jc w:val="both"/>
        <w:rPr>
          <w:rFonts w:ascii="Arial" w:hAnsi="Arial"/>
          <w:sz w:val="22"/>
          <w:szCs w:val="22"/>
          <w:lang w:val="sr-Latn-ME"/>
        </w:rPr>
      </w:pPr>
    </w:p>
    <w:p w:rsidR="00905AAF" w:rsidRDefault="00905AAF" w:rsidP="00905AAF">
      <w:pPr>
        <w:pStyle w:val="ListParagraph"/>
        <w:numPr>
          <w:ilvl w:val="0"/>
          <w:numId w:val="1"/>
        </w:num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9D5490">
        <w:rPr>
          <w:rFonts w:ascii="Arial" w:hAnsi="Arial"/>
          <w:sz w:val="22"/>
          <w:szCs w:val="22"/>
          <w:lang w:val="sr-Latn-ME"/>
        </w:rPr>
        <w:t xml:space="preserve">U </w:t>
      </w:r>
      <w:r>
        <w:rPr>
          <w:rFonts w:ascii="Arial" w:hAnsi="Arial"/>
          <w:sz w:val="22"/>
          <w:szCs w:val="22"/>
          <w:lang w:val="sr-Latn-ME"/>
        </w:rPr>
        <w:t>drugom slučaju, n</w:t>
      </w:r>
      <w:r w:rsidRPr="009D5490">
        <w:rPr>
          <w:rFonts w:ascii="Arial" w:hAnsi="Arial"/>
          <w:color w:val="000000" w:themeColor="text1"/>
          <w:sz w:val="22"/>
          <w:szCs w:val="22"/>
          <w:lang w:val="sr-Latn-ME"/>
        </w:rPr>
        <w:t>a osnovu činjenica i dokaza utvrđenih u postupku unutrašnje kontrole, utvrđeno je da je policijski službenik Regionalnog centra granične policije „Jug“, Stanice granične policije II Bar, izvršio krivično djelo zloupotreba službenog položaja iz člana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416</w:t>
      </w:r>
      <w:r w:rsidR="00821EB4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 KZ CG</w:t>
      </w:r>
      <w:r w:rsidRPr="009D5490">
        <w:rPr>
          <w:rFonts w:ascii="Arial" w:hAnsi="Arial"/>
          <w:color w:val="000000" w:themeColor="text1"/>
          <w:sz w:val="22"/>
          <w:szCs w:val="22"/>
          <w:lang w:val="sr-Latn-ME"/>
        </w:rPr>
        <w:t>. Na osnovu sprovednih mjera i radnji iz nadležnosti Odjeljenja za unutrašnju kontrolu policije, a u skladu sa instukcijama tužioca Osnovnog državnog tužilaštva u Baru, protiv imenovanog je, dostavljanjem spisa preedmeta sačinjenim u postupku unutrašnje kontrole, podnesena krivična prijava, dok je o navedenim činjenicama upoznat direktor Uprave policije, rukovodilac Sektora granične policije, kao i neposredni rukovodilac u cilju preduzimanja mjera iz nadležnosti protiv policijskog službenika.</w:t>
      </w:r>
    </w:p>
    <w:p w:rsidR="00905AAF" w:rsidRDefault="00905AAF" w:rsidP="00905AAF">
      <w:pPr>
        <w:ind w:left="60"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905AAF" w:rsidRPr="00FC39F9" w:rsidRDefault="00905AAF" w:rsidP="00905AAF">
      <w:pPr>
        <w:pStyle w:val="ListParagraph"/>
        <w:numPr>
          <w:ilvl w:val="0"/>
          <w:numId w:val="1"/>
        </w:num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U trećem slučaju, </w:t>
      </w:r>
      <w:r w:rsidRPr="00FC39F9">
        <w:rPr>
          <w:rFonts w:ascii="Arial" w:hAnsi="Arial" w:cs="Arial"/>
          <w:sz w:val="22"/>
          <w:szCs w:val="22"/>
          <w:lang w:val="sr-Latn-ME"/>
        </w:rPr>
        <w:t>n</w:t>
      </w: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>a osnovu utvrđenog činjeničnog stanja i prikupljenih dokaza u postupku unutrašnje kontrole, utvrđeno je da je:</w:t>
      </w:r>
    </w:p>
    <w:p w:rsidR="00905AAF" w:rsidRPr="00FC39F9" w:rsidRDefault="00905AAF" w:rsidP="00905AAF">
      <w:pPr>
        <w:pStyle w:val="ListParagrap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905AAF" w:rsidRPr="00FC39F9" w:rsidRDefault="00905AAF" w:rsidP="00905AAF">
      <w:pPr>
        <w:pStyle w:val="ListParagraph"/>
        <w:numPr>
          <w:ilvl w:val="0"/>
          <w:numId w:val="2"/>
        </w:numPr>
        <w:spacing w:after="160" w:line="259" w:lineRule="auto"/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policijski službenik Regionalnog centra granične policije „Centar“ Stanice granične policije Nikšić I počinio težu povredu službene dužnosti iz člana 95 stav 1 tačka 1 Zakona o državnim službenicima i namještenicima (neizvršavanje ili nesavjesno ili </w:t>
      </w: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lastRenderedPageBreak/>
        <w:t xml:space="preserve">neblagovremeno ili nemarno vršenje službenih obaveza), kao i da je prekršio Kodeks policijske etike, </w:t>
      </w:r>
      <w:r w:rsidR="00D22A0B">
        <w:rPr>
          <w:rFonts w:ascii="Arial" w:hAnsi="Arial"/>
          <w:color w:val="000000" w:themeColor="text1"/>
          <w:sz w:val="22"/>
          <w:szCs w:val="22"/>
          <w:lang w:val="sr-Latn-ME"/>
        </w:rPr>
        <w:t>u</w:t>
      </w: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>sljed čega je Izvještaj sa spisima preedmeta sačinjenim u postupku unutrašnje kontrole dostavljen direktoru Uprave policije na dalju nadležnost, kao i Etičkom odboru na ocjenu etičnosti postupanja policijskog službenika.</w:t>
      </w:r>
    </w:p>
    <w:p w:rsidR="00905AAF" w:rsidRPr="00FC39F9" w:rsidRDefault="00905AAF" w:rsidP="00905AAF">
      <w:pPr>
        <w:pStyle w:val="ListParagraph"/>
        <w:numPr>
          <w:ilvl w:val="0"/>
          <w:numId w:val="2"/>
        </w:numPr>
        <w:spacing w:after="160" w:line="259" w:lineRule="auto"/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policisjki službenik Regionalnog centra granične policije „Centar“ Stanice granične policije Nikšić I, počinio težu povredu službene dužnosti iz člana 173 stav 1 tačka 9 Zakona o unutrašnjim poslovima ( samovoljno napuštanje radnog mjesta ili mjesta određenog za pripravnost) </w:t>
      </w:r>
      <w:r w:rsidR="00D22A0B">
        <w:rPr>
          <w:rFonts w:ascii="Arial" w:hAnsi="Arial"/>
          <w:color w:val="000000" w:themeColor="text1"/>
          <w:sz w:val="22"/>
          <w:szCs w:val="22"/>
          <w:lang w:val="sr-Latn-ME"/>
        </w:rPr>
        <w:t>u</w:t>
      </w:r>
      <w:r w:rsidRPr="00FC39F9">
        <w:rPr>
          <w:rFonts w:ascii="Arial" w:hAnsi="Arial"/>
          <w:color w:val="000000" w:themeColor="text1"/>
          <w:sz w:val="22"/>
          <w:szCs w:val="22"/>
          <w:lang w:val="sr-Latn-ME"/>
        </w:rPr>
        <w:t>sljed čega je Izvještaj sa spisima predmeta sačinjenim u postupku unutrašnje kontrole dostavljen direktoru Uprave policije na dalju nadležnost i</w:t>
      </w:r>
    </w:p>
    <w:p w:rsidR="00905AAF" w:rsidRDefault="00821EB4" w:rsidP="002F4900">
      <w:pPr>
        <w:pStyle w:val="ListParagraph"/>
        <w:spacing w:after="160" w:line="259" w:lineRule="auto"/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>
        <w:rPr>
          <w:rFonts w:ascii="Arial" w:hAnsi="Arial"/>
          <w:color w:val="000000" w:themeColor="text1"/>
          <w:sz w:val="22"/>
          <w:szCs w:val="22"/>
          <w:lang w:val="sr-Latn-ME"/>
        </w:rPr>
        <w:t>da je isti</w:t>
      </w:r>
      <w:r w:rsidR="00905AAF" w:rsidRPr="0035146D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policisjki službenik postupio suprotno Kodeksu policijske etike, usljed čega je Izvještaj</w:t>
      </w:r>
      <w:r w:rsidR="00905AAF">
        <w:rPr>
          <w:rFonts w:ascii="Arial" w:hAnsi="Arial"/>
          <w:i/>
          <w:color w:val="000000" w:themeColor="text1"/>
          <w:sz w:val="18"/>
          <w:szCs w:val="18"/>
          <w:lang w:val="sr-Latn-ME"/>
        </w:rPr>
        <w:t xml:space="preserve"> </w:t>
      </w:r>
      <w:r w:rsidR="00905AAF" w:rsidRPr="0035146D">
        <w:rPr>
          <w:rFonts w:ascii="Arial" w:hAnsi="Arial"/>
          <w:color w:val="000000" w:themeColor="text1"/>
          <w:sz w:val="22"/>
          <w:szCs w:val="22"/>
          <w:lang w:val="sr-Latn-ME"/>
        </w:rPr>
        <w:t>unutrašnje kontrole dostavljen Etičkom odboru na ocjenu etičnosti postupanja policijskog službenika.</w:t>
      </w:r>
    </w:p>
    <w:p w:rsidR="002F4900" w:rsidRDefault="002F4900" w:rsidP="002F4900">
      <w:pPr>
        <w:pStyle w:val="ListParagraph"/>
        <w:ind w:left="420"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905AAF" w:rsidRPr="002F4900" w:rsidRDefault="00905AAF" w:rsidP="002F4900">
      <w:pPr>
        <w:pStyle w:val="ListParagraph"/>
        <w:numPr>
          <w:ilvl w:val="0"/>
          <w:numId w:val="1"/>
        </w:num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2F4900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U četvrtom slučaju, </w:t>
      </w:r>
      <w:r w:rsidRPr="002F4900">
        <w:rPr>
          <w:rFonts w:ascii="Arial" w:hAnsi="Arial"/>
          <w:sz w:val="22"/>
          <w:szCs w:val="22"/>
          <w:lang w:val="sr-Latn-ME"/>
        </w:rPr>
        <w:t>na osnovu utvrđenog činjeničnog stanja u postupku unutrašnje kontrole, sagledavajući zakonitost po</w:t>
      </w:r>
      <w:r w:rsidR="002F4900" w:rsidRPr="002F4900">
        <w:rPr>
          <w:rFonts w:ascii="Arial" w:hAnsi="Arial"/>
          <w:sz w:val="22"/>
          <w:szCs w:val="22"/>
          <w:lang w:val="sr-Latn-ME"/>
        </w:rPr>
        <w:t>stupanja policijskih službenika</w:t>
      </w:r>
      <w:r w:rsidRPr="002F4900">
        <w:rPr>
          <w:rFonts w:ascii="Arial" w:hAnsi="Arial"/>
          <w:sz w:val="22"/>
          <w:szCs w:val="22"/>
          <w:lang w:val="sr-Latn-ME"/>
        </w:rPr>
        <w:t xml:space="preserve">, utvrđeno je da postoje osnovi sumnje da je došlo do propusta u radu policisjkog službenika Odjeljenja bezbjednosti Podgorica, </w:t>
      </w:r>
      <w:r w:rsidR="00821EB4" w:rsidRPr="002F4900">
        <w:rPr>
          <w:rFonts w:ascii="Arial" w:hAnsi="Arial"/>
          <w:sz w:val="22"/>
          <w:szCs w:val="22"/>
          <w:lang w:val="sr-Latn-ME"/>
        </w:rPr>
        <w:t>na osnovu čega je</w:t>
      </w:r>
      <w:r w:rsidRPr="002F4900">
        <w:rPr>
          <w:rFonts w:ascii="Arial" w:hAnsi="Arial"/>
          <w:sz w:val="22"/>
          <w:szCs w:val="22"/>
          <w:lang w:val="sr-Latn-ME"/>
        </w:rPr>
        <w:t xml:space="preserve"> ocijenjeno da postoji osnov sumnje da je policijski službenik Stanice kriminalističke policije OB Podgorica, počinio težu povredu službene dužnosti iz člana 173 stav 1 tačka 3 Zakona o unutrašnjim poslovima – preduzimanje ili nepreduzimanje radnje kojom se onemogućava ili otežava obavljanje policijskih poslova i izvršavanje službenih zadataka., usljed čega je Izvještaj o izvršenim provjerama, sa spisima predmeta, upućen direktoru Uprave policije na dalje postupanje- preduzimanje zakonom utvrđenih mjera, u cilju pokretanja postupka za utvrđivanje disciplinske odgovornosti policijskog službenika u predmetnom slučaju.</w:t>
      </w:r>
    </w:p>
    <w:p w:rsidR="00905AAF" w:rsidRDefault="00905AAF" w:rsidP="00905AAF">
      <w:pPr>
        <w:ind w:right="178"/>
        <w:jc w:val="both"/>
        <w:rPr>
          <w:rFonts w:ascii="Arial" w:hAnsi="Arial" w:cs="Arial"/>
          <w:sz w:val="22"/>
          <w:szCs w:val="22"/>
          <w:lang w:val="sr-Latn-ME"/>
        </w:rPr>
      </w:pPr>
    </w:p>
    <w:p w:rsidR="00905AAF" w:rsidRPr="00735B88" w:rsidRDefault="00905AAF" w:rsidP="00905AAF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U preostalih 10  slučajeva, u postupcima unutrašnje kontrole 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nijesu utvrđene činjenice i dokazi koji bi ukazivali na nezakonito i/ili neprofesionalno postupanje policijskih službenika u predmetn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i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m slučaj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evima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.</w:t>
      </w:r>
    </w:p>
    <w:p w:rsidR="00975123" w:rsidRDefault="00975123" w:rsidP="00975123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75123" w:rsidRDefault="00975123" w:rsidP="00975123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D04A9E" w:rsidRPr="00735B88" w:rsidRDefault="00D04A9E" w:rsidP="00D04A9E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D04A9E" w:rsidRPr="00735B88" w:rsidRDefault="00D04A9E" w:rsidP="00D04A9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žalbe građana </w:t>
      </w:r>
    </w:p>
    <w:p w:rsidR="00D04A9E" w:rsidRPr="00735B88" w:rsidRDefault="00D04A9E" w:rsidP="00D04A9E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  <w:r w:rsidRPr="00735B88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</w:p>
    <w:p w:rsidR="00D04A9E" w:rsidRPr="00735B88" w:rsidRDefault="00D04A9E" w:rsidP="00D04A9E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Službenici Odjeljenja za unutraš</w:t>
      </w:r>
      <w:r>
        <w:rPr>
          <w:rFonts w:ascii="Arial" w:hAnsi="Arial" w:cs="Arial"/>
          <w:sz w:val="22"/>
          <w:szCs w:val="22"/>
          <w:lang w:val="sr-Latn-ME"/>
        </w:rPr>
        <w:t>nju kontrolu policije su tokom marta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kontrole zakonitosti postupanja policijskih službenika na osnovu </w:t>
      </w:r>
      <w:r>
        <w:rPr>
          <w:rFonts w:ascii="Arial" w:hAnsi="Arial" w:cs="Arial"/>
          <w:sz w:val="22"/>
          <w:szCs w:val="22"/>
          <w:lang w:val="sr-Latn-ME"/>
        </w:rPr>
        <w:t>10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pritužb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D04A9E" w:rsidRPr="00735B88" w:rsidRDefault="00D04A9E" w:rsidP="00D04A9E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D04A9E" w:rsidRDefault="00D04A9E" w:rsidP="00D04A9E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D04A9E" w:rsidRDefault="00D04A9E" w:rsidP="00D04A9E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 tri slučaja unutrašnjih kontrola povodom pritužbi građana utvrđeno je postojanje elemenata disciplinske odgovornosti, kao i prekršaja Kodeksa policijske etike, usljed čega je :</w:t>
      </w:r>
    </w:p>
    <w:p w:rsidR="00D04A9E" w:rsidRDefault="00D04A9E" w:rsidP="00D04A9E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D04A9E" w:rsidRPr="00437C91" w:rsidRDefault="00D04A9E" w:rsidP="00D04A9E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437C91">
        <w:rPr>
          <w:rFonts w:ascii="Arial" w:hAnsi="Arial" w:cs="Arial"/>
          <w:sz w:val="22"/>
          <w:szCs w:val="22"/>
          <w:lang w:val="sr-Latn-ME"/>
        </w:rPr>
        <w:t>U j</w:t>
      </w:r>
      <w:r>
        <w:rPr>
          <w:rFonts w:ascii="Arial" w:hAnsi="Arial" w:cs="Arial"/>
          <w:sz w:val="22"/>
          <w:szCs w:val="22"/>
          <w:lang w:val="sr-Latn-ME"/>
        </w:rPr>
        <w:t>ednom slučaju, n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a osnovu činjenica i dokaza utvrđenih u postupku unutrašnje kontrole, utvrđeno da je policijski službenik S</w:t>
      </w:r>
      <w:r w:rsidR="00247394">
        <w:rPr>
          <w:rFonts w:ascii="Arial" w:hAnsi="Arial"/>
          <w:color w:val="000000"/>
          <w:sz w:val="22"/>
          <w:szCs w:val="22"/>
          <w:lang w:val="sr-Latn-ME"/>
        </w:rPr>
        <w:t>tanice kriminalističke policije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 xml:space="preserve">, </w:t>
      </w:r>
      <w:r>
        <w:rPr>
          <w:rFonts w:ascii="Arial" w:hAnsi="Arial"/>
          <w:color w:val="000000"/>
          <w:sz w:val="22"/>
          <w:szCs w:val="22"/>
          <w:lang w:val="sr-Latn-ME"/>
        </w:rPr>
        <w:t xml:space="preserve">Ojdeljenja bezbjednosti Podgorica, 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počinio težu povredu službene dužnosti  iz člana 95 stav 1 tačka 1 Zakona o državnim službenicima i namještenicima – neizvršavanje ili nesavjesno ili neblagovremeno ili nemarno vršenje službenih obav</w:t>
      </w:r>
      <w:r>
        <w:rPr>
          <w:rFonts w:ascii="Arial" w:hAnsi="Arial"/>
          <w:color w:val="000000"/>
          <w:sz w:val="22"/>
          <w:szCs w:val="22"/>
          <w:lang w:val="sr-Latn-ME"/>
        </w:rPr>
        <w:t>eza, usljed čega je Izvještaj o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 xml:space="preserve"> izvršenoj unutrašnjoj kontroli sa spisima predmeta dostavljen direktoru Uprave policije u cilju preduzimanja mjera iz nadležnosti i pokretanja postupka za utvrđivanje disciplinske odgovornosti. Takođe, Izvještaj sa spisima je dostavljen i nadležnom državnom tužilaštvu 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lastRenderedPageBreak/>
        <w:t>u Podgorici na konačnu ocjenu i odlučivanje o eventualnom postojanju elemenata krivične odgovornosti u radnjama i postupanju policijskog službenika u predmetnom slučaju.</w:t>
      </w:r>
    </w:p>
    <w:p w:rsidR="00D04A9E" w:rsidRPr="00437C91" w:rsidRDefault="00D04A9E" w:rsidP="00D04A9E">
      <w:pPr>
        <w:pStyle w:val="ListParagraph"/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</w:p>
    <w:p w:rsidR="00D04A9E" w:rsidRPr="00437C91" w:rsidRDefault="00D04A9E" w:rsidP="00D04A9E">
      <w:pPr>
        <w:pStyle w:val="ListParagraph"/>
        <w:keepNext/>
        <w:numPr>
          <w:ilvl w:val="0"/>
          <w:numId w:val="3"/>
        </w:numPr>
        <w:shd w:val="clear" w:color="auto" w:fill="FFFFFF" w:themeFill="background1"/>
        <w:ind w:right="-57"/>
        <w:jc w:val="both"/>
        <w:outlineLvl w:val="1"/>
        <w:rPr>
          <w:rFonts w:ascii="Arial" w:hAnsi="Arial" w:cstheme="minorBidi"/>
          <w:color w:val="000000"/>
          <w:sz w:val="22"/>
          <w:szCs w:val="22"/>
          <w:lang w:val="sr-Latn-ME"/>
        </w:rPr>
      </w:pPr>
      <w:r w:rsidRPr="00437C91">
        <w:rPr>
          <w:rFonts w:ascii="Arial" w:hAnsi="Arial" w:cs="Arial"/>
          <w:sz w:val="22"/>
          <w:szCs w:val="22"/>
          <w:lang w:val="sr-Latn-ME"/>
        </w:rPr>
        <w:t xml:space="preserve">U drugom slučaju, 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na osnovu činjenica i dokaza utvrđenih u postupku unutrašnje kontrole povodom predmetnog slučaja, konstatovano je da postoji osnovana sumnja da je policijski službenik Odje</w:t>
      </w:r>
      <w:r w:rsidR="00BB65C9">
        <w:rPr>
          <w:rFonts w:ascii="Arial" w:hAnsi="Arial"/>
          <w:color w:val="000000"/>
          <w:sz w:val="22"/>
          <w:szCs w:val="22"/>
          <w:lang w:val="sr-Latn-ME"/>
        </w:rPr>
        <w:t>lje</w:t>
      </w:r>
      <w:bookmarkStart w:id="0" w:name="_GoBack"/>
      <w:bookmarkEnd w:id="0"/>
      <w:r w:rsidRPr="00437C91">
        <w:rPr>
          <w:rFonts w:ascii="Arial" w:hAnsi="Arial"/>
          <w:color w:val="000000"/>
          <w:sz w:val="22"/>
          <w:szCs w:val="22"/>
          <w:lang w:val="sr-Latn-ME"/>
        </w:rPr>
        <w:t>nja bezbjednosti Ulcinj, počinio težu povredu službene dužnosti iz člana 173 stav 1 tačka 24 Zakona o unutrašnjim poslovima (nesačinjavanje ili neblagovremeno, nepotpuno ili neuredno sačinjavanje službenog dokumenta o preduzimanju radnje ili primjeni policijskog ovlašćenja) usljed čega je Izvještaj sa spisima predmeta sačinjenim u postupku unutrašnje kontrole, dostavljen direktoru Uprave policije na dalju nadležnost u cilju pokretanja postupka za utvrđivanje disciplinske odgovornosti policijskog službenika u predmetnom slučaju.Takođe, Izvještaj sa spi</w:t>
      </w:r>
      <w:r>
        <w:rPr>
          <w:rFonts w:ascii="Arial" w:hAnsi="Arial"/>
          <w:color w:val="000000"/>
          <w:sz w:val="22"/>
          <w:szCs w:val="22"/>
          <w:lang w:val="sr-Latn-ME"/>
        </w:rPr>
        <w:t>si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ma predmeta unutrašnje kontrole dostavljen je i Etičkom odboru Uprave policije na ocjenu etičnosti postupanja</w:t>
      </w:r>
      <w:r>
        <w:rPr>
          <w:rFonts w:ascii="Arial" w:hAnsi="Arial"/>
          <w:color w:val="000000"/>
          <w:sz w:val="22"/>
          <w:szCs w:val="22"/>
          <w:lang w:val="sr-Latn-ME"/>
        </w:rPr>
        <w:t xml:space="preserve"> dva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 xml:space="preserve"> policijsk</w:t>
      </w:r>
      <w:r>
        <w:rPr>
          <w:rFonts w:ascii="Arial" w:hAnsi="Arial"/>
          <w:color w:val="000000"/>
          <w:sz w:val="22"/>
          <w:szCs w:val="22"/>
          <w:lang w:val="sr-Latn-ME"/>
        </w:rPr>
        <w:t>a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 xml:space="preserve"> službenika. </w:t>
      </w:r>
    </w:p>
    <w:p w:rsidR="00D04A9E" w:rsidRPr="00437C91" w:rsidRDefault="00D04A9E" w:rsidP="00D04A9E">
      <w:pPr>
        <w:pStyle w:val="ListParagraph"/>
        <w:rPr>
          <w:rFonts w:ascii="Arial" w:hAnsi="Arial" w:cstheme="minorBidi"/>
          <w:color w:val="000000"/>
          <w:sz w:val="22"/>
          <w:szCs w:val="22"/>
          <w:lang w:val="sr-Latn-ME"/>
        </w:rPr>
      </w:pPr>
    </w:p>
    <w:p w:rsidR="00D04A9E" w:rsidRPr="00437C91" w:rsidRDefault="00D04A9E" w:rsidP="00D04A9E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>
        <w:rPr>
          <w:rFonts w:ascii="Arial" w:hAnsi="Arial"/>
          <w:color w:val="000000"/>
          <w:sz w:val="22"/>
          <w:szCs w:val="22"/>
          <w:lang w:val="sr-Latn-ME"/>
        </w:rPr>
        <w:t>U trećem slučaju, n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a osnovu činjenica i dokaza utvrđenih u postupku unutrašnje kontrole povodom predmetnog slučaja, konstatovano je da postoji osnovana sumnja da je policijski službenik Stanice kriminalističke policije Odjel</w:t>
      </w:r>
      <w:r>
        <w:rPr>
          <w:rFonts w:ascii="Arial" w:hAnsi="Arial"/>
          <w:color w:val="000000"/>
          <w:sz w:val="22"/>
          <w:szCs w:val="22"/>
          <w:lang w:val="sr-Latn-ME"/>
        </w:rPr>
        <w:t>jenja bezbjednosti Danilovgrad</w:t>
      </w:r>
      <w:r w:rsidRPr="00437C91">
        <w:rPr>
          <w:rFonts w:ascii="Arial" w:hAnsi="Arial"/>
          <w:color w:val="000000"/>
          <w:sz w:val="22"/>
          <w:szCs w:val="22"/>
          <w:lang w:val="sr-Latn-ME"/>
        </w:rPr>
        <w:t>, postupio suprotno Kodeksu policijske etike, usljed čega je Izvještaj sa spisima predmeta unutrašnje kontrole dostavljen Etičkom odboru Uprave policije na ocjenu etičnosti postupanja policijskog službenika.</w:t>
      </w:r>
    </w:p>
    <w:p w:rsidR="00D04A9E" w:rsidRPr="00437C91" w:rsidRDefault="00D04A9E" w:rsidP="00D04A9E">
      <w:pPr>
        <w:pStyle w:val="ListParagrap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</w:p>
    <w:p w:rsidR="00D04A9E" w:rsidRDefault="00D04A9E" w:rsidP="00D04A9E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► U </w:t>
      </w:r>
      <w:r>
        <w:rPr>
          <w:rFonts w:ascii="Arial" w:hAnsi="Arial" w:cs="Arial"/>
          <w:sz w:val="22"/>
          <w:szCs w:val="22"/>
          <w:lang w:val="sr-Latn-ME"/>
        </w:rPr>
        <w:t xml:space="preserve">preostalih  sedam </w:t>
      </w:r>
      <w:r w:rsidRPr="00735B88">
        <w:rPr>
          <w:rFonts w:ascii="Arial" w:hAnsi="Arial"/>
          <w:bCs/>
          <w:sz w:val="22"/>
          <w:szCs w:val="22"/>
          <w:lang w:val="sr-Latn-ME"/>
        </w:rPr>
        <w:t>postupa</w:t>
      </w:r>
      <w:r>
        <w:rPr>
          <w:rFonts w:ascii="Arial" w:hAnsi="Arial"/>
          <w:bCs/>
          <w:sz w:val="22"/>
          <w:szCs w:val="22"/>
          <w:lang w:val="sr-Latn-ME"/>
        </w:rPr>
        <w:t>ka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predmetnim slučajevima.</w:t>
      </w:r>
    </w:p>
    <w:p w:rsidR="00975123" w:rsidRDefault="00975123" w:rsidP="0097512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975123" w:rsidRDefault="00975123" w:rsidP="00975123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F30243" w:rsidRDefault="00F30243"/>
    <w:sectPr w:rsidR="00F30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7AE2"/>
    <w:multiLevelType w:val="hybridMultilevel"/>
    <w:tmpl w:val="DD164D64"/>
    <w:lvl w:ilvl="0" w:tplc="3DE6F1C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4F2B"/>
    <w:multiLevelType w:val="hybridMultilevel"/>
    <w:tmpl w:val="A53C946C"/>
    <w:lvl w:ilvl="0" w:tplc="387682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3666"/>
    <w:multiLevelType w:val="hybridMultilevel"/>
    <w:tmpl w:val="453C70AE"/>
    <w:lvl w:ilvl="0" w:tplc="37AE5FB4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2F"/>
    <w:rsid w:val="00247394"/>
    <w:rsid w:val="002F4900"/>
    <w:rsid w:val="003F4E2F"/>
    <w:rsid w:val="00821EB4"/>
    <w:rsid w:val="00905AAF"/>
    <w:rsid w:val="00975123"/>
    <w:rsid w:val="00BB65C9"/>
    <w:rsid w:val="00D04A9E"/>
    <w:rsid w:val="00D22A0B"/>
    <w:rsid w:val="00DB0849"/>
    <w:rsid w:val="00F30243"/>
    <w:rsid w:val="00F3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79DA"/>
  <w15:chartTrackingRefBased/>
  <w15:docId w15:val="{06B990F7-2DFD-46F7-AF83-1268E37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123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975123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97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975123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90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10</cp:revision>
  <dcterms:created xsi:type="dcterms:W3CDTF">2026-05-05T07:07:00Z</dcterms:created>
  <dcterms:modified xsi:type="dcterms:W3CDTF">2026-05-06T08:54:00Z</dcterms:modified>
</cp:coreProperties>
</file>