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71D" w:rsidRDefault="0043741F" w:rsidP="00E05C3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.25pt;margin-top:-7.5pt;width:315pt;height:100.5pt;z-index:251658240;mso-position-horizontal-relative:text;mso-position-vertical-relative:text" stroked="f">
            <v:textbox style="mso-next-textbox:#_x0000_s1027">
              <w:txbxContent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A9171D" w:rsidRDefault="00A9171D" w:rsidP="00A9171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lang w:val="sl-SI"/>
                    </w:rPr>
                    <w:t xml:space="preserve">                                                             </w:t>
                  </w:r>
                </w:p>
              </w:txbxContent>
            </v:textbox>
            <w10:wrap side="left"/>
          </v:shape>
        </w:pict>
      </w:r>
      <w:r w:rsidR="00A9171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171D"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E05C3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E05C3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E05C3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E05C3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A9171D" w:rsidRDefault="00A9171D" w:rsidP="00E05C36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E05C36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E05C36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E05C36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D56781">
        <w:rPr>
          <w:rFonts w:ascii="Arial" w:hAnsi="Arial" w:cs="Arial"/>
          <w:sz w:val="21"/>
          <w:szCs w:val="21"/>
        </w:rPr>
        <w:t xml:space="preserve"> </w:t>
      </w:r>
      <w:r w:rsidR="00523D7F">
        <w:rPr>
          <w:rFonts w:ascii="Arial" w:hAnsi="Arial" w:cs="Arial"/>
          <w:sz w:val="21"/>
          <w:szCs w:val="21"/>
        </w:rPr>
        <w:t xml:space="preserve">MAJ </w:t>
      </w:r>
      <w:r w:rsidR="004C19F2">
        <w:rPr>
          <w:rFonts w:ascii="Arial" w:hAnsi="Arial" w:cs="Arial"/>
          <w:sz w:val="21"/>
          <w:szCs w:val="21"/>
        </w:rPr>
        <w:t xml:space="preserve"> </w:t>
      </w:r>
      <w:r w:rsidR="00B05599">
        <w:rPr>
          <w:rFonts w:ascii="Arial" w:hAnsi="Arial" w:cs="Arial"/>
          <w:sz w:val="21"/>
          <w:szCs w:val="21"/>
        </w:rPr>
        <w:t>202</w:t>
      </w:r>
      <w:r w:rsidR="00BD3CBC">
        <w:rPr>
          <w:rFonts w:ascii="Arial" w:hAnsi="Arial" w:cs="Arial"/>
          <w:sz w:val="21"/>
          <w:szCs w:val="21"/>
        </w:rPr>
        <w:t>5</w:t>
      </w:r>
    </w:p>
    <w:p w:rsidR="00FF29D7" w:rsidRDefault="00FF29D7" w:rsidP="00E05C36">
      <w:pPr>
        <w:pStyle w:val="Title"/>
        <w:rPr>
          <w:rFonts w:ascii="Arial" w:hAnsi="Arial" w:cs="Arial"/>
          <w:sz w:val="21"/>
          <w:szCs w:val="21"/>
        </w:rPr>
      </w:pPr>
    </w:p>
    <w:p w:rsidR="00175FF6" w:rsidRPr="00E912A9" w:rsidRDefault="00175FF6" w:rsidP="00E05C36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</w:p>
    <w:p w:rsidR="001A02C8" w:rsidRPr="003C417F" w:rsidRDefault="001A02C8" w:rsidP="00E05C3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r w:rsidRPr="003C417F">
        <w:rPr>
          <w:rFonts w:ascii="Arial" w:eastAsia="Calibri" w:hAnsi="Arial" w:cs="Arial"/>
          <w:lang w:val="sr-Latn-ME"/>
        </w:rPr>
        <w:t>● ● ◊ ● ●</w:t>
      </w:r>
    </w:p>
    <w:p w:rsidR="001A02C8" w:rsidRDefault="001A02C8" w:rsidP="00E05C3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  <w:r w:rsidRPr="003C417F">
        <w:rPr>
          <w:rFonts w:ascii="Arial" w:hAnsi="Arial" w:cs="Arial"/>
          <w:b/>
          <w:bCs/>
          <w:lang w:val="sr-Latn-ME"/>
        </w:rPr>
        <w:t xml:space="preserve">■ Kontrole </w:t>
      </w:r>
      <w:r>
        <w:rPr>
          <w:rFonts w:ascii="Arial" w:hAnsi="Arial" w:cs="Arial"/>
          <w:b/>
          <w:bCs/>
          <w:lang w:val="sr-Latn-ME"/>
        </w:rPr>
        <w:t>po službenoj dužnosti</w:t>
      </w:r>
      <w:r w:rsidRPr="003C417F">
        <w:rPr>
          <w:rFonts w:ascii="Arial" w:hAnsi="Arial" w:cs="Arial"/>
          <w:b/>
          <w:bCs/>
          <w:lang w:val="sr-Latn-ME"/>
        </w:rPr>
        <w:t xml:space="preserve"> </w:t>
      </w:r>
    </w:p>
    <w:p w:rsidR="004A7D82" w:rsidRDefault="004A7D82" w:rsidP="00E05C3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</w:p>
    <w:p w:rsidR="00523D7F" w:rsidRPr="005E693B" w:rsidRDefault="00523D7F" w:rsidP="00523D7F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5E693B">
        <w:rPr>
          <w:rFonts w:ascii="Arial" w:hAnsi="Arial" w:cs="Arial"/>
          <w:lang w:val="sr-Latn-ME"/>
        </w:rPr>
        <w:t xml:space="preserve">Službenici Odjeljenja za unutrašnju kontrolu policije su tokom </w:t>
      </w:r>
      <w:r>
        <w:rPr>
          <w:rFonts w:ascii="Arial" w:hAnsi="Arial" w:cs="Arial"/>
          <w:lang w:val="sr-Latn-ME"/>
        </w:rPr>
        <w:t>maja 2025.godine, izvršili  četiri kontrole</w:t>
      </w:r>
      <w:r w:rsidRPr="005E693B">
        <w:rPr>
          <w:rFonts w:ascii="Arial" w:hAnsi="Arial" w:cs="Arial"/>
          <w:lang w:val="sr-Latn-ME"/>
        </w:rPr>
        <w:t xml:space="preserve"> – provjer</w:t>
      </w:r>
      <w:r>
        <w:rPr>
          <w:rFonts w:ascii="Arial" w:hAnsi="Arial" w:cs="Arial"/>
          <w:lang w:val="sr-Latn-ME"/>
        </w:rPr>
        <w:t>e</w:t>
      </w:r>
      <w:r w:rsidRPr="005E693B">
        <w:rPr>
          <w:rFonts w:ascii="Arial" w:hAnsi="Arial" w:cs="Arial"/>
          <w:lang w:val="sr-Latn-ME"/>
        </w:rPr>
        <w:t xml:space="preserve"> zakonitosti postupanja policijskih službenika na osnovu operativnih i drugih saznanja o mogućim nezakonitostima i nepravilnostima u radu i postupanju policijskih službenika.</w:t>
      </w:r>
    </w:p>
    <w:p w:rsidR="00523D7F" w:rsidRPr="005E693B" w:rsidRDefault="00523D7F" w:rsidP="00523D7F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523D7F" w:rsidRDefault="00523D7F" w:rsidP="00523D7F">
      <w:pPr>
        <w:spacing w:after="0" w:line="240" w:lineRule="auto"/>
        <w:jc w:val="both"/>
        <w:rPr>
          <w:rFonts w:ascii="Arial" w:hAnsi="Arial"/>
          <w:lang w:val="sr-Latn-ME"/>
        </w:rPr>
      </w:pPr>
      <w:r>
        <w:rPr>
          <w:rFonts w:ascii="Arial" w:hAnsi="Arial" w:cs="Arial"/>
          <w:iCs/>
          <w:lang w:val="sr-Latn-ME"/>
        </w:rPr>
        <w:t xml:space="preserve">U postupku unutrašnje kontrole, u sva četiri slučaja, nijesu utvrđene činjenice </w:t>
      </w:r>
      <w:r w:rsidRPr="006F267B">
        <w:rPr>
          <w:rFonts w:ascii="Arial" w:hAnsi="Arial"/>
          <w:lang w:val="sr-Latn-ME"/>
        </w:rPr>
        <w:t>i dokazi koji bi ukazali na nezakonito ili neprofesionalno postupanje policijsk</w:t>
      </w:r>
      <w:r>
        <w:rPr>
          <w:rFonts w:ascii="Arial" w:hAnsi="Arial"/>
          <w:lang w:val="sr-Latn-ME"/>
        </w:rPr>
        <w:t>ih službenika u ovim slučajevima.</w:t>
      </w:r>
    </w:p>
    <w:p w:rsidR="00523D7F" w:rsidRDefault="00523D7F" w:rsidP="00523D7F">
      <w:pPr>
        <w:spacing w:after="0" w:line="240" w:lineRule="auto"/>
        <w:jc w:val="both"/>
        <w:rPr>
          <w:rFonts w:ascii="Arial" w:hAnsi="Arial"/>
          <w:lang w:val="sr-Latn-ME"/>
        </w:rPr>
      </w:pPr>
    </w:p>
    <w:p w:rsidR="00523D7F" w:rsidRDefault="00523D7F" w:rsidP="00523D7F">
      <w:pPr>
        <w:spacing w:after="0" w:line="240" w:lineRule="auto"/>
        <w:jc w:val="both"/>
        <w:rPr>
          <w:rFonts w:ascii="Arial" w:hAnsi="Arial"/>
          <w:lang w:val="sr-Latn-ME"/>
        </w:rPr>
      </w:pPr>
      <w:r>
        <w:rPr>
          <w:rFonts w:ascii="Arial" w:hAnsi="Arial"/>
          <w:lang w:val="sr-Latn-ME"/>
        </w:rPr>
        <w:t>S obzirom na činjenicu da su, u tri od navedenih slučajeva kontrole – provjere inicirane od strane nadležnih državnih tužilaštava, Izvještaji sa spisima sačinjenim u postupcima unutrašnje kontrole, dostavljeni su ovim tužilaštvima, sa utvrđenim činjeničnim stanjem, tj. uz konstataciju da nijesu potvrđeni navodi o nezakonitom ili neprofesionalnom postupanju policijskih službenika u odnosu na lica u koja su u postupcima pred tim tužilaštvima dala izjave da su bila podvrgnuta neprofesionalnom postupanju od strane policijskih službenika.</w:t>
      </w:r>
    </w:p>
    <w:p w:rsidR="00523D7F" w:rsidRDefault="00523D7F" w:rsidP="00523D7F">
      <w:pPr>
        <w:spacing w:after="0" w:line="240" w:lineRule="auto"/>
        <w:jc w:val="both"/>
        <w:rPr>
          <w:rFonts w:ascii="Arial" w:hAnsi="Arial"/>
          <w:lang w:val="sr-Latn-ME"/>
        </w:rPr>
      </w:pPr>
    </w:p>
    <w:p w:rsidR="00523D7F" w:rsidRPr="00E83061" w:rsidRDefault="00523D7F" w:rsidP="00523D7F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  <w:r>
        <w:rPr>
          <w:rFonts w:ascii="Arial" w:hAnsi="Arial"/>
          <w:lang w:val="sr-Latn-ME"/>
        </w:rPr>
        <w:t xml:space="preserve">Takođe, u jednom slučaju kontrole inicirane po prijavi advokata kao punomoćnika stranog državljanina, nijesu </w:t>
      </w:r>
      <w:r w:rsidRPr="006F267B">
        <w:rPr>
          <w:rFonts w:ascii="Arial" w:hAnsi="Arial"/>
          <w:lang w:val="sr-Latn-ME"/>
        </w:rPr>
        <w:t>utvrđene činjenice i dokazi koji bi ukazali na nezakonito ili neprofesionalno postupanje policijskog službenika</w:t>
      </w:r>
      <w:r>
        <w:rPr>
          <w:rFonts w:ascii="Arial" w:hAnsi="Arial"/>
          <w:lang w:val="sr-Latn-ME"/>
        </w:rPr>
        <w:t xml:space="preserve"> u predmetnom slučaju, dok je Izvještaj o izvršenoj unutrašnjoj kontroli, sa spisima predmeta, na usmeni zahtjev Osnovnog državnog tužilaštva u Kotoru, dostavljen tom tužilaštvu, na dalju nadležnost, postupak, ocjenu i odlučivanje o eventualnom postojanju elemenata krivičnog djela za koje se gonjenje preduzima po službenoj dužnosti.</w:t>
      </w:r>
    </w:p>
    <w:p w:rsidR="00E05C36" w:rsidRPr="006F267B" w:rsidRDefault="00E05C36" w:rsidP="00523D7F">
      <w:pPr>
        <w:spacing w:after="0" w:line="240" w:lineRule="auto"/>
        <w:jc w:val="both"/>
        <w:rPr>
          <w:rFonts w:ascii="Arial" w:hAnsi="Arial"/>
          <w:noProof/>
          <w:lang w:val="sr-Latn-ME"/>
        </w:rPr>
      </w:pPr>
    </w:p>
    <w:p w:rsidR="001A02C8" w:rsidRPr="003C417F" w:rsidRDefault="001A02C8" w:rsidP="00523D7F">
      <w:pPr>
        <w:spacing w:after="0" w:line="240" w:lineRule="auto"/>
        <w:ind w:right="178" w:firstLine="720"/>
        <w:jc w:val="both"/>
        <w:rPr>
          <w:rFonts w:ascii="Arial" w:hAnsi="Arial"/>
          <w:noProof/>
          <w:lang w:val="sr-Latn-ME"/>
        </w:rPr>
      </w:pPr>
    </w:p>
    <w:p w:rsidR="001A02C8" w:rsidRDefault="001A02C8" w:rsidP="00E05C3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  <w:r w:rsidRPr="003C417F">
        <w:rPr>
          <w:rFonts w:ascii="Arial" w:hAnsi="Arial" w:cs="Arial"/>
          <w:b/>
          <w:bCs/>
          <w:lang w:val="sr-Latn-ME"/>
        </w:rPr>
        <w:t>■</w:t>
      </w:r>
      <w:r w:rsidR="009F6AD5">
        <w:rPr>
          <w:rFonts w:ascii="Arial" w:hAnsi="Arial" w:cs="Arial"/>
          <w:b/>
          <w:bCs/>
          <w:lang w:val="sr-Latn-ME"/>
        </w:rPr>
        <w:t xml:space="preserve"> </w:t>
      </w:r>
      <w:r w:rsidRPr="003C417F">
        <w:rPr>
          <w:rFonts w:ascii="Arial" w:hAnsi="Arial" w:cs="Arial"/>
          <w:b/>
          <w:bCs/>
          <w:lang w:val="sr-Latn-ME"/>
        </w:rPr>
        <w:t xml:space="preserve">Pritužbe – žalbe građana </w:t>
      </w:r>
    </w:p>
    <w:p w:rsidR="0019548F" w:rsidRDefault="0019548F" w:rsidP="00E05C3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</w:p>
    <w:p w:rsidR="0019548F" w:rsidRPr="0056562F" w:rsidRDefault="0019548F" w:rsidP="0019548F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56562F">
        <w:rPr>
          <w:rFonts w:ascii="Arial" w:hAnsi="Arial" w:cs="Arial"/>
          <w:lang w:val="sr-Latn-ME"/>
        </w:rPr>
        <w:t xml:space="preserve">Službenici Odjeljenja za unutrašnju kontrolu policije su tokom maja 2025.godine, izvršili kontrolu zakonitosti postupanja policijskih službenika na osnovu četiri pritužbe </w:t>
      </w:r>
      <w:r>
        <w:rPr>
          <w:rFonts w:ascii="Arial" w:hAnsi="Arial" w:cs="Arial"/>
          <w:lang w:val="sr-Latn-ME"/>
        </w:rPr>
        <w:t xml:space="preserve">građana </w:t>
      </w:r>
      <w:r w:rsidRPr="0056562F">
        <w:rPr>
          <w:rFonts w:ascii="Arial" w:hAnsi="Arial" w:cs="Arial"/>
          <w:lang w:val="sr-Latn-ME"/>
        </w:rPr>
        <w:t>na postupanje policijskih službenika.</w:t>
      </w:r>
    </w:p>
    <w:p w:rsidR="0019548F" w:rsidRPr="0056562F" w:rsidRDefault="0019548F" w:rsidP="0019548F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19548F" w:rsidRPr="0056562F" w:rsidRDefault="0019548F" w:rsidP="0019548F">
      <w:pPr>
        <w:spacing w:after="0" w:line="240" w:lineRule="auto"/>
        <w:ind w:right="-108" w:firstLine="720"/>
        <w:jc w:val="both"/>
        <w:rPr>
          <w:rFonts w:ascii="Arial" w:hAnsi="Arial" w:cs="Arial"/>
          <w:lang w:val="sr-Latn-ME"/>
        </w:rPr>
      </w:pPr>
      <w:r w:rsidRPr="0056562F">
        <w:rPr>
          <w:rFonts w:ascii="Arial" w:hAnsi="Arial" w:cs="Arial"/>
          <w:lang w:val="sr-Latn-ME"/>
        </w:rPr>
        <w:t>Pritužbe su se sadržinski odnosile na način vršenja policijskih poslova i primjenu policijskih ovlašćenja.</w:t>
      </w:r>
    </w:p>
    <w:p w:rsidR="0019548F" w:rsidRPr="0056562F" w:rsidRDefault="0019548F" w:rsidP="0019548F">
      <w:pPr>
        <w:spacing w:after="0" w:line="240" w:lineRule="auto"/>
        <w:ind w:right="-108" w:firstLine="720"/>
        <w:jc w:val="both"/>
        <w:rPr>
          <w:rFonts w:ascii="Arial" w:hAnsi="Arial" w:cs="Arial"/>
          <w:lang w:val="sr-Latn-ME"/>
        </w:rPr>
      </w:pPr>
    </w:p>
    <w:p w:rsidR="0019548F" w:rsidRPr="0056562F" w:rsidRDefault="0019548F" w:rsidP="0019548F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  <w:r w:rsidRPr="0056562F">
        <w:rPr>
          <w:rFonts w:ascii="Arial" w:hAnsi="Arial" w:cs="Arial"/>
          <w:iCs/>
          <w:lang w:val="sr-Latn-ME"/>
        </w:rPr>
        <w:t>Na osnovu činjenica i dokaza utvrđenih u postupku unutrašnje kontrole:</w:t>
      </w:r>
    </w:p>
    <w:p w:rsidR="0019548F" w:rsidRPr="00DA39F2" w:rsidRDefault="0019548F" w:rsidP="0019548F">
      <w:pPr>
        <w:spacing w:after="0" w:line="240" w:lineRule="auto"/>
        <w:jc w:val="both"/>
        <w:rPr>
          <w:rFonts w:ascii="Arial" w:hAnsi="Arial" w:cs="Arial"/>
          <w:iCs/>
          <w:color w:val="FF0000"/>
          <w:lang w:val="sr-Latn-ME"/>
        </w:rPr>
      </w:pPr>
    </w:p>
    <w:p w:rsidR="0019548F" w:rsidRDefault="0019548F" w:rsidP="0019548F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56562F">
        <w:rPr>
          <w:rFonts w:ascii="Arial" w:hAnsi="Arial" w:cs="Arial"/>
          <w:lang w:val="sr-Latn-ME"/>
        </w:rPr>
        <w:t xml:space="preserve">► U </w:t>
      </w:r>
      <w:r>
        <w:rPr>
          <w:rFonts w:ascii="Arial" w:hAnsi="Arial" w:cs="Arial"/>
          <w:lang w:val="sr-Latn-ME"/>
        </w:rPr>
        <w:t>tri</w:t>
      </w:r>
      <w:r w:rsidRPr="0056562F">
        <w:rPr>
          <w:rFonts w:ascii="Arial" w:hAnsi="Arial" w:cs="Arial"/>
          <w:lang w:val="sr-Latn-ME"/>
        </w:rPr>
        <w:t xml:space="preserve"> slučaja utvrđene su izvjesne nezakonitosti ili nepravilnosti u preduzimanju službenih mjera i radnji, usljed čega su</w:t>
      </w:r>
      <w:r>
        <w:rPr>
          <w:rFonts w:ascii="Arial" w:hAnsi="Arial" w:cs="Arial"/>
          <w:lang w:val="sr-Latn-ME"/>
        </w:rPr>
        <w:t>:</w:t>
      </w:r>
    </w:p>
    <w:p w:rsidR="0019548F" w:rsidRDefault="0019548F" w:rsidP="0019548F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19548F" w:rsidRPr="0074322A" w:rsidRDefault="0019548F" w:rsidP="0019548F">
      <w:pPr>
        <w:spacing w:after="0" w:line="240" w:lineRule="auto"/>
        <w:jc w:val="both"/>
        <w:rPr>
          <w:rFonts w:ascii="Arial" w:hAnsi="Arial"/>
          <w:noProof/>
          <w:color w:val="000000"/>
          <w:shd w:val="clear" w:color="auto" w:fill="FFFFFF" w:themeFill="background1"/>
        </w:rPr>
      </w:pPr>
      <w:r>
        <w:rPr>
          <w:rFonts w:ascii="Arial" w:hAnsi="Arial" w:cs="Arial"/>
          <w:lang w:val="sr-Latn-ME"/>
        </w:rPr>
        <w:t>-</w:t>
      </w:r>
      <w:bookmarkStart w:id="0" w:name="_GoBack"/>
      <w:bookmarkEnd w:id="0"/>
      <w:r w:rsidRPr="0074322A">
        <w:rPr>
          <w:rFonts w:ascii="Arial" w:hAnsi="Arial" w:cs="Arial"/>
          <w:lang w:val="sr-Latn-ME"/>
        </w:rPr>
        <w:t xml:space="preserve">U dva slučaja Izvještaji sa spisima sačinjenim u postupku unutrašnje kontrole dostavljeni v.d. direktora Uprave policije </w:t>
      </w:r>
      <w:r w:rsidRPr="0074322A">
        <w:rPr>
          <w:rFonts w:ascii="Arial" w:hAnsi="Arial"/>
          <w:noProof/>
          <w:color w:val="000000"/>
          <w:shd w:val="clear" w:color="auto" w:fill="FFFFFF" w:themeFill="background1"/>
        </w:rPr>
        <w:t xml:space="preserve">na dalje postupanje u cilju pokretanja disciplinskih postupaka protiv tri policijska službenika. </w:t>
      </w:r>
    </w:p>
    <w:p w:rsidR="0019548F" w:rsidRDefault="0019548F" w:rsidP="0019548F">
      <w:pPr>
        <w:spacing w:after="0" w:line="240" w:lineRule="auto"/>
        <w:jc w:val="both"/>
        <w:rPr>
          <w:rFonts w:ascii="Arial" w:hAnsi="Arial"/>
          <w:noProof/>
          <w:color w:val="000000"/>
        </w:rPr>
      </w:pPr>
      <w:r>
        <w:rPr>
          <w:rFonts w:ascii="Arial" w:hAnsi="Arial"/>
          <w:noProof/>
          <w:color w:val="000000"/>
          <w:shd w:val="clear" w:color="auto" w:fill="FFFFFF" w:themeFill="background1"/>
        </w:rPr>
        <w:t xml:space="preserve">Osim navedenog, u jednom od ovih slučajeva </w:t>
      </w:r>
      <w:r w:rsidRPr="0056562F">
        <w:rPr>
          <w:rFonts w:ascii="Arial" w:hAnsi="Arial" w:cs="Arial"/>
          <w:lang w:val="sr-Latn-ME"/>
        </w:rPr>
        <w:t>Izvještaj sa spisima sačinjenim u postupku unutrašnje kontrole</w:t>
      </w:r>
      <w:r>
        <w:rPr>
          <w:rFonts w:ascii="Arial" w:hAnsi="Arial" w:cs="Arial"/>
          <w:lang w:val="sr-Latn-ME"/>
        </w:rPr>
        <w:t xml:space="preserve"> dostavljen je i nadležnom državnom tužilaštvu na</w:t>
      </w:r>
      <w:r w:rsidRPr="00C61A60">
        <w:rPr>
          <w:rFonts w:ascii="Arial" w:hAnsi="Arial"/>
          <w:noProof/>
          <w:color w:val="000000"/>
        </w:rPr>
        <w:t xml:space="preserve"> ocjenu i odlučivanje da li u radnjama i postupanju policijskog službenika ima elemenata krivičnog djela</w:t>
      </w:r>
      <w:r>
        <w:rPr>
          <w:rFonts w:ascii="Arial" w:hAnsi="Arial"/>
          <w:noProof/>
          <w:color w:val="000000"/>
        </w:rPr>
        <w:t>,</w:t>
      </w:r>
      <w:r w:rsidRPr="00C61A60">
        <w:rPr>
          <w:rFonts w:ascii="Arial" w:hAnsi="Arial"/>
          <w:noProof/>
          <w:color w:val="000000"/>
        </w:rPr>
        <w:t xml:space="preserve"> za koje se gonjenje preduzima po službenoj dužnosti.</w:t>
      </w:r>
    </w:p>
    <w:p w:rsidR="0019548F" w:rsidRDefault="0019548F" w:rsidP="0019548F">
      <w:pPr>
        <w:spacing w:after="0" w:line="240" w:lineRule="auto"/>
        <w:jc w:val="both"/>
        <w:rPr>
          <w:rFonts w:ascii="Arial" w:hAnsi="Arial"/>
          <w:noProof/>
          <w:color w:val="000000"/>
          <w:shd w:val="clear" w:color="auto" w:fill="FFFFFF" w:themeFill="background1"/>
        </w:rPr>
      </w:pPr>
    </w:p>
    <w:p w:rsidR="0019548F" w:rsidRDefault="0019548F" w:rsidP="0019548F">
      <w:pPr>
        <w:spacing w:after="0" w:line="240" w:lineRule="auto"/>
        <w:jc w:val="both"/>
        <w:rPr>
          <w:rFonts w:ascii="Arial" w:hAnsi="Arial"/>
          <w:color w:val="000000"/>
          <w:lang w:val="sr-Latn-ME"/>
        </w:rPr>
      </w:pPr>
      <w:r>
        <w:rPr>
          <w:rFonts w:ascii="Arial" w:hAnsi="Arial"/>
          <w:noProof/>
          <w:color w:val="000000"/>
          <w:shd w:val="clear" w:color="auto" w:fill="FFFFFF" w:themeFill="background1"/>
        </w:rPr>
        <w:t xml:space="preserve">Takođe, u jednom od ovih slučajeva Upravi policije je dostavljen i </w:t>
      </w:r>
      <w:r w:rsidRPr="0043531F">
        <w:rPr>
          <w:rFonts w:ascii="Arial" w:hAnsi="Arial"/>
          <w:noProof/>
          <w:color w:val="000000"/>
          <w:shd w:val="clear" w:color="auto" w:fill="FFFFFF" w:themeFill="background1"/>
        </w:rPr>
        <w:t>Predlog za unaprjeđenje stanja u ovoj oblasti</w:t>
      </w:r>
      <w:r>
        <w:rPr>
          <w:rFonts w:ascii="Arial" w:hAnsi="Arial"/>
          <w:noProof/>
          <w:color w:val="000000"/>
          <w:shd w:val="clear" w:color="auto" w:fill="FFFFFF" w:themeFill="background1"/>
        </w:rPr>
        <w:t xml:space="preserve">, koji sadrži instrukcije i preporuke, kako bi </w:t>
      </w:r>
      <w:r>
        <w:rPr>
          <w:rFonts w:ascii="Arial" w:hAnsi="Arial"/>
          <w:color w:val="000000"/>
          <w:lang w:val="sr-Latn-ME"/>
        </w:rPr>
        <w:t>implementacija</w:t>
      </w:r>
      <w:r w:rsidRPr="0043531F">
        <w:rPr>
          <w:rFonts w:ascii="Arial" w:hAnsi="Arial"/>
          <w:color w:val="000000"/>
          <w:lang w:val="sr-Latn-ME"/>
        </w:rPr>
        <w:t xml:space="preserve"> Zakona o bezbjednosti saobraćaja na putevima Crne Gore</w:t>
      </w:r>
      <w:r>
        <w:rPr>
          <w:rFonts w:ascii="Arial" w:hAnsi="Arial"/>
          <w:color w:val="000000"/>
          <w:lang w:val="sr-Latn-ME"/>
        </w:rPr>
        <w:t xml:space="preserve"> od strane policijskih službenika zaduženih za kontrolu i bezbjednost saobraćaja na putevima, bila unaprijeđena i znatno </w:t>
      </w:r>
      <w:r w:rsidRPr="0043531F">
        <w:rPr>
          <w:rFonts w:ascii="Arial" w:hAnsi="Arial"/>
          <w:color w:val="000000"/>
          <w:lang w:val="sr-Latn-ME"/>
        </w:rPr>
        <w:t>kvalitetn</w:t>
      </w:r>
      <w:r>
        <w:rPr>
          <w:rFonts w:ascii="Arial" w:hAnsi="Arial"/>
          <w:color w:val="000000"/>
          <w:lang w:val="sr-Latn-ME"/>
        </w:rPr>
        <w:t>ija.</w:t>
      </w:r>
    </w:p>
    <w:p w:rsidR="0019548F" w:rsidRDefault="0019548F" w:rsidP="0019548F">
      <w:pPr>
        <w:spacing w:after="0" w:line="240" w:lineRule="auto"/>
        <w:jc w:val="both"/>
        <w:rPr>
          <w:rFonts w:ascii="Arial" w:hAnsi="Arial"/>
          <w:color w:val="000000"/>
          <w:lang w:val="sr-Latn-ME"/>
        </w:rPr>
      </w:pPr>
    </w:p>
    <w:p w:rsidR="0019548F" w:rsidRDefault="0019548F" w:rsidP="0019548F">
      <w:pPr>
        <w:shd w:val="clear" w:color="auto" w:fill="FFFFFF" w:themeFill="background1"/>
        <w:spacing w:after="0" w:line="240" w:lineRule="auto"/>
        <w:jc w:val="both"/>
        <w:rPr>
          <w:rFonts w:ascii="Arial" w:hAnsi="Arial"/>
          <w:noProof/>
          <w:color w:val="000000"/>
          <w:shd w:val="clear" w:color="auto" w:fill="FFFFFF" w:themeFill="background1"/>
        </w:rPr>
      </w:pPr>
      <w:r>
        <w:rPr>
          <w:rFonts w:ascii="Arial" w:hAnsi="Arial" w:cs="Arial"/>
          <w:iCs/>
          <w:lang w:val="sr-Latn-ME"/>
        </w:rPr>
        <w:t>-</w:t>
      </w:r>
      <w:r w:rsidRPr="00F35706">
        <w:rPr>
          <w:rFonts w:ascii="Arial" w:hAnsi="Arial" w:cs="Arial"/>
          <w:iCs/>
          <w:lang w:val="sr-Latn-ME"/>
        </w:rPr>
        <w:t xml:space="preserve">U </w:t>
      </w:r>
      <w:r w:rsidRPr="00F35706">
        <w:rPr>
          <w:rFonts w:ascii="Arial" w:hAnsi="Arial" w:cs="Arial"/>
          <w:lang w:val="sr-Latn-ME"/>
        </w:rPr>
        <w:t xml:space="preserve"> jednom slučaju pritužbe, </w:t>
      </w:r>
      <w:r>
        <w:rPr>
          <w:rFonts w:ascii="Arial" w:hAnsi="Arial"/>
          <w:noProof/>
          <w:color w:val="000000"/>
          <w:shd w:val="clear" w:color="auto" w:fill="FFFFFF" w:themeFill="background1"/>
        </w:rPr>
        <w:t>n</w:t>
      </w:r>
      <w:r w:rsidRPr="00FF013A">
        <w:rPr>
          <w:rFonts w:ascii="Arial" w:hAnsi="Arial"/>
          <w:noProof/>
          <w:color w:val="000000"/>
          <w:shd w:val="clear" w:color="auto" w:fill="FFFFFF" w:themeFill="background1"/>
        </w:rPr>
        <w:t>a osnovu utvrđenog činjeničnog stanja i prikupljenih dokaza u postupku unutrašnje kontrole, utvrđeno je da</w:t>
      </w:r>
      <w:r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FF013A">
        <w:rPr>
          <w:rFonts w:ascii="Arial" w:hAnsi="Arial"/>
          <w:noProof/>
          <w:color w:val="000000"/>
          <w:shd w:val="clear" w:color="auto" w:fill="FFFFFF" w:themeFill="background1"/>
        </w:rPr>
        <w:t>postoji osnovana sumnja da je postupanje i ponašanje policijske službenice u predmetnom događaju,</w:t>
      </w:r>
      <w:r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FF013A">
        <w:rPr>
          <w:rFonts w:ascii="Arial" w:hAnsi="Arial"/>
          <w:noProof/>
          <w:color w:val="000000"/>
          <w:shd w:val="clear" w:color="auto" w:fill="FFFFFF" w:themeFill="background1"/>
        </w:rPr>
        <w:t>van vršenja službene dužnosti, u suprotnosti sa Kodeks</w:t>
      </w:r>
      <w:r>
        <w:rPr>
          <w:rFonts w:ascii="Arial" w:hAnsi="Arial"/>
          <w:noProof/>
          <w:color w:val="000000"/>
          <w:shd w:val="clear" w:color="auto" w:fill="FFFFFF" w:themeFill="background1"/>
        </w:rPr>
        <w:t>om policijske etike, uslj</w:t>
      </w:r>
      <w:r w:rsidRPr="00FF013A">
        <w:rPr>
          <w:rFonts w:ascii="Arial" w:hAnsi="Arial"/>
          <w:noProof/>
          <w:color w:val="000000"/>
          <w:shd w:val="clear" w:color="auto" w:fill="FFFFFF" w:themeFill="background1"/>
        </w:rPr>
        <w:t>ed čega je Izvještaj sa spisima sačinjenim u postupku unutrašnje kontrole dostavljen Etičkom odboru na dalji postupak.</w:t>
      </w:r>
    </w:p>
    <w:p w:rsidR="0019548F" w:rsidRDefault="0019548F" w:rsidP="0019548F">
      <w:pPr>
        <w:shd w:val="clear" w:color="auto" w:fill="FFFFFF" w:themeFill="background1"/>
        <w:spacing w:after="0" w:line="240" w:lineRule="auto"/>
        <w:jc w:val="both"/>
        <w:rPr>
          <w:rFonts w:ascii="Arial" w:hAnsi="Arial"/>
          <w:noProof/>
          <w:color w:val="000000"/>
          <w:shd w:val="clear" w:color="auto" w:fill="FFFFFF" w:themeFill="background1"/>
        </w:rPr>
      </w:pPr>
    </w:p>
    <w:p w:rsidR="0019548F" w:rsidRPr="00055678" w:rsidRDefault="0019548F" w:rsidP="0019548F">
      <w:pPr>
        <w:shd w:val="clear" w:color="auto" w:fill="FFFFFF" w:themeFill="background1"/>
        <w:spacing w:after="0" w:line="240" w:lineRule="auto"/>
        <w:jc w:val="both"/>
        <w:rPr>
          <w:rFonts w:ascii="Arial" w:hAnsi="Arial"/>
          <w:noProof/>
          <w:color w:val="000000"/>
        </w:rPr>
      </w:pPr>
      <w:r w:rsidRPr="0056562F">
        <w:rPr>
          <w:rFonts w:ascii="Arial" w:hAnsi="Arial" w:cs="Arial"/>
          <w:lang w:val="sr-Latn-ME"/>
        </w:rPr>
        <w:t>► U</w:t>
      </w:r>
      <w:r>
        <w:rPr>
          <w:rFonts w:ascii="Arial" w:hAnsi="Arial" w:cs="Arial"/>
          <w:lang w:val="sr-Latn-ME"/>
        </w:rPr>
        <w:t xml:space="preserve"> jednom slučaju u postupku </w:t>
      </w:r>
      <w:r w:rsidRPr="006F267B">
        <w:rPr>
          <w:rFonts w:ascii="Arial" w:hAnsi="Arial"/>
          <w:lang w:val="sr-Latn-ME"/>
        </w:rPr>
        <w:t xml:space="preserve">unutrašnje kontrole, </w:t>
      </w:r>
      <w:r w:rsidRPr="00E6267A">
        <w:rPr>
          <w:rFonts w:ascii="Arial" w:hAnsi="Arial"/>
          <w:u w:val="single"/>
          <w:lang w:val="sr-Latn-ME"/>
        </w:rPr>
        <w:t>nijesu</w:t>
      </w:r>
      <w:r w:rsidRPr="006F267B">
        <w:rPr>
          <w:rFonts w:ascii="Arial" w:hAnsi="Arial"/>
          <w:lang w:val="sr-Latn-ME"/>
        </w:rPr>
        <w:t xml:space="preserve"> utvrđene činjenice i dokazi koji bi ukazali na nezakonito ili neprofesionalno postupanje policijsk</w:t>
      </w:r>
      <w:r>
        <w:rPr>
          <w:rFonts w:ascii="Arial" w:hAnsi="Arial"/>
          <w:lang w:val="sr-Latn-ME"/>
        </w:rPr>
        <w:t>og</w:t>
      </w:r>
      <w:r w:rsidRPr="006F267B">
        <w:rPr>
          <w:rFonts w:ascii="Arial" w:hAnsi="Arial"/>
          <w:lang w:val="sr-Latn-ME"/>
        </w:rPr>
        <w:t xml:space="preserve"> službenika</w:t>
      </w:r>
      <w:r>
        <w:rPr>
          <w:rFonts w:ascii="Arial" w:hAnsi="Arial"/>
          <w:lang w:val="sr-Latn-ME"/>
        </w:rPr>
        <w:t xml:space="preserve"> Stanice kriminalističke policije,</w:t>
      </w:r>
      <w:r w:rsidRPr="006F267B">
        <w:rPr>
          <w:rFonts w:ascii="Arial" w:hAnsi="Arial"/>
          <w:lang w:val="sr-Latn-ME"/>
        </w:rPr>
        <w:t xml:space="preserve"> u predmetnom slučaju.</w:t>
      </w:r>
    </w:p>
    <w:p w:rsidR="0019548F" w:rsidRDefault="0019548F" w:rsidP="0019548F">
      <w:pPr>
        <w:spacing w:after="0" w:line="240" w:lineRule="auto"/>
        <w:jc w:val="both"/>
        <w:rPr>
          <w:rFonts w:ascii="Arial" w:hAnsi="Arial"/>
          <w:i/>
          <w:noProof/>
          <w:color w:val="000000"/>
        </w:rPr>
      </w:pPr>
    </w:p>
    <w:p w:rsidR="005C76F8" w:rsidRPr="00A7766E" w:rsidRDefault="005C76F8" w:rsidP="0019548F">
      <w:pPr>
        <w:spacing w:after="0" w:line="240" w:lineRule="auto"/>
        <w:ind w:right="178"/>
        <w:jc w:val="both"/>
        <w:rPr>
          <w:rFonts w:ascii="Arial" w:hAnsi="Arial" w:cs="Arial"/>
          <w:lang w:val="sr-Latn-ME"/>
        </w:rPr>
      </w:pPr>
    </w:p>
    <w:sectPr w:rsidR="005C76F8" w:rsidRPr="00A7766E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701AF"/>
    <w:multiLevelType w:val="hybridMultilevel"/>
    <w:tmpl w:val="F6862EFC"/>
    <w:lvl w:ilvl="0" w:tplc="3FAAECD2">
      <w:start w:val="1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E4771"/>
    <w:multiLevelType w:val="hybridMultilevel"/>
    <w:tmpl w:val="61F0ABFA"/>
    <w:lvl w:ilvl="0" w:tplc="5F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71D"/>
    <w:rsid w:val="00002286"/>
    <w:rsid w:val="000C5B24"/>
    <w:rsid w:val="000C5B7C"/>
    <w:rsid w:val="00146250"/>
    <w:rsid w:val="00175FF6"/>
    <w:rsid w:val="00180EDA"/>
    <w:rsid w:val="0019548F"/>
    <w:rsid w:val="001A02C8"/>
    <w:rsid w:val="00310D26"/>
    <w:rsid w:val="00327C4C"/>
    <w:rsid w:val="00402B16"/>
    <w:rsid w:val="0043741F"/>
    <w:rsid w:val="00473F39"/>
    <w:rsid w:val="004971E7"/>
    <w:rsid w:val="004A7D82"/>
    <w:rsid w:val="004C19F2"/>
    <w:rsid w:val="004C4FE8"/>
    <w:rsid w:val="00521784"/>
    <w:rsid w:val="00523D7F"/>
    <w:rsid w:val="00542BDA"/>
    <w:rsid w:val="005849CB"/>
    <w:rsid w:val="005C068E"/>
    <w:rsid w:val="005C2C16"/>
    <w:rsid w:val="005C76F8"/>
    <w:rsid w:val="00605ECF"/>
    <w:rsid w:val="006569CF"/>
    <w:rsid w:val="00665D39"/>
    <w:rsid w:val="00693821"/>
    <w:rsid w:val="006D0A32"/>
    <w:rsid w:val="00714980"/>
    <w:rsid w:val="00742BB8"/>
    <w:rsid w:val="007E160B"/>
    <w:rsid w:val="00833A87"/>
    <w:rsid w:val="00880705"/>
    <w:rsid w:val="008F4D85"/>
    <w:rsid w:val="009F6AD5"/>
    <w:rsid w:val="00A9171D"/>
    <w:rsid w:val="00A97EE1"/>
    <w:rsid w:val="00AE6E6E"/>
    <w:rsid w:val="00B028EB"/>
    <w:rsid w:val="00B05599"/>
    <w:rsid w:val="00B1775B"/>
    <w:rsid w:val="00B17D94"/>
    <w:rsid w:val="00B36313"/>
    <w:rsid w:val="00BD3CBC"/>
    <w:rsid w:val="00C17046"/>
    <w:rsid w:val="00C45282"/>
    <w:rsid w:val="00C644B1"/>
    <w:rsid w:val="00CD3056"/>
    <w:rsid w:val="00CE359B"/>
    <w:rsid w:val="00D00E04"/>
    <w:rsid w:val="00D00F3A"/>
    <w:rsid w:val="00D05E53"/>
    <w:rsid w:val="00D56781"/>
    <w:rsid w:val="00E05C36"/>
    <w:rsid w:val="00E074DA"/>
    <w:rsid w:val="00E3349B"/>
    <w:rsid w:val="00E61737"/>
    <w:rsid w:val="00F50095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8FCADC"/>
  <w15:docId w15:val="{FD01429A-1BFF-4722-90D7-A90A10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Lahira Durakovic</cp:lastModifiedBy>
  <cp:revision>51</cp:revision>
  <dcterms:created xsi:type="dcterms:W3CDTF">2024-07-16T06:15:00Z</dcterms:created>
  <dcterms:modified xsi:type="dcterms:W3CDTF">2025-07-03T10:45:00Z</dcterms:modified>
</cp:coreProperties>
</file>