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F465" w14:textId="77777777" w:rsidR="00F63B89" w:rsidRPr="00CE76CC" w:rsidRDefault="00F63B89" w:rsidP="00F63B8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val="sr-Latn-ME" w:eastAsia="en-GB"/>
        </w:rPr>
      </w:pPr>
      <w:r w:rsidRPr="00CE76CC">
        <w:rPr>
          <w:rFonts w:ascii="Arial" w:eastAsia="Times New Roman" w:hAnsi="Arial" w:cs="Arial"/>
          <w:b/>
          <w:bCs/>
          <w:lang w:val="sr-Latn-ME" w:eastAsia="en-GB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6"/>
        <w:gridCol w:w="5454"/>
      </w:tblGrid>
      <w:tr w:rsidR="00F63B89" w:rsidRPr="00CE76CC" w14:paraId="70ED7241" w14:textId="77777777" w:rsidTr="00E27883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41B5A7A6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IZVJEŠTAJ O SPROVEDENOJ ANALIZI PROCJENE UTICAJA PROPISA</w:t>
            </w:r>
          </w:p>
        </w:tc>
      </w:tr>
      <w:tr w:rsidR="00F63B89" w:rsidRPr="00CE76CC" w14:paraId="5C81D0AD" w14:textId="77777777" w:rsidTr="00E27883">
        <w:tc>
          <w:tcPr>
            <w:tcW w:w="3978" w:type="dxa"/>
            <w:shd w:val="clear" w:color="auto" w:fill="D2EAF1"/>
          </w:tcPr>
          <w:p w14:paraId="6045177B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55A2AADD" w14:textId="095632C9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MINISTARSTVO FINANSIJA</w:t>
            </w:r>
            <w:r w:rsidR="00AD2AA2" w:rsidRPr="00CE76CC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 xml:space="preserve"> – KOMISIJA ZA TRŽIŠTE KAPITALA</w:t>
            </w:r>
          </w:p>
        </w:tc>
      </w:tr>
      <w:tr w:rsidR="00F63B89" w:rsidRPr="00CE76CC" w14:paraId="47392B68" w14:textId="77777777" w:rsidTr="00E27883">
        <w:tc>
          <w:tcPr>
            <w:tcW w:w="3978" w:type="dxa"/>
          </w:tcPr>
          <w:p w14:paraId="7B2F685E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NAZIV PROPISA</w:t>
            </w:r>
          </w:p>
        </w:tc>
        <w:tc>
          <w:tcPr>
            <w:tcW w:w="5598" w:type="dxa"/>
          </w:tcPr>
          <w:p w14:paraId="64C3D116" w14:textId="619D6770" w:rsidR="00F63B89" w:rsidRPr="00CE76CC" w:rsidRDefault="00AD2AA2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NACRT ZAKONA</w:t>
            </w:r>
            <w:r w:rsidR="00A0664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 xml:space="preserve"> O</w:t>
            </w:r>
            <w:r w:rsidRPr="00CE76CC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 xml:space="preserve"> SANACIJI </w:t>
            </w:r>
            <w:r w:rsidR="00CE76CC" w:rsidRPr="00CE76CC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CENTRALNIH DRUGIH UGOVORNIH STRANA</w:t>
            </w:r>
          </w:p>
        </w:tc>
      </w:tr>
      <w:tr w:rsidR="00F63B89" w:rsidRPr="00CE76CC" w14:paraId="08A7B9E6" w14:textId="77777777" w:rsidTr="00E27883">
        <w:tc>
          <w:tcPr>
            <w:tcW w:w="9576" w:type="dxa"/>
            <w:gridSpan w:val="2"/>
            <w:shd w:val="clear" w:color="auto" w:fill="D2EAF1"/>
          </w:tcPr>
          <w:p w14:paraId="77431CA1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1. Definisanje problema</w:t>
            </w:r>
          </w:p>
          <w:p w14:paraId="64AE433F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Koje probleme  treba da riješi predloženi akt?</w:t>
            </w:r>
          </w:p>
          <w:p w14:paraId="0C56C459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Koji su uzroci problema?</w:t>
            </w:r>
          </w:p>
          <w:p w14:paraId="77B7327E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Koje su posljedice problema?</w:t>
            </w:r>
          </w:p>
          <w:p w14:paraId="4A18F366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Koji su subjekti oštećeni, na koji način i u kojoj mjeri?</w:t>
            </w:r>
          </w:p>
          <w:p w14:paraId="3A3E71FD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Kako bi problem evoluirao bez promjene propisa (“status quo” opcija)?</w:t>
            </w:r>
          </w:p>
        </w:tc>
      </w:tr>
      <w:tr w:rsidR="00F63B89" w:rsidRPr="00CE76CC" w14:paraId="004980BA" w14:textId="77777777" w:rsidTr="00E27883">
        <w:tc>
          <w:tcPr>
            <w:tcW w:w="9576" w:type="dxa"/>
            <w:gridSpan w:val="2"/>
          </w:tcPr>
          <w:p w14:paraId="062E4850" w14:textId="77777777" w:rsidR="00CE76CC" w:rsidRPr="006F1A30" w:rsidRDefault="00CE76CC" w:rsidP="00A066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6F1A30">
              <w:rPr>
                <w:rFonts w:ascii="Arial" w:eastAsia="Times New Roman" w:hAnsi="Arial" w:cs="Arial"/>
                <w:b/>
                <w:lang w:val="sr-Latn-ME" w:eastAsia="en-GB"/>
              </w:rPr>
              <w:t>Koje probleme  treba da riješi predloženi akt?</w:t>
            </w:r>
          </w:p>
          <w:p w14:paraId="1DEDC37B" w14:textId="3DCF0077" w:rsidR="00CE76CC" w:rsidRPr="00CE76CC" w:rsidRDefault="00CE76CC" w:rsidP="00A066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U važećem pravnom okviru Crne Gore ne postoji sveobuhvatan i funkcionalan sistem za oporavak i sanaciju centralnih </w:t>
            </w:r>
            <w:r w:rsidRPr="006F1A30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drugih </w:t>
            </w:r>
            <w:r w:rsidR="00A06641" w:rsidRPr="006F1A30">
              <w:rPr>
                <w:rFonts w:ascii="Arial" w:eastAsia="Times New Roman" w:hAnsi="Arial" w:cs="Arial"/>
                <w:bCs/>
                <w:lang w:val="sr-Latn-ME" w:eastAsia="sr-Latn-ME"/>
              </w:rPr>
              <w:t>ugovornih</w:t>
            </w:r>
            <w:r w:rsidRPr="006F1A30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strana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(CCP). Nedostaju jasna pravila za postupanje u slučaju finansijskih poteškoća CCP-a, uključujući planove oporavka, nadzorne mjere, kriterijume za utvrđivanje propadanja, ovlašćenja sanacionog tijela, sanacione alate</w:t>
            </w:r>
            <w:r w:rsidR="00A06641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ili instrumente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i mehanizme raspodjele gubitaka. Takva situacija predstavlja </w:t>
            </w:r>
            <w:r w:rsidR="00A06641"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značajna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regulatorna i sistemska praznina, s obzirom na to da CCP ima ključnu ulogu u smanjenju rizika na finansijskim tržištima. Predloženi zakon treba da uspostavi sveobuhvatan okvir za oporavak i sanaciju CCP-a, u potpunosti usklađen sa pravnom tekovinom EU.</w:t>
            </w:r>
          </w:p>
          <w:p w14:paraId="457111E3" w14:textId="64AB6B91" w:rsidR="00CE76CC" w:rsidRPr="00CE76CC" w:rsidRDefault="00CE76CC" w:rsidP="00A06641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sr-Latn-ME"/>
              </w:rPr>
              <w:t>Koji su uzroci problema?</w:t>
            </w:r>
          </w:p>
          <w:p w14:paraId="1DC800E4" w14:textId="77777777" w:rsidR="00CE76CC" w:rsidRPr="00CE76CC" w:rsidRDefault="00CE76CC" w:rsidP="00A066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Neusaglašenost sa pravom EU, posebno sa Uredbom (EU) 2021/23 o oporavku i sanaciji CCP.</w:t>
            </w:r>
          </w:p>
          <w:p w14:paraId="1CD6F2FD" w14:textId="77777777" w:rsidR="00CE76CC" w:rsidRPr="00CE76CC" w:rsidRDefault="00CE76CC" w:rsidP="00A066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Nepostojanje nacionalnog okvira koji definiše ulogu sanacionog tijela (Komisije za tržište kapitala) i postupke intervencije u slučaju propadanja CCP-a.</w:t>
            </w:r>
          </w:p>
          <w:p w14:paraId="7D34844F" w14:textId="77777777" w:rsidR="00CE76CC" w:rsidRPr="00CE76CC" w:rsidRDefault="00CE76CC" w:rsidP="00A066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Povećana sistemska važnost CCP-a usljed rasta obima kliringa, što zahtijeva detaljna pravila o kontinuiranosti kritičnih funkcija.</w:t>
            </w:r>
          </w:p>
          <w:p w14:paraId="62C4D7F0" w14:textId="77777777" w:rsidR="00CE76CC" w:rsidRPr="00CE76CC" w:rsidRDefault="00CE76CC" w:rsidP="00A066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Kompleksnost poslovanja CCP-a, koja nije u dovoljnoj mjeri praćena adekvatnim mehanizmima nadzora, upravljanja rizicima i kriznog djelovanja.</w:t>
            </w:r>
          </w:p>
          <w:p w14:paraId="349CFB2A" w14:textId="77777777" w:rsidR="00CE76CC" w:rsidRPr="00CE76CC" w:rsidRDefault="00CE76CC" w:rsidP="00A066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Nedostatak preciznih procedura za planove oporavka, sanacione planove i procjenu mogućnosti sanacije, što stvara regulatorne rizike.</w:t>
            </w:r>
          </w:p>
          <w:p w14:paraId="055C4018" w14:textId="33A82C85" w:rsidR="00CE76CC" w:rsidRPr="00CE76CC" w:rsidRDefault="00CE76CC" w:rsidP="00A06641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sr-Latn-ME"/>
              </w:rPr>
              <w:t>Koje su posljedice problema?</w:t>
            </w:r>
          </w:p>
          <w:p w14:paraId="3F139749" w14:textId="77777777" w:rsidR="00CE76CC" w:rsidRPr="00CE76CC" w:rsidRDefault="00CE76CC" w:rsidP="00A066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Sistemski rizik – propast ili ozbiljni problemi u radu CCP-a mogu proizvesti domino-efekat na investiciona društva, banke, tržišta derivata i druge infrastrukturne entitete.</w:t>
            </w:r>
          </w:p>
          <w:p w14:paraId="6D9F98B1" w14:textId="64FB4B3B" w:rsidR="00CE76CC" w:rsidRPr="00CE76CC" w:rsidRDefault="00CE76CC" w:rsidP="00A066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Slab nadzor i nedostatak alata za reakciju – nadležn</w:t>
            </w:r>
            <w:r w:rsidR="00A06641">
              <w:rPr>
                <w:rFonts w:ascii="Arial" w:eastAsia="Times New Roman" w:hAnsi="Arial" w:cs="Arial"/>
                <w:bCs/>
                <w:lang w:val="sr-Latn-ME" w:eastAsia="sr-Latn-ME"/>
              </w:rPr>
              <w:t>i organ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nema pravni osnov da preduzme </w:t>
            </w:r>
            <w:r w:rsidR="00A06641">
              <w:rPr>
                <w:rFonts w:ascii="Arial" w:eastAsia="Times New Roman" w:hAnsi="Arial" w:cs="Arial"/>
                <w:bCs/>
                <w:lang w:val="sr-Latn-ME" w:eastAsia="sr-Latn-ME"/>
              </w:rPr>
              <w:t>blag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ovremene mjere u slučaju pogoršanja finansijskog stanja CCP-a.</w:t>
            </w:r>
          </w:p>
          <w:p w14:paraId="1EB1C1F4" w14:textId="77777777" w:rsidR="00CE76CC" w:rsidRPr="00CE76CC" w:rsidRDefault="00CE76CC" w:rsidP="00A066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Povećani troškovi i rizici za učesnike tržišta, koji su izloženi nelikvidnosti i potencijalnim gubicima zbog izostanka mehanizama raspodjele gubitaka (loss allocation tools).</w:t>
            </w:r>
          </w:p>
          <w:p w14:paraId="246A66AA" w14:textId="77777777" w:rsidR="00CE76CC" w:rsidRPr="00CE76CC" w:rsidRDefault="00CE76CC" w:rsidP="00A066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Nedovoljna zaštita javnog interesa, jer nepostojanje sanacionih pravila povećava vjerovatnoću potrebe za korišćenjem javnih sredstava ili ostavlja tržište bez funkcionalnog CCP-a.</w:t>
            </w:r>
          </w:p>
          <w:p w14:paraId="20F14401" w14:textId="77777777" w:rsidR="00CE76CC" w:rsidRPr="00CE76CC" w:rsidRDefault="00CE76CC" w:rsidP="00A066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Negativan uticaj na povjerenje investitora i razvoj tržišta, posebno u kontekstu pristupanja EU i obaveze usklađivanja s evropskim standardima.</w:t>
            </w:r>
          </w:p>
          <w:p w14:paraId="62CA8F56" w14:textId="4A6FFFD7" w:rsidR="00CE76CC" w:rsidRPr="00CE76CC" w:rsidRDefault="00CE76CC" w:rsidP="00A06641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sr-Latn-ME"/>
              </w:rPr>
              <w:t>Koji su subjekti oštećeni, na koji način i u kojoj mjeri?</w:t>
            </w:r>
          </w:p>
          <w:p w14:paraId="0FE9C032" w14:textId="728BC711" w:rsidR="00CE76CC" w:rsidRPr="00CE76CC" w:rsidRDefault="00CE76CC" w:rsidP="00A0664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lastRenderedPageBreak/>
              <w:t>Centralna</w:t>
            </w:r>
            <w:r w:rsidRPr="006F1A30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 druga ugovorna strana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– izložena je visokim rizicima bez jasnih procedura za oporavak i sanaciju, što ugrožava kontinuitet njenih kritičnih funkcija.</w:t>
            </w:r>
          </w:p>
          <w:p w14:paraId="157EEB80" w14:textId="77777777" w:rsidR="00CE76CC" w:rsidRPr="00CE76CC" w:rsidRDefault="00CE76CC" w:rsidP="00A0664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Učesnici CCP-a (banke, investiciona društva, fondovi) – nemaju pravnu sigurnost u pogledu mehanizama raspodjele gubitaka, zahtjeva za dodatnim doprinosima i zaštite od nepredviđenih stresnih situacija.</w:t>
            </w:r>
          </w:p>
          <w:p w14:paraId="411D3CDB" w14:textId="77777777" w:rsidR="00CE76CC" w:rsidRPr="00CE76CC" w:rsidRDefault="00CE76CC" w:rsidP="00A0664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Finansijsko tržište Crne Gore – povećan sistemski rizik i mogućnost tržišnih poremećaja u slučaju da CCP ne bude u stanju da izvršava ključne funkcije.</w:t>
            </w:r>
          </w:p>
          <w:p w14:paraId="19B46F9C" w14:textId="77777777" w:rsidR="00CE76CC" w:rsidRPr="00CE76CC" w:rsidRDefault="00CE76CC" w:rsidP="00A0664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Komisija za tržište kapitala (nadzorno i sanaciono tijelo) – bez zakonskog ovlašćenja da interveniše u skladu sa EU standardima, što umanjuje operativnu sposobnost regulatora.</w:t>
            </w:r>
          </w:p>
          <w:p w14:paraId="3A2A632D" w14:textId="77777777" w:rsidR="00CE76CC" w:rsidRPr="00CE76CC" w:rsidRDefault="00CE76CC" w:rsidP="00A0664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Investitori i šira ekonomija – suočeni sa rizikom destabilizacije finansijskog sistema, smanjenjem likvidnosti i većim troškovima finansiranja.</w:t>
            </w:r>
          </w:p>
          <w:p w14:paraId="072B9556" w14:textId="32734A0E" w:rsidR="00CE76CC" w:rsidRPr="00CE76CC" w:rsidRDefault="00CE76CC" w:rsidP="00A06641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sr-Latn-ME"/>
              </w:rPr>
              <w:t>Kako bi problem evoluirao bez promjene propisa (“status quo” opcija)?</w:t>
            </w:r>
          </w:p>
          <w:p w14:paraId="2E0CAB82" w14:textId="6578D843" w:rsidR="00CE76CC" w:rsidRPr="00CE76CC" w:rsidRDefault="00CE76CC" w:rsidP="00A066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Bez donošenja Zakona o sanaciji CCP nastavilo bi da postoji značajno regulatorno prazno mjesto. Uslijed rasta obima kliringa i povećane izloženosti tržišta derivata, rizici bi se intenzivirali. Nadležn</w:t>
            </w:r>
            <w:r w:rsidR="00A06641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i organ 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 xml:space="preserve">i CCP ostali bi bez mehanizama za </w:t>
            </w:r>
            <w:r w:rsidR="00A06641">
              <w:rPr>
                <w:rFonts w:ascii="Arial" w:eastAsia="Times New Roman" w:hAnsi="Arial" w:cs="Arial"/>
                <w:bCs/>
                <w:lang w:val="sr-Latn-ME" w:eastAsia="sr-Latn-ME"/>
              </w:rPr>
              <w:t>blag</w:t>
            </w:r>
            <w:r w:rsidRPr="00CE76CC">
              <w:rPr>
                <w:rFonts w:ascii="Arial" w:eastAsia="Times New Roman" w:hAnsi="Arial" w:cs="Arial"/>
                <w:bCs/>
                <w:lang w:val="sr-Latn-ME" w:eastAsia="sr-Latn-ME"/>
              </w:rPr>
              <w:t>ovremeno reagovanje u stresnim situacijama. Svaki ozbiljan šok (npr. default velikog učesnika) mogao bi dovesti do neurednog propadanja CCP-a, što bi imalo negativne posljedice za učesnike tržišta i stabilnost finansijskog sistema. Pored toga, neusklađenost s EU propisima dodatno bi usporila proces pristupanja i smanjila konkurentnost crnogorskog tržišta u odnosu na standarde jedinstvenog evropskog tržišta.</w:t>
            </w:r>
          </w:p>
          <w:p w14:paraId="642F291F" w14:textId="77777777" w:rsidR="00F63B89" w:rsidRPr="006F1A30" w:rsidRDefault="00F63B89" w:rsidP="00A066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/>
              </w:rPr>
            </w:pPr>
          </w:p>
        </w:tc>
      </w:tr>
      <w:tr w:rsidR="00F63B89" w:rsidRPr="00CE76CC" w14:paraId="49EEC433" w14:textId="77777777" w:rsidTr="00E27883">
        <w:tc>
          <w:tcPr>
            <w:tcW w:w="9576" w:type="dxa"/>
            <w:gridSpan w:val="2"/>
            <w:shd w:val="clear" w:color="auto" w:fill="D2EAF1"/>
          </w:tcPr>
          <w:p w14:paraId="1EDC19B8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2. Ciljevi</w:t>
            </w:r>
          </w:p>
          <w:p w14:paraId="7CD35985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Koji ciljevi se postižu predloženim propisom?</w:t>
            </w:r>
          </w:p>
          <w:p w14:paraId="531E3BF3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Navesti usklađenost ovih ciljeva sa postojećim strategijama ili programima Vlade, ako je primjenljivo.</w:t>
            </w:r>
          </w:p>
        </w:tc>
      </w:tr>
      <w:tr w:rsidR="00F63B89" w:rsidRPr="00CE76CC" w14:paraId="6ABC0964" w14:textId="77777777" w:rsidTr="00E27883">
        <w:tc>
          <w:tcPr>
            <w:tcW w:w="9576" w:type="dxa"/>
            <w:gridSpan w:val="2"/>
          </w:tcPr>
          <w:p w14:paraId="503963E4" w14:textId="40BDB924" w:rsidR="00CE76CC" w:rsidRPr="00CE76CC" w:rsidRDefault="00CE76CC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K</w:t>
            </w:r>
            <w:r w:rsidRPr="00CE76CC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oji ciljevi se postižu predloženim propisom?</w:t>
            </w:r>
          </w:p>
          <w:p w14:paraId="44BA0243" w14:textId="77777777" w:rsidR="00CE76CC" w:rsidRPr="00CE76CC" w:rsidRDefault="00CE76CC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Predloženim Zakonom o sanaciji CCP postižu se sljedeći ključni ciljevi:</w:t>
            </w:r>
          </w:p>
          <w:p w14:paraId="2EF5956A" w14:textId="47FF1F30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 xml:space="preserve">Uspostavljanje sveobuhvatnog pravnog okvira za oporavak i sanaciju CCP, u skladu sa pravnom tekovinom EU (Uredba (EU) 2021/23), kako bi se omogućilo blagovremeno otkrivanje finansijskih poteškoća i </w:t>
            </w:r>
            <w:r w:rsidR="00C367B7" w:rsidRPr="00CE76CC">
              <w:rPr>
                <w:rFonts w:ascii="Arial" w:eastAsia="Times New Roman" w:hAnsi="Arial" w:cs="Arial"/>
                <w:lang w:val="sr-Latn-ME" w:eastAsia="sr-Latn-ME"/>
              </w:rPr>
              <w:t>sprječavanje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 xml:space="preserve"> neurednog propadanja CCP-a.</w:t>
            </w:r>
          </w:p>
          <w:p w14:paraId="1E71CB84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Očuvanje kontinuiteta kritičnih funkcija CCP-a, uključujući kliring, upravljanje marginama i poravnanje, čak i u slučaju nastanka velikih poremećaja na tržištu.</w:t>
            </w:r>
          </w:p>
          <w:p w14:paraId="0E994FC9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Smanjenje sistemskog rizika i jačanje stabilnosti finansijskog sistema Crne Gore, sprječavanjem domino efekta koji bi nastao propadanjem CCP-a.</w:t>
            </w:r>
          </w:p>
          <w:p w14:paraId="2A969AC7" w14:textId="6EBD99BF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 xml:space="preserve">Jasno definisanje ovlašćenja sanacionog tijela (Komisije za tržište kapitala) da preduzme mjere oporavka i sanacije, uključujući privremena ovlašćenja, </w:t>
            </w:r>
            <w:r w:rsidR="00C367B7" w:rsidRPr="00CE76CC">
              <w:rPr>
                <w:rFonts w:ascii="Arial" w:eastAsia="Times New Roman" w:hAnsi="Arial" w:cs="Arial"/>
                <w:lang w:val="sr-Latn-ME" w:eastAsia="sr-Latn-ME"/>
              </w:rPr>
              <w:t>nadležnosti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 xml:space="preserve"> za prenos imovine i raspodjelu gubitaka.</w:t>
            </w:r>
          </w:p>
          <w:p w14:paraId="6EBC8614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Uvođenje planova oporavka i sanacije, obaveze CCP-a da izradi planove za krizne situacije, te obaveze Komisije da vrši procjene mogućnosti sanacije i donosi sanacione planove.</w:t>
            </w:r>
          </w:p>
          <w:p w14:paraId="51709989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Uspostavljanje mehanizama za pravednu raspodjelu gubitaka (loss allocation tools) koji štite tržište, sistemske institucije i državu od potrebe za javnom intervencijom.</w:t>
            </w:r>
          </w:p>
          <w:p w14:paraId="67BF08BD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Povećanje pravne sigurnosti za klirinške članove, finansijske institucije i druge učesnike, jasno definišući njihova prava i obaveze u slučaju sanacije.</w:t>
            </w:r>
          </w:p>
          <w:p w14:paraId="26BF310C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Smanjenje budućih fiskalnih rizika, tako što se sprječava situacija da državni budžet mora intervenisati radi spašavanja infrastrukture od sistemskog značaja.</w:t>
            </w:r>
          </w:p>
          <w:p w14:paraId="0FC972E7" w14:textId="77777777" w:rsidR="00CE76CC" w:rsidRPr="00CE76CC" w:rsidRDefault="00CE76CC" w:rsidP="00C36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Usklađivanje nacionalnog zakonodavstva sa EU, kao preduslov za pristupanje Crne Gore jedinstvenom evropskom tržištu finansijskih usluga.</w:t>
            </w:r>
          </w:p>
          <w:p w14:paraId="2DFFFF5B" w14:textId="77777777" w:rsidR="00CE76CC" w:rsidRPr="00CE76CC" w:rsidRDefault="00CE76CC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lastRenderedPageBreak/>
              <w:t xml:space="preserve">2. </w:t>
            </w:r>
            <w:r w:rsidRPr="00CE76CC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Usklađenost ciljeva sa strategijama i programima Vlade Crne Gore</w:t>
            </w:r>
          </w:p>
          <w:p w14:paraId="72596672" w14:textId="5FD81291" w:rsidR="00F63B89" w:rsidRPr="006F1A30" w:rsidRDefault="00CE76CC" w:rsidP="00C367B7">
            <w:pPr>
              <w:tabs>
                <w:tab w:val="num" w:pos="720"/>
                <w:tab w:val="num" w:pos="1440"/>
              </w:tabs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CE76CC">
              <w:rPr>
                <w:rFonts w:ascii="Arial" w:eastAsia="Times New Roman" w:hAnsi="Arial" w:cs="Arial"/>
                <w:lang w:val="sr-Latn-ME" w:eastAsia="sr-Latn-ME"/>
              </w:rPr>
              <w:t>Ciljevi predloženog zakona u potpunosti su usklađeni sa sljedećim strateškim dokumentima Vlade: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Program pristupanja Crne Gore Evropskoj uniji – Zakon je dio obaveza u okviru usklađivanja sa acquis-om EU u poglavlj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u 9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– Finansijske usluge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.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Uredba (EU) 2021/23 dio je obaveznog zakonodavstva koje države članice moraju primjenjivati, te ovaj zakon direktno doprinosi ispunjenju EU obaveza.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Strategija razvoja finansijskog tržišta</w:t>
            </w:r>
            <w:r w:rsidR="00C367B7">
              <w:rPr>
                <w:rFonts w:ascii="Arial" w:eastAsia="Times New Roman" w:hAnsi="Arial" w:cs="Arial"/>
                <w:lang w:val="sr-Latn-ME" w:eastAsia="sr-Latn-ME"/>
              </w:rPr>
              <w:t xml:space="preserve"> jer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 xml:space="preserve"> ciljevi zakona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doprinose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jačanju institucionalne infrastrukture,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povećanju otpornosti tržišta na šokove,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razvoju regulatornog okvira usklađenog s evropskim standardima.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Program rada Vlade u okviru obaveza Ministarstva finansija i Komisije za tržište kapitala za usklađivanje zakonodavstva iz oblasti tržišta kapitala.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Strategija javnih finansija – zakon doprinosi smanjenju fiskalnih rizika jer uspostavlja režim u kojem se sanacija CCP-a sprovodi bez tereta za državni budžet.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 xml:space="preserve"> </w:t>
            </w:r>
            <w:r w:rsidRPr="00CE76CC">
              <w:rPr>
                <w:rFonts w:ascii="Arial" w:eastAsia="Times New Roman" w:hAnsi="Arial" w:cs="Arial"/>
                <w:lang w:val="sr-Latn-ME" w:eastAsia="sr-Latn-ME"/>
              </w:rPr>
              <w:t>Makroekonomska politika Vlade – zakon jača stabilnost finansijskog sistema, što je jedan od ključnih prioriteta ekonomskog upravljanja.</w:t>
            </w:r>
          </w:p>
        </w:tc>
      </w:tr>
      <w:tr w:rsidR="00F63B89" w:rsidRPr="00CE76CC" w14:paraId="7C67D1D1" w14:textId="77777777" w:rsidTr="00E27883">
        <w:tc>
          <w:tcPr>
            <w:tcW w:w="9576" w:type="dxa"/>
            <w:gridSpan w:val="2"/>
            <w:shd w:val="clear" w:color="auto" w:fill="D2EAF1"/>
          </w:tcPr>
          <w:p w14:paraId="4AC12369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3. Opcije</w:t>
            </w:r>
          </w:p>
          <w:p w14:paraId="6E784411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16D8209D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Obrazložiti preferiranu opciju?</w:t>
            </w:r>
          </w:p>
        </w:tc>
      </w:tr>
      <w:tr w:rsidR="00F63B89" w:rsidRPr="00CE76CC" w14:paraId="4C0FEE07" w14:textId="77777777" w:rsidTr="00E27883">
        <w:tc>
          <w:tcPr>
            <w:tcW w:w="9576" w:type="dxa"/>
            <w:gridSpan w:val="2"/>
          </w:tcPr>
          <w:p w14:paraId="0EDE9701" w14:textId="77777777" w:rsidR="006F1A30" w:rsidRPr="006F1A30" w:rsidRDefault="006F1A30" w:rsidP="00C367B7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Opcija 1 – Status quo (bez izmjena propisa)</w:t>
            </w:r>
          </w:p>
          <w:p w14:paraId="00B26046" w14:textId="0E20C919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 bi se donosio novi zakon o sanaciji CCP-a. Komisija za tržište kapitala i dalje bi djelovala samo u okviru postojećih propisa (Zakon o tržištu kapital</w:t>
            </w:r>
            <w:r w:rsidR="00C367B7">
              <w:rPr>
                <w:rFonts w:ascii="Arial" w:eastAsia="Times New Roman" w:hAnsi="Arial" w:cs="Arial"/>
                <w:lang w:val="sr-Latn-ME" w:eastAsia="sr-Latn-ME"/>
              </w:rPr>
              <w:t xml:space="preserve">a i 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>interne procedure).</w:t>
            </w:r>
          </w:p>
          <w:p w14:paraId="56241E51" w14:textId="77777777" w:rsidR="006F1A30" w:rsidRPr="006F1A30" w:rsidRDefault="006F1A30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Posljedice</w:t>
            </w:r>
          </w:p>
          <w:p w14:paraId="42ABEECE" w14:textId="77777777" w:rsidR="006F1A30" w:rsidRPr="006F1A30" w:rsidRDefault="006F1A30" w:rsidP="00C367B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Nema pravnog okvira za sanaciju CCP-a, iako je CCP sistemski značajna infrastruktura.</w:t>
            </w:r>
          </w:p>
          <w:p w14:paraId="58F530EC" w14:textId="77777777" w:rsidR="006F1A30" w:rsidRPr="006F1A30" w:rsidRDefault="006F1A30" w:rsidP="00C367B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Visoki sistemski rizik — propadanje CCP-a moglo bi ugroziti finansijsku stabilnost i druge institucije.</w:t>
            </w:r>
          </w:p>
          <w:p w14:paraId="5162B0A4" w14:textId="77777777" w:rsidR="006F1A30" w:rsidRPr="006F1A30" w:rsidRDefault="006F1A30" w:rsidP="00C367B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Neusklađenost sa EU pravnom tekovinom, posebno Uredbom (EU) 2021/23 o sanaciji CCP-a.</w:t>
            </w:r>
          </w:p>
          <w:p w14:paraId="521F546D" w14:textId="77777777" w:rsidR="006F1A30" w:rsidRPr="006F1A30" w:rsidRDefault="006F1A30" w:rsidP="00C367B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Ograničena ovlašćenja Komisije — bez mehanizama rane intervencije, otklanjanja prepreka sanaciji, prenosnih instrumenata i zaštitnih mjera.</w:t>
            </w:r>
          </w:p>
          <w:p w14:paraId="16F6B311" w14:textId="77777777" w:rsidR="006F1A30" w:rsidRPr="006F1A30" w:rsidRDefault="006F1A30" w:rsidP="00C367B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Neispunjavanje obaveza iz Poglavlja 9 – Finansijske usluge, što bi usporilo proces pristupanja EU.</w:t>
            </w:r>
          </w:p>
          <w:p w14:paraId="69310E5B" w14:textId="77777777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Status quo opcija nije prihvatljiva, jer ne rješava nijedan identifikovani problem, već ih produbljuje.</w:t>
            </w:r>
          </w:p>
          <w:p w14:paraId="1A00ABC7" w14:textId="773F324A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</w:p>
          <w:p w14:paraId="26CAA84B" w14:textId="77777777" w:rsidR="006F1A30" w:rsidRPr="006F1A30" w:rsidRDefault="006F1A30" w:rsidP="00C367B7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Opcija 2 – Neregulatorna opcija (soft law, smjernice, preporuke</w:t>
            </w:r>
            <w:r w:rsidRPr="006F1A30">
              <w:rPr>
                <w:rFonts w:ascii="Arial" w:eastAsia="Times New Roman" w:hAnsi="Arial" w:cs="Arial"/>
                <w:lang w:val="sr-Latn-ME" w:eastAsia="sr-Latn-ME"/>
              </w:rPr>
              <w:t>)</w:t>
            </w:r>
          </w:p>
          <w:p w14:paraId="6D7DCD69" w14:textId="77777777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Umjesto zakona, Komisija bi donijela interne smjernice, preporuke ili protokole o postupanju u kriznim situacijama CCP-a.</w:t>
            </w:r>
          </w:p>
          <w:p w14:paraId="0E3E14FB" w14:textId="77777777" w:rsidR="006F1A30" w:rsidRPr="006F1A30" w:rsidRDefault="006F1A30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Prednosti</w:t>
            </w:r>
          </w:p>
          <w:p w14:paraId="7EB7A0F2" w14:textId="77777777" w:rsidR="006F1A30" w:rsidRPr="006F1A30" w:rsidRDefault="006F1A30" w:rsidP="00C367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Brže i jednostavnije od formalnog zakona.</w:t>
            </w:r>
          </w:p>
          <w:p w14:paraId="65A653DB" w14:textId="77777777" w:rsidR="006F1A30" w:rsidRPr="006F1A30" w:rsidRDefault="006F1A30" w:rsidP="00C367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Fleksibilnije prilagođavanje promjenama tržišta.</w:t>
            </w:r>
          </w:p>
          <w:p w14:paraId="38EBE0C9" w14:textId="77777777" w:rsidR="006F1A30" w:rsidRPr="006F1A30" w:rsidRDefault="006F1A30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Nedostaci</w:t>
            </w:r>
          </w:p>
          <w:p w14:paraId="4C1B4BE5" w14:textId="77777777" w:rsidR="006F1A30" w:rsidRPr="006F1A30" w:rsidRDefault="006F1A30" w:rsidP="00C367B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Neobavezujući karakter — CCP nema dužnost da izradi plan sanacije ili postupa prema smjernicama Komisije.</w:t>
            </w:r>
          </w:p>
          <w:p w14:paraId="4E3B77F7" w14:textId="77777777" w:rsidR="006F1A30" w:rsidRPr="006F1A30" w:rsidRDefault="006F1A30" w:rsidP="00C367B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Bez instrumenata sanacije – neregulatorni akti ne mogu propisati:</w:t>
            </w:r>
          </w:p>
          <w:p w14:paraId="5A762E86" w14:textId="77777777" w:rsidR="006F1A30" w:rsidRPr="006F1A30" w:rsidRDefault="006F1A30" w:rsidP="00C367B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prenos imovine,</w:t>
            </w:r>
          </w:p>
          <w:p w14:paraId="02E3A4D3" w14:textId="77777777" w:rsidR="006F1A30" w:rsidRPr="006F1A30" w:rsidRDefault="006F1A30" w:rsidP="00C367B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bail-in,</w:t>
            </w:r>
          </w:p>
          <w:p w14:paraId="7236D378" w14:textId="77777777" w:rsidR="006F1A30" w:rsidRPr="006F1A30" w:rsidRDefault="006F1A30" w:rsidP="00C367B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instrument raspodjele pozicija,</w:t>
            </w:r>
          </w:p>
          <w:p w14:paraId="3C5B91DD" w14:textId="77777777" w:rsidR="006F1A30" w:rsidRPr="006F1A30" w:rsidRDefault="006F1A30" w:rsidP="00C367B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ranu intervenciju,</w:t>
            </w:r>
          </w:p>
          <w:p w14:paraId="1FF7B204" w14:textId="77777777" w:rsidR="006F1A30" w:rsidRPr="006F1A30" w:rsidRDefault="006F1A30" w:rsidP="00C367B7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otklanjanje prepreka sanaciji.</w:t>
            </w:r>
          </w:p>
          <w:p w14:paraId="7C74F80D" w14:textId="77777777" w:rsidR="006F1A30" w:rsidRPr="006F1A30" w:rsidRDefault="006F1A30" w:rsidP="00C367B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lastRenderedPageBreak/>
              <w:t>Nema pravnog osnova za ograničavanje prava akcionara i učesnika, što je ključno u sanaciji.</w:t>
            </w:r>
          </w:p>
          <w:p w14:paraId="2E5CF832" w14:textId="77777777" w:rsidR="006F1A30" w:rsidRPr="006F1A30" w:rsidRDefault="006F1A30" w:rsidP="00C367B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Nesaglasnost sa EU standardom, jer je Uredba (EU) 2021/23 obavezujuća i zahtijeva transpoziciju u nacionalno zakonodavstvo.</w:t>
            </w:r>
          </w:p>
          <w:p w14:paraId="0505912A" w14:textId="77777777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Neregulatorna opcija nije dovoljna jer ne omogućava ostvarenje ključnih ciljeva sanacije.</w:t>
            </w:r>
          </w:p>
          <w:p w14:paraId="419EB16E" w14:textId="4E793EB0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</w:p>
          <w:p w14:paraId="00099325" w14:textId="77777777" w:rsidR="006F1A30" w:rsidRPr="006F1A30" w:rsidRDefault="006F1A30" w:rsidP="00C367B7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Opcija 3 – Donošenje sveobuhvatnog Zakona o sanaciji CCP-a (preferirana opcija)</w:t>
            </w:r>
          </w:p>
          <w:p w14:paraId="6B0D45AE" w14:textId="77777777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Donošenje novog zakona koji u potpunosti uspostavlja okvir za sanaciju CCP-a, usklađen sa Uredbom (EU) 2021/23 i praksom ESMA-e.</w:t>
            </w:r>
          </w:p>
          <w:p w14:paraId="773724E1" w14:textId="77777777" w:rsidR="006F1A30" w:rsidRPr="006F1A30" w:rsidRDefault="006F1A30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Prednosti</w:t>
            </w:r>
          </w:p>
          <w:p w14:paraId="198EBF81" w14:textId="77777777" w:rsidR="006F1A30" w:rsidRPr="006F1A30" w:rsidRDefault="006F1A30" w:rsidP="00C36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Jasno uređeni mehanizmi rane intervencije i sanacije, uključujući prenose, instrument raspodjele pozicija, hitne mjere i posebna ovlašćenja Komisije.</w:t>
            </w:r>
          </w:p>
          <w:p w14:paraId="145583C5" w14:textId="77777777" w:rsidR="006F1A30" w:rsidRPr="006F1A30" w:rsidRDefault="006F1A30" w:rsidP="00C36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Očuvanje finansijske stabilnosti kroz zaštitu klijentskih sredstava, kolaterala i kontinuiteta kliringa.</w:t>
            </w:r>
          </w:p>
          <w:p w14:paraId="2FACD01E" w14:textId="77777777" w:rsidR="006F1A30" w:rsidRPr="006F1A30" w:rsidRDefault="006F1A30" w:rsidP="00C36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Usklađenost s EU pravnim poretkom i ispunjavanje obaveza iz procesa pristupanja EU.</w:t>
            </w:r>
          </w:p>
          <w:p w14:paraId="13B8E78B" w14:textId="77777777" w:rsidR="006F1A30" w:rsidRPr="006F1A30" w:rsidRDefault="006F1A30" w:rsidP="00C36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Smanjenje rizika sistemskih šokova — CCP je ključna infrastruktura, a neuređen režim bi imao ozbiljne posljedice.</w:t>
            </w:r>
          </w:p>
          <w:p w14:paraId="37976E67" w14:textId="77777777" w:rsidR="006F1A30" w:rsidRPr="006F1A30" w:rsidRDefault="006F1A30" w:rsidP="00C36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Jasna pravna predvidljivost za tržišne učesnike, investitore i CCP.</w:t>
            </w:r>
          </w:p>
          <w:p w14:paraId="47733405" w14:textId="77777777" w:rsidR="006F1A30" w:rsidRPr="006F1A30" w:rsidRDefault="006F1A30" w:rsidP="00C36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Snažnija institucija nadzora — Komisija dobija precizna ovlašćenja, postupke i saradnju sa ESMA-om.</w:t>
            </w:r>
          </w:p>
          <w:p w14:paraId="299F6C0D" w14:textId="77777777" w:rsidR="006F1A30" w:rsidRPr="006F1A30" w:rsidRDefault="006F1A30" w:rsidP="00C367B7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Nedostaci</w:t>
            </w:r>
          </w:p>
          <w:p w14:paraId="6400E618" w14:textId="77777777" w:rsidR="006F1A30" w:rsidRPr="006F1A30" w:rsidRDefault="006F1A30" w:rsidP="00C367B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Troškovi implementacije za CCP i Komisiju (planovi sanacije, procjene, izvještavanje).</w:t>
            </w:r>
          </w:p>
          <w:p w14:paraId="1188097A" w14:textId="77777777" w:rsidR="006F1A30" w:rsidRPr="006F1A30" w:rsidRDefault="006F1A30" w:rsidP="00C367B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Potrebna obuka i dodatne kapacitete nadzora.</w:t>
            </w:r>
          </w:p>
          <w:p w14:paraId="7A72C923" w14:textId="77777777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Ova opcija u potpunosti ispunjava ciljeve propisa, eliminiše ključne rizike i obezbjeđuje usklađenost sa EU standardima. Donošenje Zakona je obavezno, jer je EU Uredba obavezujuća za sve zemlje u procesu pristupanja.</w:t>
            </w:r>
          </w:p>
          <w:p w14:paraId="209B3E86" w14:textId="1C66BEE1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</w:p>
          <w:p w14:paraId="506B7721" w14:textId="77777777" w:rsidR="006F1A30" w:rsidRPr="006F1A30" w:rsidRDefault="006F1A30" w:rsidP="00C367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Preferirana opcija je Opcija 3 – donošenje sveobuhvatnog Zakona o sanaciji CCP-a, jer jedina:</w:t>
            </w:r>
          </w:p>
          <w:p w14:paraId="45C602A2" w14:textId="77777777" w:rsidR="006F1A30" w:rsidRPr="006F1A30" w:rsidRDefault="006F1A30" w:rsidP="00C367B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Rješava identifikovane probleme sistemskog rizika, nedostatka nadzornih ovlašćenja i nepostojanja sanacione infrastrukture.</w:t>
            </w:r>
          </w:p>
          <w:p w14:paraId="585FCBEE" w14:textId="77777777" w:rsidR="006F1A30" w:rsidRPr="006F1A30" w:rsidRDefault="006F1A30" w:rsidP="00C367B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Uspostavlja predvidljiv, efikasan i EU-usaglašen režim intervenisanja u slučaju ozbiljnih poremećaja u poslovanju CCP-a.</w:t>
            </w:r>
          </w:p>
          <w:p w14:paraId="6E1F4373" w14:textId="77777777" w:rsidR="006F1A30" w:rsidRPr="006F1A30" w:rsidRDefault="006F1A30" w:rsidP="00C367B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Usklađuje Crnu Goru sa Uredbom (EU) 2021/23, što je uslov za otvaranje/zatvaranje Poglavlja 9 – Finansijske usluge.</w:t>
            </w:r>
          </w:p>
          <w:p w14:paraId="406B7263" w14:textId="77777777" w:rsidR="006F1A30" w:rsidRPr="006F1A30" w:rsidRDefault="006F1A30" w:rsidP="00C367B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Obezbjeđuje zaštitu učesnika tržišta, kolaterala, klijenata i stabilnosti finansijskog sistema.</w:t>
            </w:r>
          </w:p>
          <w:p w14:paraId="7510111C" w14:textId="77777777" w:rsidR="006F1A30" w:rsidRPr="006F1A30" w:rsidRDefault="006F1A30" w:rsidP="00C367B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6F1A30">
              <w:rPr>
                <w:rFonts w:ascii="Arial" w:eastAsia="Times New Roman" w:hAnsi="Arial" w:cs="Arial"/>
                <w:lang w:val="sr-Latn-ME" w:eastAsia="sr-Latn-ME"/>
              </w:rPr>
              <w:t>Minimizira trošak za državu i isključuje mogućnost korišćenja javnih sredstava u sanaciji (princip „no public bail-out“).</w:t>
            </w:r>
          </w:p>
          <w:p w14:paraId="58AEFC3F" w14:textId="5C547965" w:rsidR="00F63B89" w:rsidRPr="006F1A30" w:rsidRDefault="00F63B89" w:rsidP="00C36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  <w:tr w:rsidR="00F63B89" w:rsidRPr="00CE76CC" w14:paraId="66B2EA86" w14:textId="77777777" w:rsidTr="00E27883">
        <w:tc>
          <w:tcPr>
            <w:tcW w:w="9576" w:type="dxa"/>
            <w:gridSpan w:val="2"/>
            <w:shd w:val="clear" w:color="auto" w:fill="D2EAF1"/>
          </w:tcPr>
          <w:p w14:paraId="1A2B6706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4. Analiza uticaja</w:t>
            </w:r>
          </w:p>
          <w:p w14:paraId="0E1C1AEA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Na koga će i kako će najvjerovatnije uticati rješenja u propisu - nabrojati pozitivne i negativne uticaje, direktne i indirektne.</w:t>
            </w:r>
          </w:p>
          <w:p w14:paraId="67412C4B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Koje troškove će primjena propisa izazvati građanima i privredi (naročito malim i srednjim preduzećima).</w:t>
            </w:r>
          </w:p>
          <w:p w14:paraId="4A4D164F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Da li pozitivne posljedice donošenja propisa opravdavaju troškove koje će on stvoriti.</w:t>
            </w:r>
          </w:p>
          <w:p w14:paraId="0A5D9F1B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Da li se propisom podržava stvaranje novih privrednih subjekata na tržištu i tržišna konkurencija.</w:t>
            </w:r>
          </w:p>
          <w:p w14:paraId="44AD9072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Uključiti procjenu administrativnih opterećenja i biznis barijera.</w:t>
            </w:r>
          </w:p>
          <w:p w14:paraId="518B43BF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CE76CC" w14:paraId="27E1D819" w14:textId="77777777" w:rsidTr="00E27883">
        <w:tc>
          <w:tcPr>
            <w:tcW w:w="9576" w:type="dxa"/>
            <w:gridSpan w:val="2"/>
          </w:tcPr>
          <w:p w14:paraId="496EDEB6" w14:textId="0C6750D0" w:rsidR="00017730" w:rsidRPr="00017730" w:rsidRDefault="00017730" w:rsidP="000177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lastRenderedPageBreak/>
              <w:t xml:space="preserve">Predložena regulativa uvodi pravni okvir za ranu intervenciju, sanaciju i mogućnost primjene instrumenata (bail-in, transfer, prelazni CCP, prodaja poslovanja, javna </w:t>
            </w:r>
            <w:r w:rsidRPr="00932752">
              <w:rPr>
                <w:rFonts w:ascii="Arial" w:eastAsia="Times New Roman" w:hAnsi="Arial" w:cs="Arial"/>
                <w:lang w:val="sr-Latn-ME" w:eastAsia="sr-Latn-ME"/>
              </w:rPr>
              <w:t>podrška</w:t>
            </w: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 kao krajnja mjera) nad CCP. Cilj je zaštititi finansijsku stabilnost, kontinuitet ključnih funkcija kliringa i interese učesnika tržišta.</w:t>
            </w:r>
          </w:p>
          <w:p w14:paraId="3D62DB3C" w14:textId="7293EF7C" w:rsidR="00017730" w:rsidRPr="00017730" w:rsidRDefault="00017730" w:rsidP="000177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</w:p>
          <w:p w14:paraId="148174F3" w14:textId="638726BD" w:rsidR="00017730" w:rsidRPr="00017730" w:rsidRDefault="00C367B7" w:rsidP="0001773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</w:t>
            </w:r>
            <w:r w:rsidR="00017730" w:rsidRPr="000177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ozitivni i negativni uticaji</w:t>
            </w:r>
          </w:p>
          <w:p w14:paraId="4570542F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Direktni pozitivni uticaji</w:t>
            </w:r>
          </w:p>
          <w:p w14:paraId="015A7AFA" w14:textId="11EC0DC3" w:rsidR="00017730" w:rsidRPr="00017730" w:rsidRDefault="00017730" w:rsidP="0001773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Finansijski sistem / regulator (Komisija): jača kontrola i instrumenti djelovanja; veća sposobnost da spriječi</w:t>
            </w:r>
            <w:r w:rsidRPr="00932752">
              <w:rPr>
                <w:rFonts w:ascii="Arial" w:eastAsia="Times New Roman" w:hAnsi="Arial" w:cs="Arial"/>
                <w:lang w:val="sr-Latn-ME" w:eastAsia="sr-Latn-ME"/>
              </w:rPr>
              <w:t xml:space="preserve"> propast</w:t>
            </w: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 i očuva stabilnost.</w:t>
            </w:r>
          </w:p>
          <w:p w14:paraId="072C6B84" w14:textId="192C0127" w:rsidR="00017730" w:rsidRPr="00017730" w:rsidRDefault="00017730" w:rsidP="0001773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Članovi sistema poravnanja (banke, brokerske kuće, investiciona društva): manji rizik zbog jasnih mehanizama sanacije; zaštita kontinuiranog pristupa ključnim funkcijama poravnanja.</w:t>
            </w:r>
          </w:p>
          <w:p w14:paraId="4E255E40" w14:textId="77777777" w:rsidR="00017730" w:rsidRPr="00017730" w:rsidRDefault="00017730" w:rsidP="0001773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Klijenti članova (investitori, krajnji klijenti): bolja zaštita sredstava i kontinuitet poravnanja; mehanizmi naknade i zaštite klijenata.</w:t>
            </w:r>
          </w:p>
          <w:p w14:paraId="0A9DA48B" w14:textId="77777777" w:rsidR="00017730" w:rsidRPr="00017730" w:rsidRDefault="00017730" w:rsidP="0001773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Širi finansijski sistem i tržište: smanjen rizik sistemskih poremećaja, bolja transparentnost i predvidljivost u kriznim okolnostima.</w:t>
            </w:r>
          </w:p>
          <w:p w14:paraId="5CBE17D9" w14:textId="490D2AB3" w:rsidR="00017730" w:rsidRPr="00017730" w:rsidRDefault="00017730" w:rsidP="0001773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Država / poreski obveznici: smanjena </w:t>
            </w:r>
            <w:r w:rsidRPr="00932752">
              <w:rPr>
                <w:rFonts w:ascii="Arial" w:eastAsia="Times New Roman" w:hAnsi="Arial" w:cs="Arial"/>
                <w:lang w:val="sr-Latn-ME" w:eastAsia="sr-Latn-ME"/>
              </w:rPr>
              <w:t>vjerovatnost</w:t>
            </w: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 hitnih javnih intervencija i veličina potencijalnih fiskalnih izdataka (zahvaljujući alatima za privatno podmirenje gubitaka).</w:t>
            </w:r>
          </w:p>
          <w:p w14:paraId="03A5D83F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Direktni negativni uticaji</w:t>
            </w:r>
          </w:p>
          <w:p w14:paraId="0C659865" w14:textId="77777777" w:rsidR="00017730" w:rsidRPr="00017730" w:rsidRDefault="00017730" w:rsidP="000177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CCP: dodatni regulatorni zahtjevi (planovi sanacije, izvještavanje, evidencije), proceduralne obaveze, mogućnost otpisa/konverzije instrumenata i ograničenja u poslovanju u kriznim situacijama.</w:t>
            </w:r>
          </w:p>
          <w:p w14:paraId="30941450" w14:textId="77777777" w:rsidR="00017730" w:rsidRPr="00017730" w:rsidRDefault="00017730" w:rsidP="000177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Akcionari i povjerioci CCP-a: rizik od gubitaka, konverzije ili gubitka prava glasanja u sanaciji.</w:t>
            </w:r>
          </w:p>
          <w:p w14:paraId="3BDC0EB0" w14:textId="77777777" w:rsidR="00017730" w:rsidRPr="00017730" w:rsidRDefault="00017730" w:rsidP="0001773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Članovi sistema poravnanja: potencijalne obaveze doprinosa i gotovinskih uplata (poziv na uplatu) u vanrednim slučajevima; kratkoročni likvidnosni udarci.</w:t>
            </w:r>
          </w:p>
          <w:p w14:paraId="042C56AD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Indirektni pozitivni uticaji</w:t>
            </w:r>
          </w:p>
          <w:p w14:paraId="3405CB11" w14:textId="77777777" w:rsidR="00017730" w:rsidRPr="00017730" w:rsidRDefault="00017730" w:rsidP="000177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Investitori i tržišni učesnici: veće povjerenje u infrastrukturu tržišta dugoročno; mogući niži premijski troškovi rizika.</w:t>
            </w:r>
          </w:p>
          <w:p w14:paraId="5D4C290F" w14:textId="77777777" w:rsidR="00017730" w:rsidRPr="00017730" w:rsidRDefault="00017730" w:rsidP="000177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Međunarodni investitori i partneri: bolja usklađenost sa EU standardima, olakšan pristup i interoperabilnost.</w:t>
            </w:r>
          </w:p>
          <w:p w14:paraId="4DD01524" w14:textId="77777777" w:rsidR="00017730" w:rsidRPr="00017730" w:rsidRDefault="00017730" w:rsidP="0001773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Makroekonomija: smanjena vjerovatnoća lančanih finansijskih šokova i poremećaja tržišta.</w:t>
            </w:r>
          </w:p>
          <w:p w14:paraId="42C7E71C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Indirektni negativni uticaji</w:t>
            </w:r>
          </w:p>
          <w:p w14:paraId="09F9FFA2" w14:textId="77777777" w:rsidR="00017730" w:rsidRPr="00017730" w:rsidRDefault="00017730" w:rsidP="000177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Troškovi usklađivanja: povećani operativni i compliance troškovi koji mogu djelimično preći na korisnike usluga (proširenjem naknada).</w:t>
            </w:r>
          </w:p>
          <w:p w14:paraId="56D090E3" w14:textId="77777777" w:rsidR="00017730" w:rsidRPr="00017730" w:rsidRDefault="00017730" w:rsidP="0001773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Mogućnost kratkoročnog smanjenja likvidnosti: instrumenti sanacije (npr. smanjenje dobitaka, pozivi na uplatu) mogu stvarati tržišne poremećaje dok se primjenjuju.</w:t>
            </w:r>
          </w:p>
          <w:p w14:paraId="1A5346A8" w14:textId="27D8A970" w:rsidR="00017730" w:rsidRPr="00017730" w:rsidRDefault="00017730" w:rsidP="000177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</w:p>
          <w:p w14:paraId="07CA6DFB" w14:textId="21B7F956" w:rsidR="00017730" w:rsidRPr="00017730" w:rsidRDefault="00017730" w:rsidP="0001773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Troškovi primjene propisa za građane i privredu (posebno MSP)</w:t>
            </w:r>
          </w:p>
          <w:p w14:paraId="7BE9EC94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Troškovi za CCP i velike tržišne učesnike (direktni)</w:t>
            </w:r>
          </w:p>
          <w:p w14:paraId="5825E506" w14:textId="77777777" w:rsidR="00017730" w:rsidRPr="00017730" w:rsidRDefault="00017730" w:rsidP="0001773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Izrada i stalno održavanje plana sanacije (procjene, stres testovi, pravna mišljenja, revizije).</w:t>
            </w:r>
          </w:p>
          <w:p w14:paraId="40CFE960" w14:textId="77777777" w:rsidR="00017730" w:rsidRPr="00017730" w:rsidRDefault="00017730" w:rsidP="0001773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Uvođenje i održavanje evidencija i IT sistema za izvještavanje.</w:t>
            </w:r>
          </w:p>
          <w:p w14:paraId="0338EBAF" w14:textId="77777777" w:rsidR="00017730" w:rsidRPr="00017730" w:rsidRDefault="00017730" w:rsidP="0001773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Pravna i savjetodavna podrška (priprema ugovornih odredbi, revizije ugovora s trećim zemljama).</w:t>
            </w:r>
          </w:p>
          <w:p w14:paraId="39B649F4" w14:textId="77777777" w:rsidR="00017730" w:rsidRPr="00017730" w:rsidRDefault="00017730" w:rsidP="0001773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Kapitalni troškovi u slučaju potrebe za dokapitalizacijom ili izdavanjem instrumenata.</w:t>
            </w:r>
          </w:p>
          <w:p w14:paraId="213FE405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Troškovi za članove sistema poravnanja (banke, brokerske kuće)</w:t>
            </w:r>
          </w:p>
          <w:p w14:paraId="2B1B5E26" w14:textId="77777777" w:rsidR="00017730" w:rsidRPr="00017730" w:rsidRDefault="00017730" w:rsidP="000177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Potencijalne obaveze doprinosa / gotovinskih uplata pri aktivaciji instrumenata sanacije.</w:t>
            </w:r>
          </w:p>
          <w:p w14:paraId="53F79279" w14:textId="77777777" w:rsidR="00017730" w:rsidRPr="00017730" w:rsidRDefault="00017730" w:rsidP="000177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Operativni troškovi prilagođavanja ugovora i procedura (npr. osiguravanje prenošenja prava klijenata).</w:t>
            </w:r>
          </w:p>
          <w:p w14:paraId="5BBB0E69" w14:textId="77777777" w:rsidR="00017730" w:rsidRPr="00017730" w:rsidRDefault="00017730" w:rsidP="000177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lastRenderedPageBreak/>
              <w:t>Troškovi za obezbjeđenje i upravljanje dodatnim zahtjevima (liquidity buffers).</w:t>
            </w:r>
          </w:p>
          <w:p w14:paraId="3224C5E9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Troškovi za MSP i krajnje korisnike (indirektni)</w:t>
            </w:r>
          </w:p>
          <w:p w14:paraId="47C94779" w14:textId="77777777" w:rsidR="00017730" w:rsidRPr="00017730" w:rsidRDefault="00017730" w:rsidP="000177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Ako se CCP naknade povećaju da pokriju nove administrativne troškove, mali brokeri i investicioni savjetnici mogu prebaciti trošak na klijente (MSP i privatni investitori).</w:t>
            </w:r>
          </w:p>
          <w:p w14:paraId="0FC7BFE8" w14:textId="77777777" w:rsidR="00017730" w:rsidRPr="00017730" w:rsidRDefault="00017730" w:rsidP="0001773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U slučaju aktivirane sanacije — kratkoročne poteškoće u pristupu poravnanju ili dodatni troškovi zamjene pozicija (ako se dogode prijenosi/umanjenja vrijednosti).</w:t>
            </w:r>
          </w:p>
          <w:p w14:paraId="7D19DDAD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Administrativni troškovi državnih tijela i nadzora</w:t>
            </w:r>
          </w:p>
          <w:p w14:paraId="645A311A" w14:textId="77777777" w:rsidR="00017730" w:rsidRPr="00017730" w:rsidRDefault="00017730" w:rsidP="0001773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Potreba za dodatnim kapacitetima u Komisiji (osoblje, IT, obuke) i koordinaciji sa ESMA/trećim zemljama.</w:t>
            </w:r>
          </w:p>
          <w:p w14:paraId="731AAB01" w14:textId="77777777" w:rsidR="00017730" w:rsidRPr="00017730" w:rsidRDefault="00017730" w:rsidP="0001773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Troškovi uspostave i vođenja registracija, objava i baze podataka.</w:t>
            </w:r>
          </w:p>
          <w:p w14:paraId="037B2E5E" w14:textId="3B97E2D2" w:rsidR="00017730" w:rsidRPr="00017730" w:rsidRDefault="00017730" w:rsidP="0001773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Da li pozitivne posljedice opravdavaju troškove?</w:t>
            </w:r>
          </w:p>
          <w:p w14:paraId="27AE7429" w14:textId="77777777" w:rsidR="00017730" w:rsidRPr="00017730" w:rsidRDefault="00017730" w:rsidP="000177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Stav: da — opravdavaju, iz sljedećih razloga:</w:t>
            </w:r>
          </w:p>
          <w:p w14:paraId="6AAB2295" w14:textId="77777777" w:rsidR="00017730" w:rsidRPr="00017730" w:rsidRDefault="00017730" w:rsidP="0001773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CCP je kritična infrastruktura čiji kolaps može izazvati eksponencijalne, vrlo visoke troškove za cijeli finansijski sistem i ekonomiju (sistemsku kontaminaciju). Troškovi usklađivanja i administracije su relativno ograničeni i predvidljivi u odnosu na potencijalne gubitke koje bi izazvao neuređen režim sanacije.</w:t>
            </w:r>
          </w:p>
          <w:p w14:paraId="425A983A" w14:textId="77777777" w:rsidR="00017730" w:rsidRPr="00017730" w:rsidRDefault="00017730" w:rsidP="0001773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Mehanizmi koji omogućavaju raspodjelu gubitaka privatnom sektoru (bail-in, pozivi za uplatu, distribucija instrumenata) značajno smanjuju rizik fiskalnih izdataka i štite poreske obveznike.</w:t>
            </w:r>
          </w:p>
          <w:p w14:paraId="288ECAB4" w14:textId="77777777" w:rsidR="00017730" w:rsidRPr="00017730" w:rsidRDefault="00017730" w:rsidP="0001773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Usklađenost sa EU standardima dodatno donosi korist kroz olakšan pristup tržištima i pravnu predvidljivost za inostrane učesnike.</w:t>
            </w:r>
          </w:p>
          <w:p w14:paraId="090328DF" w14:textId="77777777" w:rsidR="00017730" w:rsidRPr="00017730" w:rsidRDefault="00017730" w:rsidP="000177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Zaključno: unutrašnje i društvene koristi (stabilnost, kontinuitet usluga, zaštita klijenata) nadmašuju neposredne administrativne i operativne troškove.</w:t>
            </w:r>
          </w:p>
          <w:p w14:paraId="1248A73E" w14:textId="7AF333B5" w:rsidR="00017730" w:rsidRPr="00017730" w:rsidRDefault="00017730" w:rsidP="0001773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Da li propis podržava stvaranje novih privrednih subjekata i tržišnu konkurenciju?</w:t>
            </w:r>
          </w:p>
          <w:p w14:paraId="0844AC4D" w14:textId="77777777" w:rsidR="00017730" w:rsidRPr="00017730" w:rsidRDefault="00017730" w:rsidP="000177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Neutralno-pozitivno: zakon primarno nije instrument za stimulaciju novih učesnika, ali stvara povoljnije tržišno okruženje (pravna sigurnost, predvidljivost) što može:</w:t>
            </w:r>
          </w:p>
          <w:p w14:paraId="4D92B0FB" w14:textId="77777777" w:rsidR="00017730" w:rsidRPr="00017730" w:rsidRDefault="00017730" w:rsidP="00017730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Podići povjerenje potencijalnih ulagača i novih pružalaca infrastrukturnih usluga.</w:t>
            </w:r>
          </w:p>
          <w:p w14:paraId="0F9C7111" w14:textId="77777777" w:rsidR="00017730" w:rsidRPr="00017730" w:rsidRDefault="00017730" w:rsidP="00017730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Omogućiti ulazak specijalizovanih dobavljača usluga (procjena, IT rješenja, pravne usluge, revizori) koji će ponuditi usluge podrške CCP-ima i članovima poravnanja.</w:t>
            </w:r>
          </w:p>
          <w:p w14:paraId="7FAA5185" w14:textId="77777777" w:rsidR="00017730" w:rsidRPr="00017730" w:rsidRDefault="00017730" w:rsidP="000177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Konkurencija među CCP-ima: zakon ne daje direktne poticaje za kreiranje više CCP-ova, ali jasni sanacioni režimi i pravna predvidljivost mogu smanjiti barijere ulaska na duži rok.</w:t>
            </w:r>
          </w:p>
          <w:p w14:paraId="44064BEF" w14:textId="77777777" w:rsidR="00017730" w:rsidRPr="00017730" w:rsidRDefault="00017730" w:rsidP="0001773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Mogućnost tržišnog preustrojstva: instrument prodaje poslovanja i prelazni CCP omogućuju bržu i sigurniju tranziciju poslovanja na solventne kupce, što može olakšati tržišnu konsolidaciju ili preuzimanja na tržištu.</w:t>
            </w:r>
          </w:p>
          <w:p w14:paraId="409BE9F7" w14:textId="0EF062A7" w:rsidR="00017730" w:rsidRPr="00017730" w:rsidRDefault="00017730" w:rsidP="000177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Ukupno: zakon ne stvara direktni regulatorni po</w:t>
            </w:r>
            <w:r w:rsidRPr="00932752">
              <w:rPr>
                <w:rFonts w:ascii="Arial" w:eastAsia="Times New Roman" w:hAnsi="Arial" w:cs="Arial"/>
                <w:lang w:val="sr-Latn-ME" w:eastAsia="sr-Latn-ME"/>
              </w:rPr>
              <w:t>ds</w:t>
            </w:r>
            <w:r w:rsidRPr="00017730">
              <w:rPr>
                <w:rFonts w:ascii="Arial" w:eastAsia="Times New Roman" w:hAnsi="Arial" w:cs="Arial"/>
                <w:lang w:val="sr-Latn-ME" w:eastAsia="sr-Latn-ME"/>
              </w:rPr>
              <w:t>ticaj za mase novih subjekata, ali doprinosi infrastrukturi i pravnoj sigurnosti koja je pretpostavka za zdravu konkurenciju.</w:t>
            </w:r>
          </w:p>
          <w:p w14:paraId="0CB12CEB" w14:textId="02903DCD" w:rsidR="00017730" w:rsidRPr="00017730" w:rsidRDefault="00017730" w:rsidP="0001773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b/>
                <w:bCs/>
                <w:lang w:val="sr-Latn-ME" w:eastAsia="sr-Latn-ME"/>
              </w:rPr>
              <w:t>Procjena administrativnih opterećenja i poslovnih barijera</w:t>
            </w:r>
          </w:p>
          <w:p w14:paraId="0414DCBC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Administrativno opterećenje (procjena)</w:t>
            </w:r>
          </w:p>
          <w:p w14:paraId="2F64D5F7" w14:textId="77777777" w:rsidR="00017730" w:rsidRPr="00017730" w:rsidRDefault="00017730" w:rsidP="0001773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Visoko za CCP: obaveza izrade, redovnog ažuriranja i testiranja plana sanacije; vođenje detaljnih evidencija; podnošenje izvještaja Komisiji; pravna usklađenja ugovora s članovima i trećim zemljama.</w:t>
            </w:r>
          </w:p>
          <w:p w14:paraId="4A712B03" w14:textId="700515BB" w:rsidR="00017730" w:rsidRPr="00017730" w:rsidRDefault="00017730" w:rsidP="0001773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Umjereno za članove poravnanja: </w:t>
            </w:r>
            <w:r w:rsidRPr="00932752">
              <w:rPr>
                <w:rFonts w:ascii="Arial" w:eastAsia="Times New Roman" w:hAnsi="Arial" w:cs="Arial"/>
                <w:lang w:val="sr-Latn-ME" w:eastAsia="sr-Latn-ME"/>
              </w:rPr>
              <w:t>prilagode</w:t>
            </w: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 ugovora, pripravnost za hitne doprinose, izvještavanje prema CCP-u i saradnja u planovima sanacije.</w:t>
            </w:r>
          </w:p>
          <w:p w14:paraId="728BFA76" w14:textId="77777777" w:rsidR="00017730" w:rsidRPr="00017730" w:rsidRDefault="00017730" w:rsidP="0001773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Nisko-umjereno za MSP/krajnje korisnike: uglavnom indirektni troškovi kroz moguće povećanje naknada; u većini slučajeva administrativni teret ostaje kod većih učesnika (CCP i članova).</w:t>
            </w:r>
          </w:p>
          <w:p w14:paraId="7F14820A" w14:textId="77777777" w:rsidR="00017730" w:rsidRPr="00017730" w:rsidRDefault="00017730" w:rsidP="0001773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Za Komisiju: povećane operativne zahtjeve — potreba za dodatnim stručnim osobljem, IT sustavima i procedurama za koordinaciju i objave.</w:t>
            </w:r>
          </w:p>
          <w:p w14:paraId="50CDBF87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Biznis barijere</w:t>
            </w:r>
          </w:p>
          <w:p w14:paraId="00398EAA" w14:textId="77777777" w:rsidR="00017730" w:rsidRPr="00017730" w:rsidRDefault="00017730" w:rsidP="0001773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lastRenderedPageBreak/>
              <w:t>Finansijski troškovi usklađivanja mogu djelovati kao barijera ulaska za male novi pružaoce usluga povezane s kliringom ili posrednike s ograničenim resursima.</w:t>
            </w:r>
          </w:p>
          <w:p w14:paraId="3B22C375" w14:textId="2C172334" w:rsidR="00017730" w:rsidRPr="00017730" w:rsidRDefault="00017730" w:rsidP="0001773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 xml:space="preserve">Pravni i ugovorni zahtjevi (klauzule o prihvatanju sanacionih mjera, pravna mišljenja) mogu povećati troškove transakcija s međunarodnim </w:t>
            </w:r>
            <w:r w:rsidRPr="00932752">
              <w:rPr>
                <w:rFonts w:ascii="Arial" w:eastAsia="Times New Roman" w:hAnsi="Arial" w:cs="Arial"/>
                <w:lang w:val="sr-Latn-ME" w:eastAsia="sr-Latn-ME"/>
              </w:rPr>
              <w:t xml:space="preserve">drugim </w:t>
            </w:r>
            <w:r w:rsidRPr="00017730">
              <w:rPr>
                <w:rFonts w:ascii="Arial" w:eastAsia="Times New Roman" w:hAnsi="Arial" w:cs="Arial"/>
                <w:lang w:val="sr-Latn-ME" w:eastAsia="sr-Latn-ME"/>
              </w:rPr>
              <w:t>stranama.</w:t>
            </w:r>
          </w:p>
          <w:p w14:paraId="3FB14615" w14:textId="77777777" w:rsidR="00017730" w:rsidRPr="00017730" w:rsidRDefault="00017730" w:rsidP="0001773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Potencijalne likvidnosne obaveze (pozivi na uplatu) u kriznim situacijama mogu ograničiti kreditne kapacitete nekih članova (osobito manjim financijskim posrednicima) ako nisu propisno kapitalizirani.</w:t>
            </w:r>
          </w:p>
          <w:p w14:paraId="0EDA6F0B" w14:textId="77777777" w:rsidR="00017730" w:rsidRPr="00017730" w:rsidRDefault="00017730" w:rsidP="00017730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Moguće ublažavajuće mjere (preporuke)</w:t>
            </w:r>
          </w:p>
          <w:p w14:paraId="6CE2C38C" w14:textId="77777777" w:rsidR="00017730" w:rsidRPr="00017730" w:rsidRDefault="00017730" w:rsidP="0001773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Postepena primjena zahtjeva (faze prilagodbe) i period tranzicije za CCP i članove.</w:t>
            </w:r>
          </w:p>
          <w:p w14:paraId="5274C7CC" w14:textId="77777777" w:rsidR="00017730" w:rsidRPr="00017730" w:rsidRDefault="00017730" w:rsidP="0001773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sr-Latn-ME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Podrška i smjernice Komisije (tehnička pomoć, predlošci planova) kako bi se smanjili troškovi usklađivanja za manje učesnike.</w:t>
            </w:r>
          </w:p>
          <w:p w14:paraId="0F78C9C9" w14:textId="504FDA22" w:rsidR="00F63B89" w:rsidRPr="00932752" w:rsidRDefault="00017730" w:rsidP="0001773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017730">
              <w:rPr>
                <w:rFonts w:ascii="Arial" w:eastAsia="Times New Roman" w:hAnsi="Arial" w:cs="Arial"/>
                <w:lang w:val="sr-Latn-ME" w:eastAsia="sr-Latn-ME"/>
              </w:rPr>
              <w:t>Omogućiti proporcionalni pristup regulatornim obavezama, gdje se zahtjevi proporcionalno prilagođavaju veličini i sistemskoj važnosti subjekta.</w:t>
            </w:r>
          </w:p>
        </w:tc>
      </w:tr>
      <w:tr w:rsidR="00F63B89" w:rsidRPr="00CE76CC" w14:paraId="0F76390C" w14:textId="77777777" w:rsidTr="00E27883">
        <w:tc>
          <w:tcPr>
            <w:tcW w:w="9576" w:type="dxa"/>
            <w:gridSpan w:val="2"/>
            <w:shd w:val="clear" w:color="auto" w:fill="D2EAF1"/>
          </w:tcPr>
          <w:p w14:paraId="1E2BF3C7" w14:textId="77777777" w:rsidR="00F63B89" w:rsidRPr="00932752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5. Procjena fiskalnog uticaja</w:t>
            </w:r>
          </w:p>
          <w:p w14:paraId="1733D1B7" w14:textId="77777777" w:rsidR="00F63B89" w:rsidRPr="00932752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je potrebno obezbjeđenje finansijskih sredstava iz budžeta Crne Gore za implementaciju propisa i u kom iznosu?</w:t>
            </w:r>
          </w:p>
          <w:p w14:paraId="3A012AB4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je obezbjeđenje finansijskih sredstava jednokratno, ili tokom određenog vremenskog perioda?  Obrazložiti.</w:t>
            </w:r>
          </w:p>
          <w:p w14:paraId="59D01155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implementacijom propisa proizilaze međunarodne finansijske obaveze? Obrazložiti.</w:t>
            </w:r>
          </w:p>
          <w:p w14:paraId="1E35D0D5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su neophodna finansijska sredstva obezbijeđena u budžetu za tekuću fiskalnu godinu, odnosno da li su planirana u budžetu za narednu fiskanu godinu?</w:t>
            </w:r>
          </w:p>
          <w:p w14:paraId="119944E3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je usvajanjem propisa predviđeno donošenje podzakonskih akata iz kojih će proisteći finansijske obaveze?</w:t>
            </w:r>
          </w:p>
          <w:p w14:paraId="3FF47335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će se implementacijom propisa ostvariti prihod za budžet Crne Gore?</w:t>
            </w:r>
          </w:p>
          <w:p w14:paraId="1FF4A1AE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Obrazložiti metodologiju koja je korišćenja prilikom obračuna finansijskih izdataka/prihoda.</w:t>
            </w:r>
          </w:p>
          <w:p w14:paraId="06EB597F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su postojali problemi u preciznom obračunu finansijskih izdataka/prihoda? Obrazložiti.</w:t>
            </w:r>
          </w:p>
          <w:p w14:paraId="0DD502FB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su postojale sugestije Ministarstva finansija na nacrt/predlog propisa?</w:t>
            </w:r>
          </w:p>
          <w:p w14:paraId="3FE0003F" w14:textId="77777777" w:rsidR="00F63B89" w:rsidRPr="00932752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32752">
              <w:rPr>
                <w:rFonts w:ascii="Arial" w:eastAsia="Times New Roman" w:hAnsi="Arial" w:cs="Arial"/>
                <w:b/>
                <w:lang w:val="sr-Latn-ME" w:eastAsia="en-GB"/>
              </w:rPr>
              <w:t>Da li su dobijene primjedbe uključene u tekst propisa? Obrazložiti.</w:t>
            </w:r>
          </w:p>
        </w:tc>
      </w:tr>
      <w:tr w:rsidR="00F63B89" w:rsidRPr="00CE76CC" w14:paraId="5E984FF5" w14:textId="77777777" w:rsidTr="00E27883">
        <w:tc>
          <w:tcPr>
            <w:tcW w:w="9576" w:type="dxa"/>
            <w:gridSpan w:val="2"/>
          </w:tcPr>
          <w:p w14:paraId="457731C3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  <w:p w14:paraId="08BCECB8" w14:textId="77777777" w:rsidR="00F63B89" w:rsidRPr="00CE76CC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en-GB"/>
              </w:rPr>
              <w:t>Za sprovođenje ovog zakona i podzakonskih akata koji će biti donijeti po osnovu ovog zakona nije potrebno obezbjeđenje finansijskih sredstava iz budžeta Crne Gore, niti iz zakona i podzakonskih akata proizilaze međunarodne finansijske obaveze.</w:t>
            </w:r>
          </w:p>
          <w:p w14:paraId="52D21161" w14:textId="77777777" w:rsidR="00F63B89" w:rsidRPr="00CE76CC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5FF19B77" w14:textId="77777777" w:rsidR="00F63B89" w:rsidRPr="00CE76CC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Cs/>
                <w:lang w:val="sr-Latn-ME" w:eastAsia="en-GB"/>
              </w:rPr>
              <w:t>Implementacijom propisa neće se direktno ostvariti prihodi za budžet Crne Gore.</w:t>
            </w:r>
          </w:p>
          <w:p w14:paraId="52E60D47" w14:textId="77777777" w:rsidR="00F63B89" w:rsidRPr="00CE76CC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CE76CC" w14:paraId="1385E2DD" w14:textId="77777777" w:rsidTr="00E27883">
        <w:tc>
          <w:tcPr>
            <w:tcW w:w="9576" w:type="dxa"/>
            <w:gridSpan w:val="2"/>
            <w:shd w:val="clear" w:color="auto" w:fill="D2EAF1"/>
          </w:tcPr>
          <w:p w14:paraId="14404AD0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 xml:space="preserve">6. </w:t>
            </w:r>
            <w:r w:rsidRPr="00CE76CC">
              <w:rPr>
                <w:rFonts w:ascii="Arial" w:eastAsia="Times New Roman" w:hAnsi="Arial" w:cs="Arial"/>
                <w:lang w:val="sr-Latn-ME" w:eastAsia="en-GB"/>
              </w:rPr>
              <w:t>K</w:t>
            </w: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onsultacije zainteresovanih strana</w:t>
            </w:r>
          </w:p>
          <w:p w14:paraId="0182DB1E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Naznačiti da li je korišćena eksterna ekspertska podrška i ako da, kako.</w:t>
            </w:r>
          </w:p>
          <w:p w14:paraId="141CC14D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Naznačiti koje su grupe zainteresovanih strana konsultovane, u kojoj fazi RIA procesa i kako (javne ili ciljane konsultacije).</w:t>
            </w:r>
          </w:p>
          <w:p w14:paraId="2E3071AE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F63B89" w:rsidRPr="00CE76CC" w14:paraId="74FC4D9B" w14:textId="77777777" w:rsidTr="00E27883">
        <w:tc>
          <w:tcPr>
            <w:tcW w:w="9576" w:type="dxa"/>
            <w:gridSpan w:val="2"/>
          </w:tcPr>
          <w:p w14:paraId="125CEE6D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123374EC" w14:textId="41A1166F" w:rsidR="00F63B89" w:rsidRPr="00CE76CC" w:rsidRDefault="004171CC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4171CC">
              <w:rPr>
                <w:rFonts w:ascii="Arial" w:eastAsia="Times New Roman" w:hAnsi="Arial" w:cs="Arial"/>
                <w:bCs/>
                <w:lang w:val="sr-Latn-ME" w:eastAsia="en-GB"/>
              </w:rPr>
              <w:t xml:space="preserve">Prilikom izrade Nacrta zakona o sanaciji CCP nije korišćena eksterno angažovana ekspertska podrška. Nacrt je isključivo rezultat stručne ekspertize zaposlenih u Komisiji za tržište kapitala Crne Gore, koji su zakon pripremili na osnovu relevantnih EU propisa, posebno Uredbe (EU) 2021/23, i pratećih smjernica ESMA-e. Nacrt zakona biće objavljen na javnu raspravu, nakon </w:t>
            </w:r>
            <w:r w:rsidRPr="004171CC">
              <w:rPr>
                <w:rFonts w:ascii="Arial" w:eastAsia="Times New Roman" w:hAnsi="Arial" w:cs="Arial"/>
                <w:bCs/>
                <w:lang w:val="sr-Latn-ME" w:eastAsia="en-GB"/>
              </w:rPr>
              <w:lastRenderedPageBreak/>
              <w:t>koje će se uzeti u obzir pristigli komentari i sugestije zainteresovanih strana prilikom utvrđivanja konačnog teksta zakona.</w:t>
            </w:r>
            <w:r w:rsidR="00F63B89" w:rsidRPr="00CE76CC">
              <w:rPr>
                <w:rFonts w:ascii="Arial" w:eastAsia="Times New Roman" w:hAnsi="Arial" w:cs="Arial"/>
                <w:bCs/>
                <w:lang w:val="sr-Latn-ME" w:eastAsia="en-GB"/>
              </w:rPr>
              <w:t xml:space="preserve">. </w:t>
            </w:r>
          </w:p>
          <w:p w14:paraId="5B194F19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CE76CC" w14:paraId="5223A30D" w14:textId="77777777" w:rsidTr="00E27883">
        <w:tc>
          <w:tcPr>
            <w:tcW w:w="9576" w:type="dxa"/>
            <w:gridSpan w:val="2"/>
            <w:shd w:val="clear" w:color="auto" w:fill="D2EAF1"/>
          </w:tcPr>
          <w:p w14:paraId="0E3A1B76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7. Monitoring i evaluacija</w:t>
            </w:r>
          </w:p>
          <w:p w14:paraId="663C43EC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 xml:space="preserve">Koje su potencijalne prepreke za implementaciju propisa? </w:t>
            </w:r>
          </w:p>
          <w:p w14:paraId="3106AE92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Koje će mjere biti preduzete tokom primjene propisa da bi se ispunili ciljevi?</w:t>
            </w:r>
          </w:p>
          <w:p w14:paraId="6863D7DA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Koji su glavni indikatori prema kojima će se mjeriti ispunjenje ciljeva?</w:t>
            </w:r>
          </w:p>
          <w:p w14:paraId="595CA49B" w14:textId="77777777" w:rsidR="00F63B89" w:rsidRPr="00CE76CC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b/>
                <w:lang w:val="sr-Latn-ME" w:eastAsia="en-GB"/>
              </w:rPr>
              <w:t>Ko će biti zadužen za sprovođenje monitoringa i evaluacije primjene propisa?</w:t>
            </w:r>
          </w:p>
        </w:tc>
      </w:tr>
      <w:tr w:rsidR="00F63B89" w:rsidRPr="00CE76CC" w14:paraId="41B64F4F" w14:textId="77777777" w:rsidTr="00E27883">
        <w:tc>
          <w:tcPr>
            <w:tcW w:w="9576" w:type="dxa"/>
            <w:gridSpan w:val="2"/>
          </w:tcPr>
          <w:p w14:paraId="3C331445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4B49E68E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lang w:val="sr-Latn-ME" w:eastAsia="en-GB"/>
              </w:rPr>
              <w:t xml:space="preserve">Ne postoje potencijalne prepreke za implementaciju ovog zakona. </w:t>
            </w:r>
          </w:p>
          <w:p w14:paraId="6D1EAAA1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4C84C28C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lang w:val="sr-Latn-ME" w:eastAsia="en-GB"/>
              </w:rPr>
              <w:t>Osnovni indikatori za mjerenje ispunjenja ciljeva predloženog zakona mogu biti: kvalitet pripremljenih planova sanacije i nivo regulatornog kapitala i kvalifikovanih obaveza u sistemu.</w:t>
            </w:r>
          </w:p>
          <w:p w14:paraId="1C28499B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sr-Latn-ME" w:eastAsia="en-GB"/>
              </w:rPr>
            </w:pPr>
          </w:p>
          <w:p w14:paraId="509C837E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CE76CC">
              <w:rPr>
                <w:rFonts w:ascii="Arial" w:eastAsia="Times New Roman" w:hAnsi="Arial" w:cs="Arial"/>
                <w:lang w:val="sr-Latn-ME" w:eastAsia="en-GB"/>
              </w:rPr>
              <w:t>Za monitoring primjene ovog zakona biće zadužena Komisija za tržište kapitala Crne Gore kao organ za sanaciju, ovlašćen da primjenjuje instrumente sanacije i da izvršava druga sanaciona ovlašćenja iz ovog zakona.</w:t>
            </w:r>
          </w:p>
          <w:p w14:paraId="1F6D5DDB" w14:textId="77777777" w:rsidR="00F63B89" w:rsidRPr="00CE76CC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</w:tbl>
    <w:p w14:paraId="3DF87F15" w14:textId="77777777" w:rsidR="00F63B89" w:rsidRPr="00CE76CC" w:rsidRDefault="00F63B89" w:rsidP="00F6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 w:eastAsia="en-GB"/>
        </w:rPr>
      </w:pPr>
    </w:p>
    <w:p w14:paraId="01301D3A" w14:textId="77777777" w:rsidR="00F63B89" w:rsidRPr="00CE76CC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ME" w:eastAsia="en-GB"/>
        </w:rPr>
      </w:pPr>
      <w:r w:rsidRPr="00CE76CC">
        <w:rPr>
          <w:rFonts w:ascii="Arial" w:eastAsia="Times New Roman" w:hAnsi="Arial" w:cs="Arial"/>
          <w:b/>
          <w:bCs/>
          <w:lang w:val="sr-Latn-ME" w:eastAsia="en-GB"/>
        </w:rPr>
        <w:t xml:space="preserve">    Datum i mjesto</w:t>
      </w:r>
      <w:r w:rsidRPr="00CE76CC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CE76CC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CE76CC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CE76CC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CE76CC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CE76CC">
        <w:rPr>
          <w:rFonts w:ascii="Arial" w:eastAsia="Times New Roman" w:hAnsi="Arial" w:cs="Arial"/>
          <w:b/>
          <w:bCs/>
          <w:lang w:val="sr-Latn-ME" w:eastAsia="en-GB"/>
        </w:rPr>
        <w:tab/>
        <w:t xml:space="preserve">              Starješina </w:t>
      </w:r>
    </w:p>
    <w:p w14:paraId="2DDDF052" w14:textId="77777777" w:rsidR="00F63B89" w:rsidRPr="00CE76CC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bCs/>
          <w:lang w:val="sr-Latn-ME" w:eastAsia="en-GB"/>
        </w:rPr>
      </w:pPr>
    </w:p>
    <w:p w14:paraId="365940C0" w14:textId="3F8118E3" w:rsidR="007E562E" w:rsidRPr="00CE76CC" w:rsidRDefault="005C7BE5">
      <w:pPr>
        <w:rPr>
          <w:rFonts w:ascii="Arial" w:hAnsi="Arial" w:cs="Arial"/>
          <w:lang w:val="sr-Latn-ME"/>
        </w:rPr>
      </w:pPr>
      <w:r w:rsidRPr="00CE76CC">
        <w:rPr>
          <w:rFonts w:ascii="Arial" w:eastAsia="Times New Roman" w:hAnsi="Arial" w:cs="Arial"/>
          <w:bCs/>
          <w:lang w:val="sr-Latn-ME" w:eastAsia="en-GB"/>
        </w:rPr>
        <w:t xml:space="preserve">Podgorica, </w:t>
      </w:r>
      <w:r w:rsidR="004171CC">
        <w:rPr>
          <w:rFonts w:ascii="Arial" w:eastAsia="Times New Roman" w:hAnsi="Arial" w:cs="Arial"/>
          <w:bCs/>
          <w:lang w:val="sr-Latn-ME" w:eastAsia="en-GB"/>
        </w:rPr>
        <w:t>1</w:t>
      </w:r>
      <w:r w:rsidR="00F360E5">
        <w:rPr>
          <w:rFonts w:ascii="Arial" w:eastAsia="Times New Roman" w:hAnsi="Arial" w:cs="Arial"/>
          <w:bCs/>
          <w:lang w:val="sr-Latn-ME" w:eastAsia="en-GB"/>
        </w:rPr>
        <w:t>2</w:t>
      </w:r>
      <w:bookmarkStart w:id="0" w:name="_GoBack"/>
      <w:bookmarkEnd w:id="0"/>
      <w:r w:rsidR="004171CC">
        <w:rPr>
          <w:rFonts w:ascii="Arial" w:eastAsia="Times New Roman" w:hAnsi="Arial" w:cs="Arial"/>
          <w:bCs/>
          <w:lang w:val="sr-Latn-ME" w:eastAsia="en-GB"/>
        </w:rPr>
        <w:t>.12</w:t>
      </w:r>
      <w:r w:rsidR="00AD2AA2" w:rsidRPr="00CE76CC">
        <w:rPr>
          <w:rFonts w:ascii="Arial" w:eastAsia="Times New Roman" w:hAnsi="Arial" w:cs="Arial"/>
          <w:bCs/>
          <w:lang w:val="sr-Latn-ME" w:eastAsia="en-GB"/>
        </w:rPr>
        <w:t>.2025</w:t>
      </w:r>
      <w:r w:rsidRPr="00CE76CC">
        <w:rPr>
          <w:rFonts w:ascii="Arial" w:eastAsia="Times New Roman" w:hAnsi="Arial" w:cs="Arial"/>
          <w:bCs/>
          <w:lang w:val="sr-Latn-ME" w:eastAsia="en-GB"/>
        </w:rPr>
        <w:t>. godine</w:t>
      </w:r>
      <w:r w:rsidRPr="00CE76CC">
        <w:rPr>
          <w:rFonts w:ascii="Arial" w:eastAsia="Times New Roman" w:hAnsi="Arial" w:cs="Arial"/>
          <w:bCs/>
          <w:lang w:val="sr-Latn-ME" w:eastAsia="en-GB"/>
        </w:rPr>
        <w:tab/>
      </w:r>
      <w:r w:rsidRPr="00CE76CC">
        <w:rPr>
          <w:rFonts w:ascii="Arial" w:eastAsia="Times New Roman" w:hAnsi="Arial" w:cs="Arial"/>
          <w:bCs/>
          <w:lang w:val="sr-Latn-ME" w:eastAsia="en-GB"/>
        </w:rPr>
        <w:tab/>
        <w:t xml:space="preserve">                        </w:t>
      </w:r>
    </w:p>
    <w:sectPr w:rsidR="007E562E" w:rsidRPr="00CE76CC" w:rsidSect="00D372A1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0A7F2" w14:textId="77777777" w:rsidR="00AF0A39" w:rsidRDefault="00AF0A39">
      <w:pPr>
        <w:spacing w:after="0" w:line="240" w:lineRule="auto"/>
      </w:pPr>
      <w:r>
        <w:separator/>
      </w:r>
    </w:p>
  </w:endnote>
  <w:endnote w:type="continuationSeparator" w:id="0">
    <w:p w14:paraId="3FD59993" w14:textId="77777777" w:rsidR="00AF0A39" w:rsidRDefault="00AF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235BA" w14:textId="77777777" w:rsidR="001214CC" w:rsidRDefault="00753AD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BE5">
      <w:rPr>
        <w:noProof/>
      </w:rPr>
      <w:t>5</w:t>
    </w:r>
    <w:r>
      <w:rPr>
        <w:noProof/>
      </w:rPr>
      <w:fldChar w:fldCharType="end"/>
    </w:r>
  </w:p>
  <w:p w14:paraId="0263ED9A" w14:textId="77777777" w:rsidR="001214CC" w:rsidRDefault="00121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9183F" w14:textId="77777777" w:rsidR="00AF0A39" w:rsidRDefault="00AF0A39">
      <w:pPr>
        <w:spacing w:after="0" w:line="240" w:lineRule="auto"/>
      </w:pPr>
      <w:r>
        <w:separator/>
      </w:r>
    </w:p>
  </w:footnote>
  <w:footnote w:type="continuationSeparator" w:id="0">
    <w:p w14:paraId="6EAE8D7F" w14:textId="77777777" w:rsidR="00AF0A39" w:rsidRDefault="00AF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8EFA6" w14:textId="77777777" w:rsidR="001214CC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E502FA5" wp14:editId="2540A057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CC11" w14:textId="77777777" w:rsidR="001214CC" w:rsidRPr="00785639" w:rsidRDefault="001214CC" w:rsidP="007856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E502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18pt;width:20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uN7wEAAMc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" o:allowincell="f" stroked="f">
              <v:textbox style="mso-fit-shape-to-text:t">
                <w:txbxContent>
                  <w:p w14:paraId="4DF1CC11" w14:textId="77777777" w:rsidR="001214CC" w:rsidRPr="00785639" w:rsidRDefault="001214CC" w:rsidP="0078563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1F304" w14:textId="77777777" w:rsidR="001214CC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B53E373" wp14:editId="1C499550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6C235" w14:textId="77777777" w:rsidR="001214CC" w:rsidRPr="00785639" w:rsidRDefault="001214CC" w:rsidP="006C4F23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53E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1.2pt;margin-top:18pt;width:20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up8gEAAM4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" o:allowincell="f" stroked="f">
              <v:textbox style="mso-fit-shape-to-text:t">
                <w:txbxContent>
                  <w:p w14:paraId="2646C235" w14:textId="77777777" w:rsidR="001214CC" w:rsidRPr="00785639" w:rsidRDefault="001214CC" w:rsidP="006C4F23">
                    <w:pP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8F4"/>
    <w:multiLevelType w:val="multilevel"/>
    <w:tmpl w:val="1324B05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E5C"/>
    <w:multiLevelType w:val="multilevel"/>
    <w:tmpl w:val="327E9BB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E4CF3"/>
    <w:multiLevelType w:val="multilevel"/>
    <w:tmpl w:val="3968BA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86CA9"/>
    <w:multiLevelType w:val="multilevel"/>
    <w:tmpl w:val="06763DD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765DD"/>
    <w:multiLevelType w:val="multilevel"/>
    <w:tmpl w:val="CAB4E88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92E91"/>
    <w:multiLevelType w:val="multilevel"/>
    <w:tmpl w:val="770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F729C"/>
    <w:multiLevelType w:val="multilevel"/>
    <w:tmpl w:val="746CC7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A7803"/>
    <w:multiLevelType w:val="multilevel"/>
    <w:tmpl w:val="925C3D7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75C63"/>
    <w:multiLevelType w:val="multilevel"/>
    <w:tmpl w:val="497ECC5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C7A5B"/>
    <w:multiLevelType w:val="multilevel"/>
    <w:tmpl w:val="8AFE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A18BC"/>
    <w:multiLevelType w:val="multilevel"/>
    <w:tmpl w:val="6FDCB2E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97105"/>
    <w:multiLevelType w:val="multilevel"/>
    <w:tmpl w:val="3BCE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8EC4D13"/>
    <w:multiLevelType w:val="multilevel"/>
    <w:tmpl w:val="E6B66C3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03C0C"/>
    <w:multiLevelType w:val="multilevel"/>
    <w:tmpl w:val="92AA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16A16"/>
    <w:multiLevelType w:val="multilevel"/>
    <w:tmpl w:val="860AC9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A24BC"/>
    <w:multiLevelType w:val="multilevel"/>
    <w:tmpl w:val="C3D43CF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2612D"/>
    <w:multiLevelType w:val="multilevel"/>
    <w:tmpl w:val="05C0E4B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60FF8"/>
    <w:multiLevelType w:val="multilevel"/>
    <w:tmpl w:val="EA402E6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0511D"/>
    <w:multiLevelType w:val="multilevel"/>
    <w:tmpl w:val="312823D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70C87"/>
    <w:multiLevelType w:val="multilevel"/>
    <w:tmpl w:val="9DA402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95D43"/>
    <w:multiLevelType w:val="multilevel"/>
    <w:tmpl w:val="7AD814B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B26FF"/>
    <w:multiLevelType w:val="multilevel"/>
    <w:tmpl w:val="9CA2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17BEA"/>
    <w:multiLevelType w:val="multilevel"/>
    <w:tmpl w:val="3C9446F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F5D20"/>
    <w:multiLevelType w:val="multilevel"/>
    <w:tmpl w:val="9F1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F4C21"/>
    <w:multiLevelType w:val="multilevel"/>
    <w:tmpl w:val="ABC8B63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B0B21"/>
    <w:multiLevelType w:val="multilevel"/>
    <w:tmpl w:val="B9B030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4"/>
  </w:num>
  <w:num w:numId="10">
    <w:abstractNumId w:val="14"/>
  </w:num>
  <w:num w:numId="11">
    <w:abstractNumId w:val="2"/>
  </w:num>
  <w:num w:numId="12">
    <w:abstractNumId w:val="27"/>
  </w:num>
  <w:num w:numId="13">
    <w:abstractNumId w:val="8"/>
  </w:num>
  <w:num w:numId="14">
    <w:abstractNumId w:val="21"/>
  </w:num>
  <w:num w:numId="15">
    <w:abstractNumId w:val="22"/>
  </w:num>
  <w:num w:numId="16">
    <w:abstractNumId w:val="19"/>
  </w:num>
  <w:num w:numId="17">
    <w:abstractNumId w:val="0"/>
  </w:num>
  <w:num w:numId="18">
    <w:abstractNumId w:val="3"/>
  </w:num>
  <w:num w:numId="19">
    <w:abstractNumId w:val="6"/>
  </w:num>
  <w:num w:numId="20">
    <w:abstractNumId w:val="9"/>
  </w:num>
  <w:num w:numId="21">
    <w:abstractNumId w:val="20"/>
  </w:num>
  <w:num w:numId="22">
    <w:abstractNumId w:val="11"/>
  </w:num>
  <w:num w:numId="23">
    <w:abstractNumId w:val="18"/>
  </w:num>
  <w:num w:numId="24">
    <w:abstractNumId w:val="26"/>
  </w:num>
  <w:num w:numId="25">
    <w:abstractNumId w:val="17"/>
  </w:num>
  <w:num w:numId="26">
    <w:abstractNumId w:val="1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2F"/>
    <w:rsid w:val="00017730"/>
    <w:rsid w:val="000540CD"/>
    <w:rsid w:val="000C0A31"/>
    <w:rsid w:val="001214CC"/>
    <w:rsid w:val="0014404A"/>
    <w:rsid w:val="002A224C"/>
    <w:rsid w:val="0039265C"/>
    <w:rsid w:val="003F7494"/>
    <w:rsid w:val="004171CC"/>
    <w:rsid w:val="0049408D"/>
    <w:rsid w:val="0056733B"/>
    <w:rsid w:val="005906E0"/>
    <w:rsid w:val="005C7BE5"/>
    <w:rsid w:val="0065725D"/>
    <w:rsid w:val="006F1A30"/>
    <w:rsid w:val="00753ADC"/>
    <w:rsid w:val="007E2D0F"/>
    <w:rsid w:val="007E562E"/>
    <w:rsid w:val="00824789"/>
    <w:rsid w:val="00932752"/>
    <w:rsid w:val="009610EE"/>
    <w:rsid w:val="009E4431"/>
    <w:rsid w:val="00A06641"/>
    <w:rsid w:val="00A45F37"/>
    <w:rsid w:val="00AD2AA2"/>
    <w:rsid w:val="00AF0A39"/>
    <w:rsid w:val="00B01127"/>
    <w:rsid w:val="00B146E8"/>
    <w:rsid w:val="00BC11A9"/>
    <w:rsid w:val="00C367B7"/>
    <w:rsid w:val="00CE76CC"/>
    <w:rsid w:val="00DA4726"/>
    <w:rsid w:val="00DD742F"/>
    <w:rsid w:val="00F221D5"/>
    <w:rsid w:val="00F360E5"/>
    <w:rsid w:val="00F3742F"/>
    <w:rsid w:val="00F529D8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7D371"/>
  <w15:chartTrackingRefBased/>
  <w15:docId w15:val="{052E7C45-1D91-41CD-A5CE-1F57721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D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Sabovic</dc:creator>
  <cp:keywords/>
  <dc:description/>
  <cp:lastModifiedBy>Anastasija Perucica</cp:lastModifiedBy>
  <cp:revision>4</cp:revision>
  <dcterms:created xsi:type="dcterms:W3CDTF">2025-12-11T08:38:00Z</dcterms:created>
  <dcterms:modified xsi:type="dcterms:W3CDTF">2025-12-11T13:35:00Z</dcterms:modified>
</cp:coreProperties>
</file>