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9B673E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>
        <w:rPr>
          <w:rFonts w:ascii="Cambria" w:hAnsi="Cambria" w:cs="Cambria"/>
          <w:b/>
          <w:bCs/>
          <w:noProof/>
          <w:sz w:val="28"/>
          <w:szCs w:val="28"/>
          <w:lang w:val="hr-BA"/>
        </w:rPr>
        <w:t xml:space="preserve"> </w:t>
      </w:r>
      <w:r w:rsidR="007B41C4" w:rsidRPr="00715429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B355D6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 w:rsidRPr="00715429">
        <w:rPr>
          <w:rFonts w:cs="Calibri"/>
          <w:b/>
          <w:bCs/>
          <w:noProof/>
          <w:sz w:val="32"/>
          <w:szCs w:val="32"/>
          <w:lang w:val="hr-BA"/>
        </w:rPr>
        <w:t>Februar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A423C3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  <w:r w:rsidRPr="00715429"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715429" w:rsidRDefault="00874DCF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  <w:r w:rsidRPr="00874DCF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1pt;margin-top:363pt;width:234.35pt;height:338pt;rotation:-360;z-index:-251658752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F10D27" w:rsidRDefault="00F10D27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F10D27" w:rsidRDefault="00F10D27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F10D27" w:rsidRPr="00D800B5" w:rsidRDefault="00F10D27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 w:rsidRPr="00D800B5">
                    <w:rPr>
                      <w:b/>
                      <w:sz w:val="32"/>
                      <w:szCs w:val="20"/>
                    </w:rPr>
                    <w:t>Industrijska proizvodnja raste u januaru 2014</w:t>
                  </w:r>
                  <w:r>
                    <w:rPr>
                      <w:b/>
                      <w:sz w:val="32"/>
                      <w:szCs w:val="20"/>
                    </w:rPr>
                    <w:t>.</w:t>
                  </w:r>
                </w:p>
                <w:p w:rsidR="00F10D27" w:rsidRPr="00D800B5" w:rsidRDefault="00F10D27" w:rsidP="00D800B5">
                  <w:pPr>
                    <w:pStyle w:val="NoSpacing"/>
                    <w:ind w:left="567"/>
                    <w:rPr>
                      <w:b/>
                      <w:sz w:val="32"/>
                      <w:szCs w:val="20"/>
                    </w:rPr>
                  </w:pPr>
                </w:p>
                <w:p w:rsidR="00F10D27" w:rsidRPr="00D800B5" w:rsidRDefault="00F10D27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>
                    <w:rPr>
                      <w:b/>
                      <w:sz w:val="32"/>
                      <w:szCs w:val="20"/>
                    </w:rPr>
                    <w:t xml:space="preserve">Pad </w:t>
                  </w:r>
                  <w:r w:rsidRPr="00D800B5">
                    <w:rPr>
                      <w:b/>
                      <w:sz w:val="32"/>
                      <w:szCs w:val="20"/>
                    </w:rPr>
                    <w:t xml:space="preserve"> prometa u maloprodaji</w:t>
                  </w:r>
                </w:p>
                <w:p w:rsidR="00F10D27" w:rsidRPr="00D800B5" w:rsidRDefault="00F10D27" w:rsidP="00D800B5">
                  <w:pPr>
                    <w:pStyle w:val="NoSpacing"/>
                    <w:ind w:left="567"/>
                    <w:rPr>
                      <w:b/>
                      <w:sz w:val="32"/>
                      <w:szCs w:val="20"/>
                    </w:rPr>
                  </w:pPr>
                </w:p>
                <w:p w:rsidR="00F10D27" w:rsidRPr="00D800B5" w:rsidRDefault="00F10D27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 w:rsidRPr="00D800B5">
                    <w:rPr>
                      <w:b/>
                      <w:sz w:val="32"/>
                      <w:szCs w:val="20"/>
                    </w:rPr>
                    <w:t>Cijene u januaru pale za -0,4%</w:t>
                  </w:r>
                  <w:r>
                    <w:rPr>
                      <w:b/>
                      <w:sz w:val="32"/>
                      <w:szCs w:val="20"/>
                    </w:rPr>
                    <w:t xml:space="preserve"> </w:t>
                  </w:r>
                  <w:r w:rsidRPr="00D800B5">
                    <w:rPr>
                      <w:b/>
                      <w:sz w:val="32"/>
                      <w:szCs w:val="20"/>
                    </w:rPr>
                    <w:t>- godišnji nivo</w:t>
                  </w:r>
                </w:p>
                <w:p w:rsidR="00F10D27" w:rsidRPr="00D800B5" w:rsidRDefault="00F10D27" w:rsidP="00D800B5">
                  <w:pPr>
                    <w:pStyle w:val="ListParagraph"/>
                    <w:rPr>
                      <w:b/>
                      <w:sz w:val="32"/>
                      <w:szCs w:val="20"/>
                    </w:rPr>
                  </w:pPr>
                </w:p>
                <w:p w:rsidR="00F10D27" w:rsidRPr="00D800B5" w:rsidRDefault="00F10D27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 w:rsidRPr="00D800B5">
                    <w:rPr>
                      <w:b/>
                      <w:sz w:val="32"/>
                      <w:szCs w:val="20"/>
                    </w:rPr>
                    <w:t>Stopa nezaposlenosti dostigla 15%</w:t>
                  </w:r>
                </w:p>
                <w:p w:rsidR="00F10D27" w:rsidRPr="00D800B5" w:rsidRDefault="00F10D27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2570B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</w:p>
    <w:p w:rsidR="0082570B" w:rsidRPr="00715429" w:rsidRDefault="0082570B" w:rsidP="00694445">
      <w:pPr>
        <w:pStyle w:val="NoSpacing"/>
        <w:rPr>
          <w:bCs/>
          <w:noProof/>
          <w:sz w:val="28"/>
          <w:szCs w:val="20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5E5680">
        <w:rPr>
          <w:bCs/>
          <w:noProof/>
          <w:color w:val="000000"/>
          <w:sz w:val="16"/>
          <w:szCs w:val="16"/>
          <w:lang w:val="hr-BA"/>
        </w:rPr>
        <w:t xml:space="preserve">Miloš Popović,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>Ivana Rašović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, 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A67F78" w:rsidRPr="00715429">
        <w:rPr>
          <w:bCs/>
          <w:noProof/>
          <w:color w:val="000000"/>
          <w:sz w:val="16"/>
          <w:szCs w:val="16"/>
          <w:lang w:val="hr-BA"/>
        </w:rPr>
        <w:t xml:space="preserve">, Milanka Jovanović 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108" w:tblpY="1"/>
        <w:tblOverlap w:val="never"/>
        <w:tblW w:w="1071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46"/>
        <w:gridCol w:w="3686"/>
        <w:gridCol w:w="78"/>
      </w:tblGrid>
      <w:tr w:rsidR="0082570B" w:rsidRPr="00715429" w:rsidTr="001D21BD">
        <w:trPr>
          <w:gridAfter w:val="1"/>
          <w:wAfter w:w="78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Međunarodno okruženje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225534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247900" cy="205105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4C206D">
        <w:trPr>
          <w:gridAfter w:val="1"/>
          <w:wAfter w:w="78" w:type="dxa"/>
          <w:trHeight w:hRule="exact" w:val="3226"/>
        </w:trPr>
        <w:tc>
          <w:tcPr>
            <w:tcW w:w="6946" w:type="dxa"/>
            <w:tcBorders>
              <w:top w:val="single" w:sz="4" w:space="0" w:color="auto"/>
            </w:tcBorders>
          </w:tcPr>
          <w:p w:rsidR="00F61509" w:rsidRPr="00715429" w:rsidRDefault="00F61509" w:rsidP="004C206D">
            <w:pPr>
              <w:spacing w:line="240" w:lineRule="auto"/>
              <w:jc w:val="both"/>
              <w:rPr>
                <w:sz w:val="20"/>
                <w:lang w:val="hr-BA"/>
              </w:rPr>
            </w:pPr>
            <w:r w:rsidRPr="00715429">
              <w:rPr>
                <w:b/>
                <w:sz w:val="20"/>
                <w:lang w:val="hr-BA"/>
              </w:rPr>
              <w:t>Osnovna cijena aluminijuma je na četvorogodišnjem minimumu</w:t>
            </w:r>
            <w:r w:rsidRPr="00715429">
              <w:rPr>
                <w:sz w:val="20"/>
                <w:lang w:val="hr-BA"/>
              </w:rPr>
              <w:t xml:space="preserve"> (trenutno 1.674$/T), a jedan od razloga je višak proizvodnih kapaciteta. Rusal je u 2013. godini smanjio proizvodnju na 4 mil.T, a za 2014. godinu planira smanjenje na 3,5 mil.T. I pored toga prerađivači moraju da plaćaju znatno višu cijenu za trenutne is</w:t>
            </w:r>
            <w:r w:rsidR="006C28CF" w:rsidRPr="00715429">
              <w:rPr>
                <w:sz w:val="20"/>
                <w:lang w:val="hr-BA"/>
              </w:rPr>
              <w:t xml:space="preserve">poruke (premija). Što je uzrok </w:t>
            </w:r>
            <w:r w:rsidRPr="00715429">
              <w:rPr>
                <w:sz w:val="20"/>
                <w:lang w:val="hr-BA"/>
              </w:rPr>
              <w:t>ovakvog stanja? Na londonskoj berzi metala (LME) nagomilano</w:t>
            </w:r>
            <w:r w:rsidR="006C28CF" w:rsidRPr="00715429">
              <w:rPr>
                <w:sz w:val="20"/>
                <w:lang w:val="hr-BA"/>
              </w:rPr>
              <w:t xml:space="preserve"> je 5,5 mil.T primarnog metala,</w:t>
            </w:r>
            <w:r w:rsidRPr="00715429">
              <w:rPr>
                <w:sz w:val="20"/>
                <w:lang w:val="hr-BA"/>
              </w:rPr>
              <w:t xml:space="preserve"> a kod vaninstitucionalnih </w:t>
            </w:r>
            <w:r w:rsidR="00F17E2E">
              <w:rPr>
                <w:sz w:val="20"/>
                <w:lang w:val="hr-BA"/>
              </w:rPr>
              <w:t>skladišta još dodatnih 6,5 mil.T</w:t>
            </w:r>
            <w:r w:rsidRPr="00715429">
              <w:rPr>
                <w:sz w:val="20"/>
                <w:lang w:val="hr-BA"/>
              </w:rPr>
              <w:t>. Investitori čekaju povoljan trenutak za prodaju, jer finansiranje ogromnih zaliha nikad nije bilo jeftinije. Ukoliko se nešto ne promijeni u politici na LME ili kamatne stope ne porastu</w:t>
            </w:r>
            <w:r w:rsidR="00225534" w:rsidRPr="00715429">
              <w:rPr>
                <w:sz w:val="20"/>
                <w:lang w:val="hr-BA"/>
              </w:rPr>
              <w:t>,</w:t>
            </w:r>
            <w:r w:rsidRPr="00715429">
              <w:rPr>
                <w:sz w:val="20"/>
                <w:lang w:val="hr-BA"/>
              </w:rPr>
              <w:t xml:space="preserve"> cijene aluminijuma će biti pod dodatni</w:t>
            </w:r>
            <w:r w:rsidR="00555066">
              <w:rPr>
                <w:sz w:val="20"/>
                <w:lang w:val="hr-BA"/>
              </w:rPr>
              <w:t>m</w:t>
            </w:r>
            <w:r w:rsidRPr="00715429">
              <w:rPr>
                <w:sz w:val="20"/>
                <w:lang w:val="hr-BA"/>
              </w:rPr>
              <w:t xml:space="preserve"> pritiskom, ukoliko zatvaranje proizvodnih kapaciteta ne smanji ponudu. Kurs eura je porastao na 1,37</w:t>
            </w:r>
            <w:r w:rsidR="00863019">
              <w:rPr>
                <w:sz w:val="20"/>
                <w:lang w:val="hr-BA"/>
              </w:rPr>
              <w:t xml:space="preserve"> </w:t>
            </w:r>
            <w:r w:rsidRPr="00715429">
              <w:rPr>
                <w:sz w:val="20"/>
                <w:lang w:val="hr-BA"/>
              </w:rPr>
              <w:t>USD/EUR. Inflacija u Eurozoni je prema p</w:t>
            </w:r>
            <w:r w:rsidR="00555066">
              <w:rPr>
                <w:sz w:val="20"/>
                <w:lang w:val="hr-BA"/>
              </w:rPr>
              <w:t>reliminarnim procjenama u f</w:t>
            </w:r>
            <w:r w:rsidR="0010656B" w:rsidRPr="00715429">
              <w:rPr>
                <w:sz w:val="20"/>
                <w:lang w:val="hr-BA"/>
              </w:rPr>
              <w:t>ebru</w:t>
            </w:r>
            <w:r w:rsidRPr="00715429">
              <w:rPr>
                <w:sz w:val="20"/>
                <w:lang w:val="hr-BA"/>
              </w:rPr>
              <w:t>aru iznosila 0,8%, a stopa nezaposlenosti je i dalje na visokih 12%.</w:t>
            </w:r>
          </w:p>
          <w:p w:rsidR="00754D46" w:rsidRPr="00715429" w:rsidRDefault="00754D46" w:rsidP="001D21BD">
            <w:pPr>
              <w:shd w:val="clear" w:color="auto" w:fill="FFFFFF"/>
              <w:spacing w:line="240" w:lineRule="auto"/>
              <w:jc w:val="both"/>
              <w:textAlignment w:val="top"/>
              <w:rPr>
                <w:noProof/>
                <w:sz w:val="20"/>
                <w:szCs w:val="20"/>
                <w:lang w:val="hr-BA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1D21BD">
        <w:trPr>
          <w:gridAfter w:val="1"/>
          <w:wAfter w:w="78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8A31C0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86" w:type="dxa"/>
            <w:vMerge w:val="restart"/>
            <w:vAlign w:val="center"/>
          </w:tcPr>
          <w:p w:rsidR="0082570B" w:rsidRPr="00715429" w:rsidRDefault="00220B59" w:rsidP="001D21BD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715429">
              <w:rPr>
                <w:noProof/>
              </w:rPr>
              <w:drawing>
                <wp:inline distT="0" distB="0" distL="0" distR="0">
                  <wp:extent cx="2340000" cy="2052000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D0106" w:rsidRPr="00715429" w:rsidTr="001D21BD">
        <w:trPr>
          <w:gridAfter w:val="1"/>
          <w:wAfter w:w="78" w:type="dxa"/>
          <w:trHeight w:hRule="exact" w:val="3742"/>
        </w:trPr>
        <w:tc>
          <w:tcPr>
            <w:tcW w:w="6946" w:type="dxa"/>
            <w:tcBorders>
              <w:top w:val="single" w:sz="4" w:space="0" w:color="auto"/>
            </w:tcBorders>
          </w:tcPr>
          <w:p w:rsidR="00ED2988" w:rsidRPr="00715429" w:rsidRDefault="00220B59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  <w:r w:rsidRPr="00715429">
              <w:rPr>
                <w:rFonts w:cs="Calibri"/>
                <w:b/>
                <w:sz w:val="20"/>
                <w:szCs w:val="20"/>
                <w:lang w:val="hr-BA"/>
              </w:rPr>
              <w:t>Prema raspoloživim podacima za januar 2014.</w:t>
            </w:r>
            <w:r w:rsidR="00127B5A" w:rsidRPr="00715429">
              <w:rPr>
                <w:rFonts w:cs="Calibri"/>
                <w:b/>
                <w:sz w:val="20"/>
                <w:szCs w:val="20"/>
                <w:lang w:val="hr-BA"/>
              </w:rPr>
              <w:t xml:space="preserve"> </w:t>
            </w:r>
            <w:r w:rsidRPr="00715429">
              <w:rPr>
                <w:rFonts w:cs="Calibri"/>
                <w:b/>
                <w:sz w:val="20"/>
                <w:szCs w:val="20"/>
                <w:lang w:val="hr-BA"/>
              </w:rPr>
              <w:t xml:space="preserve">godine, industrijska proizvodnja bilježi godišnji rast dok je pad ostvaren u prometu na malo. 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 xml:space="preserve">Industrijska proizvodnja u januaru 2014. bilježi godišnji rast od 7,4%, kao rezultat rasta </w:t>
            </w:r>
            <w:r w:rsidR="008F71E6">
              <w:rPr>
                <w:rFonts w:cs="Calibri"/>
                <w:sz w:val="20"/>
                <w:szCs w:val="20"/>
                <w:lang w:val="hr-BA"/>
              </w:rPr>
              <w:t>u sektorima “vađenje rude i kame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>na”</w:t>
            </w:r>
            <w:r w:rsidR="00F03CCF">
              <w:rPr>
                <w:rFonts w:cs="Calibri"/>
                <w:sz w:val="20"/>
                <w:szCs w:val="20"/>
                <w:lang w:val="hr-BA"/>
              </w:rPr>
              <w:t xml:space="preserve"> 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>(13,8%) i “prerađivačka industrija (39,8%), dok je u sektoru ”snabdijevanje el.energ, gasom i parom” ostvaren godišnji pad od 12,2%. Promet u trgovini na malo u januaru 2014.</w:t>
            </w:r>
            <w:r w:rsidR="00B87E79" w:rsidRPr="00715429">
              <w:rPr>
                <w:rFonts w:cs="Calibri"/>
                <w:sz w:val="20"/>
                <w:szCs w:val="20"/>
                <w:lang w:val="hr-BA"/>
              </w:rPr>
              <w:t xml:space="preserve"> 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>godine (tekuće cijene) bilježi pad od 1,9% u odnosu na isti mjesec prošle godine, što je prvenstveno rezultat v</w:t>
            </w:r>
            <w:r w:rsidR="00844116" w:rsidRPr="00715429">
              <w:rPr>
                <w:rFonts w:cs="Calibri"/>
                <w:sz w:val="20"/>
                <w:szCs w:val="20"/>
                <w:lang w:val="hr-BA"/>
              </w:rPr>
              <w:t>isoke baze iz prošle godine (</w:t>
            </w:r>
            <w:r w:rsidR="009C4EAF">
              <w:rPr>
                <w:rFonts w:cs="Calibri"/>
                <w:sz w:val="20"/>
                <w:szCs w:val="20"/>
                <w:lang w:val="hr-BA"/>
              </w:rPr>
              <w:t>1.januara 2013. i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 xml:space="preserve">zvršena je reklasifikacija, iz veleprodaje u maloprodaju velikog trgovačkog lanca, usljed čega je tokom cijele godine promet </w:t>
            </w:r>
            <w:r w:rsidR="00127B5A" w:rsidRPr="00715429">
              <w:rPr>
                <w:rFonts w:cs="Calibri"/>
                <w:sz w:val="20"/>
                <w:szCs w:val="20"/>
                <w:lang w:val="hr-BA"/>
              </w:rPr>
              <w:t xml:space="preserve">na malo </w:t>
            </w:r>
            <w:r w:rsidRPr="00715429">
              <w:rPr>
                <w:rFonts w:cs="Calibri"/>
                <w:sz w:val="20"/>
                <w:szCs w:val="20"/>
                <w:lang w:val="hr-BA"/>
              </w:rPr>
              <w:t>pokazivao visoke stope rasta)</w:t>
            </w:r>
            <w:r w:rsidRPr="00715429">
              <w:rPr>
                <w:rFonts w:cstheme="minorHAnsi"/>
                <w:sz w:val="20"/>
                <w:szCs w:val="20"/>
                <w:lang w:val="hr-BA"/>
              </w:rPr>
              <w:t>. Građevinska aktivnost u IV kvartalu 2013. godine bilježi rast vrijednosti izvršenih radova (27,9%) i izvršenih efektivnih časova rada (36,4%) u odnosu na isti kvartal prethodne godine</w:t>
            </w:r>
            <w:r w:rsidR="00ED2988" w:rsidRPr="00715429">
              <w:rPr>
                <w:rFonts w:cstheme="minorHAnsi"/>
                <w:lang w:val="hr-BA"/>
              </w:rPr>
              <w:t xml:space="preserve">, </w:t>
            </w:r>
            <w:r w:rsidR="00C63FC1" w:rsidRPr="00715429">
              <w:rPr>
                <w:rFonts w:cstheme="minorHAnsi"/>
                <w:sz w:val="20"/>
                <w:szCs w:val="20"/>
                <w:lang w:val="hr-BA"/>
              </w:rPr>
              <w:t>dok je u 2013. godini</w:t>
            </w:r>
            <w:r w:rsidR="00ED2988" w:rsidRPr="00715429">
              <w:rPr>
                <w:rFonts w:cstheme="minorHAnsi"/>
                <w:sz w:val="20"/>
                <w:szCs w:val="20"/>
                <w:lang w:val="hr-BA"/>
              </w:rPr>
              <w:t xml:space="preserve"> vrijednost izvrš</w:t>
            </w:r>
            <w:r w:rsidR="007548EE" w:rsidRPr="00715429">
              <w:rPr>
                <w:rFonts w:cstheme="minorHAnsi"/>
                <w:sz w:val="20"/>
                <w:szCs w:val="20"/>
                <w:lang w:val="hr-BA"/>
              </w:rPr>
              <w:t>enih građevinskih radova veća</w:t>
            </w:r>
            <w:r w:rsidR="00ED2988" w:rsidRPr="00715429">
              <w:rPr>
                <w:rFonts w:cstheme="minorHAnsi"/>
                <w:sz w:val="20"/>
                <w:szCs w:val="20"/>
                <w:lang w:val="hr-BA"/>
              </w:rPr>
              <w:t xml:space="preserve"> 9,7%, izvršeni efektivni</w:t>
            </w:r>
            <w:r w:rsidR="00ED2988" w:rsidRPr="00715429">
              <w:rPr>
                <w:rFonts w:cstheme="minorHAnsi"/>
                <w:lang w:val="hr-BA"/>
              </w:rPr>
              <w:t xml:space="preserve"> </w:t>
            </w:r>
            <w:r w:rsidR="00C70D2D" w:rsidRPr="00715429">
              <w:rPr>
                <w:rFonts w:cstheme="minorHAnsi"/>
                <w:sz w:val="20"/>
                <w:szCs w:val="20"/>
                <w:lang w:val="hr-BA"/>
              </w:rPr>
              <w:t>časovi rada veći su</w:t>
            </w:r>
            <w:r w:rsidR="00ED2988" w:rsidRPr="00715429">
              <w:rPr>
                <w:rFonts w:cstheme="minorHAnsi"/>
                <w:sz w:val="20"/>
                <w:szCs w:val="20"/>
                <w:lang w:val="hr-BA"/>
              </w:rPr>
              <w:t xml:space="preserve"> 31,5%, i prosječan broj zaposleni</w:t>
            </w:r>
            <w:r w:rsidR="00C70D2D" w:rsidRPr="00715429">
              <w:rPr>
                <w:rFonts w:cstheme="minorHAnsi"/>
                <w:sz w:val="20"/>
                <w:szCs w:val="20"/>
                <w:lang w:val="hr-BA"/>
              </w:rPr>
              <w:t>h na gradilištima porastao je</w:t>
            </w:r>
            <w:r w:rsidR="00ED2988" w:rsidRPr="00715429">
              <w:rPr>
                <w:rFonts w:cstheme="minorHAnsi"/>
                <w:sz w:val="20"/>
                <w:szCs w:val="20"/>
                <w:lang w:val="hr-BA"/>
              </w:rPr>
              <w:t xml:space="preserve"> 2</w:t>
            </w:r>
            <w:r w:rsidR="00381900" w:rsidRPr="00715429">
              <w:rPr>
                <w:rFonts w:cstheme="minorHAnsi"/>
                <w:sz w:val="20"/>
                <w:szCs w:val="20"/>
                <w:lang w:val="hr-BA"/>
              </w:rPr>
              <w:t>7,3%, u odnosu na 2012.</w:t>
            </w:r>
            <w:r w:rsidR="00F2366D">
              <w:rPr>
                <w:rFonts w:cstheme="minorHAnsi"/>
                <w:sz w:val="20"/>
                <w:szCs w:val="20"/>
                <w:lang w:val="hr-BA"/>
              </w:rPr>
              <w:t xml:space="preserve"> </w:t>
            </w:r>
            <w:r w:rsidR="00381900" w:rsidRPr="00715429">
              <w:rPr>
                <w:rFonts w:cstheme="minorHAnsi"/>
                <w:sz w:val="20"/>
                <w:szCs w:val="20"/>
                <w:lang w:val="hr-BA"/>
              </w:rPr>
              <w:t xml:space="preserve">godinu. </w:t>
            </w:r>
          </w:p>
          <w:p w:rsidR="00220B59" w:rsidRPr="00715429" w:rsidRDefault="00220B59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  <w:p w:rsidR="007D0106" w:rsidRPr="00715429" w:rsidRDefault="007D0106" w:rsidP="001D21BD">
            <w:pPr>
              <w:spacing w:line="240" w:lineRule="auto"/>
              <w:jc w:val="both"/>
              <w:rPr>
                <w:rFonts w:cs="Calibri"/>
                <w:b/>
                <w:sz w:val="20"/>
                <w:szCs w:val="20"/>
                <w:lang w:val="hr-BA"/>
              </w:rPr>
            </w:pPr>
          </w:p>
          <w:p w:rsidR="00B355D6" w:rsidRPr="00715429" w:rsidRDefault="00B355D6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86" w:type="dxa"/>
            <w:vMerge/>
            <w:vAlign w:val="center"/>
          </w:tcPr>
          <w:p w:rsidR="007D0106" w:rsidRPr="00715429" w:rsidRDefault="007D0106" w:rsidP="001D21BD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7D0106" w:rsidRPr="00715429" w:rsidTr="001D21BD">
        <w:trPr>
          <w:gridAfter w:val="1"/>
          <w:wAfter w:w="78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7D0106" w:rsidRPr="00715429" w:rsidRDefault="008A31C0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86" w:type="dxa"/>
            <w:vMerge w:val="restart"/>
            <w:vAlign w:val="center"/>
          </w:tcPr>
          <w:p w:rsidR="007D0106" w:rsidRPr="00715429" w:rsidRDefault="007675AF" w:rsidP="001D21BD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71542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37955" cy="2060863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715429" w:rsidTr="001D21BD">
        <w:trPr>
          <w:gridAfter w:val="1"/>
          <w:wAfter w:w="78" w:type="dxa"/>
          <w:trHeight w:hRule="exact" w:val="357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7675AF" w:rsidRPr="00715429" w:rsidRDefault="007675AF" w:rsidP="001D21B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  <w:r w:rsidRPr="00715429"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  <w:t xml:space="preserve">Potrošačke cijene u januaru 2014. godine bilježe pad u odnosu na decembar i januar prethodne godine. </w:t>
            </w:r>
            <w:r w:rsidRPr="00715429">
              <w:rPr>
                <w:rFonts w:asciiTheme="minorHAnsi" w:hAnsiTheme="minorHAnsi" w:cs="Calibri"/>
                <w:sz w:val="20"/>
                <w:szCs w:val="20"/>
                <w:lang w:val="hr-BA"/>
              </w:rPr>
              <w:t>Godišnja stopa inflacije, mjerena indeksom potrošačkih cijena, u januaru 2014. godine iznosila je -0,4%, dok je u odnosu na decembar 2013.</w:t>
            </w:r>
            <w:r w:rsidR="00DB6DB6" w:rsidRPr="00715429">
              <w:rPr>
                <w:rFonts w:asciiTheme="minorHAnsi" w:hAnsiTheme="minorHAnsi" w:cs="Calibri"/>
                <w:sz w:val="20"/>
                <w:szCs w:val="20"/>
                <w:lang w:val="hr-BA"/>
              </w:rPr>
              <w:t xml:space="preserve"> </w:t>
            </w:r>
            <w:r w:rsidRPr="00715429">
              <w:rPr>
                <w:rFonts w:asciiTheme="minorHAnsi" w:hAnsiTheme="minorHAnsi" w:cs="Calibri"/>
                <w:sz w:val="20"/>
                <w:szCs w:val="20"/>
                <w:lang w:val="hr-BA"/>
              </w:rPr>
              <w:t>godine zabilježena</w:t>
            </w:r>
            <w:r w:rsidR="007548EE" w:rsidRPr="00715429">
              <w:rPr>
                <w:rFonts w:asciiTheme="minorHAnsi" w:hAnsiTheme="minorHAnsi" w:cs="Calibri"/>
                <w:sz w:val="20"/>
                <w:szCs w:val="20"/>
                <w:lang w:val="hr-BA"/>
              </w:rPr>
              <w:t xml:space="preserve"> mjesečna </w:t>
            </w:r>
            <w:r w:rsidRPr="00715429">
              <w:rPr>
                <w:rFonts w:asciiTheme="minorHAnsi" w:hAnsiTheme="minorHAnsi" w:cs="Calibri"/>
                <w:sz w:val="20"/>
                <w:szCs w:val="20"/>
                <w:lang w:val="hr-BA"/>
              </w:rPr>
              <w:t xml:space="preserve"> deflacija od -0,8%. Pad godišnje stope inflacije opredijeljen je padom cijena hrane (-0,8%), odjeće i obuće (-1,3%), goriva (-2,1%) i telefonske i telefaks opreme, telefonskih i telefaks usluga (-4,4%), pri čemu je pad cijena hrane, koja čini 36,5% ukupne potrošnje domaćinstava, imao dominantan uticaj. Godišnja stopa inflacije, mjerena harmonizovanim indeksom potrošačkih cijena, u januaru 2014. godine iznosila je 0,1%, dok je u odnosu na decembar prethodne godine zabilježena mjesečna deflacija od -0,4%. </w:t>
            </w:r>
            <w:r w:rsidRPr="00715429">
              <w:rPr>
                <w:rFonts w:asciiTheme="minorHAnsi" w:hAnsiTheme="minorHAnsi" w:cs="Arial-ItalicMT"/>
                <w:iCs/>
                <w:sz w:val="20"/>
                <w:szCs w:val="20"/>
                <w:lang w:val="hr-BA"/>
              </w:rPr>
              <w:t>Proizvođačke cijene u januaru  2014. godine bilježe godišnji pad od -1,3%, što je prvenstveno rezultat</w:t>
            </w:r>
            <w:r w:rsidRPr="00715429">
              <w:rPr>
                <w:rFonts w:asciiTheme="minorHAnsi" w:hAnsiTheme="minorHAnsi" w:cs="Arial-ItalicMT"/>
                <w:iCs/>
                <w:lang w:val="hr-BA"/>
              </w:rPr>
              <w:t xml:space="preserve">  </w:t>
            </w:r>
            <w:r w:rsidRPr="00715429">
              <w:rPr>
                <w:rFonts w:asciiTheme="minorHAnsi" w:hAnsiTheme="minorHAnsi" w:cs="Arial-ItalicMT"/>
                <w:iCs/>
                <w:sz w:val="20"/>
                <w:szCs w:val="20"/>
                <w:lang w:val="hr-BA"/>
              </w:rPr>
              <w:t>pada cijena</w:t>
            </w:r>
            <w:r w:rsidRPr="00715429">
              <w:rPr>
                <w:rFonts w:asciiTheme="minorHAnsi" w:hAnsiTheme="minorHAnsi" w:cs="Arial-ItalicMT"/>
                <w:iCs/>
                <w:lang w:val="hr-BA"/>
              </w:rPr>
              <w:t xml:space="preserve"> u  </w:t>
            </w:r>
            <w:r w:rsidRPr="00715429">
              <w:rPr>
                <w:rFonts w:asciiTheme="minorHAnsi" w:hAnsiTheme="minorHAnsi" w:cs="Arial-ItalicMT"/>
                <w:iCs/>
                <w:sz w:val="20"/>
                <w:szCs w:val="20"/>
                <w:lang w:val="hr-BA"/>
              </w:rPr>
              <w:t>prerađivačkoj industriji od -2,0% (prehrambeni proizvodi -0,7%;piće -4,0%).</w:t>
            </w:r>
            <w:r w:rsidRPr="00715429">
              <w:rPr>
                <w:rFonts w:asciiTheme="minorHAnsi" w:hAnsiTheme="minorHAnsi"/>
                <w:sz w:val="20"/>
                <w:szCs w:val="20"/>
                <w:lang w:val="hr-BA"/>
              </w:rPr>
              <w:t xml:space="preserve"> Godišn</w:t>
            </w:r>
            <w:r w:rsidR="003C5E7B">
              <w:rPr>
                <w:rFonts w:asciiTheme="minorHAnsi" w:hAnsiTheme="minorHAnsi"/>
                <w:sz w:val="20"/>
                <w:szCs w:val="20"/>
                <w:lang w:val="hr-BA"/>
              </w:rPr>
              <w:t>ja stopa inflacije u Evropskoj u</w:t>
            </w:r>
            <w:r w:rsidR="00F92862">
              <w:rPr>
                <w:rFonts w:asciiTheme="minorHAnsi" w:hAnsiTheme="minorHAnsi"/>
                <w:sz w:val="20"/>
                <w:szCs w:val="20"/>
                <w:lang w:val="hr-BA"/>
              </w:rPr>
              <w:t xml:space="preserve">niji </w:t>
            </w:r>
            <w:r w:rsidRPr="00715429">
              <w:rPr>
                <w:rFonts w:asciiTheme="minorHAnsi" w:hAnsiTheme="minorHAnsi"/>
                <w:sz w:val="20"/>
                <w:szCs w:val="20"/>
                <w:lang w:val="hr-BA"/>
              </w:rPr>
              <w:t>u januaru 2014. godine iznosila je  0,9%, dok je u Eu</w:t>
            </w:r>
            <w:r w:rsidR="00436FB4" w:rsidRPr="00715429">
              <w:rPr>
                <w:rFonts w:asciiTheme="minorHAnsi" w:hAnsiTheme="minorHAnsi"/>
                <w:sz w:val="20"/>
                <w:szCs w:val="20"/>
                <w:lang w:val="hr-BA"/>
              </w:rPr>
              <w:t>ro</w:t>
            </w:r>
            <w:r w:rsidRPr="00715429">
              <w:rPr>
                <w:rFonts w:asciiTheme="minorHAnsi" w:hAnsiTheme="minorHAnsi"/>
                <w:sz w:val="20"/>
                <w:szCs w:val="20"/>
                <w:lang w:val="hr-BA"/>
              </w:rPr>
              <w:t>zoni iznosila 0,8%.</w:t>
            </w:r>
          </w:p>
          <w:p w:rsidR="00124730" w:rsidRPr="00715429" w:rsidRDefault="00124730" w:rsidP="001D21BD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</w:pPr>
          </w:p>
          <w:p w:rsidR="00B355D6" w:rsidRPr="00715429" w:rsidRDefault="00B355D6" w:rsidP="001D21B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86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715429" w:rsidRDefault="007D0106" w:rsidP="001D21BD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422784" w:rsidRPr="00715429" w:rsidTr="00BC73F7">
        <w:trPr>
          <w:gridAfter w:val="1"/>
          <w:wAfter w:w="78" w:type="dxa"/>
          <w:trHeight w:hRule="exact" w:val="3515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6304FD" w:rsidRPr="00715429" w:rsidRDefault="002A1639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Zaposlenost i zarade</w:t>
            </w:r>
          </w:p>
          <w:p w:rsidR="00D34827" w:rsidRPr="00715429" w:rsidRDefault="008E636B" w:rsidP="00BC73F7">
            <w:pPr>
              <w:pBdr>
                <w:top w:val="single" w:sz="4" w:space="1" w:color="auto"/>
              </w:pBdr>
              <w:jc w:val="both"/>
              <w:rPr>
                <w:b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b/>
                <w:sz w:val="20"/>
                <w:szCs w:val="16"/>
                <w:lang w:val="hr-BA"/>
              </w:rPr>
              <w:t xml:space="preserve">Broj nezaposlenih </w:t>
            </w:r>
            <w:r w:rsidR="001646BA">
              <w:rPr>
                <w:b/>
                <w:sz w:val="20"/>
                <w:szCs w:val="16"/>
                <w:lang w:val="hr-BA"/>
              </w:rPr>
              <w:t>u januaru 2014. o</w:t>
            </w:r>
            <w:r w:rsidR="00097527">
              <w:rPr>
                <w:b/>
                <w:sz w:val="20"/>
                <w:szCs w:val="16"/>
                <w:lang w:val="hr-BA"/>
              </w:rPr>
              <w:t xml:space="preserve">d 34.804 je </w:t>
            </w:r>
            <w:r w:rsidRPr="00715429">
              <w:rPr>
                <w:b/>
                <w:sz w:val="20"/>
                <w:szCs w:val="16"/>
                <w:lang w:val="hr-BA"/>
              </w:rPr>
              <w:t>najveći mjese</w:t>
            </w:r>
            <w:r w:rsidR="00097527">
              <w:rPr>
                <w:b/>
                <w:sz w:val="20"/>
                <w:szCs w:val="16"/>
                <w:lang w:val="hr-BA"/>
              </w:rPr>
              <w:t>čni nivo od maja 2007. godine</w:t>
            </w:r>
            <w:r w:rsidRPr="00715429">
              <w:rPr>
                <w:b/>
                <w:sz w:val="20"/>
                <w:szCs w:val="16"/>
                <w:lang w:val="hr-BA"/>
              </w:rPr>
              <w:t xml:space="preserve">. </w:t>
            </w:r>
            <w:r w:rsidRPr="00715429">
              <w:rPr>
                <w:sz w:val="20"/>
                <w:szCs w:val="16"/>
                <w:lang w:val="hr-BA"/>
              </w:rPr>
              <w:t xml:space="preserve">Broj nezaposlenih je u januaru 2014. veći za 9,1% na godišnjem nivou, a stopa nezaposlenosti je povećana sa 13,7% u januaru 2013. na 15,0% u januaru 2014. </w:t>
            </w:r>
            <w:r w:rsidR="00CC2AAE" w:rsidRPr="00715429">
              <w:rPr>
                <w:sz w:val="20"/>
                <w:szCs w:val="16"/>
                <w:lang w:val="hr-BA"/>
              </w:rPr>
              <w:t>Prosječan broj zaposlenih u januaru 2014. je iznosio 167</w:t>
            </w:r>
            <w:r w:rsidR="004C206D" w:rsidRPr="00715429">
              <w:rPr>
                <w:sz w:val="20"/>
                <w:szCs w:val="16"/>
                <w:lang w:val="hr-BA"/>
              </w:rPr>
              <w:t>.</w:t>
            </w:r>
            <w:r w:rsidR="005B5F21">
              <w:rPr>
                <w:sz w:val="20"/>
                <w:szCs w:val="16"/>
                <w:lang w:val="hr-BA"/>
              </w:rPr>
              <w:t>173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(povećan je 0,1% u odnosu na januar 2013</w:t>
            </w:r>
            <w:r w:rsidR="005B5F21">
              <w:rPr>
                <w:sz w:val="20"/>
                <w:szCs w:val="16"/>
                <w:lang w:val="hr-BA"/>
              </w:rPr>
              <w:t>)</w:t>
            </w:r>
            <w:r w:rsidRPr="00715429">
              <w:rPr>
                <w:sz w:val="20"/>
                <w:szCs w:val="16"/>
                <w:lang w:val="hr-BA"/>
              </w:rPr>
              <w:t xml:space="preserve">. 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Broj lica koja prvi put traže zaposlenje je povećan 19,0%, na što je </w:t>
            </w:r>
            <w:r w:rsidRPr="00715429">
              <w:rPr>
                <w:sz w:val="20"/>
                <w:szCs w:val="16"/>
                <w:lang w:val="hr-BA"/>
              </w:rPr>
              <w:t>dominantno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uticao porast visokostručnih kadrova (prirast 1</w:t>
            </w:r>
            <w:r w:rsidRPr="00715429">
              <w:rPr>
                <w:sz w:val="20"/>
                <w:szCs w:val="16"/>
                <w:lang w:val="hr-BA"/>
              </w:rPr>
              <w:t>.</w:t>
            </w:r>
            <w:r w:rsidR="00CC2AAE" w:rsidRPr="00715429">
              <w:rPr>
                <w:sz w:val="20"/>
                <w:szCs w:val="16"/>
                <w:lang w:val="hr-BA"/>
              </w:rPr>
              <w:t>476). U januaru 2014. je izdato 1793 radnih dozvola strancima što je u odnosu na</w:t>
            </w:r>
            <w:r w:rsidRPr="00715429">
              <w:rPr>
                <w:sz w:val="20"/>
                <w:szCs w:val="16"/>
                <w:lang w:val="hr-BA"/>
              </w:rPr>
              <w:t xml:space="preserve"> januar 2013, </w:t>
            </w:r>
            <w:r w:rsidR="009C5011">
              <w:rPr>
                <w:sz w:val="20"/>
                <w:szCs w:val="16"/>
                <w:lang w:val="hr-BA"/>
              </w:rPr>
              <w:t>46,5% više. Oglašeno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je 1</w:t>
            </w:r>
            <w:r w:rsidR="004C206D" w:rsidRPr="00715429">
              <w:rPr>
                <w:sz w:val="20"/>
                <w:szCs w:val="16"/>
                <w:lang w:val="hr-BA"/>
              </w:rPr>
              <w:t>.</w:t>
            </w:r>
            <w:r w:rsidR="00CC2AAE" w:rsidRPr="00715429">
              <w:rPr>
                <w:sz w:val="20"/>
                <w:szCs w:val="16"/>
                <w:lang w:val="hr-BA"/>
              </w:rPr>
              <w:t>028</w:t>
            </w:r>
            <w:r w:rsidR="004C206D" w:rsidRPr="00715429">
              <w:rPr>
                <w:sz w:val="20"/>
                <w:szCs w:val="16"/>
                <w:lang w:val="hr-BA"/>
              </w:rPr>
              <w:t xml:space="preserve"> slobodnih radnih mjesta 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99,6% više nego u januaru 2014. U januaru 2014. godine prosječna zarada je iznosila 726€ ili 0,7%</w:t>
            </w:r>
            <w:r w:rsidR="00877FE9" w:rsidRPr="00715429">
              <w:rPr>
                <w:sz w:val="20"/>
                <w:szCs w:val="16"/>
                <w:lang w:val="hr-BA"/>
              </w:rPr>
              <w:t xml:space="preserve"> manje na godišnjem nivou</w:t>
            </w:r>
            <w:r w:rsidR="009C5011">
              <w:rPr>
                <w:sz w:val="20"/>
                <w:szCs w:val="16"/>
                <w:lang w:val="hr-BA"/>
              </w:rPr>
              <w:t>,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</w:t>
            </w:r>
            <w:r w:rsidR="004C206D" w:rsidRPr="00715429">
              <w:rPr>
                <w:sz w:val="20"/>
                <w:szCs w:val="16"/>
                <w:lang w:val="hr-BA"/>
              </w:rPr>
              <w:t>neto zarada</w:t>
            </w:r>
            <w:r w:rsidR="009C5011">
              <w:rPr>
                <w:sz w:val="20"/>
                <w:szCs w:val="16"/>
                <w:lang w:val="hr-BA"/>
              </w:rPr>
              <w:t xml:space="preserve"> je</w:t>
            </w:r>
            <w:r w:rsidR="004C206D" w:rsidRPr="00715429">
              <w:rPr>
                <w:sz w:val="20"/>
                <w:szCs w:val="16"/>
                <w:lang w:val="hr-BA"/>
              </w:rPr>
              <w:t xml:space="preserve"> iznosila</w:t>
            </w:r>
            <w:r w:rsidR="009C5011">
              <w:rPr>
                <w:sz w:val="20"/>
                <w:szCs w:val="16"/>
                <w:lang w:val="hr-BA"/>
              </w:rPr>
              <w:t xml:space="preserve"> 478€-</w:t>
            </w:r>
            <w:r w:rsidR="00CC2AAE" w:rsidRPr="00715429">
              <w:rPr>
                <w:sz w:val="20"/>
                <w:szCs w:val="16"/>
                <w:lang w:val="hr-BA"/>
              </w:rPr>
              <w:t xml:space="preserve"> smanjen</w:t>
            </w:r>
            <w:r w:rsidR="00877FE9" w:rsidRPr="00715429">
              <w:rPr>
                <w:sz w:val="20"/>
                <w:szCs w:val="16"/>
                <w:lang w:val="hr-BA"/>
              </w:rPr>
              <w:t xml:space="preserve">je </w:t>
            </w:r>
            <w:r w:rsidR="00CC2AAE" w:rsidRPr="00715429">
              <w:rPr>
                <w:sz w:val="20"/>
                <w:szCs w:val="16"/>
                <w:lang w:val="hr-BA"/>
              </w:rPr>
              <w:t>2,4%</w:t>
            </w:r>
            <w:r w:rsidR="00877FE9" w:rsidRPr="00715429">
              <w:rPr>
                <w:sz w:val="20"/>
                <w:szCs w:val="16"/>
                <w:lang w:val="hr-BA"/>
              </w:rPr>
              <w:t xml:space="preserve"> </w:t>
            </w:r>
            <w:r w:rsidR="00BC73F7" w:rsidRPr="00715429">
              <w:rPr>
                <w:sz w:val="20"/>
                <w:szCs w:val="16"/>
                <w:lang w:val="hr-BA"/>
              </w:rPr>
              <w:t>, dok je realna zarada manja 2% zbog januarskog pada cijena.</w:t>
            </w:r>
          </w:p>
          <w:p w:rsidR="00422784" w:rsidRPr="00715429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hr-BA" w:eastAsia="en-US"/>
              </w:rPr>
            </w:pPr>
          </w:p>
          <w:p w:rsidR="00422784" w:rsidRPr="00715429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hr-BA" w:eastAsia="en-US"/>
              </w:rPr>
            </w:pPr>
          </w:p>
          <w:p w:rsidR="00422784" w:rsidRPr="00715429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hr-BA" w:eastAsia="en-US"/>
              </w:rPr>
            </w:pPr>
          </w:p>
        </w:tc>
        <w:tc>
          <w:tcPr>
            <w:tcW w:w="3686" w:type="dxa"/>
            <w:tcBorders>
              <w:bottom w:val="thinThickSmallGap" w:sz="18" w:space="0" w:color="auto"/>
            </w:tcBorders>
            <w:vAlign w:val="center"/>
          </w:tcPr>
          <w:p w:rsidR="00422784" w:rsidRPr="00715429" w:rsidRDefault="00205E88" w:rsidP="001D21BD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715429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80000" cy="1836000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0452C" w:rsidRPr="00715429" w:rsidTr="009C5011">
        <w:trPr>
          <w:trHeight w:hRule="exact" w:val="3626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0452C" w:rsidRPr="00715429" w:rsidRDefault="0010452C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lastRenderedPageBreak/>
              <w:t>Javne finansije</w:t>
            </w:r>
          </w:p>
          <w:p w:rsidR="008C215C" w:rsidRDefault="008C215C" w:rsidP="009C5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Latn-CS"/>
              </w:rPr>
              <w:t>Izvorni prihodi budžeta Crne Gore u januaru 2014. godine iznosili su 70,63 mil. € i  veći su za 29% u odnosu na januar 2013. godine, kao i u odnosu na plan za 13%.</w:t>
            </w:r>
            <w:r>
              <w:rPr>
                <w:sz w:val="20"/>
                <w:szCs w:val="20"/>
                <w:lang w:val="sr-Latn-CS"/>
              </w:rPr>
              <w:t>  Naplata PDV-a u januaru 2014.g.  iznosila  je 32,2mil</w:t>
            </w:r>
            <w:r w:rsidR="00F076B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€ i  veća  je u odnosu  na plan za 17,8% i 29,4% u odnosu na januar 2013.</w:t>
            </w:r>
            <w:r w:rsidR="00874DCF" w:rsidRPr="00874DCF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65pt;margin-top:.45pt;width:343.15pt;height:0;z-index:251658752;mso-position-horizontal-relative:text;mso-position-vertical-relative:text" o:connectortype="straight" strokeweight=".5pt"/>
              </w:pict>
            </w:r>
            <w:r>
              <w:rPr>
                <w:sz w:val="20"/>
                <w:szCs w:val="20"/>
                <w:lang w:val="sr-Latn-CS"/>
              </w:rPr>
              <w:t> godine.</w:t>
            </w:r>
            <w:r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0"/>
                <w:szCs w:val="20"/>
              </w:rPr>
              <w:t>Pri</w:t>
            </w:r>
            <w:r w:rsidR="00F076BD">
              <w:rPr>
                <w:sz w:val="20"/>
                <w:szCs w:val="20"/>
              </w:rPr>
              <w:t>hodi po osnovu naplate  poreza i</w:t>
            </w:r>
            <w:r>
              <w:rPr>
                <w:sz w:val="20"/>
                <w:szCs w:val="20"/>
              </w:rPr>
              <w:t xml:space="preserve"> doprinosa na zarade  u januaru 2014.g. veći su za 49,4</w:t>
            </w:r>
            <w:r w:rsidR="00F076BD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u odnosu na januar 2013.g. i 23,2</w:t>
            </w:r>
            <w:r w:rsidR="00F076BD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u odnosu na plan.</w:t>
            </w:r>
          </w:p>
          <w:p w:rsidR="008C215C" w:rsidRDefault="008C215C" w:rsidP="009C5011">
            <w:pPr>
              <w:spacing w:after="0" w:line="240" w:lineRule="auto"/>
              <w:jc w:val="both"/>
              <w:rPr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  <w:lang w:val="sr-Latn-CS"/>
              </w:rPr>
              <w:t>Izdaci budžeta</w:t>
            </w:r>
            <w:r>
              <w:rPr>
                <w:sz w:val="20"/>
                <w:szCs w:val="20"/>
                <w:lang w:val="sr-Latn-CS"/>
              </w:rPr>
              <w:t xml:space="preserve">  u januaru 2014. g. iznosili su 94,14 mil.€ i veći  su u odnosu na isti mjesec 2013. godine  za 16,5 %,  kao i  manji u odnosu na plan za  15,5%. </w:t>
            </w:r>
          </w:p>
          <w:p w:rsidR="008C215C" w:rsidRDefault="008C215C" w:rsidP="009C5011">
            <w:pPr>
              <w:spacing w:after="0" w:line="240" w:lineRule="auto"/>
              <w:jc w:val="both"/>
              <w:rPr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  <w:lang w:val="sr-Latn-CS"/>
              </w:rPr>
              <w:t>Deficit budžeta</w:t>
            </w:r>
            <w:r>
              <w:rPr>
                <w:sz w:val="20"/>
                <w:szCs w:val="20"/>
                <w:lang w:val="sr-Latn-CS"/>
              </w:rPr>
              <w:t xml:space="preserve"> u januaru 2014. godine iznosio je 23,5 mil.€ i manji je  za 52% u odnosu na plan i 9,6 % u odnosu na januar 2013.g. </w:t>
            </w:r>
          </w:p>
          <w:p w:rsidR="008C215C" w:rsidRDefault="008C215C" w:rsidP="009C5011">
            <w:pPr>
              <w:spacing w:after="0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8C215C">
              <w:rPr>
                <w:b/>
                <w:bCs/>
                <w:sz w:val="20"/>
                <w:szCs w:val="20"/>
              </w:rPr>
              <w:t>Državni dug</w:t>
            </w:r>
            <w:r>
              <w:rPr>
                <w:sz w:val="20"/>
                <w:szCs w:val="20"/>
              </w:rPr>
              <w:t xml:space="preserve"> na kraju</w:t>
            </w:r>
            <w:r w:rsidRPr="008C215C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8C215C">
              <w:rPr>
                <w:sz w:val="20"/>
                <w:szCs w:val="20"/>
              </w:rPr>
              <w:t>.</w:t>
            </w:r>
            <w:r w:rsidR="00A06E10">
              <w:rPr>
                <w:sz w:val="20"/>
                <w:szCs w:val="20"/>
              </w:rPr>
              <w:t xml:space="preserve"> </w:t>
            </w:r>
            <w:r w:rsidRPr="008C215C">
              <w:rPr>
                <w:sz w:val="20"/>
                <w:szCs w:val="20"/>
              </w:rPr>
              <w:t>godine iznosio je 1.873,15 mil.€ ili 56,57% procijenjenog BDP-a i smanjen je 0,4 p.p. u odnosu na prethodni mjesec. Unutrašnji dug iznosio je 440,1</w:t>
            </w:r>
            <w:r w:rsidR="00756F11">
              <w:rPr>
                <w:sz w:val="20"/>
                <w:szCs w:val="20"/>
              </w:rPr>
              <w:t xml:space="preserve"> </w:t>
            </w:r>
            <w:r w:rsidR="00B801BF">
              <w:rPr>
                <w:sz w:val="20"/>
                <w:szCs w:val="20"/>
              </w:rPr>
              <w:t>mil.</w:t>
            </w:r>
            <w:r w:rsidRPr="008C215C">
              <w:rPr>
                <w:sz w:val="20"/>
                <w:szCs w:val="20"/>
              </w:rPr>
              <w:t>€, a dug prema nerezidentima 1.433,0 mil.€.</w:t>
            </w:r>
          </w:p>
          <w:p w:rsidR="0010452C" w:rsidRPr="00715429" w:rsidRDefault="0010452C" w:rsidP="001D21B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715429" w:rsidRDefault="00A468B1" w:rsidP="00812862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715429">
              <w:rPr>
                <w:noProof/>
                <w:sz w:val="17"/>
                <w:szCs w:val="17"/>
              </w:rPr>
              <w:drawing>
                <wp:inline distT="0" distB="0" distL="0" distR="0">
                  <wp:extent cx="2393902" cy="2013045"/>
                  <wp:effectExtent l="19050" t="0" r="25448" b="6255"/>
                  <wp:docPr id="11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B721D" w:rsidRPr="00715429" w:rsidTr="001D21BD">
        <w:trPr>
          <w:trHeight w:hRule="exact" w:val="4026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B721D" w:rsidRPr="00715429" w:rsidRDefault="00DB721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Monetarni sektor</w:t>
            </w:r>
          </w:p>
          <w:p w:rsidR="00DB721D" w:rsidRPr="00715429" w:rsidRDefault="00144EE5" w:rsidP="009C501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715429">
              <w:rPr>
                <w:b/>
                <w:noProof/>
                <w:sz w:val="20"/>
                <w:szCs w:val="20"/>
                <w:lang w:val="hr-BA"/>
              </w:rPr>
              <w:t xml:space="preserve">Stanje u bankarskom sektoru je stabilno, uz rast ukupnih depozita i kapitala na godišnjem nivou, dok </w:t>
            </w:r>
            <w:r w:rsidR="00A324F2" w:rsidRPr="00715429">
              <w:rPr>
                <w:b/>
                <w:noProof/>
                <w:sz w:val="20"/>
                <w:szCs w:val="20"/>
                <w:lang w:val="hr-BA"/>
              </w:rPr>
              <w:t>je kreditna aktivnost smanjena</w:t>
            </w:r>
            <w:r w:rsidRPr="00715429">
              <w:rPr>
                <w:b/>
                <w:noProof/>
                <w:sz w:val="20"/>
                <w:szCs w:val="20"/>
                <w:lang w:val="hr-BA"/>
              </w:rPr>
              <w:t xml:space="preserve">. 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Ukupan </w:t>
            </w:r>
            <w:r w:rsidRPr="00715429">
              <w:rPr>
                <w:b/>
                <w:noProof/>
                <w:sz w:val="20"/>
                <w:szCs w:val="20"/>
                <w:lang w:val="hr-BA"/>
              </w:rPr>
              <w:t>kapital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 banaka je iznosio 415.3 mil.€, što je za 6,5% ili 25.2 mil.€ više u odnosu na isti mjesec prethodne godine.  Ukupni </w:t>
            </w:r>
            <w:r w:rsidRPr="00715429">
              <w:rPr>
                <w:b/>
                <w:noProof/>
                <w:sz w:val="20"/>
                <w:szCs w:val="20"/>
                <w:lang w:val="hr-BA"/>
              </w:rPr>
              <w:t>depoziti</w:t>
            </w:r>
            <w:r w:rsidR="009C5011">
              <w:rPr>
                <w:noProof/>
                <w:sz w:val="20"/>
                <w:szCs w:val="20"/>
                <w:lang w:val="hr-BA"/>
              </w:rPr>
              <w:t xml:space="preserve"> su sa iznosom od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 2</w:t>
            </w:r>
            <w:r w:rsidR="006807FE" w:rsidRPr="00715429">
              <w:rPr>
                <w:noProof/>
                <w:sz w:val="20"/>
                <w:szCs w:val="20"/>
                <w:lang w:val="hr-BA"/>
              </w:rPr>
              <w:t>.096,</w:t>
            </w:r>
            <w:r w:rsidRPr="00715429">
              <w:rPr>
                <w:noProof/>
                <w:sz w:val="20"/>
                <w:szCs w:val="20"/>
                <w:lang w:val="hr-BA"/>
              </w:rPr>
              <w:t>7 mil.€ ostvarili rast od  6,4% na godišnjem nivou. Kao najznačajniji deponent crnogorskog bankarskog sistema, sektor stanovništva je imao 1</w:t>
            </w:r>
            <w:r w:rsidR="00067FD6">
              <w:rPr>
                <w:noProof/>
                <w:sz w:val="20"/>
                <w:szCs w:val="20"/>
                <w:lang w:val="hr-BA"/>
              </w:rPr>
              <w:t>.235,</w:t>
            </w:r>
            <w:r w:rsidRPr="00715429">
              <w:rPr>
                <w:noProof/>
                <w:sz w:val="20"/>
                <w:szCs w:val="20"/>
                <w:lang w:val="hr-BA"/>
              </w:rPr>
              <w:t>1 mil</w:t>
            </w:r>
            <w:r w:rsidR="00067FD6">
              <w:rPr>
                <w:noProof/>
                <w:sz w:val="20"/>
                <w:szCs w:val="20"/>
                <w:lang w:val="hr-BA"/>
              </w:rPr>
              <w:t>.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€, što predstavlja rast od 7,4% na godišnjem nivou. Ukupni </w:t>
            </w:r>
            <w:r w:rsidRPr="00715429">
              <w:rPr>
                <w:b/>
                <w:noProof/>
                <w:sz w:val="20"/>
                <w:szCs w:val="20"/>
                <w:lang w:val="hr-BA"/>
              </w:rPr>
              <w:t>krediti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 i ostala potraživanja su krajem januara iznosili 2</w:t>
            </w:r>
            <w:r w:rsidR="00067FD6">
              <w:rPr>
                <w:noProof/>
                <w:sz w:val="20"/>
                <w:szCs w:val="20"/>
                <w:lang w:val="hr-BA"/>
              </w:rPr>
              <w:t>.</w:t>
            </w:r>
            <w:r w:rsidRPr="00715429">
              <w:rPr>
                <w:noProof/>
                <w:sz w:val="20"/>
                <w:szCs w:val="20"/>
                <w:lang w:val="hr-BA"/>
              </w:rPr>
              <w:t>407.9 mil.€ i smanjeni su za 0,2% na mjesečnom i 3,0% na godišnjem nivou. Novoodobreni krediti na početku godine iznose 51.9 mil.€, pri čemu se 50,3% odnosi na privredu,</w:t>
            </w:r>
            <w:r w:rsidR="006807FE" w:rsidRPr="00715429">
              <w:rPr>
                <w:noProof/>
                <w:sz w:val="20"/>
                <w:szCs w:val="20"/>
                <w:lang w:val="hr-BA"/>
              </w:rPr>
              <w:t xml:space="preserve"> 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a 26,9% na fizička lica. Problem </w:t>
            </w:r>
            <w:r w:rsidRPr="00715429">
              <w:rPr>
                <w:b/>
                <w:noProof/>
                <w:sz w:val="20"/>
                <w:szCs w:val="20"/>
                <w:lang w:val="hr-BA"/>
              </w:rPr>
              <w:t>nelikvidnosti realnog sektora</w:t>
            </w:r>
            <w:r w:rsidRPr="00715429">
              <w:rPr>
                <w:noProof/>
                <w:sz w:val="20"/>
                <w:szCs w:val="20"/>
                <w:lang w:val="hr-BA"/>
              </w:rPr>
              <w:t xml:space="preserve"> i visok nivo nekvalitetnih kredita i dalje predstavljaju rizik za finansijsku stabilnost. U januaru ove godine su bila u blokadi 13.150 izvršna dužnika, što u odnosu na stanje iz prethodnog mjeseca predstavlja povećanje od 1,30%. Pri tome, ukupan iznos duga, po osnovu koga je izvršeno blokiranje računa, je iznosio 448.0 mil.€ i povećan je za 2,52% u odnosu na prethodni mjesec i 4,1% na godišnjem nivou. 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715429" w:rsidRDefault="002F58BF" w:rsidP="001D21BD">
            <w:pPr>
              <w:jc w:val="center"/>
              <w:rPr>
                <w:noProof/>
                <w:sz w:val="17"/>
                <w:szCs w:val="17"/>
                <w:lang w:val="hr-BA" w:eastAsia="sr-Latn-CS"/>
              </w:rPr>
            </w:pPr>
            <w:r w:rsidRPr="00715429">
              <w:rPr>
                <w:noProof/>
                <w:sz w:val="17"/>
                <w:szCs w:val="17"/>
              </w:rPr>
              <w:drawing>
                <wp:inline distT="0" distB="0" distL="0" distR="0">
                  <wp:extent cx="2371650" cy="2219325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36FB4" w:rsidRPr="00715429" w:rsidTr="001D21BD">
        <w:trPr>
          <w:trHeight w:hRule="exact" w:val="5742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D21BD" w:rsidRPr="00715429" w:rsidRDefault="001D21B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Spoljnotrgovinska razmjena i investicije</w:t>
            </w:r>
          </w:p>
          <w:p w:rsidR="00436FB4" w:rsidRPr="00715429" w:rsidRDefault="00436FB4" w:rsidP="00FD06B2">
            <w:pPr>
              <w:pStyle w:val="NoSpacing"/>
              <w:pBdr>
                <w:top w:val="single" w:sz="4" w:space="1" w:color="auto"/>
              </w:pBdr>
              <w:jc w:val="both"/>
              <w:rPr>
                <w:bCs/>
                <w:noProof/>
                <w:color w:val="000000"/>
                <w:lang w:val="hr-BA"/>
              </w:rPr>
            </w:pP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Najveći priliv SDI na mjesečnom nivou ostvaren je u decembru 2013.</w:t>
            </w:r>
            <w:r w:rsidR="009F2C2B">
              <w:rPr>
                <w:b/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godine u iznosu od 72,9</w:t>
            </w:r>
            <w:r w:rsidR="009F2C2B">
              <w:rPr>
                <w:b/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mil.€,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kao rezultat povećanja priliva po osnovu kredita između vlasnički povezanih kompanija. Neto priliv SDI u 2013.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godini iznosio je 323,9 mil.€, što je za 29,8%</w:t>
            </w:r>
            <w:r w:rsidR="000771F2">
              <w:rPr>
                <w:bCs/>
                <w:noProof/>
                <w:color w:val="000000"/>
                <w:sz w:val="20"/>
                <w:lang w:val="hr-BA"/>
              </w:rPr>
              <w:t xml:space="preserve"> manje u odnosu na 2012.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="000771F2">
              <w:rPr>
                <w:bCs/>
                <w:noProof/>
                <w:color w:val="000000"/>
                <w:sz w:val="20"/>
                <w:lang w:val="hr-BA"/>
              </w:rPr>
              <w:t>godinu.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Ukupan priliv SDI iznosio je 479,2 mil.€, sa učešćem vlasničk</w:t>
            </w:r>
            <w:r w:rsidR="000771F2">
              <w:rPr>
                <w:bCs/>
                <w:noProof/>
                <w:color w:val="000000"/>
                <w:sz w:val="20"/>
                <w:lang w:val="hr-BA"/>
              </w:rPr>
              <w:t>ih ulaganja od 58,1%  ili 36,6%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manje nego u 2012. Investicije u preduze</w:t>
            </w:r>
            <w:r w:rsidR="000771F2">
              <w:rPr>
                <w:bCs/>
                <w:noProof/>
                <w:color w:val="000000"/>
                <w:sz w:val="20"/>
                <w:lang w:val="hr-BA"/>
              </w:rPr>
              <w:t>ća i banke 15,9% (64,2% manje),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investicije u nekretnine 42,2% (10,7% manje), interkompanijski dug 39,4% (16,2% više) i ostalo 2,5% (62,3% manje). Ukupan odliv SDI iznosio je 155,3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mil.€ što je za 9,8% manje nego u 2012. U strukturi odliva najveći dio se odnosio na  povlačenje sredstava nerezidenata (83,8%), od čega su obaveza po osnovu interkompanijskog duga  76,1%, dok su ulaganja rezidenata u inostranstvo 17,4 %. </w:t>
            </w: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Nivo spoljnotrgovinske razmjene u januaru 2014.</w:t>
            </w:r>
            <w:r w:rsidR="009F2C2B">
              <w:rPr>
                <w:b/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godine iznosio 105,4</w:t>
            </w:r>
            <w:r w:rsidR="009F2C2B">
              <w:rPr>
                <w:b/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/>
                <w:bCs/>
                <w:noProof/>
                <w:color w:val="000000"/>
                <w:sz w:val="20"/>
                <w:lang w:val="hr-BA"/>
              </w:rPr>
              <w:t>mil.€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, što je za 23,7% manje u odnosu na promet ostvaren u januaru 2013. Ostvaren je  izvoz u vrijednosti od 22,6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mil.€, dok je uvoz iznosio 82,9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mil.€, što je za 19,4% i 24,8% manje, respektivno. Spoljnotrovinski deficit je niži  za 26,7% i iznosio je 60,3</w:t>
            </w:r>
            <w:r w:rsidR="009F2C2B">
              <w:rPr>
                <w:bCs/>
                <w:noProof/>
                <w:color w:val="000000"/>
                <w:sz w:val="20"/>
                <w:lang w:val="hr-BA"/>
              </w:rPr>
              <w:t xml:space="preserve">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mil.€, kao rezultat smanjenog obima izvoza i uvoza roba. Pokrivenost uvoza izvozom u januaru je iznosila 27,2%. Izvoz električne energije (33,2% ukupnog izvoza), je pao 20,0%</w:t>
            </w:r>
            <w:r w:rsidR="00EC3B14">
              <w:rPr>
                <w:bCs/>
                <w:noProof/>
                <w:color w:val="000000"/>
                <w:sz w:val="20"/>
                <w:lang w:val="hr-BA"/>
              </w:rPr>
              <w:t xml:space="preserve">, 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>a aluminijum</w:t>
            </w:r>
            <w:r w:rsidR="00FD06B2">
              <w:rPr>
                <w:bCs/>
                <w:noProof/>
                <w:color w:val="000000"/>
                <w:sz w:val="20"/>
                <w:lang w:val="hr-BA"/>
              </w:rPr>
              <w:t xml:space="preserve"> 9,0%</w:t>
            </w:r>
            <w:r w:rsidR="00412F68">
              <w:rPr>
                <w:bCs/>
                <w:noProof/>
                <w:color w:val="000000"/>
                <w:sz w:val="20"/>
                <w:lang w:val="hr-BA"/>
              </w:rPr>
              <w:t xml:space="preserve"> (25,0% ukupnog izvoza</w:t>
            </w:r>
            <w:r w:rsidR="00FD06B2">
              <w:rPr>
                <w:bCs/>
                <w:noProof/>
                <w:color w:val="000000"/>
                <w:sz w:val="20"/>
                <w:lang w:val="hr-BA"/>
              </w:rPr>
              <w:t>)</w:t>
            </w:r>
            <w:r w:rsidR="00412F68">
              <w:rPr>
                <w:bCs/>
                <w:noProof/>
                <w:color w:val="000000"/>
                <w:sz w:val="20"/>
                <w:lang w:val="hr-BA"/>
              </w:rPr>
              <w:t>.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Na strani uvoza najveći udio imaju hrana i žive životinje (21,8% ukupnog uvoza ) i mineralna goriv</w:t>
            </w:r>
            <w:r w:rsidR="00412F68">
              <w:rPr>
                <w:bCs/>
                <w:noProof/>
                <w:color w:val="000000"/>
                <w:sz w:val="20"/>
                <w:lang w:val="hr-BA"/>
              </w:rPr>
              <w:t>a i maziva (18,7% ukupnog uvoza</w:t>
            </w:r>
            <w:r w:rsidRPr="00715429">
              <w:rPr>
                <w:bCs/>
                <w:noProof/>
                <w:color w:val="000000"/>
                <w:sz w:val="20"/>
                <w:lang w:val="hr-BA"/>
              </w:rPr>
              <w:t xml:space="preserve"> sa godišnjim  padom od 15,0</w:t>
            </w:r>
            <w:r w:rsidRPr="00715429">
              <w:rPr>
                <w:bCs/>
                <w:noProof/>
                <w:color w:val="000000"/>
                <w:sz w:val="20"/>
                <w:szCs w:val="20"/>
                <w:lang w:val="hr-BA"/>
              </w:rPr>
              <w:t>%). Smanjenje izvoza i uvoza električne energije rezultat je smanjenja proizvodnje električne energije ( u januaru 12,0%) i potrošnje KAP-a, kao najvećeg konzumenta električne energije.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436FB4" w:rsidRPr="00715429" w:rsidRDefault="001D21BD" w:rsidP="001D21BD">
            <w:pPr>
              <w:jc w:val="center"/>
              <w:rPr>
                <w:noProof/>
                <w:sz w:val="17"/>
                <w:szCs w:val="17"/>
                <w:lang w:val="hr-BA"/>
              </w:rPr>
            </w:pPr>
            <w:r w:rsidRPr="00715429">
              <w:rPr>
                <w:noProof/>
                <w:sz w:val="17"/>
                <w:szCs w:val="17"/>
              </w:rPr>
              <w:drawing>
                <wp:inline distT="0" distB="0" distL="0" distR="0">
                  <wp:extent cx="2371725" cy="2009775"/>
                  <wp:effectExtent l="0" t="0" r="0" b="0"/>
                  <wp:docPr id="6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715429" w:rsidRDefault="0082570B" w:rsidP="00D51C00">
      <w:pPr>
        <w:rPr>
          <w:noProof/>
          <w:lang w:val="hr-BA"/>
        </w:rPr>
        <w:sectPr w:rsidR="0082570B" w:rsidRPr="00715429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B355D6" w:rsidRPr="00715429">
        <w:rPr>
          <w:noProof/>
          <w:sz w:val="17"/>
          <w:szCs w:val="16"/>
          <w:lang w:val="hr-BA"/>
        </w:rPr>
        <w:t>Januar</w:t>
      </w:r>
      <w:r w:rsidRPr="00715429">
        <w:rPr>
          <w:noProof/>
          <w:sz w:val="17"/>
          <w:szCs w:val="16"/>
          <w:lang w:val="hr-BA"/>
        </w:rPr>
        <w:t xml:space="preserve"> 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2570B" w:rsidRPr="00715429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784DAE" w:rsidRPr="00715429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332574" w:rsidRPr="00715429" w:rsidRDefault="00332574" w:rsidP="00332574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332574" w:rsidRPr="00715429" w:rsidRDefault="00332574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 w:rsidR="00B012FF">
        <w:rPr>
          <w:i/>
          <w:iCs/>
          <w:noProof/>
          <w:sz w:val="12"/>
          <w:szCs w:val="12"/>
          <w:lang w:val="hr-BA"/>
        </w:rPr>
        <w:t xml:space="preserve"> *Podaci za </w:t>
      </w:r>
      <w:r w:rsidR="002D0814" w:rsidRPr="00715429">
        <w:rPr>
          <w:i/>
          <w:iCs/>
          <w:noProof/>
          <w:sz w:val="12"/>
          <w:szCs w:val="12"/>
          <w:lang w:val="hr-BA"/>
        </w:rPr>
        <w:t>SDI se odnose na decembar 2013</w:t>
      </w:r>
    </w:p>
    <w:p w:rsidR="00D800B5" w:rsidRPr="009C5011" w:rsidRDefault="00D800B5" w:rsidP="009C5011">
      <w:pPr>
        <w:spacing w:after="0" w:line="240" w:lineRule="auto"/>
        <w:ind w:firstLine="142"/>
        <w:jc w:val="center"/>
        <w:rPr>
          <w:noProof/>
          <w:sz w:val="17"/>
          <w:szCs w:val="16"/>
          <w:lang w:val="hr-BA"/>
        </w:rPr>
      </w:pPr>
      <w:r w:rsidRPr="009C5011">
        <w:rPr>
          <w:noProof/>
          <w:sz w:val="17"/>
          <w:szCs w:val="16"/>
          <w:lang w:val="hr-BA"/>
        </w:rPr>
        <w:t xml:space="preserve">Tabela </w:t>
      </w:r>
      <w:r w:rsidR="00874DCF" w:rsidRPr="009C5011">
        <w:rPr>
          <w:noProof/>
          <w:sz w:val="17"/>
          <w:szCs w:val="16"/>
          <w:lang w:val="hr-BA"/>
        </w:rPr>
        <w:fldChar w:fldCharType="begin"/>
      </w:r>
      <w:r w:rsidR="00B42AAB" w:rsidRPr="009C5011">
        <w:rPr>
          <w:noProof/>
          <w:sz w:val="17"/>
          <w:szCs w:val="16"/>
          <w:lang w:val="hr-BA"/>
        </w:rPr>
        <w:instrText xml:space="preserve"> SEQ Tabela \* ARABIC </w:instrText>
      </w:r>
      <w:r w:rsidR="00874DCF" w:rsidRPr="009C5011">
        <w:rPr>
          <w:noProof/>
          <w:sz w:val="17"/>
          <w:szCs w:val="16"/>
          <w:lang w:val="hr-BA"/>
        </w:rPr>
        <w:fldChar w:fldCharType="separate"/>
      </w:r>
      <w:r w:rsidR="00F10D27">
        <w:rPr>
          <w:noProof/>
          <w:sz w:val="17"/>
          <w:szCs w:val="16"/>
          <w:lang w:val="hr-BA"/>
        </w:rPr>
        <w:t>1</w:t>
      </w:r>
      <w:r w:rsidR="00874DCF" w:rsidRPr="009C5011">
        <w:rPr>
          <w:noProof/>
          <w:sz w:val="17"/>
          <w:szCs w:val="16"/>
          <w:lang w:val="hr-BA"/>
        </w:rPr>
        <w:fldChar w:fldCharType="end"/>
      </w:r>
      <w:r w:rsidR="009C5011">
        <w:rPr>
          <w:noProof/>
          <w:sz w:val="17"/>
          <w:szCs w:val="16"/>
          <w:lang w:val="hr-BA"/>
        </w:rPr>
        <w:t xml:space="preserve"> </w:t>
      </w:r>
      <w:r w:rsidR="009C5011" w:rsidRPr="009C5011">
        <w:rPr>
          <w:b/>
          <w:noProof/>
          <w:sz w:val="17"/>
          <w:szCs w:val="16"/>
          <w:lang w:val="hr-BA"/>
        </w:rPr>
        <w:t>Makroekonomski indikatori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6"/>
        <w:gridCol w:w="668"/>
        <w:gridCol w:w="668"/>
        <w:gridCol w:w="672"/>
        <w:gridCol w:w="669"/>
        <w:gridCol w:w="669"/>
        <w:gridCol w:w="672"/>
        <w:gridCol w:w="669"/>
        <w:gridCol w:w="669"/>
        <w:gridCol w:w="672"/>
        <w:gridCol w:w="691"/>
        <w:gridCol w:w="937"/>
        <w:gridCol w:w="736"/>
        <w:gridCol w:w="736"/>
        <w:gridCol w:w="736"/>
        <w:gridCol w:w="1139"/>
      </w:tblGrid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Indikatori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2013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II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III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IV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V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VI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VII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VIII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IX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XI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XII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2014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M-n-M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715429" w:rsidRDefault="00C63916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jan2014/jan2013</w:t>
            </w:r>
            <w:r w:rsidR="00D800B5"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 xml:space="preserve"> jan 2013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REALNI SEKTOR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8"/>
                <w:szCs w:val="18"/>
                <w:lang w:val="hr-BA" w:eastAsia="sr-Latn-CS"/>
              </w:rPr>
              <w:t> 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Industrijska proizvodnja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22,40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19,00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10,50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21,40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-22,2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Prerađivačka industrija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-36,40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-32,80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-34,40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-28,20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-11,50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-11,10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11,70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22,70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28,20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48,80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39,80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-38,2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39,8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Noćenja u turizmu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-8,30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30,30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22,10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2D0814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2D0814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2D0814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Promet u maloprodaji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12,10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12,80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-21,2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-1,9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Vrijednost radova u gradjevinarstvu (stopa rasta)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5,7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-1,0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3,8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27,9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color w:val="993300"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color w:val="993300"/>
                <w:sz w:val="16"/>
                <w:szCs w:val="16"/>
                <w:lang w:val="hr-BA" w:eastAsia="sr-Latn-CS"/>
              </w:rPr>
              <w:t> 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INFLACIJA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Indeks potrošačkih cijena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Harmonizovani indeks potrošačkih cijena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0,1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Indeks proizvodjačkih cijena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-2,0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-1,3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ZAPOSLENOST I ZARADE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Zaposlenost (broj, kraj perioda)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167.379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167.738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170.302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174.369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179.861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178.815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176.588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169.044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169.044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167.607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167.173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167.616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0,1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Broj nezaposlenih (broj, kraj perioda)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31.890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32.648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32.986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32.624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31.363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30.337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30.102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30.947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33.271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33.271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34.680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34.514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34.804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9,1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Stopa nezaposlenosti (%)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15,0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9,5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Stopa nezaposlenosti (ARS) (%)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21,5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19,3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17,8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 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Oglašena radna mjesta (broj)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1.182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2.826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1.719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853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1.495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-9,0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99,6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Prosječna mjesečna bruto zarada (u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-0,7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Prosječna mjesečna neto zarada (u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469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-2,4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MONETARNI SEKTOR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Ukupni krediti (kumulativ, mil.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2.482,8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2.507,6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2.490,7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2.466,7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2.477,6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2.457,5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2.505,8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2.538,3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2.474,5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2.474,5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2.463,9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2.411,9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2.407,9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2,8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 xml:space="preserve">Ukupni krediti (stopa rasta)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-3,0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2,8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Nekvalitetni krediti (kumulativ,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457,1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455,7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465,3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480,8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492,9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441,3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447,0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441,9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438,6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438,6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428,3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423,2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2D0814" w:rsidRPr="00715429" w:rsidRDefault="002D0814" w:rsidP="002D0814">
            <w:pPr>
              <w:jc w:val="right"/>
              <w:rPr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hideMark/>
          </w:tcPr>
          <w:p w:rsidR="002D0814" w:rsidRPr="00715429" w:rsidRDefault="002D0814" w:rsidP="002D0814">
            <w:pPr>
              <w:jc w:val="right"/>
              <w:rPr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hideMark/>
          </w:tcPr>
          <w:p w:rsidR="002D0814" w:rsidRPr="00715429" w:rsidRDefault="002D0814" w:rsidP="002D0814">
            <w:pPr>
              <w:jc w:val="right"/>
              <w:rPr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Udio nekvalitetnih kredita u ukupnim kreditima (u %)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18,4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18,2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18,7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19,5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19,9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18,0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-17,5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-18,4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Ukupni depoziti (kumulativ,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1.969,8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1.990,1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1.999,3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1.951,5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1.974,4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2.009,7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2.075,0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2.144,3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2.104,3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2.104,3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2.084,9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2.098,6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2.096,7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Ukupni depoziti (stopa rasta)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Krediti privredi (kumulativ, u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1.013,2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1.019,0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1.026,5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1.029,1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1.027,9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990,5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970,2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947,6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951,1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951,1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955,2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948,4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942,6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-7,0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Krediti domaćinstvima (kumulativ, u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857,4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861,1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865,8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872,5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875,1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880,9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882,5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880,6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886,8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886,8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887,1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881,3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881,1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2,8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Depoziti privrede (kumulativ, u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507,8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518,7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525,4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489,8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509,8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539,3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576,2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612,3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572,8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572,8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553,9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554,8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554,0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9,1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Lična štednja (kumulativ, u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1.150,4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1.158,7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1.165,0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1.165,1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1.162,4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1.164,7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1.192,9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1.218,1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1.218,1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1.218,1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1.221,0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1.237,7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1.235,1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7,4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Kamatna stopa na kredite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9,40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-0,04</w:t>
            </w:r>
          </w:p>
        </w:tc>
      </w:tr>
      <w:tr w:rsidR="00D800B5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Kamatna stopa na depozite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2,99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2,93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-0,74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EKSTERNI SEKTOR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00B5" w:rsidRPr="00715429" w:rsidRDefault="00D800B5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Izvoz roba (u mil.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28,0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31,3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36,9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39,4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31,8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28,4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24,6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31,2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34,5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-34,6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-19,4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-34,6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Uvoz roba (u mil.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110,2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113,9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138,8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162,4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152,3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170,4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172,6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164,9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161,4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161,4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130,7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148,9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-44,3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-44,3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Spoljnotrgovinski bilans (u mil €)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-82,2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-82,7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-108,9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-125,5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-112,9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-139,9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-140,8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-136,5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-136,9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-136,9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-99,5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-114,3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-47,2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-26,6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-47,2</w:t>
            </w:r>
          </w:p>
        </w:tc>
      </w:tr>
      <w:tr w:rsidR="002D0814" w:rsidRPr="00715429" w:rsidTr="00877FE9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Strane direktne investicije (mil.€)*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6,6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19,5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39,5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17,1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33,7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38,8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32,5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30,7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-19,8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-19,8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12,6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55,5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2D0814" w:rsidRPr="00715429" w:rsidRDefault="002D0814" w:rsidP="002D0814">
            <w:pPr>
              <w:jc w:val="right"/>
              <w:rPr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n.d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877FE9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341,6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877FE9">
            <w:pPr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38,3</w:t>
            </w:r>
          </w:p>
        </w:tc>
      </w:tr>
      <w:tr w:rsidR="00C63916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MEĐUNARODNO OKRUŽENJE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 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Brent crude oil (USD/barel)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116,8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110,4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111,1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100,4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103,0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107,7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115,7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105,9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105,9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111,5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107,8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108,8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-6,8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Aluminijum (USD/T)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2.037,6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2.053,6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1.911,3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1.861,0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1.832,6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1.814,5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1.769,6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1.816,2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1.814,6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1.814,6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1.748,0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1.739,8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1.740,8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-14,6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Euribor (12 mjeseci)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0,48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0,96</w:t>
            </w:r>
          </w:p>
        </w:tc>
      </w:tr>
      <w:tr w:rsidR="002D0814" w:rsidRPr="00715429" w:rsidTr="002D0814">
        <w:trPr>
          <w:divId w:val="1834419016"/>
          <w:trHeight w:hRule="exact" w:val="227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 w:eastAsia="sr-Latn-CS"/>
              </w:rPr>
              <w:t>Inflacija u Eurozoni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2,0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0,8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1,0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2D0814" w:rsidRPr="00715429" w:rsidRDefault="002D0814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 w:eastAsia="sr-Latn-CS"/>
              </w:rPr>
            </w:pPr>
            <w:r w:rsidRPr="00715429">
              <w:rPr>
                <w:rFonts w:cs="Calibri"/>
                <w:sz w:val="16"/>
                <w:szCs w:val="16"/>
                <w:lang w:val="hr-BA" w:eastAsia="sr-Latn-CS"/>
              </w:rPr>
              <w:t>-0,2</w:t>
            </w:r>
          </w:p>
        </w:tc>
      </w:tr>
    </w:tbl>
    <w:p w:rsidR="00D800B5" w:rsidRPr="00715429" w:rsidRDefault="00D800B5" w:rsidP="00A30E95">
      <w:pPr>
        <w:pStyle w:val="ListParagraph"/>
        <w:spacing w:after="0" w:line="240" w:lineRule="auto"/>
        <w:ind w:left="502"/>
        <w:rPr>
          <w:i/>
          <w:iCs/>
          <w:noProof/>
          <w:sz w:val="16"/>
          <w:szCs w:val="16"/>
          <w:lang w:val="hr-BA"/>
        </w:rPr>
      </w:pPr>
    </w:p>
    <w:p w:rsidR="00CD707C" w:rsidRPr="00715429" w:rsidRDefault="00A30E95" w:rsidP="00784DAE">
      <w:pPr>
        <w:spacing w:after="0" w:line="240" w:lineRule="auto"/>
        <w:ind w:firstLine="142"/>
        <w:jc w:val="center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>T</w:t>
      </w:r>
      <w:r w:rsidR="00784DAE" w:rsidRPr="00715429">
        <w:rPr>
          <w:noProof/>
          <w:sz w:val="17"/>
          <w:szCs w:val="16"/>
          <w:lang w:val="hr-BA"/>
        </w:rPr>
        <w:t xml:space="preserve">abela 2: </w:t>
      </w:r>
      <w:r w:rsidR="00784DAE" w:rsidRPr="00715429">
        <w:rPr>
          <w:b/>
          <w:bCs/>
          <w:noProof/>
          <w:sz w:val="17"/>
          <w:szCs w:val="16"/>
          <w:lang w:val="hr-BA"/>
        </w:rPr>
        <w:t>BUDŽET CRNE GORE</w:t>
      </w:r>
      <w:r w:rsidR="00784DAE" w:rsidRPr="00715429">
        <w:rPr>
          <w:noProof/>
          <w:sz w:val="17"/>
          <w:szCs w:val="16"/>
          <w:lang w:val="hr-BA"/>
        </w:rPr>
        <w:t xml:space="preserve"> –</w:t>
      </w:r>
      <w:r w:rsidR="009C5011">
        <w:rPr>
          <w:noProof/>
          <w:sz w:val="17"/>
          <w:szCs w:val="16"/>
          <w:lang w:val="hr-BA"/>
        </w:rPr>
        <w:t>Januar  2014</w:t>
      </w:r>
    </w:p>
    <w:tbl>
      <w:tblPr>
        <w:tblW w:w="5000" w:type="pct"/>
        <w:tblLook w:val="04A0"/>
      </w:tblPr>
      <w:tblGrid>
        <w:gridCol w:w="2369"/>
        <w:gridCol w:w="735"/>
        <w:gridCol w:w="738"/>
        <w:gridCol w:w="735"/>
        <w:gridCol w:w="735"/>
        <w:gridCol w:w="735"/>
        <w:gridCol w:w="738"/>
        <w:gridCol w:w="735"/>
        <w:gridCol w:w="735"/>
        <w:gridCol w:w="738"/>
        <w:gridCol w:w="824"/>
        <w:gridCol w:w="824"/>
        <w:gridCol w:w="824"/>
        <w:gridCol w:w="824"/>
        <w:gridCol w:w="824"/>
        <w:gridCol w:w="651"/>
        <w:gridCol w:w="736"/>
        <w:gridCol w:w="887"/>
        <w:gridCol w:w="988"/>
      </w:tblGrid>
      <w:tr w:rsidR="00841315" w:rsidRPr="00715429" w:rsidTr="00BB68A6">
        <w:trPr>
          <w:trHeight w:val="43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2012</w:t>
            </w:r>
          </w:p>
        </w:tc>
        <w:tc>
          <w:tcPr>
            <w:tcW w:w="2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2013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2014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plan 2014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Analitika-januar</w:t>
            </w:r>
          </w:p>
        </w:tc>
      </w:tr>
      <w:tr w:rsidR="00841315" w:rsidRPr="00715429" w:rsidTr="00BB68A6">
        <w:trPr>
          <w:trHeight w:val="63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iCs/>
                <w:sz w:val="16"/>
                <w:szCs w:val="16"/>
                <w:lang w:val="hr-BA"/>
              </w:rPr>
              <w:t>BUDŽET CRNE GORE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XI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XII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III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IV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V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VI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VII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VIII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XI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XII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I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jan 2014/jan 2013 (%)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jan 2014/jan 2014 plan (%)</w:t>
            </w:r>
          </w:p>
        </w:tc>
      </w:tr>
      <w:tr w:rsidR="00841315" w:rsidRPr="00715429" w:rsidTr="00841315">
        <w:trPr>
          <w:trHeight w:val="33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IZVORNI PRIHODI, od čega: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85,31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126,94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54,76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75,68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88,30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103,95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94,00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99,56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122,02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125,05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116,34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117,28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95,78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142,43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70,63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62,43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28,99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13,15</w:t>
            </w:r>
          </w:p>
        </w:tc>
      </w:tr>
      <w:tr w:rsidR="00841315" w:rsidRPr="00715429" w:rsidTr="00841315">
        <w:trPr>
          <w:trHeight w:val="33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Porezi i doprinosi na  zarade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35,50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60,40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14,21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34,57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35,60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34,16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40,63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44,81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47,38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54,03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37,52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75,77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21,23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17,23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49,40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23,19</w:t>
            </w:r>
          </w:p>
        </w:tc>
      </w:tr>
      <w:tr w:rsidR="00841315" w:rsidRPr="00715429" w:rsidTr="00841315">
        <w:trPr>
          <w:trHeight w:val="31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Porez na dobit pravnih lica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1,82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5,09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14,80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3,87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1,29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1,13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1,04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210,55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184,27</w:t>
            </w:r>
          </w:p>
        </w:tc>
      </w:tr>
      <w:tr w:rsidR="00841315" w:rsidRPr="00715429" w:rsidTr="00841315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Porez na dodatu vrijednost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29,08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25,78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24,86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24,75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29,49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33,76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34,16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35,87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47,18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47,07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40,69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37,65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33,51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40,19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32,17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27,32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29,42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17,75</w:t>
            </w:r>
          </w:p>
        </w:tc>
      </w:tr>
      <w:tr w:rsidR="00841315" w:rsidRPr="00715429" w:rsidTr="00841315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Akcize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17,89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9,26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10,36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13,03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16,43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20,98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17,25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14,55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13,08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13,19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9,74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11,63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5,21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-16,29</w:t>
            </w:r>
          </w:p>
        </w:tc>
      </w:tr>
      <w:tr w:rsidR="00841315" w:rsidRPr="00715429" w:rsidTr="00841315">
        <w:trPr>
          <w:trHeight w:val="31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Porez na medj trgovinu i transak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1,86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1,48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1,69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0,96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-13,27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-18,63</w:t>
            </w:r>
          </w:p>
        </w:tc>
      </w:tr>
      <w:tr w:rsidR="00841315" w:rsidRPr="00715429" w:rsidTr="00841315">
        <w:trPr>
          <w:trHeight w:val="330"/>
        </w:trPr>
        <w:tc>
          <w:tcPr>
            <w:tcW w:w="714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IZDACI BUDŽETA, od čega :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110,82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187,15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94,64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103,84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119,84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95,54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100,17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160,33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141,28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119,00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99,42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98,49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150,13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94,14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111,47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16,53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-15,54</w:t>
            </w:r>
          </w:p>
        </w:tc>
      </w:tr>
      <w:tr w:rsidR="00841315" w:rsidRPr="00715429" w:rsidTr="00841315">
        <w:trPr>
          <w:trHeight w:val="3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Bruto zarade i doprinosi na teret posl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40,13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46,25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30,97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31,35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30,53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31,12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30,26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29,27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30,77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30,66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30,67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28,82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31,69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32,21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2,32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-1,61</w:t>
            </w:r>
          </w:p>
        </w:tc>
      </w:tr>
      <w:tr w:rsidR="00841315" w:rsidRPr="00715429" w:rsidTr="00715429">
        <w:trPr>
          <w:trHeight w:val="27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Rashodi za materijal i usluge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12,16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6,33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7,14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8,39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17,95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3,71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5,10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-50,08</w:t>
            </w:r>
          </w:p>
        </w:tc>
      </w:tr>
      <w:tr w:rsidR="00841315" w:rsidRPr="00715429" w:rsidTr="00841315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Kamate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24,83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5,74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18,71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0,80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0,75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5,12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2,31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6,11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317,42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-62,16</w:t>
            </w:r>
          </w:p>
        </w:tc>
      </w:tr>
      <w:tr w:rsidR="00841315" w:rsidRPr="00715429" w:rsidTr="00841315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Transferi za socijalnu zaštitu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40,34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42,46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38,15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42,30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40,50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40,45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39,92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40,14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39,83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43,05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39,56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41,52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-4,73</w:t>
            </w:r>
          </w:p>
        </w:tc>
      </w:tr>
      <w:tr w:rsidR="00841315" w:rsidRPr="00715429" w:rsidTr="00841315">
        <w:trPr>
          <w:trHeight w:val="36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Transferi instit, pojed i NVO sektoru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2,03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6,24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8,95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5,88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7,06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5,86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9,04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8,25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7,30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4,75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17,85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4,73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8,42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-0,77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-43,83</w:t>
            </w:r>
          </w:p>
        </w:tc>
      </w:tr>
      <w:tr w:rsidR="00841315" w:rsidRPr="00715429" w:rsidTr="00841315">
        <w:trPr>
          <w:trHeight w:val="31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Kapitalni izdaci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6,87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0,30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2,12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5,21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4,93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5,50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5,91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6,63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6,49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22,14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1,67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9,36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463,15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-82,11</w:t>
            </w:r>
          </w:p>
        </w:tc>
      </w:tr>
      <w:tr w:rsidR="00841315" w:rsidRPr="00715429" w:rsidTr="00841315">
        <w:trPr>
          <w:trHeight w:val="330"/>
        </w:trPr>
        <w:tc>
          <w:tcPr>
            <w:tcW w:w="714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Suficit / Deficit budžeta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-25,50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-60,21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-26,03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-18,96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-15,54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-15,89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-1,54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-0,61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-38,31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-16,22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-2,66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17,86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-2,71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-7,70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-23,51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-49,04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-9,69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-52,07</w:t>
            </w:r>
          </w:p>
        </w:tc>
      </w:tr>
      <w:tr w:rsidR="00841315" w:rsidRPr="00715429" w:rsidTr="00841315">
        <w:trPr>
          <w:trHeight w:val="33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Primarni deficit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-24,70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-56,19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-25,48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-17,20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-13,40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8,94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-0,42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3,19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-32,57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-14,12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16,06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18,66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-1,96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-2,58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-21,20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-42,93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-16,80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-50,63</w:t>
            </w:r>
          </w:p>
        </w:tc>
      </w:tr>
      <w:tr w:rsidR="00841315" w:rsidRPr="00715429" w:rsidTr="00715429">
        <w:trPr>
          <w:trHeight w:val="33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Otplata dugova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16,06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7,93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7,18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5,57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18,47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34,60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16,98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24,39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14,01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17,57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71,64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6,53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14,29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-59,32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-54,27</w:t>
            </w:r>
          </w:p>
        </w:tc>
      </w:tr>
      <w:tr w:rsidR="00841315" w:rsidRPr="00715429" w:rsidTr="00715429">
        <w:trPr>
          <w:trHeight w:val="330"/>
        </w:trPr>
        <w:tc>
          <w:tcPr>
            <w:tcW w:w="71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bCs/>
                <w:sz w:val="16"/>
                <w:szCs w:val="16"/>
                <w:lang w:val="hr-BA"/>
              </w:rPr>
              <w:t>Državni dug (stanje duga)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1700,2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1699,5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1726,6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1732,7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1755,7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1764,2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1767,1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1760,9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1810,4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1844,90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1846,50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1832,00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1886,30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1873,15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715429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n.a.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841315" w:rsidRPr="00715429" w:rsidTr="00715429">
        <w:trPr>
          <w:trHeight w:val="330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Domaći dug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393,1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404,5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394,0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396,7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420,3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431,7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436,0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442,7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442,8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433,80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480,90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471,70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440,40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440,13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715429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n.a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841315" w:rsidRPr="00715429" w:rsidTr="00841315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b/>
                <w:iCs/>
                <w:sz w:val="16"/>
                <w:szCs w:val="16"/>
                <w:lang w:val="hr-BA"/>
              </w:rPr>
              <w:t>Inostrani dug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1307,1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1295,0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1332,6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1336,0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1335,4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1332,5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1331,1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1318,2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1367,6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1411,10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1365,60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1360,30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1445,90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color w:val="000000"/>
                <w:sz w:val="16"/>
                <w:szCs w:val="16"/>
                <w:lang w:val="hr-BA"/>
              </w:rPr>
              <w:t>1433,02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715429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hr-BA"/>
              </w:rPr>
              <w:t>n.a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sz w:val="16"/>
                <w:szCs w:val="16"/>
                <w:lang w:val="hr-B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315" w:rsidRPr="00715429" w:rsidRDefault="00841315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</w:pPr>
            <w:r w:rsidRPr="00715429">
              <w:rPr>
                <w:rFonts w:cs="Calibri"/>
                <w:i/>
                <w:iCs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</w:tbl>
    <w:p w:rsidR="00CD707C" w:rsidRPr="00715429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Ministarstvo finansija Crne Gore</w:t>
      </w:r>
    </w:p>
    <w:p w:rsidR="00A30E95" w:rsidRPr="00715429" w:rsidRDefault="00A30E95" w:rsidP="00332574">
      <w:pPr>
        <w:outlineLvl w:val="0"/>
        <w:rPr>
          <w:b/>
          <w:i/>
          <w:noProof/>
          <w:sz w:val="16"/>
          <w:szCs w:val="16"/>
          <w:lang w:val="hr-BA"/>
        </w:rPr>
      </w:pPr>
    </w:p>
    <w:p w:rsidR="0082570B" w:rsidRPr="00715429" w:rsidRDefault="0082570B" w:rsidP="005025EC">
      <w:pPr>
        <w:ind w:left="-142"/>
        <w:jc w:val="both"/>
        <w:rPr>
          <w:noProof/>
          <w:sz w:val="14"/>
          <w:szCs w:val="14"/>
          <w:lang w:val="hr-BA"/>
        </w:rPr>
      </w:pPr>
    </w:p>
    <w:sectPr w:rsidR="0082570B" w:rsidRPr="00715429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09" w:rsidRDefault="00B65A09" w:rsidP="00965FCD">
      <w:pPr>
        <w:spacing w:after="0" w:line="240" w:lineRule="auto"/>
      </w:pPr>
      <w:r>
        <w:separator/>
      </w:r>
    </w:p>
  </w:endnote>
  <w:endnote w:type="continuationSeparator" w:id="1">
    <w:p w:rsidR="00B65A09" w:rsidRDefault="00B65A09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09" w:rsidRDefault="00B65A09" w:rsidP="00965FCD">
      <w:pPr>
        <w:spacing w:after="0" w:line="240" w:lineRule="auto"/>
      </w:pPr>
      <w:r>
        <w:separator/>
      </w:r>
    </w:p>
  </w:footnote>
  <w:footnote w:type="continuationSeparator" w:id="1">
    <w:p w:rsidR="00B65A09" w:rsidRDefault="00B65A09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18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7"/>
  </w:num>
  <w:num w:numId="18">
    <w:abstractNumId w:val="13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20866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D78"/>
    <w:rsid w:val="00004B56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4068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5F3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818"/>
    <w:rsid w:val="000C72DD"/>
    <w:rsid w:val="000D0368"/>
    <w:rsid w:val="000D0374"/>
    <w:rsid w:val="000D09EB"/>
    <w:rsid w:val="000D52CF"/>
    <w:rsid w:val="000D588E"/>
    <w:rsid w:val="000D5D48"/>
    <w:rsid w:val="000D5ED7"/>
    <w:rsid w:val="000D6CD4"/>
    <w:rsid w:val="000D6DF1"/>
    <w:rsid w:val="000D765B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DE6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7A18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25C6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B0F"/>
    <w:rsid w:val="002D4073"/>
    <w:rsid w:val="002D447A"/>
    <w:rsid w:val="002D5865"/>
    <w:rsid w:val="002D77A7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1900"/>
    <w:rsid w:val="0038259A"/>
    <w:rsid w:val="00382F01"/>
    <w:rsid w:val="00384DC2"/>
    <w:rsid w:val="00387C29"/>
    <w:rsid w:val="00387DAD"/>
    <w:rsid w:val="00390732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785D"/>
    <w:rsid w:val="003A7A69"/>
    <w:rsid w:val="003B04DA"/>
    <w:rsid w:val="003B0E7A"/>
    <w:rsid w:val="003B15C8"/>
    <w:rsid w:val="003B1992"/>
    <w:rsid w:val="003B1A29"/>
    <w:rsid w:val="003B1C22"/>
    <w:rsid w:val="003B1D25"/>
    <w:rsid w:val="003B2900"/>
    <w:rsid w:val="003B2CAA"/>
    <w:rsid w:val="003B30D8"/>
    <w:rsid w:val="003B3299"/>
    <w:rsid w:val="003B436A"/>
    <w:rsid w:val="003B48D5"/>
    <w:rsid w:val="003B4F8C"/>
    <w:rsid w:val="003B62EC"/>
    <w:rsid w:val="003B6749"/>
    <w:rsid w:val="003B6844"/>
    <w:rsid w:val="003B75FC"/>
    <w:rsid w:val="003C14C9"/>
    <w:rsid w:val="003C15EF"/>
    <w:rsid w:val="003C1D23"/>
    <w:rsid w:val="003C4817"/>
    <w:rsid w:val="003C5E7B"/>
    <w:rsid w:val="003C6A22"/>
    <w:rsid w:val="003C79AC"/>
    <w:rsid w:val="003D1EDB"/>
    <w:rsid w:val="003D4359"/>
    <w:rsid w:val="003D4739"/>
    <w:rsid w:val="003D56FD"/>
    <w:rsid w:val="003D75A1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57E"/>
    <w:rsid w:val="003F0052"/>
    <w:rsid w:val="003F0CAE"/>
    <w:rsid w:val="003F0EA8"/>
    <w:rsid w:val="003F5183"/>
    <w:rsid w:val="003F56BD"/>
    <w:rsid w:val="003F5A35"/>
    <w:rsid w:val="003F7085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35D37"/>
    <w:rsid w:val="00436469"/>
    <w:rsid w:val="00436FB4"/>
    <w:rsid w:val="004379FA"/>
    <w:rsid w:val="00442E20"/>
    <w:rsid w:val="0044465C"/>
    <w:rsid w:val="0044550D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A02"/>
    <w:rsid w:val="00466E96"/>
    <w:rsid w:val="00466F15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55B1"/>
    <w:rsid w:val="004A56BE"/>
    <w:rsid w:val="004A5717"/>
    <w:rsid w:val="004A61E8"/>
    <w:rsid w:val="004A62DA"/>
    <w:rsid w:val="004B1C2A"/>
    <w:rsid w:val="004B1ECF"/>
    <w:rsid w:val="004B41B2"/>
    <w:rsid w:val="004B5F63"/>
    <w:rsid w:val="004B7800"/>
    <w:rsid w:val="004B7883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28B9"/>
    <w:rsid w:val="004E4063"/>
    <w:rsid w:val="004E475F"/>
    <w:rsid w:val="004E6C21"/>
    <w:rsid w:val="004E7676"/>
    <w:rsid w:val="004F17AF"/>
    <w:rsid w:val="004F2797"/>
    <w:rsid w:val="004F288B"/>
    <w:rsid w:val="004F3817"/>
    <w:rsid w:val="004F4CFC"/>
    <w:rsid w:val="004F50B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523CF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52DA"/>
    <w:rsid w:val="005858DC"/>
    <w:rsid w:val="00585B6B"/>
    <w:rsid w:val="00585F7B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13E6"/>
    <w:rsid w:val="005A1C61"/>
    <w:rsid w:val="005A4AB8"/>
    <w:rsid w:val="005A5064"/>
    <w:rsid w:val="005A5229"/>
    <w:rsid w:val="005B0DB1"/>
    <w:rsid w:val="005B18F4"/>
    <w:rsid w:val="005B25F8"/>
    <w:rsid w:val="005B2BF5"/>
    <w:rsid w:val="005B5CB7"/>
    <w:rsid w:val="005B5F21"/>
    <w:rsid w:val="005B7040"/>
    <w:rsid w:val="005C19AB"/>
    <w:rsid w:val="005C3915"/>
    <w:rsid w:val="005C3D3E"/>
    <w:rsid w:val="005C4CBE"/>
    <w:rsid w:val="005C4DBD"/>
    <w:rsid w:val="005C4E87"/>
    <w:rsid w:val="005C5F38"/>
    <w:rsid w:val="005D0E14"/>
    <w:rsid w:val="005D4BC4"/>
    <w:rsid w:val="005D5D14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680"/>
    <w:rsid w:val="005E5941"/>
    <w:rsid w:val="005E6D35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1084D"/>
    <w:rsid w:val="00610DDD"/>
    <w:rsid w:val="006127E9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FA4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CF3"/>
    <w:rsid w:val="00654A8A"/>
    <w:rsid w:val="0065518C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807FE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6C58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5C6"/>
    <w:rsid w:val="006C1C26"/>
    <w:rsid w:val="006C27EC"/>
    <w:rsid w:val="006C28CF"/>
    <w:rsid w:val="006C2906"/>
    <w:rsid w:val="006C2EF6"/>
    <w:rsid w:val="006C3C84"/>
    <w:rsid w:val="006C5096"/>
    <w:rsid w:val="006C5F17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4746"/>
    <w:rsid w:val="006E4B91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7967"/>
    <w:rsid w:val="007307C9"/>
    <w:rsid w:val="007319C8"/>
    <w:rsid w:val="007326D7"/>
    <w:rsid w:val="00733BCB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675AF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4D55"/>
    <w:rsid w:val="007F61AF"/>
    <w:rsid w:val="007F775F"/>
    <w:rsid w:val="007F7F34"/>
    <w:rsid w:val="0080031F"/>
    <w:rsid w:val="00801DB8"/>
    <w:rsid w:val="0080291E"/>
    <w:rsid w:val="00802B7F"/>
    <w:rsid w:val="00804F0B"/>
    <w:rsid w:val="00805844"/>
    <w:rsid w:val="00805F78"/>
    <w:rsid w:val="00806B4B"/>
    <w:rsid w:val="00810837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5A2F"/>
    <w:rsid w:val="00817A6A"/>
    <w:rsid w:val="0082070B"/>
    <w:rsid w:val="0082084A"/>
    <w:rsid w:val="00822F67"/>
    <w:rsid w:val="008251C2"/>
    <w:rsid w:val="0082570B"/>
    <w:rsid w:val="0082721B"/>
    <w:rsid w:val="008312F3"/>
    <w:rsid w:val="008343BA"/>
    <w:rsid w:val="0083553F"/>
    <w:rsid w:val="008355A8"/>
    <w:rsid w:val="00836A00"/>
    <w:rsid w:val="00841315"/>
    <w:rsid w:val="00842AFE"/>
    <w:rsid w:val="00842FB5"/>
    <w:rsid w:val="00843DFF"/>
    <w:rsid w:val="00844116"/>
    <w:rsid w:val="00844B4B"/>
    <w:rsid w:val="00845320"/>
    <w:rsid w:val="00845675"/>
    <w:rsid w:val="0084680E"/>
    <w:rsid w:val="00847B5B"/>
    <w:rsid w:val="00847EBF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DCF"/>
    <w:rsid w:val="00874F31"/>
    <w:rsid w:val="0087527E"/>
    <w:rsid w:val="00875C4F"/>
    <w:rsid w:val="008770B1"/>
    <w:rsid w:val="00877642"/>
    <w:rsid w:val="00877FE9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5EDA"/>
    <w:rsid w:val="008E636B"/>
    <w:rsid w:val="008E6D00"/>
    <w:rsid w:val="008E7183"/>
    <w:rsid w:val="008E77D5"/>
    <w:rsid w:val="008F0415"/>
    <w:rsid w:val="008F0BE5"/>
    <w:rsid w:val="008F195C"/>
    <w:rsid w:val="008F34CB"/>
    <w:rsid w:val="008F3986"/>
    <w:rsid w:val="008F4F59"/>
    <w:rsid w:val="008F6653"/>
    <w:rsid w:val="008F71E6"/>
    <w:rsid w:val="008F7755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6D6"/>
    <w:rsid w:val="00915576"/>
    <w:rsid w:val="00915B6A"/>
    <w:rsid w:val="0091631F"/>
    <w:rsid w:val="00916A0F"/>
    <w:rsid w:val="00920528"/>
    <w:rsid w:val="00922BF8"/>
    <w:rsid w:val="0092368D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F42"/>
    <w:rsid w:val="00975511"/>
    <w:rsid w:val="0098296F"/>
    <w:rsid w:val="00982E62"/>
    <w:rsid w:val="009836D7"/>
    <w:rsid w:val="0098562F"/>
    <w:rsid w:val="00985C9B"/>
    <w:rsid w:val="009860B5"/>
    <w:rsid w:val="00992B90"/>
    <w:rsid w:val="00993E5A"/>
    <w:rsid w:val="00994D96"/>
    <w:rsid w:val="009960CD"/>
    <w:rsid w:val="009A0736"/>
    <w:rsid w:val="009A1376"/>
    <w:rsid w:val="009A24E1"/>
    <w:rsid w:val="009A2EA5"/>
    <w:rsid w:val="009A4C61"/>
    <w:rsid w:val="009A63D0"/>
    <w:rsid w:val="009A6D2F"/>
    <w:rsid w:val="009A74A7"/>
    <w:rsid w:val="009A792A"/>
    <w:rsid w:val="009B1C0A"/>
    <w:rsid w:val="009B320B"/>
    <w:rsid w:val="009B5779"/>
    <w:rsid w:val="009B65AF"/>
    <w:rsid w:val="009B6603"/>
    <w:rsid w:val="009B673E"/>
    <w:rsid w:val="009B6985"/>
    <w:rsid w:val="009C0493"/>
    <w:rsid w:val="009C162D"/>
    <w:rsid w:val="009C1D43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24F2"/>
    <w:rsid w:val="00A33860"/>
    <w:rsid w:val="00A34E49"/>
    <w:rsid w:val="00A34E9D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F99"/>
    <w:rsid w:val="00A468B1"/>
    <w:rsid w:val="00A4692E"/>
    <w:rsid w:val="00A46C9C"/>
    <w:rsid w:val="00A46DEF"/>
    <w:rsid w:val="00A52BC0"/>
    <w:rsid w:val="00A55764"/>
    <w:rsid w:val="00A55823"/>
    <w:rsid w:val="00A559ED"/>
    <w:rsid w:val="00A55AB0"/>
    <w:rsid w:val="00A5642C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A1568"/>
    <w:rsid w:val="00AA4229"/>
    <w:rsid w:val="00AA4C9B"/>
    <w:rsid w:val="00AA53FC"/>
    <w:rsid w:val="00AA57C2"/>
    <w:rsid w:val="00AA6372"/>
    <w:rsid w:val="00AB08DE"/>
    <w:rsid w:val="00AB1AA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CE7"/>
    <w:rsid w:val="00AD02E0"/>
    <w:rsid w:val="00AD0474"/>
    <w:rsid w:val="00AD0892"/>
    <w:rsid w:val="00AD0FC1"/>
    <w:rsid w:val="00AD1B16"/>
    <w:rsid w:val="00AD1CF2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471"/>
    <w:rsid w:val="00AF71DC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55D6"/>
    <w:rsid w:val="00B36D48"/>
    <w:rsid w:val="00B40133"/>
    <w:rsid w:val="00B41E7A"/>
    <w:rsid w:val="00B42AAB"/>
    <w:rsid w:val="00B434CF"/>
    <w:rsid w:val="00B46ABF"/>
    <w:rsid w:val="00B47CAB"/>
    <w:rsid w:val="00B50021"/>
    <w:rsid w:val="00B50CF4"/>
    <w:rsid w:val="00B5154B"/>
    <w:rsid w:val="00B52271"/>
    <w:rsid w:val="00B53433"/>
    <w:rsid w:val="00B57E89"/>
    <w:rsid w:val="00B600D9"/>
    <w:rsid w:val="00B603E6"/>
    <w:rsid w:val="00B62D9E"/>
    <w:rsid w:val="00B6394D"/>
    <w:rsid w:val="00B63FBA"/>
    <w:rsid w:val="00B6519A"/>
    <w:rsid w:val="00B65A09"/>
    <w:rsid w:val="00B663B8"/>
    <w:rsid w:val="00B71665"/>
    <w:rsid w:val="00B71C0B"/>
    <w:rsid w:val="00B72332"/>
    <w:rsid w:val="00B74947"/>
    <w:rsid w:val="00B7591E"/>
    <w:rsid w:val="00B75991"/>
    <w:rsid w:val="00B76838"/>
    <w:rsid w:val="00B77D13"/>
    <w:rsid w:val="00B801BF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A06C1"/>
    <w:rsid w:val="00BA0B65"/>
    <w:rsid w:val="00BA1E04"/>
    <w:rsid w:val="00BA1F78"/>
    <w:rsid w:val="00BA54D0"/>
    <w:rsid w:val="00BA6C18"/>
    <w:rsid w:val="00BA6F69"/>
    <w:rsid w:val="00BA6FEF"/>
    <w:rsid w:val="00BB24C2"/>
    <w:rsid w:val="00BB30FF"/>
    <w:rsid w:val="00BB360B"/>
    <w:rsid w:val="00BB40F6"/>
    <w:rsid w:val="00BB573E"/>
    <w:rsid w:val="00BB5FE7"/>
    <w:rsid w:val="00BB60B2"/>
    <w:rsid w:val="00BB68A6"/>
    <w:rsid w:val="00BB785F"/>
    <w:rsid w:val="00BB7878"/>
    <w:rsid w:val="00BB7D3F"/>
    <w:rsid w:val="00BB7F73"/>
    <w:rsid w:val="00BC05DD"/>
    <w:rsid w:val="00BC1BBF"/>
    <w:rsid w:val="00BC2E39"/>
    <w:rsid w:val="00BC4BB9"/>
    <w:rsid w:val="00BC6076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170"/>
    <w:rsid w:val="00C077DA"/>
    <w:rsid w:val="00C0788A"/>
    <w:rsid w:val="00C07EBB"/>
    <w:rsid w:val="00C11266"/>
    <w:rsid w:val="00C123A0"/>
    <w:rsid w:val="00C131FA"/>
    <w:rsid w:val="00C13F58"/>
    <w:rsid w:val="00C14571"/>
    <w:rsid w:val="00C1491F"/>
    <w:rsid w:val="00C157D1"/>
    <w:rsid w:val="00C20BFE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4184"/>
    <w:rsid w:val="00C34787"/>
    <w:rsid w:val="00C34AC1"/>
    <w:rsid w:val="00C35CAA"/>
    <w:rsid w:val="00C37756"/>
    <w:rsid w:val="00C37B69"/>
    <w:rsid w:val="00C40651"/>
    <w:rsid w:val="00C40CFD"/>
    <w:rsid w:val="00C41BAB"/>
    <w:rsid w:val="00C41D78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2C84"/>
    <w:rsid w:val="00CB311F"/>
    <w:rsid w:val="00CB407D"/>
    <w:rsid w:val="00CB4560"/>
    <w:rsid w:val="00CB47DE"/>
    <w:rsid w:val="00CB7966"/>
    <w:rsid w:val="00CC16C7"/>
    <w:rsid w:val="00CC199B"/>
    <w:rsid w:val="00CC2AAE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518B"/>
    <w:rsid w:val="00CE69B5"/>
    <w:rsid w:val="00CE6CFC"/>
    <w:rsid w:val="00CE7444"/>
    <w:rsid w:val="00CF0D75"/>
    <w:rsid w:val="00CF162C"/>
    <w:rsid w:val="00CF4E1E"/>
    <w:rsid w:val="00CF586D"/>
    <w:rsid w:val="00CF5FA3"/>
    <w:rsid w:val="00D004D6"/>
    <w:rsid w:val="00D00D24"/>
    <w:rsid w:val="00D0131E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4ED9"/>
    <w:rsid w:val="00D45256"/>
    <w:rsid w:val="00D47D6A"/>
    <w:rsid w:val="00D501DA"/>
    <w:rsid w:val="00D506A3"/>
    <w:rsid w:val="00D50FD4"/>
    <w:rsid w:val="00D51C00"/>
    <w:rsid w:val="00D51E0A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0B5"/>
    <w:rsid w:val="00D803C1"/>
    <w:rsid w:val="00D834E8"/>
    <w:rsid w:val="00D848EE"/>
    <w:rsid w:val="00D85C94"/>
    <w:rsid w:val="00D85F1E"/>
    <w:rsid w:val="00D8651E"/>
    <w:rsid w:val="00D90D26"/>
    <w:rsid w:val="00D91904"/>
    <w:rsid w:val="00D92C91"/>
    <w:rsid w:val="00D94466"/>
    <w:rsid w:val="00D96B77"/>
    <w:rsid w:val="00D96CD3"/>
    <w:rsid w:val="00DA2F0A"/>
    <w:rsid w:val="00DA35C2"/>
    <w:rsid w:val="00DA372E"/>
    <w:rsid w:val="00DA6330"/>
    <w:rsid w:val="00DB0D61"/>
    <w:rsid w:val="00DB2EE2"/>
    <w:rsid w:val="00DB3E5E"/>
    <w:rsid w:val="00DB4A28"/>
    <w:rsid w:val="00DB51B0"/>
    <w:rsid w:val="00DB55E7"/>
    <w:rsid w:val="00DB561E"/>
    <w:rsid w:val="00DB6B8F"/>
    <w:rsid w:val="00DB6DB6"/>
    <w:rsid w:val="00DB721D"/>
    <w:rsid w:val="00DB7C5D"/>
    <w:rsid w:val="00DC006E"/>
    <w:rsid w:val="00DC0241"/>
    <w:rsid w:val="00DC1184"/>
    <w:rsid w:val="00DC19DD"/>
    <w:rsid w:val="00DC3690"/>
    <w:rsid w:val="00DC47F3"/>
    <w:rsid w:val="00DC48C0"/>
    <w:rsid w:val="00DC4AD1"/>
    <w:rsid w:val="00DC7E28"/>
    <w:rsid w:val="00DD230D"/>
    <w:rsid w:val="00DD2925"/>
    <w:rsid w:val="00DD2C83"/>
    <w:rsid w:val="00DD351E"/>
    <w:rsid w:val="00DD5A8F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C49"/>
    <w:rsid w:val="00E06855"/>
    <w:rsid w:val="00E0706D"/>
    <w:rsid w:val="00E074E4"/>
    <w:rsid w:val="00E07C08"/>
    <w:rsid w:val="00E139E6"/>
    <w:rsid w:val="00E143F2"/>
    <w:rsid w:val="00E14901"/>
    <w:rsid w:val="00E157D0"/>
    <w:rsid w:val="00E16763"/>
    <w:rsid w:val="00E20800"/>
    <w:rsid w:val="00E2133B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4BCC"/>
    <w:rsid w:val="00E453FC"/>
    <w:rsid w:val="00E456CD"/>
    <w:rsid w:val="00E4745C"/>
    <w:rsid w:val="00E50BCF"/>
    <w:rsid w:val="00E51282"/>
    <w:rsid w:val="00E523EF"/>
    <w:rsid w:val="00E5473E"/>
    <w:rsid w:val="00E54993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7BA7"/>
    <w:rsid w:val="00E9031B"/>
    <w:rsid w:val="00E90B13"/>
    <w:rsid w:val="00E9108B"/>
    <w:rsid w:val="00E91311"/>
    <w:rsid w:val="00E91ED3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D27"/>
    <w:rsid w:val="00F10EBC"/>
    <w:rsid w:val="00F1178A"/>
    <w:rsid w:val="00F11F0D"/>
    <w:rsid w:val="00F1270D"/>
    <w:rsid w:val="00F13EE1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25E"/>
    <w:rsid w:val="00F26EE8"/>
    <w:rsid w:val="00F27924"/>
    <w:rsid w:val="00F3219F"/>
    <w:rsid w:val="00F32E78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720E"/>
    <w:rsid w:val="00F5737B"/>
    <w:rsid w:val="00F61509"/>
    <w:rsid w:val="00F619FF"/>
    <w:rsid w:val="00F6365F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AF7"/>
    <w:rsid w:val="00F81F17"/>
    <w:rsid w:val="00F8300B"/>
    <w:rsid w:val="00F838C5"/>
    <w:rsid w:val="00F8680A"/>
    <w:rsid w:val="00F911BE"/>
    <w:rsid w:val="00F9185B"/>
    <w:rsid w:val="00F92862"/>
    <w:rsid w:val="00F92BD8"/>
    <w:rsid w:val="00F92EB4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495F"/>
    <w:rsid w:val="00FB54D1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086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%202014\MMI_2014_02\mmi-2014_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%202014\MMI_2014_02\mmi-2014_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2\mmi-2014_02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ja.novosel\Desktop\Podaci%20za%20MF%20-%20DECEMBAR%202013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zdenka.dabovic\Desktop\MMI\INVESTICIJ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Aluminijum</a:t>
            </a:r>
            <a:endParaRPr lang="sr-Latn-CS"/>
          </a:p>
        </c:rich>
      </c:tx>
      <c:layout>
        <c:manualLayout>
          <c:xMode val="edge"/>
          <c:yMode val="edge"/>
          <c:x val="0.47077672494328038"/>
          <c:y val="0.11764705882352995"/>
        </c:manualLayout>
      </c:layout>
      <c:overlay val="1"/>
    </c:title>
    <c:plotArea>
      <c:layout>
        <c:manualLayout>
          <c:layoutTarget val="inner"/>
          <c:xMode val="edge"/>
          <c:yMode val="edge"/>
          <c:x val="0.19622139303482758"/>
          <c:y val="6.8079922027290463E-2"/>
          <c:w val="0.77745190713101164"/>
          <c:h val="0.7250706627680375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'Database za makro'!$G$9:$AQ$9</c:f>
              <c:strCache>
                <c:ptCount val="37"/>
                <c:pt idx="0">
                  <c:v>2011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2012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2013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  <c:pt idx="36">
                  <c:v>I</c:v>
                </c:pt>
              </c:strCache>
            </c:strRef>
          </c:cat>
          <c:val>
            <c:numRef>
              <c:f>'Database za makro'!$G$46:$AQ$46</c:f>
              <c:numCache>
                <c:formatCode>0.00</c:formatCode>
                <c:ptCount val="37"/>
                <c:pt idx="0">
                  <c:v>2439.6999999999998</c:v>
                </c:pt>
                <c:pt idx="1">
                  <c:v>2515.2599999999998</c:v>
                </c:pt>
                <c:pt idx="2">
                  <c:v>2555.5</c:v>
                </c:pt>
                <c:pt idx="3">
                  <c:v>2667.42</c:v>
                </c:pt>
                <c:pt idx="4">
                  <c:v>2587.21</c:v>
                </c:pt>
                <c:pt idx="5">
                  <c:v>2557.7599999999998</c:v>
                </c:pt>
                <c:pt idx="6">
                  <c:v>2525.4299999999998</c:v>
                </c:pt>
                <c:pt idx="7">
                  <c:v>2380.9899999999998</c:v>
                </c:pt>
                <c:pt idx="8">
                  <c:v>2293.46</c:v>
                </c:pt>
                <c:pt idx="9">
                  <c:v>2180.65</c:v>
                </c:pt>
                <c:pt idx="10">
                  <c:v>2079.98</c:v>
                </c:pt>
                <c:pt idx="11">
                  <c:v>2024.3799999999999</c:v>
                </c:pt>
                <c:pt idx="12">
                  <c:v>2151.3300000000022</c:v>
                </c:pt>
                <c:pt idx="13">
                  <c:v>2207.94</c:v>
                </c:pt>
                <c:pt idx="14">
                  <c:v>2184.1999999999998</c:v>
                </c:pt>
                <c:pt idx="15">
                  <c:v>2048.5100000000002</c:v>
                </c:pt>
                <c:pt idx="16">
                  <c:v>2002.52</c:v>
                </c:pt>
                <c:pt idx="17">
                  <c:v>1885.51</c:v>
                </c:pt>
                <c:pt idx="18">
                  <c:v>1876.25</c:v>
                </c:pt>
                <c:pt idx="19">
                  <c:v>1843.33</c:v>
                </c:pt>
                <c:pt idx="20">
                  <c:v>2064.12</c:v>
                </c:pt>
                <c:pt idx="21">
                  <c:v>1974.3</c:v>
                </c:pt>
                <c:pt idx="22">
                  <c:v>1948.83</c:v>
                </c:pt>
                <c:pt idx="23">
                  <c:v>2086.7599999999998</c:v>
                </c:pt>
                <c:pt idx="24">
                  <c:v>2037.61</c:v>
                </c:pt>
                <c:pt idx="25">
                  <c:v>2053.6</c:v>
                </c:pt>
                <c:pt idx="26">
                  <c:v>1911.28</c:v>
                </c:pt>
                <c:pt idx="27">
                  <c:v>1861.02</c:v>
                </c:pt>
                <c:pt idx="28">
                  <c:v>1832.57</c:v>
                </c:pt>
                <c:pt idx="29">
                  <c:v>1814.54</c:v>
                </c:pt>
                <c:pt idx="30">
                  <c:v>1769.61</c:v>
                </c:pt>
                <c:pt idx="31">
                  <c:v>1816.24</c:v>
                </c:pt>
                <c:pt idx="32">
                  <c:v>1761.3</c:v>
                </c:pt>
                <c:pt idx="33">
                  <c:v>1814.58</c:v>
                </c:pt>
                <c:pt idx="34">
                  <c:v>1747.96</c:v>
                </c:pt>
                <c:pt idx="35">
                  <c:v>1739.81</c:v>
                </c:pt>
                <c:pt idx="36">
                  <c:v>1727.41</c:v>
                </c:pt>
              </c:numCache>
            </c:numRef>
          </c:val>
        </c:ser>
        <c:marker val="1"/>
        <c:axId val="101659392"/>
        <c:axId val="101660928"/>
      </c:lineChart>
      <c:catAx>
        <c:axId val="1016593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1660928"/>
        <c:crosses val="autoZero"/>
        <c:auto val="1"/>
        <c:lblAlgn val="ctr"/>
        <c:lblOffset val="100"/>
      </c:catAx>
      <c:valAx>
        <c:axId val="101660928"/>
        <c:scaling>
          <c:orientation val="minMax"/>
          <c:max val="2700"/>
          <c:min val="1700"/>
        </c:scaling>
        <c:axPos val="l"/>
        <c:majorGridlines>
          <c:spPr>
            <a:ln w="6350">
              <a:solidFill>
                <a:schemeClr val="accent1"/>
              </a:solidFill>
              <a:prstDash val="sysDot"/>
            </a:ln>
          </c:spPr>
        </c:majorGridlines>
        <c:numFmt formatCode="0.0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1659392"/>
        <c:crosses val="autoZero"/>
        <c:crossBetween val="between"/>
        <c:majorUnit val="250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>
                <a:latin typeface="Calibri" pitchFamily="34" charset="0"/>
              </a:defRPr>
            </a:pPr>
            <a:r>
              <a:rPr lang="sr-Latn-CS" sz="1000"/>
              <a:t>V</a:t>
            </a:r>
            <a:r>
              <a:rPr lang="vi-VN" sz="1000"/>
              <a:t>rijednost izvršenih  građevinskih radova u 2013.godini(stopa rasta)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'Makroekonomski indikatori'!$C$25:$E$25</c:f>
              <c:strCache>
                <c:ptCount val="1"/>
                <c:pt idx="0">
                  <c:v>vrijednost radova u građevinarstvu u 2013.godini(stopa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lang="sr-Latn-CS" sz="800"/>
                </a:pPr>
                <a:endParaRPr lang="en-US"/>
              </a:p>
            </c:txPr>
            <c:showVal val="1"/>
          </c:dLbls>
          <c:cat>
            <c:strRef>
              <c:f>'Makroekonomski indikatori'!$AE$58:$AH$58</c:f>
              <c:strCache>
                <c:ptCount val="4"/>
                <c:pt idx="0">
                  <c:v>I kvartal</c:v>
                </c:pt>
                <c:pt idx="1">
                  <c:v>II kvartal</c:v>
                </c:pt>
                <c:pt idx="2">
                  <c:v>III kvartal</c:v>
                </c:pt>
                <c:pt idx="3">
                  <c:v>IV kvartal</c:v>
                </c:pt>
              </c:strCache>
            </c:strRef>
          </c:cat>
          <c:val>
            <c:numRef>
              <c:f>'Makroekonomski indikatori'!$AE$59:$AH$59</c:f>
              <c:numCache>
                <c:formatCode>0.0</c:formatCode>
                <c:ptCount val="4"/>
                <c:pt idx="0">
                  <c:v>5.7</c:v>
                </c:pt>
                <c:pt idx="1">
                  <c:v>-1</c:v>
                </c:pt>
                <c:pt idx="2">
                  <c:v>3.8</c:v>
                </c:pt>
                <c:pt idx="3">
                  <c:v>27.9</c:v>
                </c:pt>
              </c:numCache>
            </c:numRef>
          </c:val>
        </c:ser>
        <c:marker val="1"/>
        <c:axId val="101697408"/>
        <c:axId val="101698944"/>
      </c:lineChart>
      <c:catAx>
        <c:axId val="101697408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800"/>
            </a:pPr>
            <a:endParaRPr lang="en-US"/>
          </a:p>
        </c:txPr>
        <c:crossAx val="101698944"/>
        <c:crosses val="autoZero"/>
        <c:auto val="1"/>
        <c:lblAlgn val="ctr"/>
        <c:lblOffset val="100"/>
      </c:catAx>
      <c:valAx>
        <c:axId val="10169894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1016974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CPI-indeks potro</a:t>
            </a:r>
            <a:r>
              <a:rPr lang="sr-Latn-CS" sz="1000"/>
              <a:t>šakih  cijena</a:t>
            </a:r>
            <a:endParaRPr lang="en-US" sz="1000"/>
          </a:p>
        </c:rich>
      </c:tx>
    </c:title>
    <c:plotArea>
      <c:layout>
        <c:manualLayout>
          <c:layoutTarget val="inner"/>
          <c:xMode val="edge"/>
          <c:yMode val="edge"/>
          <c:x val="0.15380963277736531"/>
          <c:y val="0.17997508810629551"/>
          <c:w val="0.78643729242008564"/>
          <c:h val="0.6001301396550901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indikatori'!$C$20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accent4">
                  <a:lumMod val="75000"/>
                </a:schemeClr>
              </a:solidFill>
            </a:ln>
            <a:effectLst>
              <a:outerShdw blurRad="50800" dir="1800000" sx="1000" sy="1000" algn="ctr" rotWithShape="0">
                <a:srgbClr val="000000"/>
              </a:outerShdw>
            </a:effectLst>
          </c:spPr>
          <c:dLbls>
            <c:txPr>
              <a:bodyPr/>
              <a:lstStyle/>
              <a:p>
                <a:pPr>
                  <a:defRPr lang="sr-Latn-CS" sz="600"/>
                </a:pPr>
                <a:endParaRPr lang="en-US"/>
              </a:p>
            </c:txPr>
            <c:showVal val="1"/>
          </c:dLbls>
          <c:cat>
            <c:strRef>
              <c:f>'Makroekonomski indikatori'!$AB$28:$AO$28</c:f>
              <c:strCache>
                <c:ptCount val="13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</c:strCache>
            </c:strRef>
          </c:cat>
          <c:val>
            <c:numRef>
              <c:f>'Makroekonomski indikatori'!$AB$20:$AO$20</c:f>
              <c:numCache>
                <c:formatCode>0.0</c:formatCode>
                <c:ptCount val="13"/>
                <c:pt idx="0">
                  <c:v>4.2</c:v>
                </c:pt>
                <c:pt idx="1">
                  <c:v>3.3</c:v>
                </c:pt>
                <c:pt idx="2">
                  <c:v>3.3</c:v>
                </c:pt>
                <c:pt idx="3">
                  <c:v>3.2</c:v>
                </c:pt>
                <c:pt idx="4">
                  <c:v>3</c:v>
                </c:pt>
                <c:pt idx="5">
                  <c:v>2.2000000000000002</c:v>
                </c:pt>
                <c:pt idx="6">
                  <c:v>2.7</c:v>
                </c:pt>
                <c:pt idx="7">
                  <c:v>2.2000000000000002</c:v>
                </c:pt>
                <c:pt idx="8">
                  <c:v>1.8</c:v>
                </c:pt>
                <c:pt idx="9">
                  <c:v>0.5</c:v>
                </c:pt>
                <c:pt idx="10">
                  <c:v>0</c:v>
                </c:pt>
                <c:pt idx="11">
                  <c:v>0.30000000000000032</c:v>
                </c:pt>
                <c:pt idx="12" formatCode="General">
                  <c:v>-0.4</c:v>
                </c:pt>
              </c:numCache>
            </c:numRef>
          </c:val>
        </c:ser>
        <c:gapWidth val="64"/>
        <c:axId val="103431168"/>
        <c:axId val="103437056"/>
      </c:barChart>
      <c:catAx>
        <c:axId val="103431168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103437056"/>
        <c:crosses val="autoZero"/>
        <c:auto val="1"/>
        <c:lblAlgn val="ctr"/>
        <c:lblOffset val="100"/>
      </c:catAx>
      <c:valAx>
        <c:axId val="103437056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03431168"/>
        <c:crosses val="autoZero"/>
        <c:crossBetween val="between"/>
      </c:valAx>
      <c:spPr>
        <a:noFill/>
        <a:ln cap="sq" cmpd="sng">
          <a:miter lim="800000"/>
        </a:ln>
        <a:effectLst>
          <a:outerShdw sx="1000" sy="1000" algn="ctr" rotWithShape="0">
            <a:srgbClr val="000000"/>
          </a:outerShdw>
        </a:effectLst>
      </c:spPr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/>
            </a:pPr>
            <a:r>
              <a:rPr lang="sr-Latn-CS" sz="1000"/>
              <a:t>Nezaposlenost- </a:t>
            </a:r>
            <a:r>
              <a:rPr lang="sr-Latn-CS" sz="1000" b="0"/>
              <a:t>stopa</a:t>
            </a:r>
            <a:endParaRPr lang="sr-Latn-CS" b="0"/>
          </a:p>
        </c:rich>
      </c:tx>
      <c:layout>
        <c:manualLayout>
          <c:xMode val="edge"/>
          <c:yMode val="edge"/>
          <c:x val="0.1826762626262627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20279393939393944"/>
          <c:y val="0.13142701525054465"/>
          <c:w val="0.7266505050505081"/>
          <c:h val="0.63738834422657964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indikatori'!$AA$9:$AN$9</c:f>
              <c:strCache>
                <c:ptCount val="14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  <c:pt idx="13">
                  <c:v>2014</c:v>
                </c:pt>
              </c:strCache>
            </c:strRef>
          </c:cat>
          <c:val>
            <c:numRef>
              <c:f>'Makroekonomski indikatori'!$AA$23:$AN$23</c:f>
              <c:numCache>
                <c:formatCode>#,##0.0</c:formatCode>
                <c:ptCount val="14"/>
                <c:pt idx="0">
                  <c:v>13.5</c:v>
                </c:pt>
                <c:pt idx="1">
                  <c:v>13.7</c:v>
                </c:pt>
                <c:pt idx="2">
                  <c:v>14.1</c:v>
                </c:pt>
                <c:pt idx="3">
                  <c:v>14.2</c:v>
                </c:pt>
                <c:pt idx="4">
                  <c:v>14.1</c:v>
                </c:pt>
                <c:pt idx="5">
                  <c:v>13.5</c:v>
                </c:pt>
                <c:pt idx="6">
                  <c:v>13.036957455951868</c:v>
                </c:pt>
                <c:pt idx="7">
                  <c:v>13</c:v>
                </c:pt>
                <c:pt idx="8">
                  <c:v>13.3</c:v>
                </c:pt>
                <c:pt idx="9">
                  <c:v>13.3</c:v>
                </c:pt>
                <c:pt idx="10">
                  <c:v>14.3</c:v>
                </c:pt>
                <c:pt idx="11">
                  <c:v>14.9</c:v>
                </c:pt>
                <c:pt idx="12">
                  <c:v>14.9</c:v>
                </c:pt>
                <c:pt idx="13">
                  <c:v>15</c:v>
                </c:pt>
              </c:numCache>
            </c:numRef>
          </c:val>
        </c:ser>
        <c:marker val="1"/>
        <c:axId val="103456768"/>
        <c:axId val="103458304"/>
      </c:lineChart>
      <c:catAx>
        <c:axId val="103456768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3458304"/>
        <c:crosses val="autoZero"/>
        <c:auto val="1"/>
        <c:lblAlgn val="ctr"/>
        <c:lblOffset val="100"/>
        <c:tickLblSkip val="1"/>
      </c:catAx>
      <c:valAx>
        <c:axId val="103458304"/>
        <c:scaling>
          <c:orientation val="minMax"/>
          <c:max val="15"/>
          <c:min val="13"/>
        </c:scaling>
        <c:axPos val="l"/>
        <c:majorGridlines>
          <c:spPr>
            <a:ln>
              <a:prstDash val="sysDot"/>
            </a:ln>
          </c:spPr>
        </c:majorGridlines>
        <c:numFmt formatCode="#,##0.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3456768"/>
        <c:crosses val="autoZero"/>
        <c:crossBetween val="between"/>
        <c:majorUnit val="0.4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8629019028871391"/>
          <c:y val="0.10056442803397075"/>
          <c:w val="0.6446049984674459"/>
          <c:h val="0.65403258509591566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indikatori'!$AY$30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indikatori'!$BX$6:$CH$6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indikatori'!$BX$20:$CJ$20</c:f>
              <c:numCache>
                <c:formatCode>0.00,,</c:formatCode>
                <c:ptCount val="13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-1544398.8301670898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-23507932.379999995</c:v>
                </c:pt>
              </c:numCache>
            </c:numRef>
          </c:val>
        </c:ser>
        <c:axId val="105087360"/>
        <c:axId val="105081472"/>
      </c:barChart>
      <c:lineChart>
        <c:grouping val="standard"/>
        <c:ser>
          <c:idx val="0"/>
          <c:order val="0"/>
          <c:tx>
            <c:strRef>
              <c:f>'Fiskalni indikatori'!$AY$28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cat>
            <c:strRef>
              <c:f>'Fiskalni indikatori'!$V$5:$AS$5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indikatori'!$BX$7:$CJ$7</c:f>
              <c:numCache>
                <c:formatCode>0.00,,</c:formatCode>
                <c:ptCount val="13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70632268.589999989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indikatori'!$AY$29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indikatori'!$V$5:$AS$5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indikatori'!$BX$13:$CJ$13</c:f>
              <c:numCache>
                <c:formatCode>0.00,,</c:formatCode>
                <c:ptCount val="13"/>
                <c:pt idx="0">
                  <c:v>80787092.580000043</c:v>
                </c:pt>
                <c:pt idx="1">
                  <c:v>94636077.625213817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95542228.430167437</c:v>
                </c:pt>
                <c:pt idx="5">
                  <c:v>100169319.59338996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99421131.21247898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94140200.969999984</c:v>
                </c:pt>
              </c:numCache>
            </c:numRef>
          </c:val>
          <c:smooth val="1"/>
        </c:ser>
        <c:marker val="1"/>
        <c:axId val="105078144"/>
        <c:axId val="105079936"/>
      </c:lineChart>
      <c:dateAx>
        <c:axId val="105078144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079936"/>
        <c:crosses val="autoZero"/>
        <c:lblOffset val="100"/>
        <c:baseTimeUnit val="days"/>
      </c:dateAx>
      <c:valAx>
        <c:axId val="105079936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078144"/>
        <c:crosses val="autoZero"/>
        <c:crossBetween val="between"/>
      </c:valAx>
      <c:valAx>
        <c:axId val="105081472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087360"/>
        <c:crosses val="max"/>
        <c:crossBetween val="between"/>
        <c:majorUnit val="20000000"/>
      </c:valAx>
      <c:catAx>
        <c:axId val="105087360"/>
        <c:scaling>
          <c:orientation val="minMax"/>
        </c:scaling>
        <c:delete val="1"/>
        <c:axPos val="b"/>
        <c:numFmt formatCode="General" sourceLinked="1"/>
        <c:tickLblPos val="none"/>
        <c:crossAx val="105081472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315489642184558"/>
          <c:y val="0.26116666666666682"/>
          <c:w val="0.63512429378531265"/>
          <c:h val="0.57557546296296258"/>
        </c:manualLayout>
      </c:layout>
      <c:barChart>
        <c:barDir val="col"/>
        <c:grouping val="clustered"/>
        <c:ser>
          <c:idx val="0"/>
          <c:order val="0"/>
          <c:tx>
            <c:v>Iznos duga po osnovu blokade</c:v>
          </c:tx>
          <c:cat>
            <c:strRef>
              <c:f>'Platni promet u zemlji'!$AO$4:$BA$4</c:f>
              <c:strCache>
                <c:ptCount val="13"/>
                <c:pt idx="0">
                  <c:v>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'Platni promet u zemlji'!$AO$6:$BA$6</c:f>
              <c:numCache>
                <c:formatCode>#,##0</c:formatCode>
                <c:ptCount val="13"/>
                <c:pt idx="0">
                  <c:v>430395.63711000001</c:v>
                </c:pt>
                <c:pt idx="1">
                  <c:v>414268.36754999997</c:v>
                </c:pt>
                <c:pt idx="2">
                  <c:v>425917.57672999986</c:v>
                </c:pt>
                <c:pt idx="3">
                  <c:v>430703.99425000022</c:v>
                </c:pt>
                <c:pt idx="4">
                  <c:v>439179.09438000276</c:v>
                </c:pt>
                <c:pt idx="5">
                  <c:v>432691.55081999995</c:v>
                </c:pt>
                <c:pt idx="6">
                  <c:v>436792.39875999989</c:v>
                </c:pt>
                <c:pt idx="7">
                  <c:v>438222.09702000004</c:v>
                </c:pt>
                <c:pt idx="8">
                  <c:v>420967.03003999998</c:v>
                </c:pt>
                <c:pt idx="9">
                  <c:v>432905.14107999986</c:v>
                </c:pt>
                <c:pt idx="10">
                  <c:v>425874.68141000002</c:v>
                </c:pt>
                <c:pt idx="11">
                  <c:v>437020.59684999997</c:v>
                </c:pt>
                <c:pt idx="12">
                  <c:v>448017</c:v>
                </c:pt>
              </c:numCache>
            </c:numRef>
          </c:val>
        </c:ser>
        <c:gapWidth val="75"/>
        <c:axId val="106436096"/>
        <c:axId val="106437632"/>
      </c:barChart>
      <c:lineChart>
        <c:grouping val="standard"/>
        <c:ser>
          <c:idx val="1"/>
          <c:order val="1"/>
          <c:tx>
            <c:v>Broj blokiranih pravnih lica</c:v>
          </c:tx>
          <c:marker>
            <c:symbol val="none"/>
          </c:marker>
          <c:cat>
            <c:multiLvlStrRef>
              <c:f>'Platni promet u zemlji'!$AO$3:$BA$4</c:f>
              <c:multiLvlStrCache>
                <c:ptCount val="13"/>
                <c:lvl>
                  <c:pt idx="0">
                    <c:v>13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</c:lvl>
              </c:multiLvlStrCache>
            </c:multiLvlStrRef>
          </c:cat>
          <c:val>
            <c:numRef>
              <c:f>'Platni promet u zemlji'!$AO$5:$BA$5</c:f>
              <c:numCache>
                <c:formatCode>#,##0</c:formatCode>
                <c:ptCount val="13"/>
                <c:pt idx="0">
                  <c:v>12290</c:v>
                </c:pt>
                <c:pt idx="1">
                  <c:v>12393</c:v>
                </c:pt>
                <c:pt idx="2">
                  <c:v>12459</c:v>
                </c:pt>
                <c:pt idx="3">
                  <c:v>12482</c:v>
                </c:pt>
                <c:pt idx="4">
                  <c:v>12516</c:v>
                </c:pt>
                <c:pt idx="5">
                  <c:v>12480</c:v>
                </c:pt>
                <c:pt idx="6">
                  <c:v>12491</c:v>
                </c:pt>
                <c:pt idx="7">
                  <c:v>12594</c:v>
                </c:pt>
                <c:pt idx="8">
                  <c:v>12449</c:v>
                </c:pt>
                <c:pt idx="9">
                  <c:v>12561</c:v>
                </c:pt>
                <c:pt idx="10">
                  <c:v>12761</c:v>
                </c:pt>
                <c:pt idx="11">
                  <c:v>12981</c:v>
                </c:pt>
                <c:pt idx="12">
                  <c:v>13150</c:v>
                </c:pt>
              </c:numCache>
            </c:numRef>
          </c:val>
        </c:ser>
        <c:marker val="1"/>
        <c:axId val="106454016"/>
        <c:axId val="106452480"/>
      </c:lineChart>
      <c:catAx>
        <c:axId val="1064360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6437632"/>
        <c:crosses val="autoZero"/>
        <c:auto val="1"/>
        <c:lblAlgn val="ctr"/>
        <c:lblOffset val="100"/>
        <c:tickLblSkip val="2"/>
        <c:tickMarkSkip val="2"/>
      </c:catAx>
      <c:valAx>
        <c:axId val="106437632"/>
        <c:scaling>
          <c:orientation val="minMax"/>
          <c:min val="400000"/>
        </c:scaling>
        <c:axPos val="l"/>
        <c:title>
          <c:tx>
            <c:rich>
              <a:bodyPr rot="-5400000" vert="horz"/>
              <a:lstStyle/>
              <a:p>
                <a:pPr>
                  <a:defRPr lang="en-US" sz="700" b="1"/>
                </a:pPr>
                <a:r>
                  <a:rPr lang="en-US" sz="700" b="1"/>
                  <a:t>u mil.</a:t>
                </a:r>
              </a:p>
            </c:rich>
          </c:tx>
        </c:title>
        <c:numFmt formatCode="#,##0" sourceLinked="1"/>
        <c:majorTickMark val="none"/>
        <c:tickLblPos val="nextTo"/>
        <c:spPr>
          <a:ln w="9525">
            <a:noFill/>
          </a:ln>
        </c:spPr>
        <c:txPr>
          <a:bodyPr anchor="b" anchorCtr="1"/>
          <a:lstStyle/>
          <a:p>
            <a:pPr>
              <a:defRPr lang="en-US" sz="700"/>
            </a:pPr>
            <a:endParaRPr lang="en-US"/>
          </a:p>
        </c:txPr>
        <c:crossAx val="106436096"/>
        <c:crosses val="autoZero"/>
        <c:crossBetween val="between"/>
        <c:dispUnits>
          <c:builtInUnit val="thousands"/>
        </c:dispUnits>
      </c:valAx>
      <c:valAx>
        <c:axId val="106452480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6454016"/>
        <c:crosses val="max"/>
        <c:crossBetween val="between"/>
      </c:valAx>
      <c:catAx>
        <c:axId val="106454016"/>
        <c:scaling>
          <c:orientation val="minMax"/>
        </c:scaling>
        <c:delete val="1"/>
        <c:axPos val="b"/>
        <c:tickLblPos val="none"/>
        <c:crossAx val="106452480"/>
        <c:crosses val="autoZero"/>
        <c:auto val="1"/>
        <c:lblAlgn val="ctr"/>
        <c:lblOffset val="100"/>
      </c:catAx>
    </c:plotArea>
    <c:legend>
      <c:legendPos val="t"/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1000"/>
            </a:pPr>
            <a:r>
              <a:rPr lang="sr-Latn-CS" sz="1000"/>
              <a:t>Neto strane direktne investicije</a:t>
            </a:r>
            <a:endParaRPr lang="en-US" sz="1000"/>
          </a:p>
        </c:rich>
      </c:tx>
    </c:title>
    <c:plotArea>
      <c:layout>
        <c:manualLayout>
          <c:layoutTarget val="inner"/>
          <c:xMode val="edge"/>
          <c:yMode val="edge"/>
          <c:x val="9.788993243314463E-2"/>
          <c:y val="0.28059459392220792"/>
          <c:w val="0.8591168874974966"/>
          <c:h val="0.68238086352950322"/>
        </c:manualLayout>
      </c:layout>
      <c:lineChart>
        <c:grouping val="standard"/>
        <c:ser>
          <c:idx val="0"/>
          <c:order val="0"/>
          <c:tx>
            <c:strRef>
              <c:f>Sheet1!$C$5</c:f>
              <c:strCache>
                <c:ptCount val="1"/>
                <c:pt idx="0">
                  <c:v>2013</c:v>
                </c:pt>
              </c:strCache>
            </c:strRef>
          </c:tx>
          <c:spPr>
            <a:ln w="31750">
              <a:prstDash val="sysDash"/>
            </a:ln>
          </c:spPr>
          <c:marker>
            <c:symbol val="none"/>
          </c:marker>
          <c:cat>
            <c:strRef>
              <c:f>Sheet1!$D$8:$O$8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Sheet1!$D$9:$O$9</c:f>
              <c:numCache>
                <c:formatCode>#,##0</c:formatCode>
                <c:ptCount val="12"/>
                <c:pt idx="0">
                  <c:v>6560302</c:v>
                </c:pt>
                <c:pt idx="1">
                  <c:v>19478189.93</c:v>
                </c:pt>
                <c:pt idx="2">
                  <c:v>39496029.809999995</c:v>
                </c:pt>
                <c:pt idx="3">
                  <c:v>17076705.57</c:v>
                </c:pt>
                <c:pt idx="4">
                  <c:v>33726992.320000008</c:v>
                </c:pt>
                <c:pt idx="5">
                  <c:v>38820915.670000002</c:v>
                </c:pt>
                <c:pt idx="6">
                  <c:v>32480649.380000003</c:v>
                </c:pt>
                <c:pt idx="7">
                  <c:v>30711085.860000007</c:v>
                </c:pt>
                <c:pt idx="8">
                  <c:v>57267705.660000011</c:v>
                </c:pt>
                <c:pt idx="9">
                  <c:v>-19761662.039999999</c:v>
                </c:pt>
                <c:pt idx="10">
                  <c:v>12560000</c:v>
                </c:pt>
                <c:pt idx="11">
                  <c:v>55461668.130000003</c:v>
                </c:pt>
              </c:numCache>
            </c:numRef>
          </c:val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Sheet1!$D$8:$O$8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Sheet1!$D$10:$O$10</c:f>
              <c:numCache>
                <c:formatCode>#,##0</c:formatCode>
                <c:ptCount val="12"/>
                <c:pt idx="0">
                  <c:v>15505062</c:v>
                </c:pt>
                <c:pt idx="1">
                  <c:v>30182414</c:v>
                </c:pt>
                <c:pt idx="2">
                  <c:v>20830023</c:v>
                </c:pt>
                <c:pt idx="3">
                  <c:v>25905819</c:v>
                </c:pt>
                <c:pt idx="4">
                  <c:v>25793157</c:v>
                </c:pt>
                <c:pt idx="5">
                  <c:v>34428175</c:v>
                </c:pt>
                <c:pt idx="6">
                  <c:v>58873608</c:v>
                </c:pt>
                <c:pt idx="7">
                  <c:v>18342439</c:v>
                </c:pt>
                <c:pt idx="8">
                  <c:v>92710259</c:v>
                </c:pt>
                <c:pt idx="9">
                  <c:v>20879718</c:v>
                </c:pt>
                <c:pt idx="10">
                  <c:v>77309162</c:v>
                </c:pt>
                <c:pt idx="11">
                  <c:v>40094285.800000004</c:v>
                </c:pt>
              </c:numCache>
            </c:numRef>
          </c:val>
        </c:ser>
        <c:marker val="1"/>
        <c:axId val="105065472"/>
        <c:axId val="106480384"/>
      </c:lineChart>
      <c:catAx>
        <c:axId val="1050654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6480384"/>
        <c:crosses val="autoZero"/>
        <c:auto val="1"/>
        <c:lblAlgn val="ctr"/>
        <c:lblOffset val="100"/>
        <c:tickLblSkip val="1"/>
        <c:tickMarkSkip val="2"/>
      </c:catAx>
      <c:valAx>
        <c:axId val="106480384"/>
        <c:scaling>
          <c:orientation val="minMax"/>
        </c:scaling>
        <c:axPos val="l"/>
        <c:numFmt formatCode="#,##0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5065472"/>
        <c:crosses val="autoZero"/>
        <c:crossBetween val="between"/>
        <c:dispUnits>
          <c:builtInUnit val="millions"/>
        </c:dispUnits>
      </c:valAx>
    </c:plotArea>
    <c:legend>
      <c:legendPos val="b"/>
      <c:txPr>
        <a:bodyPr/>
        <a:lstStyle/>
        <a:p>
          <a:pPr>
            <a:defRPr lang="en-US" sz="800"/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0.02691</cdr:x>
      <cdr:y>0.08155</cdr:y>
    </cdr:from>
    <cdr:to>
      <cdr:x>0.18835</cdr:x>
      <cdr:y>0.21459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80977"/>
          <a:ext cx="342900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0.16298</cdr:y>
    </cdr:from>
    <cdr:to>
      <cdr:x>0.27045</cdr:x>
      <cdr:y>0.25465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327547"/>
          <a:ext cx="641444" cy="1842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600"/>
            <a:t>mil.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72FB2-0809-4CF3-9C55-52877CA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iva.vukovic</cp:lastModifiedBy>
  <cp:revision>2</cp:revision>
  <cp:lastPrinted>2014-03-17T11:01:00Z</cp:lastPrinted>
  <dcterms:created xsi:type="dcterms:W3CDTF">2014-03-18T08:49:00Z</dcterms:created>
  <dcterms:modified xsi:type="dcterms:W3CDTF">2014-03-18T08:49:00Z</dcterms:modified>
</cp:coreProperties>
</file>