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2F" w:rsidRPr="00DF269B" w:rsidRDefault="00A0302F">
      <w:pPr>
        <w:rPr>
          <w:noProof/>
          <w:lang w:val="sr-Latn-ME"/>
        </w:rPr>
      </w:pPr>
    </w:p>
    <w:tbl>
      <w:tblPr>
        <w:tblpPr w:leftFromText="180" w:rightFromText="180" w:bottomFromText="200" w:vertAnchor="page" w:horzAnchor="margin" w:tblpY="2536"/>
        <w:tblW w:w="94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123"/>
        <w:gridCol w:w="5327"/>
      </w:tblGrid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IZVJEŠTAJ O SPROVEDENOJ ANALIZI PROCJENE UTICAJA PROPISA</w:t>
            </w:r>
          </w:p>
        </w:tc>
      </w:tr>
      <w:tr w:rsidR="00B23E19" w:rsidRPr="00DF269B" w:rsidTr="00A0302F">
        <w:trPr>
          <w:trHeight w:val="141"/>
        </w:trPr>
        <w:tc>
          <w:tcPr>
            <w:tcW w:w="41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PREDLAGAČ</w:t>
            </w:r>
          </w:p>
        </w:tc>
        <w:tc>
          <w:tcPr>
            <w:tcW w:w="53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  <w:t>MINISTARSTVO PRAVDE</w:t>
            </w:r>
          </w:p>
        </w:tc>
      </w:tr>
      <w:tr w:rsidR="00B23E19" w:rsidRPr="00DF269B" w:rsidTr="00A0302F">
        <w:trPr>
          <w:trHeight w:val="141"/>
        </w:trPr>
        <w:tc>
          <w:tcPr>
            <w:tcW w:w="41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3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B23E19" w:rsidRPr="00DF269B" w:rsidRDefault="00EB532A" w:rsidP="008005BB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>Nacrt</w:t>
            </w:r>
            <w:r w:rsidR="00EA6B60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 xml:space="preserve"> zakona o izmjenama i</w:t>
            </w:r>
            <w:r w:rsidR="00EA6B60" w:rsidRPr="00EA6B60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 xml:space="preserve"> dopun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  <w:t>ama Zakona o upravnom sporu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1. Definisanje problema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Koje probleme treba da riješi predloženi akt?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Koji su uzroci problema?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Koje su posljedice problema?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677A02" w:rsidRPr="00DF269B" w:rsidRDefault="00677A02" w:rsidP="004D3E61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</w:p>
          <w:p w:rsidR="00414126" w:rsidRDefault="00922045" w:rsidP="00FA53A7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 w:rsidRPr="00922045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Donošenju Zakona o izmjenama i dopunama Zakona o upravnom sporu pristupilo se radi prevazilaženja problema koji su se pojavili u praktičnoj primjeni ovog propisa, a koji su uticali na efikasnost upravnog spora i djelotvornost sudske zaštite. Teškoće su se ogledale u povećanom prilivu predmeta pred Upravnim sudom tokom 2018. i 2019. godine, značajnoj operećenosti rada sudija ovog suda, značajnom broju održavanja usmenih rasprava, povećanju broja kontrolnih zahtjeva za ubrzanje postupka i značajnim iznosima koji se plaćaju za povredu prava na suđenje u razumnom roku u upravnom postupku i upravnom sporu.</w:t>
            </w:r>
          </w:p>
          <w:p w:rsidR="00530AED" w:rsidRDefault="00530AED" w:rsidP="00530AED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</w:p>
          <w:p w:rsidR="00922045" w:rsidRPr="00DF269B" w:rsidRDefault="00530AED" w:rsidP="00DA595D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Bez izmjena i dopuna Zakona o upravnom sporu </w:t>
            </w:r>
            <w:r w:rsidRPr="009B2ECD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(“status quo” opcija)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D24B38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ne bi se mogli prevazići nedostaci primijećeni u praktičnoj primjeni ovog propisa, kao ni bitnije uticati na smanjenje opterećenosti rada sudija ovog suda</w:t>
            </w:r>
            <w:r w:rsidR="009B1615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, uslovljenih </w:t>
            </w:r>
            <w:r w:rsidR="00D24B38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velikim prilivom predmeta i brojem održanih usmenih rasprava</w:t>
            </w:r>
            <w:r w:rsidR="00DA595D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, a samim tim ni doprinijeti djelotvornijoj pravnoj zaštiti korisnika usluga ovog suda.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2. Ciljevi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Koji ciljevi se postižu predloženim propisom?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677A02" w:rsidRPr="00DF269B" w:rsidRDefault="00677A02" w:rsidP="004F0D35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:rsidR="00530AED" w:rsidRDefault="00E3691D" w:rsidP="00530AED">
            <w:pPr>
              <w:pStyle w:val="NoSpacing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Predloženim </w:t>
            </w:r>
            <w:r w:rsidR="008118AC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zakonom</w:t>
            </w:r>
            <w:r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</w:t>
            </w:r>
            <w:r w:rsidR="00754A16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dodaju se novi članovi </w:t>
            </w:r>
            <w:r w:rsidR="006939E8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čiji je </w:t>
            </w:r>
            <w:r w:rsidR="006D4553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cilj povećanje</w:t>
            </w:r>
            <w:r w:rsidR="006939E8" w:rsidRPr="006939E8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djelotvornosti  rada </w:t>
            </w:r>
            <w:r w:rsidR="006939E8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Upravnog</w:t>
            </w:r>
            <w:r w:rsidR="006939E8" w:rsidRPr="006939E8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suda,  posebno  u   pogledu  stope  ažurnosti  i dužine trajanja postupka, kao i obezbjeđenje prava građana na suđenje u razumnom roku.</w:t>
            </w:r>
            <w:r w:rsidR="00530AED" w:rsidRPr="00530AED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</w:t>
            </w:r>
          </w:p>
          <w:p w:rsidR="00530AED" w:rsidRDefault="00530AED" w:rsidP="00530AED">
            <w:pPr>
              <w:pStyle w:val="NoSpacing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:rsidR="00530AED" w:rsidRPr="00530AED" w:rsidRDefault="00530AED" w:rsidP="00530AED">
            <w:pPr>
              <w:pStyle w:val="NoSpacing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Predložena rješenja </w:t>
            </w:r>
            <w:r w:rsidR="00EE3965">
              <w:rPr>
                <w:rFonts w:ascii="Arial" w:hAnsi="Arial" w:cs="Arial"/>
                <w:bCs/>
                <w:noProof/>
                <w:sz w:val="20"/>
                <w:szCs w:val="20"/>
              </w:rPr>
              <w:t>imaju za cilj i da spriječe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</w:t>
            </w:r>
            <w:r w:rsidRPr="00530AED">
              <w:rPr>
                <w:rFonts w:ascii="Arial" w:hAnsi="Arial" w:cs="Arial"/>
                <w:bCs/>
                <w:noProof/>
                <w:sz w:val="20"/>
                <w:szCs w:val="20"/>
              </w:rPr>
              <w:t>zlo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upotrebu</w:t>
            </w:r>
            <w:r w:rsidRPr="00530AED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procesnih prava od strane stranaka koje pokreću veliki broj postupaka pred Upravnim sudom protiv istog tuženog, isključivo zbog ostvarivanja prava na nadokadu sudskih troškova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.</w:t>
            </w:r>
          </w:p>
          <w:p w:rsidR="00C41BF1" w:rsidRPr="00DF269B" w:rsidRDefault="00C41BF1" w:rsidP="006939E8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3. Opcije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Obrazložiti preferiranu opciju?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001F62" w:rsidRPr="00DF269B" w:rsidRDefault="00EE3965" w:rsidP="003362E0">
            <w:pPr>
              <w:spacing w:after="200"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Donošenje</w:t>
            </w:r>
            <w:r w:rsidR="00596543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pr</w:t>
            </w:r>
            <w:r w:rsidR="003362E0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edloženog propisa je najdjelotvorniji način za uklanjanje nedostataka u praktičnoj primjeni</w:t>
            </w:r>
            <w:r w:rsidR="00596543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3362E0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i najbolja opcija </w:t>
            </w:r>
            <w:r w:rsidR="00596543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u cilju djelotvornog funkcionisanja Upravnog suda, efikasnosti suđenja i rasterećenja </w:t>
            </w:r>
            <w:r w:rsidR="00487C7D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obima predmeta </w:t>
            </w:r>
            <w:r w:rsidR="00596543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sudija.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>4. Analiza uticaja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Koje troškove će primjena propisa izazvati građanima i privredi (naročito malim i srednjim preduzećima)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pozitivne posljedice donošenja propisa opravdavaju troškove koje će on stvoriti,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se propisom podržava stvaranje novih privrednih subjekata na tržištu i tržišna konkurencija;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B23E19" w:rsidRPr="00DF269B" w:rsidTr="00A0302F">
        <w:trPr>
          <w:trHeight w:val="1122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8E72EF" w:rsidRPr="00DF269B" w:rsidRDefault="008E72EF" w:rsidP="008E72EF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:rsidR="00966FC8" w:rsidRDefault="00A740A9" w:rsidP="00DF269B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Direktni efekti predloženih izmjena i dopuna</w:t>
            </w:r>
            <w:r w:rsidR="00F04A95" w:rsidRPr="00DF269B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odraziće se na rad </w:t>
            </w:r>
            <w:r w:rsidR="00966FC8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Upravnog sud</w:t>
            </w:r>
            <w:r w:rsidR="007C36EE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a na način što će unaprijediti efikasnost rada</w:t>
            </w:r>
            <w:r w:rsidR="005D08E2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ovog suda, kao i djelotvornost</w:t>
            </w:r>
            <w:r w:rsidR="007C36EE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pravne zaštite stranaka u postupcima pred ovim sudom.</w:t>
            </w:r>
          </w:p>
          <w:p w:rsidR="00127207" w:rsidRDefault="00127207" w:rsidP="00DF269B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:rsidR="00D0710F" w:rsidRDefault="00D0710F" w:rsidP="00DF269B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:rsidR="00B23E19" w:rsidRDefault="00D0710F" w:rsidP="00D0710F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Donošenjem ovog zakona neće se stvoriti administrativna opterećenja i biznis barijere.</w:t>
            </w:r>
          </w:p>
          <w:p w:rsidR="000E3A04" w:rsidRPr="00DF269B" w:rsidRDefault="000E3A04" w:rsidP="00D0710F">
            <w:pPr>
              <w:pStyle w:val="NoSpacing"/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5. Procjena fiskalnog uticaja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je obezbjeđenje finansijskih sredstava jednokratno, ili tokom određenog vremenskog perioda?  Obrazložiti;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implementacijom propisa proizilaze međunarodne finansijske obaveze? Obrazložiti;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je usvajanjem propisa predviđeno donošenje podzakonskih akata iz kojih će proisteći finansijske obaveze?;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će se implementacijom propisa ostvariti prihod za budžet Crne Gore?;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Obrazložiti metodologiju koja je korišćenja prilikom obračuna finansijskih izdataka/prihoda;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su postojali problemi u preciznom obračunu finansijskih izdataka/prihoda? Obrazložiti;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su postojale sugestije Ministarstva finansija na nacrt/predlog propisa?;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Da li su dobijene primjedbe implementirane u tekst propisa? Obrazložiti.</w:t>
            </w: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0E3A04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</w:p>
          <w:p w:rsidR="000E3A04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Za implementaciju ovog zakona iz Budžeta nije potrebno obezbjeđivati dodatna finansijska sredstva.</w:t>
            </w:r>
          </w:p>
          <w:p w:rsidR="000E3A04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Implementacijom propisa ne proizilaze međunarodne finansijske obaveze.</w:t>
            </w:r>
          </w:p>
          <w:p w:rsidR="00B23E19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Usvajanjem propisa nije predviđeno donošenje podzakonskih akata iz kojih će proisteći finansijske obaveze. Sprovođenjem ovog zako</w:t>
            </w:r>
            <w:r w:rsidR="001E05D6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 neće se ostvariti prihod za B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udžet Crne Gore.</w:t>
            </w:r>
          </w:p>
          <w:p w:rsidR="000E3A04" w:rsidRPr="000E3A04" w:rsidRDefault="000E3A04" w:rsidP="000E3A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t>6. Konsultacije zainteresovanih strana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Naznačiti da li je korišćena eksterna ekspertiza i ako da, kako;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konsultacije);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prihvaćeni, Obrazložiti</w:t>
            </w:r>
          </w:p>
        </w:tc>
      </w:tr>
      <w:tr w:rsidR="00B23E19" w:rsidRPr="00DF269B" w:rsidTr="00A0302F">
        <w:trPr>
          <w:trHeight w:val="42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3112E" w:rsidRDefault="0013112E" w:rsidP="002150A8">
            <w:pPr>
              <w:spacing w:line="276" w:lineRule="auto"/>
              <w:jc w:val="both"/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U cilju prevazilaženja problema uočenih u implementaciji Zakona o upravnom sporu u okviru projekta </w:t>
            </w:r>
            <w:r w:rsidR="00E835C9" w:rsidRPr="00E835C9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sa OECD/SIGMA</w:t>
            </w:r>
            <w:r w:rsidR="00B03BB3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i njihovim ekspertima</w:t>
            </w:r>
            <w:r w:rsidRPr="0013112E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izrađene su dvije analize </w:t>
            </w: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koje su imale za cilj unaprjeđenje</w:t>
            </w:r>
            <w:r w:rsidR="00E835C9" w:rsidRPr="00E835C9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rada sud</w:t>
            </w:r>
            <w:r w:rsidR="005D08E2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a, kao i</w:t>
            </w: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usklađivanje ovog</w:t>
            </w:r>
            <w:r w:rsidR="00E835C9" w:rsidRPr="00E835C9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zakona sa ev</w:t>
            </w: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ropskim upravno-pravnim okvirom</w:t>
            </w:r>
            <w:r w:rsidR="00E835C9" w:rsidRPr="00E835C9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. Analize su ukazale da je potrebno pristupiti izmjenama ovog zakona kako bi se doprinijelo poboljšanju efikasnosti rada suda i iz razloga usklađivanja sudske prakse  sa  praksom  Evropskog  suda  za  ljudska  pr</w:t>
            </w:r>
            <w:r w:rsidR="00697D9A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ava,</w:t>
            </w:r>
            <w:r w:rsidR="00E835C9" w:rsidRPr="00E835C9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posebno kada se  radi o pružanju sudske  zaštite  u  razumnom roku  kako je to predviđeno članom 6 stav 1 Evropske konvencij</w:t>
            </w:r>
            <w:r w:rsidR="003D4DA1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e  o zaštiti  ljudskih  prava.</w:t>
            </w: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</w:t>
            </w:r>
          </w:p>
          <w:p w:rsidR="00851D80" w:rsidRDefault="003C637B" w:rsidP="002150A8">
            <w:pPr>
              <w:spacing w:line="276" w:lineRule="auto"/>
              <w:jc w:val="both"/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lastRenderedPageBreak/>
              <w:t>Predlog</w:t>
            </w:r>
            <w:r w:rsidRPr="003C637B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zakona o izmjenama i dopunama Zakona o upravnom sporu </w:t>
            </w: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usklađen je sa komentarima eksperata</w:t>
            </w:r>
            <w:r w:rsidR="0013112E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SIGMA-e</w:t>
            </w:r>
            <w:r w:rsidR="00835259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(</w:t>
            </w:r>
            <w:r w:rsidR="0013112E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Timo Ligi,</w:t>
            </w:r>
            <w:r w:rsidR="001B68FC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viši savjetnik </w:t>
            </w: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SIGMA,</w:t>
            </w:r>
            <w:r w:rsidR="0013112E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Andrej Kmecl</w:t>
            </w:r>
            <w:r w:rsidR="001B68FC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, sudija Upravnog suda Republike Slovenije</w:t>
            </w:r>
            <w:r w:rsidR="0013112E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 xml:space="preserve"> i Viljem Lapima</w:t>
            </w:r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, predsjednik Okružnog suda u Talinu</w:t>
            </w:r>
            <w:r w:rsidR="00835259"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)</w:t>
            </w:r>
            <w:bookmarkStart w:id="0" w:name="_GoBack"/>
            <w:bookmarkEnd w:id="0"/>
            <w:r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  <w:t>, koji su učestvovali u izradi ovog propisa.</w:t>
            </w:r>
          </w:p>
          <w:p w:rsidR="003D4DA1" w:rsidRPr="00E835C9" w:rsidRDefault="003D4DA1" w:rsidP="002150A8">
            <w:pPr>
              <w:spacing w:line="276" w:lineRule="auto"/>
              <w:jc w:val="both"/>
              <w:rPr>
                <w:rFonts w:ascii="Arial" w:eastAsiaTheme="minorEastAsia" w:hAnsi="Arial" w:cs="Arial"/>
                <w:bCs/>
                <w:noProof/>
                <w:color w:val="000000"/>
                <w:sz w:val="20"/>
                <w:szCs w:val="20"/>
                <w:lang w:val="sr-Latn-ME"/>
              </w:rPr>
            </w:pPr>
          </w:p>
        </w:tc>
      </w:tr>
      <w:tr w:rsidR="00B23E19" w:rsidRPr="00DF269B" w:rsidTr="00A0302F">
        <w:trPr>
          <w:trHeight w:val="141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B23E19" w:rsidRPr="00DF269B" w:rsidRDefault="00B23E19" w:rsidP="004F0D3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 w:eastAsia="en-GB"/>
              </w:rPr>
            </w:pPr>
            <w:r w:rsidRPr="00DF269B">
              <w:rPr>
                <w:rFonts w:ascii="Arial" w:hAnsi="Arial" w:cs="Arial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>7: Monitoring i evaluacija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:rsidR="00B23E19" w:rsidRPr="00DF269B" w:rsidRDefault="00B23E19" w:rsidP="004F0D3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/>
                <w:bCs w:val="0"/>
                <w:noProof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</w:tc>
      </w:tr>
      <w:tr w:rsidR="00B23E19" w:rsidRPr="00DF269B" w:rsidTr="00596543">
        <w:trPr>
          <w:trHeight w:val="1249"/>
        </w:trPr>
        <w:tc>
          <w:tcPr>
            <w:tcW w:w="9450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B23E19" w:rsidRPr="00DF269B" w:rsidRDefault="00B23E19" w:rsidP="004F0D35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</w:p>
          <w:p w:rsidR="00B23E19" w:rsidRPr="00DF269B" w:rsidRDefault="00B23E19" w:rsidP="004F0D35">
            <w:pPr>
              <w:spacing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Nema potencijalnih prepreka za implementaciju ovog </w:t>
            </w:r>
            <w:r w:rsidR="00AC1005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zakona</w:t>
            </w:r>
            <w:r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.</w:t>
            </w:r>
          </w:p>
          <w:p w:rsidR="001D6B64" w:rsidRPr="00DF269B" w:rsidRDefault="00B23E19" w:rsidP="00AC1005">
            <w:pPr>
              <w:spacing w:after="200" w:line="276" w:lineRule="auto"/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Ministarstvo pravde je zaduženo za sprovođenje </w:t>
            </w:r>
            <w:r w:rsidR="007A5D62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monitoringa i evaluacije primjene </w:t>
            </w:r>
            <w:r w:rsidR="00AC1005"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ovog zakona</w:t>
            </w:r>
            <w:r w:rsidRPr="00DF269B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>.</w:t>
            </w:r>
          </w:p>
        </w:tc>
      </w:tr>
    </w:tbl>
    <w:p w:rsidR="00B23E19" w:rsidRPr="00DF269B" w:rsidRDefault="00B23E19" w:rsidP="00B23E19">
      <w:pPr>
        <w:rPr>
          <w:rFonts w:ascii="Arial" w:hAnsi="Arial" w:cs="Arial"/>
          <w:bCs/>
          <w:noProof/>
          <w:sz w:val="20"/>
          <w:szCs w:val="20"/>
          <w:lang w:val="sr-Latn-ME" w:eastAsia="en-GB"/>
        </w:rPr>
      </w:pPr>
    </w:p>
    <w:p w:rsidR="00B23E19" w:rsidRPr="00DF269B" w:rsidRDefault="00B23E19" w:rsidP="00B23E19">
      <w:pPr>
        <w:rPr>
          <w:rFonts w:ascii="Arial" w:hAnsi="Arial" w:cs="Arial"/>
          <w:bCs/>
          <w:noProof/>
          <w:sz w:val="20"/>
          <w:szCs w:val="20"/>
          <w:lang w:val="sr-Latn-ME" w:eastAsia="en-GB"/>
        </w:rPr>
      </w:pPr>
    </w:p>
    <w:p w:rsidR="00B23E19" w:rsidRPr="00DF269B" w:rsidRDefault="00B23E19" w:rsidP="00B23E19">
      <w:pPr>
        <w:rPr>
          <w:rFonts w:ascii="Arial" w:hAnsi="Arial" w:cs="Arial"/>
          <w:noProof/>
          <w:sz w:val="20"/>
          <w:szCs w:val="20"/>
          <w:lang w:val="sr-Latn-ME"/>
        </w:rPr>
      </w:pPr>
      <w:r w:rsidRPr="00DF269B">
        <w:rPr>
          <w:rFonts w:ascii="Arial" w:hAnsi="Arial" w:cs="Arial"/>
          <w:noProof/>
          <w:sz w:val="20"/>
          <w:szCs w:val="20"/>
          <w:lang w:val="sr-Latn-ME"/>
        </w:rPr>
        <w:t xml:space="preserve">Podgorica, </w:t>
      </w:r>
      <w:r w:rsidR="00EA6B60">
        <w:rPr>
          <w:rFonts w:ascii="Arial" w:hAnsi="Arial" w:cs="Arial"/>
          <w:noProof/>
          <w:sz w:val="20"/>
          <w:szCs w:val="20"/>
          <w:lang w:val="sr-Latn-ME"/>
        </w:rPr>
        <w:t>09</w:t>
      </w:r>
      <w:r w:rsidRPr="00DF269B">
        <w:rPr>
          <w:rFonts w:ascii="Arial" w:hAnsi="Arial" w:cs="Arial"/>
          <w:noProof/>
          <w:sz w:val="20"/>
          <w:szCs w:val="20"/>
          <w:lang w:val="sr-Latn-ME"/>
        </w:rPr>
        <w:t>.</w:t>
      </w:r>
      <w:r w:rsidR="00EA6B60">
        <w:rPr>
          <w:rFonts w:ascii="Arial" w:hAnsi="Arial" w:cs="Arial"/>
          <w:noProof/>
          <w:sz w:val="20"/>
          <w:szCs w:val="20"/>
          <w:lang w:val="sr-Latn-ME"/>
        </w:rPr>
        <w:t>09.2020</w:t>
      </w:r>
      <w:r w:rsidRPr="00DF269B">
        <w:rPr>
          <w:rFonts w:ascii="Arial" w:hAnsi="Arial" w:cs="Arial"/>
          <w:noProof/>
          <w:sz w:val="20"/>
          <w:szCs w:val="20"/>
          <w:lang w:val="sr-Latn-ME"/>
        </w:rPr>
        <w:t>.godine</w:t>
      </w:r>
    </w:p>
    <w:p w:rsidR="00B23E19" w:rsidRPr="00DF269B" w:rsidRDefault="00B23E19" w:rsidP="00B23E19">
      <w:pPr>
        <w:rPr>
          <w:rFonts w:ascii="Arial" w:eastAsiaTheme="minorHAnsi" w:hAnsi="Arial" w:cs="Arial"/>
          <w:b/>
          <w:noProof/>
          <w:sz w:val="20"/>
          <w:szCs w:val="20"/>
          <w:lang w:val="sr-Latn-ME"/>
        </w:rPr>
      </w:pPr>
      <w:r w:rsidRPr="00DF269B">
        <w:rPr>
          <w:rFonts w:ascii="Arial" w:hAnsi="Arial" w:cs="Arial"/>
          <w:noProof/>
          <w:sz w:val="20"/>
          <w:szCs w:val="20"/>
          <w:lang w:val="sr-Latn-ME"/>
        </w:rPr>
        <w:t xml:space="preserve">                                                                                                                        </w:t>
      </w:r>
      <w:r w:rsidRPr="00DF269B">
        <w:rPr>
          <w:rFonts w:ascii="Arial" w:hAnsi="Arial" w:cs="Arial"/>
          <w:b/>
          <w:noProof/>
          <w:sz w:val="20"/>
          <w:szCs w:val="20"/>
          <w:lang w:val="sr-Latn-ME"/>
        </w:rPr>
        <w:t>M I N I S T A R</w:t>
      </w:r>
    </w:p>
    <w:p w:rsidR="00B23E19" w:rsidRPr="00DF269B" w:rsidRDefault="00B23E19" w:rsidP="00B23E19">
      <w:pPr>
        <w:rPr>
          <w:rFonts w:ascii="Garamond" w:hAnsi="Garamond"/>
          <w:noProof/>
          <w:sz w:val="20"/>
          <w:szCs w:val="20"/>
          <w:lang w:val="sr-Latn-ME"/>
        </w:rPr>
      </w:pPr>
      <w:r w:rsidRPr="00DF269B">
        <w:rPr>
          <w:rFonts w:ascii="Arial" w:hAnsi="Arial" w:cs="Arial"/>
          <w:b/>
          <w:noProof/>
          <w:sz w:val="20"/>
          <w:szCs w:val="20"/>
          <w:lang w:val="sr-Latn-ME"/>
        </w:rPr>
        <w:t xml:space="preserve">                                                                                                                           Zoran Pažin          </w:t>
      </w:r>
    </w:p>
    <w:p w:rsidR="00B23E19" w:rsidRPr="00DF269B" w:rsidRDefault="00B23E19" w:rsidP="00B23E19">
      <w:pPr>
        <w:rPr>
          <w:rFonts w:asciiTheme="minorHAnsi" w:hAnsiTheme="minorHAnsi" w:cstheme="minorBidi"/>
          <w:noProof/>
          <w:sz w:val="20"/>
          <w:szCs w:val="20"/>
          <w:lang w:val="sr-Latn-ME"/>
        </w:rPr>
      </w:pPr>
    </w:p>
    <w:p w:rsidR="00B23E19" w:rsidRPr="00DF269B" w:rsidRDefault="00B23E19" w:rsidP="00B23E19">
      <w:pPr>
        <w:rPr>
          <w:noProof/>
          <w:sz w:val="20"/>
          <w:szCs w:val="20"/>
          <w:lang w:val="sr-Latn-ME"/>
        </w:rPr>
      </w:pPr>
    </w:p>
    <w:p w:rsidR="003E0622" w:rsidRPr="00DF269B" w:rsidRDefault="003E0622">
      <w:pPr>
        <w:rPr>
          <w:noProof/>
          <w:lang w:val="sr-Latn-ME"/>
        </w:rPr>
      </w:pPr>
    </w:p>
    <w:sectPr w:rsidR="003E0622" w:rsidRPr="00D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91EE8"/>
    <w:multiLevelType w:val="hybridMultilevel"/>
    <w:tmpl w:val="22241E88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AA2E1ACA">
      <w:numFmt w:val="bullet"/>
      <w:lvlText w:val="•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92"/>
    <w:rsid w:val="00001F62"/>
    <w:rsid w:val="0000230D"/>
    <w:rsid w:val="00031037"/>
    <w:rsid w:val="00061B8C"/>
    <w:rsid w:val="00077591"/>
    <w:rsid w:val="000842FB"/>
    <w:rsid w:val="000B4027"/>
    <w:rsid w:val="000E1974"/>
    <w:rsid w:val="000E30FA"/>
    <w:rsid w:val="000E3A04"/>
    <w:rsid w:val="000E5495"/>
    <w:rsid w:val="000F0AD5"/>
    <w:rsid w:val="00110497"/>
    <w:rsid w:val="00127207"/>
    <w:rsid w:val="0013112E"/>
    <w:rsid w:val="0015039D"/>
    <w:rsid w:val="00180FDF"/>
    <w:rsid w:val="00182DA4"/>
    <w:rsid w:val="00191CB3"/>
    <w:rsid w:val="001B68FC"/>
    <w:rsid w:val="001D6B64"/>
    <w:rsid w:val="001E05D6"/>
    <w:rsid w:val="001E5805"/>
    <w:rsid w:val="001F1B0C"/>
    <w:rsid w:val="00205327"/>
    <w:rsid w:val="00213342"/>
    <w:rsid w:val="002150A8"/>
    <w:rsid w:val="00233D98"/>
    <w:rsid w:val="00283031"/>
    <w:rsid w:val="002B4C7B"/>
    <w:rsid w:val="002D2336"/>
    <w:rsid w:val="002F579A"/>
    <w:rsid w:val="002F73B2"/>
    <w:rsid w:val="003362E0"/>
    <w:rsid w:val="00361B2E"/>
    <w:rsid w:val="003C17B5"/>
    <w:rsid w:val="003C637B"/>
    <w:rsid w:val="003D4DA1"/>
    <w:rsid w:val="003E0622"/>
    <w:rsid w:val="00403361"/>
    <w:rsid w:val="00414126"/>
    <w:rsid w:val="004307AF"/>
    <w:rsid w:val="00431839"/>
    <w:rsid w:val="00435BF3"/>
    <w:rsid w:val="0046326E"/>
    <w:rsid w:val="0047563D"/>
    <w:rsid w:val="00487C7D"/>
    <w:rsid w:val="004A0690"/>
    <w:rsid w:val="004D3E61"/>
    <w:rsid w:val="004D693A"/>
    <w:rsid w:val="004E03BC"/>
    <w:rsid w:val="00530AED"/>
    <w:rsid w:val="00553F5F"/>
    <w:rsid w:val="0056431B"/>
    <w:rsid w:val="00596543"/>
    <w:rsid w:val="005A7F42"/>
    <w:rsid w:val="005C2309"/>
    <w:rsid w:val="005D08E2"/>
    <w:rsid w:val="005D39F4"/>
    <w:rsid w:val="006066C0"/>
    <w:rsid w:val="006465BE"/>
    <w:rsid w:val="00672A8B"/>
    <w:rsid w:val="00677A02"/>
    <w:rsid w:val="006939E8"/>
    <w:rsid w:val="00697D9A"/>
    <w:rsid w:val="006D4553"/>
    <w:rsid w:val="006E5A86"/>
    <w:rsid w:val="007047F7"/>
    <w:rsid w:val="00707AE5"/>
    <w:rsid w:val="007144D9"/>
    <w:rsid w:val="0073390A"/>
    <w:rsid w:val="00742667"/>
    <w:rsid w:val="00754A16"/>
    <w:rsid w:val="00762F8E"/>
    <w:rsid w:val="00777A9B"/>
    <w:rsid w:val="007A5D62"/>
    <w:rsid w:val="007C36EE"/>
    <w:rsid w:val="007C45E3"/>
    <w:rsid w:val="008005BB"/>
    <w:rsid w:val="00810A57"/>
    <w:rsid w:val="008118AC"/>
    <w:rsid w:val="00835259"/>
    <w:rsid w:val="00847455"/>
    <w:rsid w:val="008478C5"/>
    <w:rsid w:val="00851D80"/>
    <w:rsid w:val="00852C70"/>
    <w:rsid w:val="00881875"/>
    <w:rsid w:val="008C3D91"/>
    <w:rsid w:val="008D693B"/>
    <w:rsid w:val="008E72EF"/>
    <w:rsid w:val="00922045"/>
    <w:rsid w:val="00966FC8"/>
    <w:rsid w:val="0098340B"/>
    <w:rsid w:val="00997AE8"/>
    <w:rsid w:val="009B1615"/>
    <w:rsid w:val="009B2ECD"/>
    <w:rsid w:val="009D4A87"/>
    <w:rsid w:val="009E261A"/>
    <w:rsid w:val="00A0302F"/>
    <w:rsid w:val="00A15FB0"/>
    <w:rsid w:val="00A2379C"/>
    <w:rsid w:val="00A51765"/>
    <w:rsid w:val="00A740A9"/>
    <w:rsid w:val="00A83BF8"/>
    <w:rsid w:val="00AC1005"/>
    <w:rsid w:val="00AF62C9"/>
    <w:rsid w:val="00B03BB3"/>
    <w:rsid w:val="00B23E19"/>
    <w:rsid w:val="00B36A3A"/>
    <w:rsid w:val="00B3713F"/>
    <w:rsid w:val="00B50994"/>
    <w:rsid w:val="00B66C67"/>
    <w:rsid w:val="00B75FE0"/>
    <w:rsid w:val="00B85DA2"/>
    <w:rsid w:val="00BB1070"/>
    <w:rsid w:val="00BE5048"/>
    <w:rsid w:val="00BF01D1"/>
    <w:rsid w:val="00C10AEB"/>
    <w:rsid w:val="00C10E92"/>
    <w:rsid w:val="00C14323"/>
    <w:rsid w:val="00C4155E"/>
    <w:rsid w:val="00C41BF1"/>
    <w:rsid w:val="00C42EE1"/>
    <w:rsid w:val="00C546BA"/>
    <w:rsid w:val="00C62503"/>
    <w:rsid w:val="00C95999"/>
    <w:rsid w:val="00CB4353"/>
    <w:rsid w:val="00CE11AE"/>
    <w:rsid w:val="00D0710F"/>
    <w:rsid w:val="00D24B38"/>
    <w:rsid w:val="00D27DAC"/>
    <w:rsid w:val="00D41D45"/>
    <w:rsid w:val="00D6064A"/>
    <w:rsid w:val="00D726E2"/>
    <w:rsid w:val="00DA595D"/>
    <w:rsid w:val="00DE0993"/>
    <w:rsid w:val="00DF269B"/>
    <w:rsid w:val="00E13A5E"/>
    <w:rsid w:val="00E3691D"/>
    <w:rsid w:val="00E835C9"/>
    <w:rsid w:val="00E84D6F"/>
    <w:rsid w:val="00E86DCD"/>
    <w:rsid w:val="00EA6B60"/>
    <w:rsid w:val="00EB532A"/>
    <w:rsid w:val="00EE3965"/>
    <w:rsid w:val="00F04A95"/>
    <w:rsid w:val="00F173D5"/>
    <w:rsid w:val="00F3285F"/>
    <w:rsid w:val="00F61EBD"/>
    <w:rsid w:val="00F92D7A"/>
    <w:rsid w:val="00F9607B"/>
    <w:rsid w:val="00FA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2DCCB"/>
  <w15:docId w15:val="{76E23443-FDE9-44A0-BBC0-1EDC0AC4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3E1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23E19"/>
    <w:pPr>
      <w:ind w:left="720"/>
      <w:jc w:val="both"/>
    </w:pPr>
    <w:rPr>
      <w:rFonts w:ascii="Garamond" w:hAnsi="Garamond"/>
      <w:bCs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B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B3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Novakovic</dc:creator>
  <cp:lastModifiedBy>Marijana Krstic</cp:lastModifiedBy>
  <cp:revision>23</cp:revision>
  <cp:lastPrinted>2020-09-10T05:49:00Z</cp:lastPrinted>
  <dcterms:created xsi:type="dcterms:W3CDTF">2019-05-10T11:22:00Z</dcterms:created>
  <dcterms:modified xsi:type="dcterms:W3CDTF">2020-09-10T06:27:00Z</dcterms:modified>
</cp:coreProperties>
</file>