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ADB" w:rsidRPr="005A31E6" w:rsidRDefault="00F53293" w:rsidP="00F75709">
      <w:pPr>
        <w:spacing w:after="120"/>
        <w:jc w:val="both"/>
        <w:rPr>
          <w:rFonts w:ascii="Times New Roman" w:hAnsi="Times New Roman"/>
          <w:b/>
          <w:sz w:val="24"/>
          <w:szCs w:val="24"/>
          <w:lang w:val="en-GB"/>
        </w:rPr>
      </w:pPr>
      <w:bookmarkStart w:id="0" w:name="_GoBack"/>
      <w:bookmarkEnd w:id="0"/>
      <w:r>
        <w:rPr>
          <w:rFonts w:ascii="Times New Roman" w:hAnsi="Times New Roman"/>
          <w:b/>
          <w:noProof/>
          <w:sz w:val="24"/>
          <w:szCs w:val="24"/>
        </w:rPr>
        <w:drawing>
          <wp:anchor distT="0" distB="0" distL="114300" distR="114300" simplePos="0" relativeHeight="251657728" behindDoc="0" locked="0" layoutInCell="0" allowOverlap="1">
            <wp:simplePos x="0" y="0"/>
            <wp:positionH relativeFrom="column">
              <wp:posOffset>2533650</wp:posOffset>
            </wp:positionH>
            <wp:positionV relativeFrom="paragraph">
              <wp:posOffset>-752475</wp:posOffset>
            </wp:positionV>
            <wp:extent cx="815975" cy="895350"/>
            <wp:effectExtent l="19050" t="0" r="3175" b="0"/>
            <wp:wrapNone/>
            <wp:docPr id="2" name="Picture 1" descr="../../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istrator/Desktop/1095339371.jpg"/>
                    <pic:cNvPicPr>
                      <a:picLocks noChangeAspect="1" noChangeArrowheads="1"/>
                    </pic:cNvPicPr>
                  </pic:nvPicPr>
                  <pic:blipFill>
                    <a:blip r:embed="rId8" r:link="rId9" cstate="print"/>
                    <a:srcRect/>
                    <a:stretch>
                      <a:fillRect/>
                    </a:stretch>
                  </pic:blipFill>
                  <pic:spPr bwMode="auto">
                    <a:xfrm>
                      <a:off x="0" y="0"/>
                      <a:ext cx="815975" cy="895350"/>
                    </a:xfrm>
                    <a:prstGeom prst="rect">
                      <a:avLst/>
                    </a:prstGeom>
                    <a:noFill/>
                    <a:ln w="9525">
                      <a:noFill/>
                      <a:miter lim="800000"/>
                      <a:headEnd/>
                      <a:tailEnd/>
                    </a:ln>
                  </pic:spPr>
                </pic:pic>
              </a:graphicData>
            </a:graphic>
          </wp:anchor>
        </w:drawing>
      </w:r>
    </w:p>
    <w:p w:rsidR="006C4ADB" w:rsidRPr="005A31E6" w:rsidRDefault="006C4ADB" w:rsidP="00F75709">
      <w:pPr>
        <w:spacing w:after="120"/>
        <w:jc w:val="center"/>
        <w:rPr>
          <w:rFonts w:ascii="Times New Roman" w:hAnsi="Times New Roman"/>
          <w:b/>
          <w:sz w:val="24"/>
          <w:szCs w:val="24"/>
          <w:lang w:val="en-GB"/>
        </w:rPr>
      </w:pPr>
      <w:r w:rsidRPr="005A31E6">
        <w:rPr>
          <w:rFonts w:ascii="Times New Roman" w:hAnsi="Times New Roman"/>
          <w:b/>
          <w:sz w:val="24"/>
          <w:szCs w:val="24"/>
          <w:lang w:val="en-GB"/>
        </w:rPr>
        <w:t>THE MINISTRY OF FINANCE</w:t>
      </w:r>
    </w:p>
    <w:p w:rsidR="006C4ADB" w:rsidRPr="005A31E6" w:rsidRDefault="006C4ADB" w:rsidP="00F75709">
      <w:pPr>
        <w:spacing w:after="120" w:line="240" w:lineRule="auto"/>
        <w:mirrorIndents/>
        <w:jc w:val="center"/>
        <w:rPr>
          <w:rFonts w:ascii="Times New Roman" w:hAnsi="Times New Roman"/>
          <w:b/>
          <w:sz w:val="24"/>
          <w:szCs w:val="24"/>
          <w:lang w:val="en-GB"/>
        </w:rPr>
      </w:pPr>
      <w:r w:rsidRPr="005A31E6">
        <w:rPr>
          <w:rFonts w:ascii="Times New Roman" w:hAnsi="Times New Roman"/>
          <w:b/>
          <w:sz w:val="24"/>
          <w:szCs w:val="24"/>
          <w:lang w:val="en-GB"/>
        </w:rPr>
        <w:t>The Directorate for Finance and Contracting of the EU Assistance Funds</w:t>
      </w:r>
    </w:p>
    <w:p w:rsidR="006C4ADB" w:rsidRPr="005A31E6" w:rsidRDefault="006C4ADB" w:rsidP="00F75709">
      <w:pPr>
        <w:pStyle w:val="Default"/>
        <w:jc w:val="center"/>
      </w:pPr>
    </w:p>
    <w:p w:rsidR="00F75709" w:rsidRPr="005A31E6" w:rsidRDefault="00F75709" w:rsidP="00F75709">
      <w:pPr>
        <w:pStyle w:val="Default"/>
        <w:jc w:val="center"/>
      </w:pPr>
    </w:p>
    <w:p w:rsidR="007302D5" w:rsidRPr="005A31E6" w:rsidRDefault="006C4ADB" w:rsidP="00F75709">
      <w:pPr>
        <w:jc w:val="center"/>
        <w:rPr>
          <w:rFonts w:ascii="Times New Roman" w:hAnsi="Times New Roman"/>
          <w:b/>
          <w:bCs/>
          <w:sz w:val="24"/>
          <w:szCs w:val="24"/>
          <w:lang w:val="en-GB"/>
        </w:rPr>
      </w:pPr>
      <w:r w:rsidRPr="005A31E6">
        <w:rPr>
          <w:rFonts w:ascii="Times New Roman" w:hAnsi="Times New Roman"/>
          <w:b/>
          <w:bCs/>
          <w:sz w:val="24"/>
          <w:szCs w:val="24"/>
          <w:lang w:val="en-GB"/>
        </w:rPr>
        <w:t>Contracting Authority's Clarifications</w:t>
      </w:r>
    </w:p>
    <w:p w:rsidR="006C4ADB" w:rsidRPr="005A31E6" w:rsidRDefault="006C4ADB" w:rsidP="00F75709">
      <w:pPr>
        <w:pStyle w:val="SubTitle1"/>
        <w:spacing w:before="480"/>
        <w:rPr>
          <w:sz w:val="24"/>
          <w:szCs w:val="24"/>
        </w:rPr>
      </w:pPr>
      <w:bookmarkStart w:id="1" w:name="_Toc422839438"/>
      <w:bookmarkStart w:id="2" w:name="_Toc422839448"/>
      <w:r w:rsidRPr="005A31E6">
        <w:rPr>
          <w:sz w:val="24"/>
          <w:szCs w:val="24"/>
        </w:rPr>
        <w:t>Implementation of trainings and employment projects for persons with disabilities and RE population</w:t>
      </w:r>
      <w:bookmarkEnd w:id="1"/>
      <w:bookmarkEnd w:id="2"/>
    </w:p>
    <w:p w:rsidR="006C4ADB" w:rsidRPr="005A31E6" w:rsidRDefault="006C4ADB" w:rsidP="00F75709">
      <w:pPr>
        <w:pStyle w:val="Default"/>
        <w:jc w:val="center"/>
      </w:pPr>
    </w:p>
    <w:p w:rsidR="006C4ADB" w:rsidRDefault="005503CE" w:rsidP="00FA71F7">
      <w:pPr>
        <w:jc w:val="center"/>
        <w:rPr>
          <w:rFonts w:ascii="Times New Roman" w:hAnsi="Times New Roman"/>
          <w:b/>
          <w:bCs/>
          <w:sz w:val="24"/>
          <w:szCs w:val="24"/>
          <w:lang w:val="en-GB"/>
        </w:rPr>
      </w:pPr>
      <w:r>
        <w:rPr>
          <w:rFonts w:ascii="Times New Roman" w:hAnsi="Times New Roman"/>
          <w:b/>
          <w:bCs/>
          <w:sz w:val="24"/>
          <w:szCs w:val="24"/>
          <w:lang w:val="en-GB"/>
        </w:rPr>
        <w:t xml:space="preserve">Questions and answers from the </w:t>
      </w:r>
      <w:r w:rsidR="006C4ADB" w:rsidRPr="005A31E6">
        <w:rPr>
          <w:rFonts w:ascii="Times New Roman" w:hAnsi="Times New Roman"/>
          <w:b/>
          <w:bCs/>
          <w:sz w:val="24"/>
          <w:szCs w:val="24"/>
          <w:lang w:val="en-GB"/>
        </w:rPr>
        <w:t>Information Session held on 21</w:t>
      </w:r>
      <w:r w:rsidR="006C4ADB" w:rsidRPr="005A31E6">
        <w:rPr>
          <w:rFonts w:ascii="Times New Roman" w:hAnsi="Times New Roman"/>
          <w:b/>
          <w:bCs/>
          <w:sz w:val="24"/>
          <w:szCs w:val="24"/>
          <w:vertAlign w:val="superscript"/>
          <w:lang w:val="en-GB"/>
        </w:rPr>
        <w:t>th</w:t>
      </w:r>
      <w:r w:rsidR="006C4ADB" w:rsidRPr="005A31E6">
        <w:rPr>
          <w:rFonts w:ascii="Times New Roman" w:hAnsi="Times New Roman"/>
          <w:b/>
          <w:bCs/>
          <w:sz w:val="24"/>
          <w:szCs w:val="24"/>
          <w:lang w:val="en-GB"/>
        </w:rPr>
        <w:t>, 23</w:t>
      </w:r>
      <w:r w:rsidR="006C4ADB" w:rsidRPr="005A31E6">
        <w:rPr>
          <w:rFonts w:ascii="Times New Roman" w:hAnsi="Times New Roman"/>
          <w:b/>
          <w:bCs/>
          <w:sz w:val="24"/>
          <w:szCs w:val="24"/>
          <w:vertAlign w:val="superscript"/>
          <w:lang w:val="en-GB"/>
        </w:rPr>
        <w:t>th</w:t>
      </w:r>
      <w:r w:rsidR="006C4ADB" w:rsidRPr="005A31E6">
        <w:rPr>
          <w:rFonts w:ascii="Times New Roman" w:hAnsi="Times New Roman"/>
          <w:b/>
          <w:bCs/>
          <w:sz w:val="24"/>
          <w:szCs w:val="24"/>
          <w:lang w:val="en-GB"/>
        </w:rPr>
        <w:t xml:space="preserve"> and 26</w:t>
      </w:r>
      <w:r w:rsidR="006C4ADB" w:rsidRPr="005A31E6">
        <w:rPr>
          <w:rFonts w:ascii="Times New Roman" w:hAnsi="Times New Roman"/>
          <w:b/>
          <w:bCs/>
          <w:sz w:val="24"/>
          <w:szCs w:val="24"/>
          <w:vertAlign w:val="superscript"/>
          <w:lang w:val="en-GB"/>
        </w:rPr>
        <w:t>th</w:t>
      </w:r>
      <w:r w:rsidR="006C4ADB" w:rsidRPr="005A31E6">
        <w:rPr>
          <w:rFonts w:ascii="Times New Roman" w:hAnsi="Times New Roman"/>
          <w:b/>
          <w:bCs/>
          <w:sz w:val="24"/>
          <w:szCs w:val="24"/>
          <w:lang w:val="en-GB"/>
        </w:rPr>
        <w:t xml:space="preserve"> October 2015</w:t>
      </w:r>
    </w:p>
    <w:p w:rsidR="00FA71F7" w:rsidRPr="00FA71F7" w:rsidRDefault="00FA71F7" w:rsidP="00FA71F7">
      <w:pPr>
        <w:jc w:val="center"/>
        <w:rPr>
          <w:rFonts w:ascii="Times New Roman" w:hAnsi="Times New Roman"/>
          <w:b/>
          <w:bCs/>
          <w:sz w:val="24"/>
          <w:szCs w:val="24"/>
          <w:lang w:val="en-GB"/>
        </w:rPr>
      </w:pPr>
    </w:p>
    <w:p w:rsidR="00FE6D69" w:rsidRDefault="006C4ADB" w:rsidP="00F75709">
      <w:pPr>
        <w:pStyle w:val="Default"/>
        <w:jc w:val="both"/>
      </w:pPr>
      <w:r w:rsidRPr="005A31E6">
        <w:t xml:space="preserve">Following the info session held on </w:t>
      </w:r>
      <w:r w:rsidRPr="005A31E6">
        <w:rPr>
          <w:bCs/>
        </w:rPr>
        <w:t>21</w:t>
      </w:r>
      <w:r w:rsidRPr="005A31E6">
        <w:rPr>
          <w:bCs/>
          <w:vertAlign w:val="superscript"/>
        </w:rPr>
        <w:t>th</w:t>
      </w:r>
      <w:r w:rsidRPr="005A31E6">
        <w:rPr>
          <w:bCs/>
        </w:rPr>
        <w:t>, 23</w:t>
      </w:r>
      <w:r w:rsidRPr="005A31E6">
        <w:rPr>
          <w:bCs/>
          <w:vertAlign w:val="superscript"/>
        </w:rPr>
        <w:t>th</w:t>
      </w:r>
      <w:r w:rsidRPr="005A31E6">
        <w:rPr>
          <w:bCs/>
        </w:rPr>
        <w:t xml:space="preserve"> and 26</w:t>
      </w:r>
      <w:r w:rsidRPr="005A31E6">
        <w:rPr>
          <w:bCs/>
          <w:vertAlign w:val="superscript"/>
        </w:rPr>
        <w:t>th</w:t>
      </w:r>
      <w:r w:rsidRPr="005A31E6">
        <w:rPr>
          <w:bCs/>
        </w:rPr>
        <w:t xml:space="preserve"> October 2015</w:t>
      </w:r>
      <w:r w:rsidRPr="005A31E6">
        <w:t xml:space="preserve">, below are presented the answers on questions raised by the participants. </w:t>
      </w:r>
    </w:p>
    <w:p w:rsidR="00FA71F7" w:rsidRDefault="00FA71F7" w:rsidP="00F75709">
      <w:pPr>
        <w:pStyle w:val="Default"/>
        <w:jc w:val="both"/>
      </w:pPr>
    </w:p>
    <w:p w:rsidR="006C4ADB" w:rsidRPr="005A31E6" w:rsidRDefault="006C4ADB" w:rsidP="00F75709">
      <w:pPr>
        <w:pStyle w:val="Default"/>
        <w:jc w:val="both"/>
      </w:pPr>
      <w:r w:rsidRPr="005A31E6">
        <w:t xml:space="preserve">Also, the table contains the answers on questions received on the functional e-mail address </w:t>
      </w:r>
      <w:hyperlink r:id="rId10" w:history="1">
        <w:r w:rsidRPr="005A31E6">
          <w:rPr>
            <w:rStyle w:val="Hyperlink"/>
          </w:rPr>
          <w:t>cfcu@.mif.gov.me</w:t>
        </w:r>
      </w:hyperlink>
      <w:r w:rsidRPr="005A31E6">
        <w:t>.</w:t>
      </w:r>
    </w:p>
    <w:p w:rsidR="006C4ADB" w:rsidRPr="005A31E6" w:rsidRDefault="006C4ADB" w:rsidP="00F75709">
      <w:pPr>
        <w:pStyle w:val="Default"/>
        <w:jc w:val="both"/>
      </w:pPr>
    </w:p>
    <w:p w:rsidR="006C4ADB" w:rsidRPr="005A31E6" w:rsidRDefault="006C4ADB" w:rsidP="00F75709">
      <w:pPr>
        <w:pStyle w:val="Default"/>
        <w:jc w:val="both"/>
      </w:pPr>
    </w:p>
    <w:tbl>
      <w:tblPr>
        <w:tblW w:w="9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0"/>
        <w:gridCol w:w="8472"/>
      </w:tblGrid>
      <w:tr w:rsidR="006C4ADB" w:rsidRPr="00665C1C" w:rsidTr="00802705">
        <w:trPr>
          <w:trHeight w:val="172"/>
        </w:trPr>
        <w:tc>
          <w:tcPr>
            <w:tcW w:w="980" w:type="dxa"/>
          </w:tcPr>
          <w:p w:rsidR="006C4ADB" w:rsidRPr="00665C1C" w:rsidRDefault="006C4ADB"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Q1</w:t>
            </w:r>
          </w:p>
        </w:tc>
        <w:tc>
          <w:tcPr>
            <w:tcW w:w="8472" w:type="dxa"/>
          </w:tcPr>
          <w:p w:rsidR="006C4ADB" w:rsidRPr="00665C1C" w:rsidRDefault="000E1BE2"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 xml:space="preserve">Is it obligatory that the equipment which can be purchased within this grant has </w:t>
            </w:r>
            <w:r>
              <w:rPr>
                <w:rFonts w:ascii="Times New Roman" w:hAnsi="Times New Roman"/>
                <w:b/>
                <w:sz w:val="24"/>
                <w:szCs w:val="24"/>
                <w:lang w:val="en-GB"/>
              </w:rPr>
              <w:t xml:space="preserve">to </w:t>
            </w:r>
            <w:r w:rsidRPr="00665C1C">
              <w:rPr>
                <w:rFonts w:ascii="Times New Roman" w:hAnsi="Times New Roman"/>
                <w:b/>
                <w:sz w:val="24"/>
                <w:szCs w:val="24"/>
                <w:lang w:val="en-GB"/>
              </w:rPr>
              <w:t xml:space="preserve">have origin of one of the EU country? </w:t>
            </w:r>
          </w:p>
        </w:tc>
      </w:tr>
      <w:tr w:rsidR="006C4ADB" w:rsidRPr="00665C1C" w:rsidTr="00802705">
        <w:trPr>
          <w:trHeight w:val="954"/>
        </w:trPr>
        <w:tc>
          <w:tcPr>
            <w:tcW w:w="980" w:type="dxa"/>
          </w:tcPr>
          <w:p w:rsidR="006C4ADB" w:rsidRPr="00665C1C" w:rsidRDefault="006C4ADB"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A1</w:t>
            </w:r>
          </w:p>
        </w:tc>
        <w:tc>
          <w:tcPr>
            <w:tcW w:w="8472" w:type="dxa"/>
          </w:tcPr>
          <w:p w:rsidR="006C4ADB" w:rsidRPr="00665C1C" w:rsidRDefault="00B1154A" w:rsidP="00FA71F7">
            <w:pPr>
              <w:pStyle w:val="Default"/>
              <w:jc w:val="both"/>
            </w:pPr>
            <w:r w:rsidRPr="00665C1C">
              <w:t>Please r</w:t>
            </w:r>
            <w:r w:rsidR="00C86539" w:rsidRPr="00665C1C">
              <w:t xml:space="preserve">efer to the </w:t>
            </w:r>
            <w:r w:rsidR="00FB2CDD" w:rsidRPr="00665C1C">
              <w:t>annex G IV – Procurement by grant Beneficiaries in the context of European Union external actions, which is part of the application package</w:t>
            </w:r>
            <w:r w:rsidR="00E01DFB" w:rsidRPr="00665C1C">
              <w:t xml:space="preserve"> and specifically deals with the issue of the procurement</w:t>
            </w:r>
            <w:r w:rsidR="00421705" w:rsidRPr="00665C1C">
              <w:t xml:space="preserve"> </w:t>
            </w:r>
            <w:r w:rsidR="005A0FF7" w:rsidRPr="00665C1C">
              <w:t>under grants contracts</w:t>
            </w:r>
            <w:r w:rsidR="00421705" w:rsidRPr="00665C1C">
              <w:t>.</w:t>
            </w:r>
            <w:r w:rsidR="00757068" w:rsidRPr="00665C1C">
              <w:t xml:space="preserve"> </w:t>
            </w:r>
            <w:r w:rsidR="00385FBE" w:rsidRPr="00665C1C">
              <w:t xml:space="preserve">Consequently, under this call for proposals the rule of origin must be respected as per </w:t>
            </w:r>
            <w:r w:rsidR="001D4A4C" w:rsidRPr="00665C1C">
              <w:t>Article 19 Council Regulation (EC) No 1085/2006 of 17 July 2006 establishing an Instrument for Pre-Accession Assistance (IPA)</w:t>
            </w:r>
            <w:r w:rsidR="00385FBE" w:rsidRPr="00665C1C">
              <w:t>.</w:t>
            </w:r>
            <w:r w:rsidR="00757068" w:rsidRPr="00665C1C">
              <w:t xml:space="preserve"> </w:t>
            </w:r>
            <w:r w:rsidR="005503CE" w:rsidRPr="00665C1C">
              <w:t xml:space="preserve">Namely, the rule of origin is not only limited to the EU states but comprise also a country that is a beneficiary of mentioned Regulation, a country that is a beneficiary of the European Neighbourhood and Partnership Instrument, or a Member State of the European Economic Area. </w:t>
            </w:r>
          </w:p>
        </w:tc>
      </w:tr>
      <w:tr w:rsidR="000977F7" w:rsidRPr="00665C1C" w:rsidTr="00802705">
        <w:trPr>
          <w:trHeight w:val="295"/>
        </w:trPr>
        <w:tc>
          <w:tcPr>
            <w:tcW w:w="980" w:type="dxa"/>
          </w:tcPr>
          <w:p w:rsidR="000977F7" w:rsidRPr="00665C1C" w:rsidRDefault="000977F7"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Q2</w:t>
            </w:r>
          </w:p>
        </w:tc>
        <w:tc>
          <w:tcPr>
            <w:tcW w:w="8472" w:type="dxa"/>
          </w:tcPr>
          <w:p w:rsidR="000977F7"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Who is considered a civil servant?</w:t>
            </w:r>
          </w:p>
        </w:tc>
      </w:tr>
      <w:tr w:rsidR="000977F7" w:rsidRPr="00665C1C" w:rsidTr="00802705">
        <w:trPr>
          <w:trHeight w:val="3500"/>
        </w:trPr>
        <w:tc>
          <w:tcPr>
            <w:tcW w:w="980" w:type="dxa"/>
          </w:tcPr>
          <w:p w:rsidR="000977F7" w:rsidRPr="00665C1C" w:rsidRDefault="000977F7"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lastRenderedPageBreak/>
              <w:t>A2</w:t>
            </w:r>
          </w:p>
        </w:tc>
        <w:tc>
          <w:tcPr>
            <w:tcW w:w="8472" w:type="dxa"/>
          </w:tcPr>
          <w:p w:rsidR="00C61B22"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According to the article 2 of the Law on civil servants and state employees (No: 23-2/11-6/13, 22. July 2011):</w:t>
            </w:r>
          </w:p>
          <w:p w:rsidR="00C61B22" w:rsidRPr="00665C1C" w:rsidRDefault="000E1BE2" w:rsidP="00665C1C">
            <w:pPr>
              <w:pStyle w:val="Pa13"/>
              <w:jc w:val="both"/>
              <w:rPr>
                <w:rStyle w:val="A0"/>
                <w:rFonts w:ascii="Times New Roman" w:hAnsi="Times New Roman" w:cs="Times New Roman"/>
                <w:color w:val="auto"/>
              </w:rPr>
            </w:pPr>
            <w:r>
              <w:rPr>
                <w:rStyle w:val="A0"/>
                <w:rFonts w:ascii="Times New Roman" w:hAnsi="Times New Roman" w:cs="Times New Roman"/>
                <w:color w:val="auto"/>
              </w:rPr>
              <w:t>“</w:t>
            </w:r>
            <w:r w:rsidR="00C86539" w:rsidRPr="00665C1C">
              <w:rPr>
                <w:rStyle w:val="A0"/>
                <w:rFonts w:ascii="Times New Roman" w:hAnsi="Times New Roman" w:cs="Times New Roman"/>
                <w:color w:val="auto"/>
              </w:rPr>
              <w:t xml:space="preserve">Civil servant shall mean a person who entered employment in a state authority to perform the tasks for the purpose of exercising competency of that authority prescribed by the Constitution, law and other regulations. </w:t>
            </w:r>
          </w:p>
          <w:p w:rsidR="00C61B22" w:rsidRPr="00665C1C" w:rsidRDefault="00C61B22" w:rsidP="00665C1C">
            <w:pPr>
              <w:pStyle w:val="Default"/>
              <w:jc w:val="both"/>
              <w:rPr>
                <w:color w:val="auto"/>
              </w:rPr>
            </w:pPr>
          </w:p>
          <w:p w:rsidR="00C61B22" w:rsidRPr="00665C1C" w:rsidRDefault="00C86539" w:rsidP="00665C1C">
            <w:pPr>
              <w:pStyle w:val="Pa13"/>
              <w:jc w:val="both"/>
              <w:rPr>
                <w:rStyle w:val="A0"/>
                <w:rFonts w:ascii="Times New Roman" w:hAnsi="Times New Roman" w:cs="Times New Roman"/>
                <w:color w:val="auto"/>
              </w:rPr>
            </w:pPr>
            <w:r w:rsidRPr="00665C1C">
              <w:rPr>
                <w:rStyle w:val="A0"/>
                <w:rFonts w:ascii="Times New Roman" w:hAnsi="Times New Roman" w:cs="Times New Roman"/>
                <w:color w:val="auto"/>
              </w:rPr>
              <w:t xml:space="preserve">Civil servant shall also mean a person who performs in a state authority information technology, financial, accounting and other tasks of administrative nature. </w:t>
            </w:r>
          </w:p>
          <w:p w:rsidR="00C61B22" w:rsidRPr="00665C1C" w:rsidRDefault="00C61B22" w:rsidP="00665C1C">
            <w:pPr>
              <w:pStyle w:val="Default"/>
              <w:jc w:val="both"/>
              <w:rPr>
                <w:color w:val="auto"/>
              </w:rPr>
            </w:pPr>
          </w:p>
          <w:p w:rsidR="000977F7" w:rsidRPr="00665C1C" w:rsidRDefault="00C86539" w:rsidP="00665C1C">
            <w:pPr>
              <w:jc w:val="both"/>
              <w:rPr>
                <w:rFonts w:ascii="Times New Roman" w:hAnsi="Times New Roman"/>
                <w:sz w:val="24"/>
                <w:szCs w:val="24"/>
                <w:lang w:val="en-GB"/>
              </w:rPr>
            </w:pPr>
            <w:r w:rsidRPr="00665C1C">
              <w:rPr>
                <w:rStyle w:val="A0"/>
                <w:rFonts w:ascii="Times New Roman" w:hAnsi="Times New Roman" w:cs="Times New Roman"/>
                <w:color w:val="auto"/>
                <w:sz w:val="24"/>
                <w:szCs w:val="24"/>
                <w:lang w:val="en-GB"/>
              </w:rPr>
              <w:t>State employee shall mean a person who entered employment in a state authority to perform administrative-technical and ancillary</w:t>
            </w:r>
            <w:r w:rsidR="000E1BE2">
              <w:rPr>
                <w:rStyle w:val="A0"/>
                <w:rFonts w:ascii="Times New Roman" w:hAnsi="Times New Roman" w:cs="Times New Roman"/>
                <w:color w:val="auto"/>
                <w:sz w:val="24"/>
                <w:szCs w:val="24"/>
                <w:lang w:val="en-GB"/>
              </w:rPr>
              <w:t xml:space="preserve"> tasks”</w:t>
            </w:r>
            <w:r w:rsidRPr="00665C1C">
              <w:rPr>
                <w:rStyle w:val="A0"/>
                <w:rFonts w:ascii="Times New Roman" w:hAnsi="Times New Roman" w:cs="Times New Roman"/>
                <w:color w:val="auto"/>
                <w:sz w:val="24"/>
                <w:szCs w:val="24"/>
                <w:lang w:val="en-GB"/>
              </w:rPr>
              <w:t xml:space="preserve">. </w:t>
            </w:r>
          </w:p>
        </w:tc>
      </w:tr>
      <w:tr w:rsidR="006C4ADB" w:rsidRPr="00665C1C" w:rsidTr="00802705">
        <w:trPr>
          <w:trHeight w:val="151"/>
        </w:trPr>
        <w:tc>
          <w:tcPr>
            <w:tcW w:w="980" w:type="dxa"/>
          </w:tcPr>
          <w:p w:rsidR="006C4ADB" w:rsidRPr="00665C1C" w:rsidRDefault="006C4ADB"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w:t>
            </w:r>
            <w:r w:rsidR="000977F7" w:rsidRPr="00665C1C">
              <w:rPr>
                <w:rFonts w:ascii="Times New Roman" w:hAnsi="Times New Roman"/>
                <w:b/>
                <w:sz w:val="24"/>
                <w:szCs w:val="24"/>
                <w:lang w:val="en-GB"/>
              </w:rPr>
              <w:t>3</w:t>
            </w:r>
          </w:p>
        </w:tc>
        <w:tc>
          <w:tcPr>
            <w:tcW w:w="8472" w:type="dxa"/>
          </w:tcPr>
          <w:p w:rsidR="006C4ADB" w:rsidRPr="00665C1C" w:rsidRDefault="00C86539" w:rsidP="00665C1C">
            <w:pPr>
              <w:pStyle w:val="Default"/>
              <w:jc w:val="both"/>
              <w:rPr>
                <w:b/>
                <w:color w:val="auto"/>
              </w:rPr>
            </w:pPr>
            <w:r w:rsidRPr="00665C1C">
              <w:rPr>
                <w:b/>
                <w:color w:val="auto"/>
              </w:rPr>
              <w:t>Are salaries of civil servants eligible</w:t>
            </w:r>
            <w:r w:rsidR="000E1BE2">
              <w:rPr>
                <w:b/>
                <w:color w:val="auto"/>
              </w:rPr>
              <w:t xml:space="preserve"> cost</w:t>
            </w:r>
            <w:r w:rsidRPr="00665C1C">
              <w:rPr>
                <w:b/>
                <w:color w:val="auto"/>
              </w:rPr>
              <w:t xml:space="preserve">? </w:t>
            </w:r>
          </w:p>
        </w:tc>
      </w:tr>
      <w:tr w:rsidR="006C4ADB" w:rsidRPr="00665C1C" w:rsidTr="00802705">
        <w:trPr>
          <w:trHeight w:val="172"/>
        </w:trPr>
        <w:tc>
          <w:tcPr>
            <w:tcW w:w="980" w:type="dxa"/>
          </w:tcPr>
          <w:p w:rsidR="006C4ADB" w:rsidRPr="00665C1C" w:rsidRDefault="006C4ADB"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w:t>
            </w:r>
            <w:r w:rsidR="000977F7" w:rsidRPr="00665C1C">
              <w:rPr>
                <w:rFonts w:ascii="Times New Roman" w:hAnsi="Times New Roman"/>
                <w:sz w:val="24"/>
                <w:szCs w:val="24"/>
                <w:lang w:val="en-GB"/>
              </w:rPr>
              <w:t>3</w:t>
            </w:r>
          </w:p>
        </w:tc>
        <w:tc>
          <w:tcPr>
            <w:tcW w:w="8472" w:type="dxa"/>
          </w:tcPr>
          <w:p w:rsidR="00154BB4" w:rsidRPr="00665C1C" w:rsidRDefault="00154BB4" w:rsidP="00665C1C">
            <w:pPr>
              <w:jc w:val="both"/>
              <w:rPr>
                <w:rFonts w:ascii="Times New Roman" w:hAnsi="Times New Roman"/>
                <w:sz w:val="24"/>
                <w:szCs w:val="24"/>
                <w:lang w:val="en-GB"/>
              </w:rPr>
            </w:pPr>
            <w:r w:rsidRPr="00665C1C">
              <w:rPr>
                <w:rFonts w:ascii="Times New Roman" w:hAnsi="Times New Roman"/>
                <w:sz w:val="24"/>
                <w:szCs w:val="24"/>
                <w:lang w:val="en-GB"/>
              </w:rPr>
              <w:t xml:space="preserve">Please refer to the GfA section 2.1.5- Eligibility of costs: costs that can be included; Eligible direct cost:  </w:t>
            </w:r>
          </w:p>
          <w:p w:rsidR="00154BB4" w:rsidRPr="00665C1C" w:rsidRDefault="00154BB4"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 xml:space="preserve">“Salary costs of the personnel of national administrations </w:t>
            </w:r>
            <w:r w:rsidRPr="00665C1C">
              <w:rPr>
                <w:rFonts w:ascii="Times New Roman" w:hAnsi="Times New Roman"/>
                <w:b/>
                <w:sz w:val="24"/>
                <w:szCs w:val="24"/>
                <w:lang w:val="en-GB"/>
              </w:rPr>
              <w:t>may be eligible</w:t>
            </w:r>
            <w:r w:rsidRPr="00665C1C">
              <w:rPr>
                <w:rFonts w:ascii="Times New Roman" w:hAnsi="Times New Roman"/>
                <w:sz w:val="24"/>
                <w:szCs w:val="24"/>
                <w:lang w:val="en-GB"/>
              </w:rPr>
              <w:t xml:space="preserve"> to the extent that they relate to the cost of activities which the relevant public authority would not carry out if the action were not undertaken.”</w:t>
            </w:r>
          </w:p>
          <w:p w:rsidR="00B733A0" w:rsidRPr="00665C1C" w:rsidRDefault="00B733A0" w:rsidP="00665C1C">
            <w:pPr>
              <w:spacing w:after="0" w:line="240" w:lineRule="auto"/>
              <w:jc w:val="both"/>
              <w:rPr>
                <w:rFonts w:ascii="Times New Roman" w:hAnsi="Times New Roman"/>
                <w:sz w:val="24"/>
                <w:szCs w:val="24"/>
                <w:lang w:val="en-GB"/>
              </w:rPr>
            </w:pPr>
          </w:p>
          <w:p w:rsidR="001F0BBC"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 xml:space="preserve">Also refer to article 14.9. of the General Conditions </w:t>
            </w:r>
            <w:r w:rsidR="000E1BE2">
              <w:rPr>
                <w:rFonts w:ascii="Times New Roman" w:hAnsi="Times New Roman"/>
                <w:sz w:val="24"/>
                <w:szCs w:val="24"/>
                <w:lang w:val="en-GB"/>
              </w:rPr>
              <w:t xml:space="preserve">which foresees following costs as </w:t>
            </w:r>
            <w:r w:rsidRPr="00665C1C">
              <w:rPr>
                <w:rFonts w:ascii="Times New Roman" w:hAnsi="Times New Roman"/>
                <w:sz w:val="24"/>
                <w:szCs w:val="24"/>
                <w:lang w:val="en-GB"/>
              </w:rPr>
              <w:t>non eligible:</w:t>
            </w:r>
          </w:p>
          <w:p w:rsidR="00B1210D"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“Salary costs of the personnel of the national administrations, unless otherwise specified in the Special Conditions and only to the extent that they relate to the cost of activities which the relevant public authority would not carry out if the Action were not undertaken.”</w:t>
            </w:r>
          </w:p>
          <w:p w:rsidR="00B1210D"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 xml:space="preserve">Salaries of civil servants are considered eligible cost. However these salaries can only be calculated as applicants own-contribution. They cannot be calculated as part of Contracting Authority contribution. </w:t>
            </w:r>
          </w:p>
        </w:tc>
      </w:tr>
      <w:tr w:rsidR="006C4ADB" w:rsidRPr="00665C1C" w:rsidTr="00802705">
        <w:trPr>
          <w:trHeight w:val="172"/>
        </w:trPr>
        <w:tc>
          <w:tcPr>
            <w:tcW w:w="980" w:type="dxa"/>
          </w:tcPr>
          <w:p w:rsidR="006C4ADB" w:rsidRPr="00665C1C" w:rsidRDefault="006C4ADB"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w:t>
            </w:r>
            <w:r w:rsidR="000977F7" w:rsidRPr="00665C1C">
              <w:rPr>
                <w:rFonts w:ascii="Times New Roman" w:hAnsi="Times New Roman"/>
                <w:b/>
                <w:sz w:val="24"/>
                <w:szCs w:val="24"/>
                <w:lang w:val="en-GB"/>
              </w:rPr>
              <w:t>4</w:t>
            </w:r>
          </w:p>
        </w:tc>
        <w:tc>
          <w:tcPr>
            <w:tcW w:w="8472" w:type="dxa"/>
          </w:tcPr>
          <w:p w:rsidR="006C4ADB" w:rsidRPr="00665C1C" w:rsidRDefault="00783995" w:rsidP="00665C1C">
            <w:pPr>
              <w:jc w:val="both"/>
              <w:rPr>
                <w:rFonts w:ascii="Times New Roman" w:hAnsi="Times New Roman"/>
                <w:b/>
                <w:sz w:val="24"/>
                <w:szCs w:val="24"/>
                <w:lang w:val="en-GB"/>
              </w:rPr>
            </w:pPr>
            <w:r w:rsidRPr="00665C1C">
              <w:rPr>
                <w:rFonts w:ascii="Times New Roman" w:hAnsi="Times New Roman"/>
                <w:b/>
                <w:sz w:val="24"/>
                <w:szCs w:val="24"/>
                <w:lang w:val="en-GB"/>
              </w:rPr>
              <w:t xml:space="preserve">Which part of </w:t>
            </w:r>
            <w:r w:rsidR="00C86539" w:rsidRPr="00665C1C">
              <w:rPr>
                <w:rFonts w:ascii="Times New Roman" w:hAnsi="Times New Roman"/>
                <w:b/>
                <w:sz w:val="24"/>
                <w:szCs w:val="24"/>
                <w:lang w:val="en-GB"/>
              </w:rPr>
              <w:t xml:space="preserve">VAT could be considered as </w:t>
            </w:r>
            <w:r w:rsidR="00C86539" w:rsidRPr="00665C1C">
              <w:rPr>
                <w:rFonts w:ascii="Times New Roman" w:hAnsi="Times New Roman"/>
                <w:b/>
                <w:i/>
                <w:sz w:val="24"/>
                <w:szCs w:val="24"/>
                <w:lang w:val="en-GB"/>
              </w:rPr>
              <w:t>”not recoverable by any means and it is established that they are borne by the final beneficiary</w:t>
            </w:r>
            <w:r w:rsidR="00C86539" w:rsidRPr="00665C1C">
              <w:rPr>
                <w:rFonts w:ascii="Times New Roman" w:hAnsi="Times New Roman"/>
                <w:b/>
                <w:sz w:val="24"/>
                <w:szCs w:val="24"/>
                <w:lang w:val="en-GB"/>
              </w:rPr>
              <w:t>”. For example, costs of small purchases, directly from shops.</w:t>
            </w:r>
          </w:p>
        </w:tc>
      </w:tr>
      <w:tr w:rsidR="006C4ADB" w:rsidRPr="00665C1C" w:rsidTr="00802705">
        <w:trPr>
          <w:trHeight w:val="373"/>
        </w:trPr>
        <w:tc>
          <w:tcPr>
            <w:tcW w:w="980" w:type="dxa"/>
          </w:tcPr>
          <w:p w:rsidR="006C4ADB" w:rsidRPr="00665C1C" w:rsidRDefault="006C4ADB"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w:t>
            </w:r>
            <w:r w:rsidR="000977F7" w:rsidRPr="00665C1C">
              <w:rPr>
                <w:rFonts w:ascii="Times New Roman" w:hAnsi="Times New Roman"/>
                <w:sz w:val="24"/>
                <w:szCs w:val="24"/>
                <w:lang w:val="en-GB"/>
              </w:rPr>
              <w:t>4</w:t>
            </w:r>
          </w:p>
        </w:tc>
        <w:tc>
          <w:tcPr>
            <w:tcW w:w="8472" w:type="dxa"/>
          </w:tcPr>
          <w:p w:rsidR="00857374" w:rsidRDefault="00E01DFB"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Please refer to the Annex J</w:t>
            </w:r>
            <w:r w:rsidR="00AA52AC" w:rsidRPr="00665C1C">
              <w:rPr>
                <w:rFonts w:ascii="Times New Roman" w:hAnsi="Times New Roman"/>
                <w:sz w:val="24"/>
                <w:szCs w:val="24"/>
                <w:lang w:val="en-GB"/>
              </w:rPr>
              <w:t xml:space="preserve"> within the application package which is related to </w:t>
            </w:r>
            <w:r w:rsidR="00DD59D1" w:rsidRPr="00665C1C">
              <w:rPr>
                <w:rFonts w:ascii="Times New Roman" w:hAnsi="Times New Roman"/>
                <w:i/>
                <w:sz w:val="24"/>
                <w:szCs w:val="24"/>
                <w:lang w:val="en-GB"/>
              </w:rPr>
              <w:t>Information on the tax regime applicable to grant contracts signed under EuropeAid/137485/ID/ACT/ME</w:t>
            </w:r>
            <w:r w:rsidR="00AA52AC" w:rsidRPr="00665C1C">
              <w:rPr>
                <w:rFonts w:ascii="Times New Roman" w:hAnsi="Times New Roman"/>
                <w:sz w:val="24"/>
                <w:szCs w:val="24"/>
                <w:lang w:val="en-GB"/>
              </w:rPr>
              <w:t xml:space="preserve">, where </w:t>
            </w:r>
            <w:r w:rsidR="00857374">
              <w:rPr>
                <w:rFonts w:ascii="Times New Roman" w:hAnsi="Times New Roman"/>
                <w:sz w:val="24"/>
                <w:szCs w:val="24"/>
                <w:lang w:val="en-GB"/>
              </w:rPr>
              <w:t xml:space="preserve">it </w:t>
            </w:r>
            <w:r w:rsidR="00AA52AC" w:rsidRPr="00665C1C">
              <w:rPr>
                <w:rFonts w:ascii="Times New Roman" w:hAnsi="Times New Roman"/>
                <w:sz w:val="24"/>
                <w:szCs w:val="24"/>
                <w:lang w:val="en-GB"/>
              </w:rPr>
              <w:t>is stated:</w:t>
            </w:r>
          </w:p>
          <w:p w:rsidR="00857374" w:rsidRPr="00665C1C" w:rsidRDefault="00857374" w:rsidP="00665C1C">
            <w:pPr>
              <w:spacing w:after="0" w:line="240" w:lineRule="auto"/>
              <w:jc w:val="both"/>
              <w:rPr>
                <w:rFonts w:ascii="Times New Roman" w:hAnsi="Times New Roman"/>
                <w:sz w:val="24"/>
                <w:szCs w:val="24"/>
                <w:lang w:val="en-GB"/>
              </w:rPr>
            </w:pPr>
          </w:p>
          <w:p w:rsidR="00AA52AC" w:rsidRPr="00665C1C" w:rsidRDefault="00AA52AC"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“Low value taxes: no proof needs to be provided for taxes for expenses where the amount of taxes per invoice is less than EUR 200, within a maximum of EUR 2 500 per grant contract, representing not more than 5 % of the contracting authority’s contribution.”</w:t>
            </w:r>
          </w:p>
          <w:p w:rsidR="00665C1C" w:rsidRPr="00665C1C" w:rsidRDefault="00665C1C" w:rsidP="00665C1C">
            <w:pPr>
              <w:spacing w:after="0" w:line="240" w:lineRule="auto"/>
              <w:jc w:val="both"/>
              <w:rPr>
                <w:rFonts w:ascii="Times New Roman" w:hAnsi="Times New Roman"/>
                <w:sz w:val="24"/>
                <w:szCs w:val="24"/>
                <w:lang w:val="en-GB"/>
              </w:rPr>
            </w:pPr>
          </w:p>
          <w:p w:rsidR="006C4ADB" w:rsidRPr="00665C1C" w:rsidRDefault="003964A4" w:rsidP="00665C1C">
            <w:pPr>
              <w:jc w:val="both"/>
              <w:rPr>
                <w:rFonts w:ascii="Times New Roman" w:hAnsi="Times New Roman"/>
                <w:sz w:val="24"/>
                <w:szCs w:val="24"/>
                <w:lang w:val="en-GB"/>
              </w:rPr>
            </w:pPr>
            <w:r w:rsidRPr="00665C1C">
              <w:rPr>
                <w:rFonts w:ascii="Times New Roman" w:hAnsi="Times New Roman"/>
                <w:sz w:val="24"/>
                <w:szCs w:val="24"/>
                <w:lang w:val="en-GB"/>
              </w:rPr>
              <w:t>Please note that</w:t>
            </w:r>
            <w:r w:rsidR="00C86539" w:rsidRPr="00665C1C">
              <w:rPr>
                <w:rFonts w:ascii="Times New Roman" w:hAnsi="Times New Roman"/>
                <w:sz w:val="24"/>
                <w:szCs w:val="24"/>
                <w:lang w:val="en-GB"/>
              </w:rPr>
              <w:t xml:space="preserve"> the CA will establish the method of exemption of VAT. It </w:t>
            </w:r>
            <w:r w:rsidRPr="00665C1C">
              <w:rPr>
                <w:rFonts w:ascii="Times New Roman" w:hAnsi="Times New Roman"/>
                <w:sz w:val="24"/>
                <w:szCs w:val="24"/>
                <w:lang w:val="en-GB"/>
              </w:rPr>
              <w:t>will be</w:t>
            </w:r>
            <w:r w:rsidR="00C86539" w:rsidRPr="00665C1C">
              <w:rPr>
                <w:rFonts w:ascii="Times New Roman" w:hAnsi="Times New Roman"/>
                <w:sz w:val="24"/>
                <w:szCs w:val="24"/>
                <w:lang w:val="en-GB"/>
              </w:rPr>
              <w:t xml:space="preserve"> the applicants’ responsibility to apply these principles</w:t>
            </w:r>
            <w:r w:rsidRPr="00665C1C">
              <w:rPr>
                <w:rFonts w:ascii="Times New Roman" w:hAnsi="Times New Roman"/>
                <w:sz w:val="24"/>
                <w:szCs w:val="24"/>
                <w:lang w:val="en-GB"/>
              </w:rPr>
              <w:t>, within the framework of the above mentioned Annex J. If these provisions are not applied the</w:t>
            </w:r>
            <w:r w:rsidR="00C86539" w:rsidRPr="00665C1C">
              <w:rPr>
                <w:rFonts w:ascii="Times New Roman" w:hAnsi="Times New Roman"/>
                <w:sz w:val="24"/>
                <w:szCs w:val="24"/>
                <w:lang w:val="en-GB"/>
              </w:rPr>
              <w:t xml:space="preserve"> VAT will not be </w:t>
            </w:r>
            <w:r w:rsidR="00C86539" w:rsidRPr="00665C1C">
              <w:rPr>
                <w:rFonts w:ascii="Times New Roman" w:hAnsi="Times New Roman"/>
                <w:sz w:val="24"/>
                <w:szCs w:val="24"/>
                <w:lang w:val="en-GB"/>
              </w:rPr>
              <w:lastRenderedPageBreak/>
              <w:t>considered eligible cost under this CfP.</w:t>
            </w:r>
          </w:p>
        </w:tc>
      </w:tr>
      <w:tr w:rsidR="006C4ADB" w:rsidRPr="00665C1C" w:rsidTr="00802705">
        <w:trPr>
          <w:trHeight w:val="172"/>
        </w:trPr>
        <w:tc>
          <w:tcPr>
            <w:tcW w:w="980" w:type="dxa"/>
          </w:tcPr>
          <w:p w:rsidR="006C4ADB" w:rsidRPr="00665C1C" w:rsidRDefault="000977F7"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lastRenderedPageBreak/>
              <w:t>Q</w:t>
            </w:r>
            <w:r w:rsidR="005B0D71" w:rsidRPr="00665C1C">
              <w:rPr>
                <w:rFonts w:ascii="Times New Roman" w:hAnsi="Times New Roman"/>
                <w:b/>
                <w:sz w:val="24"/>
                <w:szCs w:val="24"/>
                <w:lang w:val="en-GB"/>
              </w:rPr>
              <w:t>5</w:t>
            </w:r>
          </w:p>
        </w:tc>
        <w:tc>
          <w:tcPr>
            <w:tcW w:w="8472" w:type="dxa"/>
          </w:tcPr>
          <w:p w:rsidR="006C4ADB"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Is registration in PADOR required?</w:t>
            </w:r>
          </w:p>
        </w:tc>
      </w:tr>
      <w:tr w:rsidR="00B800C5" w:rsidRPr="00665C1C" w:rsidTr="00802705">
        <w:trPr>
          <w:trHeight w:val="172"/>
        </w:trPr>
        <w:tc>
          <w:tcPr>
            <w:tcW w:w="980" w:type="dxa"/>
          </w:tcPr>
          <w:p w:rsidR="00B800C5" w:rsidRPr="00665C1C" w:rsidRDefault="00B800C5" w:rsidP="00665C1C">
            <w:pPr>
              <w:spacing w:after="0" w:line="240" w:lineRule="auto"/>
              <w:jc w:val="both"/>
              <w:rPr>
                <w:rFonts w:ascii="Times New Roman" w:hAnsi="Times New Roman"/>
                <w:b/>
                <w:sz w:val="24"/>
                <w:szCs w:val="24"/>
                <w:lang w:val="en-GB"/>
              </w:rPr>
            </w:pPr>
            <w:r w:rsidRPr="00665C1C">
              <w:rPr>
                <w:rFonts w:ascii="Times New Roman" w:hAnsi="Times New Roman"/>
                <w:sz w:val="24"/>
                <w:szCs w:val="24"/>
                <w:lang w:val="en-GB"/>
              </w:rPr>
              <w:t>A5</w:t>
            </w:r>
          </w:p>
        </w:tc>
        <w:tc>
          <w:tcPr>
            <w:tcW w:w="8472" w:type="dxa"/>
          </w:tcPr>
          <w:p w:rsidR="00162FD4" w:rsidRPr="00665C1C" w:rsidRDefault="0037379E"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Registration in PADOR is not necessary.</w:t>
            </w:r>
          </w:p>
          <w:p w:rsidR="00162FD4" w:rsidRPr="00665C1C" w:rsidRDefault="00162FD4" w:rsidP="00665C1C">
            <w:pPr>
              <w:spacing w:after="0" w:line="240" w:lineRule="auto"/>
              <w:jc w:val="both"/>
              <w:rPr>
                <w:rFonts w:ascii="Times New Roman" w:hAnsi="Times New Roman"/>
                <w:sz w:val="24"/>
                <w:szCs w:val="24"/>
                <w:lang w:val="en-GB"/>
              </w:rPr>
            </w:pPr>
          </w:p>
        </w:tc>
      </w:tr>
      <w:tr w:rsidR="00B800C5" w:rsidRPr="00665C1C" w:rsidTr="00802705">
        <w:trPr>
          <w:trHeight w:val="172"/>
        </w:trPr>
        <w:tc>
          <w:tcPr>
            <w:tcW w:w="980" w:type="dxa"/>
          </w:tcPr>
          <w:p w:rsidR="00B800C5" w:rsidRPr="00665C1C" w:rsidRDefault="00B800C5"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Q6</w:t>
            </w:r>
          </w:p>
        </w:tc>
        <w:tc>
          <w:tcPr>
            <w:tcW w:w="8472" w:type="dxa"/>
          </w:tcPr>
          <w:p w:rsidR="00B800C5"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Is it obligatory to submit documents contained in the part A of the Grant Application form again in the second phase (evaluation of the full application)?</w:t>
            </w:r>
          </w:p>
        </w:tc>
      </w:tr>
      <w:tr w:rsidR="000977F7" w:rsidRPr="00665C1C" w:rsidTr="00802705">
        <w:trPr>
          <w:trHeight w:val="172"/>
        </w:trPr>
        <w:tc>
          <w:tcPr>
            <w:tcW w:w="980" w:type="dxa"/>
          </w:tcPr>
          <w:p w:rsidR="000977F7" w:rsidRPr="00665C1C" w:rsidRDefault="00B800C5"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A6</w:t>
            </w:r>
          </w:p>
        </w:tc>
        <w:tc>
          <w:tcPr>
            <w:tcW w:w="8472" w:type="dxa"/>
          </w:tcPr>
          <w:p w:rsidR="00162FD4"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Refer to the section 2.2.5 of the GfA (Full applications)</w:t>
            </w:r>
            <w:r w:rsidR="00857374">
              <w:rPr>
                <w:rFonts w:ascii="Times New Roman" w:hAnsi="Times New Roman"/>
                <w:sz w:val="24"/>
                <w:szCs w:val="24"/>
                <w:lang w:val="en-GB"/>
              </w:rPr>
              <w:t xml:space="preserve"> stating that</w:t>
            </w:r>
            <w:r w:rsidRPr="00665C1C">
              <w:rPr>
                <w:rFonts w:ascii="Times New Roman" w:hAnsi="Times New Roman"/>
                <w:sz w:val="24"/>
                <w:szCs w:val="24"/>
                <w:lang w:val="en-GB"/>
              </w:rPr>
              <w:t>:</w:t>
            </w:r>
          </w:p>
          <w:p w:rsidR="00162FD4" w:rsidRPr="00665C1C" w:rsidRDefault="00326D54" w:rsidP="00665C1C">
            <w:pPr>
              <w:jc w:val="both"/>
              <w:rPr>
                <w:rFonts w:ascii="Times New Roman" w:hAnsi="Times New Roman"/>
                <w:sz w:val="24"/>
                <w:szCs w:val="24"/>
                <w:lang w:val="en-GB"/>
              </w:rPr>
            </w:pPr>
            <w:r w:rsidRPr="00665C1C">
              <w:rPr>
                <w:rFonts w:ascii="Times New Roman" w:hAnsi="Times New Roman"/>
                <w:sz w:val="24"/>
                <w:szCs w:val="24"/>
                <w:lang w:val="en-GB"/>
              </w:rPr>
              <w:t>”</w:t>
            </w:r>
            <w:r w:rsidR="00162FD4" w:rsidRPr="00665C1C">
              <w:rPr>
                <w:rFonts w:ascii="Times New Roman" w:hAnsi="Times New Roman"/>
                <w:sz w:val="24"/>
                <w:szCs w:val="24"/>
                <w:lang w:val="en-GB"/>
              </w:rPr>
              <w:t>Lead applicants invited to submit a full application following pre-selection of their concept note must do so using Part B of the grant application form annexed to these guidelines (Annex A).</w:t>
            </w:r>
          </w:p>
          <w:p w:rsidR="0053276B" w:rsidRPr="00665C1C" w:rsidRDefault="0053276B" w:rsidP="00665C1C">
            <w:pPr>
              <w:jc w:val="both"/>
              <w:rPr>
                <w:rFonts w:ascii="Times New Roman" w:hAnsi="Times New Roman"/>
                <w:sz w:val="24"/>
                <w:szCs w:val="24"/>
                <w:lang w:val="en-GB"/>
              </w:rPr>
            </w:pPr>
            <w:r w:rsidRPr="00665C1C">
              <w:rPr>
                <w:rFonts w:ascii="Times New Roman" w:hAnsi="Times New Roman"/>
                <w:sz w:val="24"/>
                <w:szCs w:val="24"/>
                <w:lang w:val="en-GB"/>
              </w:rPr>
              <w:t>.....</w:t>
            </w:r>
          </w:p>
          <w:p w:rsidR="0053276B" w:rsidRPr="00665C1C" w:rsidRDefault="00C86539" w:rsidP="00665C1C">
            <w:pPr>
              <w:jc w:val="both"/>
              <w:rPr>
                <w:rFonts w:ascii="Times New Roman" w:hAnsi="Times New Roman"/>
                <w:b/>
                <w:sz w:val="24"/>
                <w:szCs w:val="24"/>
                <w:lang w:val="en-GB" w:eastAsia="en-GB"/>
              </w:rPr>
            </w:pPr>
            <w:r w:rsidRPr="00665C1C">
              <w:rPr>
                <w:rFonts w:ascii="Times New Roman" w:hAnsi="Times New Roman"/>
                <w:b/>
                <w:sz w:val="24"/>
                <w:szCs w:val="24"/>
                <w:lang w:val="en-GB" w:eastAsia="en-GB"/>
              </w:rPr>
              <w:t>No additional annexes should be sent.</w:t>
            </w:r>
            <w:r w:rsidR="0053276B" w:rsidRPr="00665C1C">
              <w:rPr>
                <w:rFonts w:ascii="Times New Roman" w:hAnsi="Times New Roman"/>
                <w:b/>
                <w:sz w:val="24"/>
                <w:szCs w:val="24"/>
                <w:lang w:val="en-GB" w:eastAsia="en-GB"/>
              </w:rPr>
              <w:t xml:space="preserve"> ”</w:t>
            </w:r>
          </w:p>
        </w:tc>
      </w:tr>
      <w:tr w:rsidR="000977F7" w:rsidRPr="00665C1C" w:rsidTr="00802705">
        <w:trPr>
          <w:trHeight w:val="172"/>
        </w:trPr>
        <w:tc>
          <w:tcPr>
            <w:tcW w:w="980" w:type="dxa"/>
          </w:tcPr>
          <w:p w:rsidR="000977F7" w:rsidRPr="00665C1C" w:rsidRDefault="000977F7"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w:t>
            </w:r>
            <w:r w:rsidR="00F75709" w:rsidRPr="00665C1C">
              <w:rPr>
                <w:rFonts w:ascii="Times New Roman" w:hAnsi="Times New Roman"/>
                <w:b/>
                <w:sz w:val="24"/>
                <w:szCs w:val="24"/>
                <w:lang w:val="en-GB"/>
              </w:rPr>
              <w:t>7</w:t>
            </w:r>
          </w:p>
        </w:tc>
        <w:tc>
          <w:tcPr>
            <w:tcW w:w="8472" w:type="dxa"/>
          </w:tcPr>
          <w:p w:rsidR="000977F7"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In case of implementation of publicly recognised education programmes, should one of the applicants have a recognised licence (Montenegrin or international) at the time of the submission of the Concept Note?</w:t>
            </w:r>
          </w:p>
        </w:tc>
      </w:tr>
      <w:tr w:rsidR="000977F7" w:rsidRPr="00665C1C" w:rsidTr="00802705">
        <w:trPr>
          <w:trHeight w:val="172"/>
        </w:trPr>
        <w:tc>
          <w:tcPr>
            <w:tcW w:w="980" w:type="dxa"/>
          </w:tcPr>
          <w:p w:rsidR="000977F7" w:rsidRPr="00665C1C" w:rsidRDefault="000977F7"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w:t>
            </w:r>
            <w:r w:rsidR="00F75709" w:rsidRPr="00665C1C">
              <w:rPr>
                <w:rFonts w:ascii="Times New Roman" w:hAnsi="Times New Roman"/>
                <w:sz w:val="24"/>
                <w:szCs w:val="24"/>
                <w:lang w:val="en-GB"/>
              </w:rPr>
              <w:t>7</w:t>
            </w:r>
          </w:p>
        </w:tc>
        <w:tc>
          <w:tcPr>
            <w:tcW w:w="8472" w:type="dxa"/>
          </w:tcPr>
          <w:p w:rsidR="000977F7" w:rsidRPr="00665C1C" w:rsidRDefault="00AB52C3" w:rsidP="00D3510F">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 xml:space="preserve">A lead applicant whose application has been provisionally selected or placed on the reserve list will be informed in writing by the Contracting Authority in order to supply the documents (including licence) to the Contracting Authority to verify the eligibility of the lead applicant, of the co-applicant(s) and (if any) of their affiliated entity(ies). Therefore, no evidence will be requested at the Concept Note </w:t>
            </w:r>
            <w:r w:rsidR="00857374">
              <w:rPr>
                <w:rFonts w:ascii="Times New Roman" w:hAnsi="Times New Roman"/>
                <w:sz w:val="24"/>
                <w:szCs w:val="24"/>
                <w:lang w:val="en-GB"/>
              </w:rPr>
              <w:t xml:space="preserve">submission </w:t>
            </w:r>
            <w:r w:rsidRPr="00665C1C">
              <w:rPr>
                <w:rFonts w:ascii="Times New Roman" w:hAnsi="Times New Roman"/>
                <w:sz w:val="24"/>
                <w:szCs w:val="24"/>
                <w:lang w:val="en-GB"/>
              </w:rPr>
              <w:t>stage. Please refer to the section 2.4. of the GfA.</w:t>
            </w:r>
            <w:r w:rsidR="00A405F4" w:rsidRPr="00665C1C">
              <w:rPr>
                <w:rFonts w:ascii="Times New Roman" w:hAnsi="Times New Roman"/>
                <w:sz w:val="24"/>
                <w:szCs w:val="24"/>
                <w:lang w:val="en-GB"/>
              </w:rPr>
              <w:t xml:space="preserve"> </w:t>
            </w:r>
          </w:p>
        </w:tc>
      </w:tr>
      <w:tr w:rsidR="00B974C9" w:rsidRPr="00665C1C" w:rsidTr="00802705">
        <w:trPr>
          <w:trHeight w:val="181"/>
        </w:trPr>
        <w:tc>
          <w:tcPr>
            <w:tcW w:w="980" w:type="dxa"/>
          </w:tcPr>
          <w:p w:rsidR="00B974C9" w:rsidRPr="00665C1C" w:rsidRDefault="00B974C9"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w:t>
            </w:r>
            <w:r w:rsidR="005B0D71" w:rsidRPr="00665C1C">
              <w:rPr>
                <w:rFonts w:ascii="Times New Roman" w:hAnsi="Times New Roman"/>
                <w:b/>
                <w:sz w:val="24"/>
                <w:szCs w:val="24"/>
                <w:lang w:val="en-GB"/>
              </w:rPr>
              <w:t>8</w:t>
            </w:r>
          </w:p>
        </w:tc>
        <w:tc>
          <w:tcPr>
            <w:tcW w:w="8472" w:type="dxa"/>
          </w:tcPr>
          <w:p w:rsidR="00B974C9"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What will be the dynamics of payment after the signature of the contract?</w:t>
            </w:r>
          </w:p>
        </w:tc>
      </w:tr>
      <w:tr w:rsidR="00B974C9" w:rsidRPr="00665C1C" w:rsidTr="00802705">
        <w:trPr>
          <w:trHeight w:val="181"/>
        </w:trPr>
        <w:tc>
          <w:tcPr>
            <w:tcW w:w="980" w:type="dxa"/>
          </w:tcPr>
          <w:p w:rsidR="00B974C9" w:rsidRPr="00665C1C" w:rsidRDefault="00B974C9"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w:t>
            </w:r>
            <w:r w:rsidR="005B0D71" w:rsidRPr="00665C1C">
              <w:rPr>
                <w:rFonts w:ascii="Times New Roman" w:hAnsi="Times New Roman"/>
                <w:sz w:val="24"/>
                <w:szCs w:val="24"/>
                <w:lang w:val="en-GB"/>
              </w:rPr>
              <w:t>8</w:t>
            </w:r>
          </w:p>
        </w:tc>
        <w:tc>
          <w:tcPr>
            <w:tcW w:w="8472" w:type="dxa"/>
          </w:tcPr>
          <w:p w:rsidR="00B974C9"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 xml:space="preserve">For actions </w:t>
            </w:r>
            <w:r w:rsidR="003C06B2" w:rsidRPr="00665C1C">
              <w:rPr>
                <w:rFonts w:ascii="Times New Roman" w:hAnsi="Times New Roman"/>
                <w:sz w:val="24"/>
                <w:szCs w:val="24"/>
                <w:lang w:val="en-GB"/>
              </w:rPr>
              <w:t>within this Call for Proposals</w:t>
            </w:r>
            <w:r w:rsidRPr="00665C1C">
              <w:rPr>
                <w:rFonts w:ascii="Times New Roman" w:hAnsi="Times New Roman"/>
                <w:sz w:val="24"/>
                <w:szCs w:val="24"/>
                <w:lang w:val="en-GB"/>
              </w:rPr>
              <w:t>, 80% of CA contribution (grant), excluding contingencies will be provided as initial pre-financing payment.</w:t>
            </w:r>
            <w:r w:rsidR="003C06B2" w:rsidRPr="00665C1C">
              <w:rPr>
                <w:rFonts w:ascii="Times New Roman" w:hAnsi="Times New Roman"/>
                <w:sz w:val="24"/>
                <w:szCs w:val="24"/>
                <w:lang w:val="en-GB"/>
              </w:rPr>
              <w:t xml:space="preserve"> The balance of the final amount of the grant will be provided after the approval of final reports</w:t>
            </w:r>
            <w:r w:rsidR="003B45F8" w:rsidRPr="00665C1C">
              <w:rPr>
                <w:rFonts w:ascii="Times New Roman" w:hAnsi="Times New Roman"/>
                <w:sz w:val="24"/>
                <w:szCs w:val="24"/>
                <w:lang w:val="en-GB"/>
              </w:rPr>
              <w:t>.</w:t>
            </w:r>
            <w:r w:rsidR="003C06B2" w:rsidRPr="00665C1C">
              <w:rPr>
                <w:rFonts w:ascii="Times New Roman" w:hAnsi="Times New Roman"/>
                <w:sz w:val="24"/>
                <w:szCs w:val="24"/>
                <w:lang w:val="en-GB"/>
              </w:rPr>
              <w:t xml:space="preserve"> </w:t>
            </w:r>
          </w:p>
        </w:tc>
      </w:tr>
      <w:tr w:rsidR="000977F7" w:rsidRPr="00665C1C" w:rsidTr="00802705">
        <w:trPr>
          <w:trHeight w:val="181"/>
        </w:trPr>
        <w:tc>
          <w:tcPr>
            <w:tcW w:w="980" w:type="dxa"/>
          </w:tcPr>
          <w:p w:rsidR="000977F7" w:rsidRPr="00665C1C" w:rsidRDefault="000977F7"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w:t>
            </w:r>
            <w:r w:rsidR="005B0D71" w:rsidRPr="00665C1C">
              <w:rPr>
                <w:rFonts w:ascii="Times New Roman" w:hAnsi="Times New Roman"/>
                <w:b/>
                <w:sz w:val="24"/>
                <w:szCs w:val="24"/>
                <w:lang w:val="en-GB"/>
              </w:rPr>
              <w:t>9</w:t>
            </w:r>
          </w:p>
        </w:tc>
        <w:tc>
          <w:tcPr>
            <w:tcW w:w="8472" w:type="dxa"/>
          </w:tcPr>
          <w:p w:rsidR="000977F7"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Are public institutions, such as day care centre, eligible as applicants under this CfP?</w:t>
            </w:r>
          </w:p>
        </w:tc>
      </w:tr>
      <w:tr w:rsidR="000977F7" w:rsidRPr="00665C1C" w:rsidTr="00802705">
        <w:trPr>
          <w:trHeight w:val="181"/>
        </w:trPr>
        <w:tc>
          <w:tcPr>
            <w:tcW w:w="980" w:type="dxa"/>
          </w:tcPr>
          <w:p w:rsidR="000977F7" w:rsidRPr="00665C1C" w:rsidRDefault="000977F7"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w:t>
            </w:r>
            <w:r w:rsidR="005B0D71" w:rsidRPr="00665C1C">
              <w:rPr>
                <w:rFonts w:ascii="Times New Roman" w:hAnsi="Times New Roman"/>
                <w:sz w:val="24"/>
                <w:szCs w:val="24"/>
                <w:lang w:val="en-GB"/>
              </w:rPr>
              <w:t>9</w:t>
            </w:r>
          </w:p>
        </w:tc>
        <w:tc>
          <w:tcPr>
            <w:tcW w:w="8472" w:type="dxa"/>
          </w:tcPr>
          <w:p w:rsidR="008A7E06" w:rsidRPr="00665C1C" w:rsidRDefault="008A7E06" w:rsidP="00665C1C">
            <w:pPr>
              <w:jc w:val="both"/>
              <w:rPr>
                <w:rFonts w:ascii="Times New Roman" w:eastAsia="Calibri" w:hAnsi="Times New Roman"/>
                <w:sz w:val="24"/>
                <w:szCs w:val="24"/>
                <w:lang w:val="en-GB"/>
              </w:rPr>
            </w:pPr>
            <w:r w:rsidRPr="00665C1C">
              <w:rPr>
                <w:rFonts w:ascii="Times New Roman" w:eastAsia="Calibri" w:hAnsi="Times New Roman"/>
                <w:sz w:val="24"/>
                <w:szCs w:val="24"/>
                <w:lang w:val="en-GB"/>
              </w:rPr>
              <w:t>To ensure equa</w:t>
            </w:r>
            <w:r w:rsidR="005639BE" w:rsidRPr="00665C1C">
              <w:rPr>
                <w:rFonts w:ascii="Times New Roman" w:eastAsia="Calibri" w:hAnsi="Times New Roman"/>
                <w:sz w:val="24"/>
                <w:szCs w:val="24"/>
                <w:lang w:val="en-GB"/>
              </w:rPr>
              <w:t>l treatment of applicants, the C</w:t>
            </w:r>
            <w:r w:rsidRPr="00665C1C">
              <w:rPr>
                <w:rFonts w:ascii="Times New Roman" w:eastAsia="Calibri" w:hAnsi="Times New Roman"/>
                <w:sz w:val="24"/>
                <w:szCs w:val="24"/>
                <w:lang w:val="en-GB"/>
              </w:rPr>
              <w:t xml:space="preserve">ontracting Authority cannot give a prior opinion on the eligibility of lead applicants, co-applicants, affiliated entity(ies), or an action. </w:t>
            </w:r>
          </w:p>
          <w:p w:rsidR="00B664E0" w:rsidRPr="00665C1C" w:rsidRDefault="00C86539" w:rsidP="00665C1C">
            <w:pPr>
              <w:jc w:val="both"/>
              <w:rPr>
                <w:rFonts w:ascii="Times New Roman" w:eastAsia="Calibri" w:hAnsi="Times New Roman"/>
                <w:sz w:val="24"/>
                <w:szCs w:val="24"/>
                <w:lang w:val="en-GB"/>
              </w:rPr>
            </w:pPr>
            <w:r w:rsidRPr="00665C1C">
              <w:rPr>
                <w:rFonts w:ascii="Times New Roman" w:eastAsia="Calibri" w:hAnsi="Times New Roman"/>
                <w:sz w:val="24"/>
                <w:szCs w:val="24"/>
                <w:lang w:val="en-GB"/>
              </w:rPr>
              <w:t>Please note that, to be eligible, an applicant has to fulfil all eligibility criteria as</w:t>
            </w:r>
            <w:r w:rsidR="008F61DE" w:rsidRPr="00665C1C">
              <w:rPr>
                <w:rFonts w:ascii="Times New Roman" w:eastAsia="Calibri" w:hAnsi="Times New Roman"/>
                <w:sz w:val="24"/>
                <w:szCs w:val="24"/>
                <w:lang w:val="en-GB"/>
              </w:rPr>
              <w:t xml:space="preserve"> </w:t>
            </w:r>
            <w:r w:rsidRPr="00665C1C">
              <w:rPr>
                <w:rFonts w:ascii="Times New Roman" w:eastAsia="Calibri" w:hAnsi="Times New Roman"/>
                <w:sz w:val="24"/>
                <w:szCs w:val="24"/>
                <w:lang w:val="en-GB"/>
              </w:rPr>
              <w:t>defined in section 2.1.1 of the GfA</w:t>
            </w:r>
            <w:r w:rsidR="008A7E06" w:rsidRPr="00665C1C">
              <w:rPr>
                <w:rFonts w:ascii="Times New Roman" w:eastAsia="Calibri" w:hAnsi="Times New Roman"/>
                <w:sz w:val="24"/>
                <w:szCs w:val="24"/>
                <w:lang w:val="en-GB"/>
              </w:rPr>
              <w:t>.</w:t>
            </w:r>
          </w:p>
        </w:tc>
      </w:tr>
      <w:tr w:rsidR="000977F7" w:rsidRPr="00665C1C" w:rsidTr="00802705">
        <w:trPr>
          <w:trHeight w:val="181"/>
        </w:trPr>
        <w:tc>
          <w:tcPr>
            <w:tcW w:w="980" w:type="dxa"/>
          </w:tcPr>
          <w:p w:rsidR="000977F7" w:rsidRPr="00665C1C" w:rsidRDefault="005B0D71"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Q10</w:t>
            </w:r>
          </w:p>
        </w:tc>
        <w:tc>
          <w:tcPr>
            <w:tcW w:w="8472" w:type="dxa"/>
          </w:tcPr>
          <w:p w:rsidR="000977F7"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Are costs of participants of the trainings eligible under this CfP?</w:t>
            </w:r>
          </w:p>
        </w:tc>
      </w:tr>
      <w:tr w:rsidR="000977F7" w:rsidRPr="00665C1C" w:rsidTr="00802705">
        <w:trPr>
          <w:trHeight w:val="181"/>
        </w:trPr>
        <w:tc>
          <w:tcPr>
            <w:tcW w:w="980" w:type="dxa"/>
          </w:tcPr>
          <w:p w:rsidR="000977F7" w:rsidRPr="00665C1C" w:rsidRDefault="005B0D71"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A10</w:t>
            </w:r>
          </w:p>
        </w:tc>
        <w:tc>
          <w:tcPr>
            <w:tcW w:w="8472" w:type="dxa"/>
          </w:tcPr>
          <w:p w:rsidR="00B664E0"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Refer to sub-Article 14.2 of the General Conditions (Eligible direct cost), where it is stated that:</w:t>
            </w:r>
          </w:p>
          <w:p w:rsidR="002C0332"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lastRenderedPageBreak/>
              <w:t>“Subject to Article 14.1 and, where relevant, to the provisions of Annex IV being respected, the following direct costs of the Beneficiary(ies) shall be eligible:</w:t>
            </w:r>
          </w:p>
          <w:p w:rsidR="00B664E0"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b) travel and subsistence costs for staff and other persons taking part in the Action, provided they do not exceed those normally borne by the Beneficiary(ies) according to its rules and regulations, or the rates published by the European Commission at the time of such mission if reimbursed on the basis of simplified cost options”</w:t>
            </w:r>
          </w:p>
        </w:tc>
      </w:tr>
      <w:tr w:rsidR="000977F7" w:rsidRPr="00665C1C" w:rsidTr="00802705">
        <w:trPr>
          <w:trHeight w:val="181"/>
        </w:trPr>
        <w:tc>
          <w:tcPr>
            <w:tcW w:w="980" w:type="dxa"/>
          </w:tcPr>
          <w:p w:rsidR="000977F7" w:rsidRPr="00665C1C" w:rsidRDefault="005B0D71"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lastRenderedPageBreak/>
              <w:t>Q11</w:t>
            </w:r>
          </w:p>
        </w:tc>
        <w:tc>
          <w:tcPr>
            <w:tcW w:w="8472" w:type="dxa"/>
          </w:tcPr>
          <w:p w:rsidR="000977F7"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 xml:space="preserve">Can statute of an organisation be changed during the evaluation procedure for the CfP? </w:t>
            </w:r>
          </w:p>
        </w:tc>
      </w:tr>
      <w:tr w:rsidR="005B0D71" w:rsidRPr="00665C1C" w:rsidTr="00802705">
        <w:trPr>
          <w:trHeight w:val="181"/>
        </w:trPr>
        <w:tc>
          <w:tcPr>
            <w:tcW w:w="980" w:type="dxa"/>
          </w:tcPr>
          <w:p w:rsidR="005B0D71" w:rsidRPr="00665C1C" w:rsidRDefault="005B0D71"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A11</w:t>
            </w:r>
          </w:p>
        </w:tc>
        <w:tc>
          <w:tcPr>
            <w:tcW w:w="8472" w:type="dxa"/>
          </w:tcPr>
          <w:p w:rsidR="005B0D71" w:rsidRPr="00665C1C" w:rsidRDefault="00847BE9" w:rsidP="00665C1C">
            <w:pPr>
              <w:jc w:val="both"/>
              <w:rPr>
                <w:rFonts w:ascii="Times New Roman" w:hAnsi="Times New Roman"/>
                <w:sz w:val="24"/>
                <w:szCs w:val="24"/>
                <w:lang w:val="en-GB"/>
              </w:rPr>
            </w:pPr>
            <w:r w:rsidRPr="00665C1C">
              <w:rPr>
                <w:rFonts w:ascii="Times New Roman" w:hAnsi="Times New Roman"/>
                <w:sz w:val="24"/>
                <w:szCs w:val="24"/>
                <w:lang w:val="en-GB"/>
              </w:rPr>
              <w:t>As long as the eligibility criteria are met, the candidate is free to provide all available documents.</w:t>
            </w:r>
            <w:r w:rsidR="00C86539" w:rsidRPr="00665C1C">
              <w:rPr>
                <w:rFonts w:ascii="Times New Roman" w:hAnsi="Times New Roman"/>
                <w:sz w:val="24"/>
                <w:szCs w:val="24"/>
                <w:lang w:val="en-GB"/>
              </w:rPr>
              <w:t xml:space="preserve"> </w:t>
            </w:r>
          </w:p>
        </w:tc>
      </w:tr>
      <w:tr w:rsidR="005B0D71" w:rsidRPr="00665C1C" w:rsidTr="00802705">
        <w:trPr>
          <w:trHeight w:val="181"/>
        </w:trPr>
        <w:tc>
          <w:tcPr>
            <w:tcW w:w="980" w:type="dxa"/>
          </w:tcPr>
          <w:p w:rsidR="005B0D71" w:rsidRPr="00665C1C" w:rsidRDefault="005B0D71"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Q12</w:t>
            </w:r>
          </w:p>
        </w:tc>
        <w:tc>
          <w:tcPr>
            <w:tcW w:w="8472" w:type="dxa"/>
          </w:tcPr>
          <w:p w:rsidR="005B0D71"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Are applicants required to calculate contingency reserve in the budget table or is this calculation only an option?</w:t>
            </w:r>
          </w:p>
        </w:tc>
      </w:tr>
      <w:tr w:rsidR="005B0D71" w:rsidRPr="00665C1C" w:rsidTr="00802705">
        <w:trPr>
          <w:trHeight w:val="2366"/>
        </w:trPr>
        <w:tc>
          <w:tcPr>
            <w:tcW w:w="980" w:type="dxa"/>
          </w:tcPr>
          <w:p w:rsidR="005B0D71" w:rsidRPr="00665C1C" w:rsidRDefault="005B0D71"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A12</w:t>
            </w:r>
          </w:p>
        </w:tc>
        <w:tc>
          <w:tcPr>
            <w:tcW w:w="8472" w:type="dxa"/>
          </w:tcPr>
          <w:p w:rsidR="009C3947" w:rsidRPr="00665C1C" w:rsidRDefault="00C86539" w:rsidP="00665C1C">
            <w:pPr>
              <w:jc w:val="both"/>
              <w:rPr>
                <w:rFonts w:ascii="Times New Roman" w:hAnsi="Times New Roman"/>
                <w:bCs/>
                <w:sz w:val="24"/>
                <w:szCs w:val="24"/>
                <w:lang w:val="en-GB"/>
              </w:rPr>
            </w:pPr>
            <w:r w:rsidRPr="00665C1C">
              <w:rPr>
                <w:rFonts w:ascii="Times New Roman" w:hAnsi="Times New Roman"/>
                <w:sz w:val="24"/>
                <w:szCs w:val="24"/>
                <w:lang w:val="en-GB"/>
              </w:rPr>
              <w:t>Refer to the article 14 of the General Conditions (</w:t>
            </w:r>
            <w:r w:rsidRPr="00665C1C">
              <w:rPr>
                <w:rFonts w:ascii="Times New Roman" w:hAnsi="Times New Roman"/>
                <w:bCs/>
                <w:sz w:val="24"/>
                <w:szCs w:val="24"/>
                <w:lang w:val="en-GB"/>
              </w:rPr>
              <w:t>Contingency reserve):</w:t>
            </w:r>
          </w:p>
          <w:p w:rsidR="00F87180" w:rsidRPr="00665C1C" w:rsidRDefault="00C86539" w:rsidP="00665C1C">
            <w:pPr>
              <w:jc w:val="both"/>
              <w:rPr>
                <w:rFonts w:ascii="Times New Roman" w:hAnsi="Times New Roman"/>
                <w:sz w:val="24"/>
                <w:szCs w:val="24"/>
                <w:lang w:val="en-GB"/>
              </w:rPr>
            </w:pPr>
            <w:r w:rsidRPr="00857374">
              <w:rPr>
                <w:rFonts w:ascii="Times New Roman" w:hAnsi="Times New Roman"/>
                <w:bCs/>
                <w:sz w:val="24"/>
                <w:szCs w:val="24"/>
                <w:lang w:val="en-GB"/>
              </w:rPr>
              <w:t>”</w:t>
            </w:r>
            <w:r w:rsidRPr="00665C1C">
              <w:rPr>
                <w:rFonts w:ascii="Times New Roman" w:hAnsi="Times New Roman"/>
                <w:sz w:val="24"/>
                <w:szCs w:val="24"/>
                <w:lang w:val="en-GB"/>
              </w:rPr>
              <w:t xml:space="preserve">A reserve for contingencies and/or possible fluctuations in exchange rates not exceeding 5% of the direct eligible costs </w:t>
            </w:r>
            <w:r w:rsidRPr="00665C1C">
              <w:rPr>
                <w:rFonts w:ascii="Times New Roman" w:hAnsi="Times New Roman"/>
                <w:b/>
                <w:sz w:val="24"/>
                <w:szCs w:val="24"/>
                <w:lang w:val="en-GB"/>
              </w:rPr>
              <w:t>may be</w:t>
            </w:r>
            <w:r w:rsidRPr="00665C1C">
              <w:rPr>
                <w:rFonts w:ascii="Times New Roman" w:hAnsi="Times New Roman"/>
                <w:sz w:val="24"/>
                <w:szCs w:val="24"/>
                <w:lang w:val="en-GB"/>
              </w:rPr>
              <w:t xml:space="preserve"> included in the budget for the Action, to allow for adjustments necessary in the light of unforeseeable changes of circumstances on the ground. It can be used only with the prior written authorization of the Contracting Authority, upon duly justified request by the Coordinator.”</w:t>
            </w:r>
          </w:p>
          <w:p w:rsidR="00847BE9" w:rsidRPr="00665C1C" w:rsidRDefault="00847BE9" w:rsidP="00665C1C">
            <w:pPr>
              <w:jc w:val="both"/>
              <w:rPr>
                <w:rFonts w:ascii="Times New Roman" w:hAnsi="Times New Roman"/>
                <w:b/>
                <w:bCs/>
                <w:sz w:val="24"/>
                <w:szCs w:val="24"/>
                <w:lang w:val="en-GB"/>
              </w:rPr>
            </w:pPr>
            <w:r w:rsidRPr="00665C1C">
              <w:rPr>
                <w:rFonts w:ascii="Times New Roman" w:hAnsi="Times New Roman"/>
                <w:sz w:val="24"/>
                <w:szCs w:val="24"/>
                <w:lang w:val="en-GB"/>
              </w:rPr>
              <w:t>Please be aware of fact the request for using this budget line should be duly justified, also in the budget submitted in the application.</w:t>
            </w:r>
          </w:p>
        </w:tc>
      </w:tr>
      <w:tr w:rsidR="005B0D71" w:rsidRPr="00665C1C" w:rsidTr="00802705">
        <w:trPr>
          <w:trHeight w:val="181"/>
        </w:trPr>
        <w:tc>
          <w:tcPr>
            <w:tcW w:w="980" w:type="dxa"/>
          </w:tcPr>
          <w:p w:rsidR="005B0D71" w:rsidRPr="00665C1C" w:rsidRDefault="005B0D71"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Q13</w:t>
            </w:r>
          </w:p>
        </w:tc>
        <w:tc>
          <w:tcPr>
            <w:tcW w:w="8472" w:type="dxa"/>
          </w:tcPr>
          <w:p w:rsidR="005B0D71" w:rsidRPr="00665C1C" w:rsidRDefault="00783995" w:rsidP="00665C1C">
            <w:pPr>
              <w:jc w:val="both"/>
              <w:rPr>
                <w:rFonts w:ascii="Times New Roman" w:hAnsi="Times New Roman"/>
                <w:b/>
                <w:sz w:val="24"/>
                <w:szCs w:val="24"/>
                <w:lang w:val="en-GB"/>
              </w:rPr>
            </w:pPr>
            <w:r w:rsidRPr="00665C1C">
              <w:rPr>
                <w:rFonts w:ascii="Times New Roman" w:hAnsi="Times New Roman"/>
                <w:b/>
                <w:sz w:val="24"/>
                <w:szCs w:val="24"/>
                <w:lang w:val="en-GB"/>
              </w:rPr>
              <w:t xml:space="preserve">What does added value </w:t>
            </w:r>
            <w:r w:rsidR="00C86539" w:rsidRPr="00665C1C">
              <w:rPr>
                <w:rFonts w:ascii="Times New Roman" w:hAnsi="Times New Roman"/>
                <w:b/>
                <w:sz w:val="24"/>
                <w:szCs w:val="24"/>
                <w:lang w:val="en-GB"/>
              </w:rPr>
              <w:t>means from the perspective of the evaluation of the Concept Note?</w:t>
            </w:r>
          </w:p>
        </w:tc>
      </w:tr>
      <w:tr w:rsidR="005B0D71" w:rsidRPr="00665C1C" w:rsidTr="00802705">
        <w:trPr>
          <w:trHeight w:val="181"/>
        </w:trPr>
        <w:tc>
          <w:tcPr>
            <w:tcW w:w="980" w:type="dxa"/>
          </w:tcPr>
          <w:p w:rsidR="005B0D71" w:rsidRPr="00665C1C" w:rsidRDefault="005B0D71"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A13</w:t>
            </w:r>
          </w:p>
        </w:tc>
        <w:tc>
          <w:tcPr>
            <w:tcW w:w="8472" w:type="dxa"/>
          </w:tcPr>
          <w:p w:rsidR="000C5B4F" w:rsidRPr="00665C1C" w:rsidRDefault="000C5B4F" w:rsidP="00665C1C">
            <w:pPr>
              <w:jc w:val="both"/>
              <w:rPr>
                <w:rFonts w:ascii="Times New Roman" w:hAnsi="Times New Roman"/>
                <w:sz w:val="24"/>
                <w:szCs w:val="24"/>
                <w:lang w:val="en-GB"/>
              </w:rPr>
            </w:pPr>
            <w:r w:rsidRPr="00665C1C">
              <w:rPr>
                <w:rFonts w:ascii="Times New Roman" w:hAnsi="Times New Roman"/>
                <w:sz w:val="24"/>
                <w:szCs w:val="24"/>
                <w:lang w:val="en-GB"/>
              </w:rPr>
              <w:t>Added value implies that the project contains elements which will improve the promotion or consolidation of public-private partnerships, innovation and best practice, environmental issues, promotion of gender equality and equal opportunities, needs of disabled people, rights of minorities and rights of indigenous peoples, or innovation and best practices or other cross-cutting issues.</w:t>
            </w:r>
          </w:p>
        </w:tc>
      </w:tr>
      <w:tr w:rsidR="00FB7A11" w:rsidRPr="00665C1C" w:rsidTr="00802705">
        <w:trPr>
          <w:trHeight w:val="181"/>
        </w:trPr>
        <w:tc>
          <w:tcPr>
            <w:tcW w:w="980" w:type="dxa"/>
          </w:tcPr>
          <w:p w:rsidR="00FB7A11" w:rsidRPr="00665C1C" w:rsidRDefault="00FB7A11"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w:t>
            </w:r>
            <w:r w:rsidR="005B0D71" w:rsidRPr="00665C1C">
              <w:rPr>
                <w:rFonts w:ascii="Times New Roman" w:hAnsi="Times New Roman"/>
                <w:b/>
                <w:sz w:val="24"/>
                <w:szCs w:val="24"/>
                <w:lang w:val="en-GB"/>
              </w:rPr>
              <w:t>14</w:t>
            </w:r>
          </w:p>
        </w:tc>
        <w:tc>
          <w:tcPr>
            <w:tcW w:w="8472" w:type="dxa"/>
          </w:tcPr>
          <w:p w:rsidR="00FB7A11"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 xml:space="preserve">For which phase </w:t>
            </w:r>
            <w:r w:rsidR="002C0332" w:rsidRPr="00665C1C">
              <w:rPr>
                <w:rFonts w:ascii="Times New Roman" w:hAnsi="Times New Roman"/>
                <w:b/>
                <w:sz w:val="24"/>
                <w:szCs w:val="24"/>
                <w:lang w:val="en-GB"/>
              </w:rPr>
              <w:t>the “Licence</w:t>
            </w:r>
            <w:r w:rsidRPr="00665C1C">
              <w:rPr>
                <w:rFonts w:ascii="Times New Roman" w:hAnsi="Times New Roman"/>
                <w:b/>
                <w:sz w:val="24"/>
                <w:szCs w:val="24"/>
                <w:lang w:val="en-GB"/>
              </w:rPr>
              <w:t xml:space="preserve"> for entities providing educational and vocational trainings” will be requested to submit from the provisionally selected applicants?</w:t>
            </w:r>
          </w:p>
        </w:tc>
      </w:tr>
      <w:tr w:rsidR="00FB7A11" w:rsidRPr="00665C1C" w:rsidTr="00802705">
        <w:trPr>
          <w:trHeight w:val="181"/>
        </w:trPr>
        <w:tc>
          <w:tcPr>
            <w:tcW w:w="980" w:type="dxa"/>
          </w:tcPr>
          <w:p w:rsidR="00FB7A11" w:rsidRPr="00665C1C" w:rsidRDefault="00FB7A11"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w:t>
            </w:r>
            <w:r w:rsidR="005B0D71" w:rsidRPr="00665C1C">
              <w:rPr>
                <w:rFonts w:ascii="Times New Roman" w:hAnsi="Times New Roman"/>
                <w:sz w:val="24"/>
                <w:szCs w:val="24"/>
                <w:lang w:val="en-GB"/>
              </w:rPr>
              <w:t>14</w:t>
            </w:r>
          </w:p>
        </w:tc>
        <w:tc>
          <w:tcPr>
            <w:tcW w:w="8472" w:type="dxa"/>
          </w:tcPr>
          <w:p w:rsidR="00AB52C3" w:rsidRPr="00665C1C" w:rsidRDefault="00813403"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 xml:space="preserve">Please refer to A7. </w:t>
            </w:r>
          </w:p>
        </w:tc>
      </w:tr>
      <w:tr w:rsidR="0035307A" w:rsidRPr="00665C1C" w:rsidTr="00802705">
        <w:trPr>
          <w:trHeight w:val="416"/>
        </w:trPr>
        <w:tc>
          <w:tcPr>
            <w:tcW w:w="980" w:type="dxa"/>
          </w:tcPr>
          <w:p w:rsidR="0035307A" w:rsidRPr="00665C1C" w:rsidRDefault="0035307A" w:rsidP="00665C1C">
            <w:pPr>
              <w:jc w:val="both"/>
              <w:rPr>
                <w:rFonts w:ascii="Times New Roman" w:hAnsi="Times New Roman"/>
                <w:b/>
                <w:sz w:val="24"/>
                <w:szCs w:val="24"/>
                <w:lang w:val="en-GB"/>
              </w:rPr>
            </w:pPr>
            <w:r w:rsidRPr="00665C1C">
              <w:rPr>
                <w:rFonts w:ascii="Times New Roman" w:hAnsi="Times New Roman"/>
                <w:b/>
                <w:sz w:val="24"/>
                <w:szCs w:val="24"/>
                <w:lang w:val="en-GB"/>
              </w:rPr>
              <w:t>Q</w:t>
            </w:r>
            <w:r w:rsidR="00C86539" w:rsidRPr="00665C1C">
              <w:rPr>
                <w:rFonts w:ascii="Times New Roman" w:hAnsi="Times New Roman"/>
                <w:b/>
                <w:sz w:val="24"/>
                <w:szCs w:val="24"/>
                <w:lang w:val="en-GB"/>
              </w:rPr>
              <w:t>15</w:t>
            </w:r>
          </w:p>
        </w:tc>
        <w:tc>
          <w:tcPr>
            <w:tcW w:w="8472" w:type="dxa"/>
          </w:tcPr>
          <w:p w:rsidR="0035307A"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 xml:space="preserve">When is a deadline for submission of full applications? </w:t>
            </w:r>
          </w:p>
        </w:tc>
      </w:tr>
      <w:tr w:rsidR="0035307A" w:rsidRPr="00665C1C" w:rsidTr="00802705">
        <w:trPr>
          <w:trHeight w:val="181"/>
        </w:trPr>
        <w:tc>
          <w:tcPr>
            <w:tcW w:w="980" w:type="dxa"/>
          </w:tcPr>
          <w:p w:rsidR="0035307A" w:rsidRPr="00665C1C" w:rsidRDefault="0035307A"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w:t>
            </w:r>
            <w:r w:rsidR="005B0D71" w:rsidRPr="00665C1C">
              <w:rPr>
                <w:rFonts w:ascii="Times New Roman" w:hAnsi="Times New Roman"/>
                <w:sz w:val="24"/>
                <w:szCs w:val="24"/>
                <w:lang w:val="en-GB"/>
              </w:rPr>
              <w:t>15</w:t>
            </w:r>
          </w:p>
        </w:tc>
        <w:tc>
          <w:tcPr>
            <w:tcW w:w="8472" w:type="dxa"/>
          </w:tcPr>
          <w:p w:rsidR="00F87180"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Refer to the section 2.2.7 of the GfA (Deadline for submission of full applications):</w:t>
            </w:r>
          </w:p>
          <w:p w:rsidR="00F87180"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 xml:space="preserve">“The deadline for the submission of full applications </w:t>
            </w:r>
            <w:r w:rsidRPr="00665C1C">
              <w:rPr>
                <w:rFonts w:ascii="Times New Roman" w:hAnsi="Times New Roman"/>
                <w:b/>
                <w:sz w:val="24"/>
                <w:szCs w:val="24"/>
                <w:lang w:val="en-GB"/>
              </w:rPr>
              <w:t xml:space="preserve">will be indicated in the letter </w:t>
            </w:r>
            <w:r w:rsidRPr="00665C1C">
              <w:rPr>
                <w:rFonts w:ascii="Times New Roman" w:hAnsi="Times New Roman"/>
                <w:b/>
                <w:sz w:val="24"/>
                <w:szCs w:val="24"/>
                <w:lang w:val="en-GB"/>
              </w:rPr>
              <w:lastRenderedPageBreak/>
              <w:t>sent to the lead applicants whose application has been pre-selected</w:t>
            </w:r>
            <w:r w:rsidRPr="00665C1C">
              <w:rPr>
                <w:rFonts w:ascii="Times New Roman" w:hAnsi="Times New Roman"/>
                <w:sz w:val="24"/>
                <w:szCs w:val="24"/>
                <w:lang w:val="en-GB"/>
              </w:rPr>
              <w:t>”.</w:t>
            </w:r>
          </w:p>
          <w:p w:rsidR="00F87180"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 xml:space="preserve">Also, in the section 2.5.2 of the GfA an Indicative timetable is provided for all activities which will be performed. However, bear in mind that the abovementioned indicative timetable may be updated by the Contracting Authority during the procedure. </w:t>
            </w:r>
          </w:p>
        </w:tc>
      </w:tr>
      <w:tr w:rsidR="00A8725B" w:rsidRPr="00665C1C" w:rsidTr="00802705">
        <w:trPr>
          <w:trHeight w:val="181"/>
        </w:trPr>
        <w:tc>
          <w:tcPr>
            <w:tcW w:w="980" w:type="dxa"/>
          </w:tcPr>
          <w:p w:rsidR="00A8725B" w:rsidRPr="00665C1C" w:rsidRDefault="00A8725B"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lastRenderedPageBreak/>
              <w:t>Q</w:t>
            </w:r>
            <w:r w:rsidR="005B0D71" w:rsidRPr="00665C1C">
              <w:rPr>
                <w:rFonts w:ascii="Times New Roman" w:hAnsi="Times New Roman"/>
                <w:b/>
                <w:sz w:val="24"/>
                <w:szCs w:val="24"/>
                <w:lang w:val="en-GB"/>
              </w:rPr>
              <w:t>16</w:t>
            </w:r>
          </w:p>
        </w:tc>
        <w:tc>
          <w:tcPr>
            <w:tcW w:w="8472" w:type="dxa"/>
          </w:tcPr>
          <w:p w:rsidR="00A8725B"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In which phase it is obligatory to submit the Declaration?</w:t>
            </w:r>
          </w:p>
        </w:tc>
      </w:tr>
      <w:tr w:rsidR="00A8725B" w:rsidRPr="00665C1C" w:rsidTr="00802705">
        <w:trPr>
          <w:trHeight w:val="181"/>
        </w:trPr>
        <w:tc>
          <w:tcPr>
            <w:tcW w:w="980" w:type="dxa"/>
          </w:tcPr>
          <w:p w:rsidR="00A8725B" w:rsidRPr="00665C1C" w:rsidRDefault="00A8725B"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w:t>
            </w:r>
            <w:r w:rsidR="005B0D71" w:rsidRPr="00665C1C">
              <w:rPr>
                <w:rFonts w:ascii="Times New Roman" w:hAnsi="Times New Roman"/>
                <w:sz w:val="24"/>
                <w:szCs w:val="24"/>
                <w:lang w:val="en-GB"/>
              </w:rPr>
              <w:t>16</w:t>
            </w:r>
          </w:p>
        </w:tc>
        <w:tc>
          <w:tcPr>
            <w:tcW w:w="8472" w:type="dxa"/>
          </w:tcPr>
          <w:p w:rsidR="009F1546" w:rsidRPr="00665C1C" w:rsidRDefault="00BC225C"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 xml:space="preserve">Please refer to the </w:t>
            </w:r>
            <w:r w:rsidR="009F1546" w:rsidRPr="00665C1C">
              <w:rPr>
                <w:rFonts w:ascii="Times New Roman" w:hAnsi="Times New Roman"/>
                <w:sz w:val="24"/>
                <w:szCs w:val="24"/>
                <w:lang w:val="en-GB"/>
              </w:rPr>
              <w:t>Part A (Concept Note) and Part B (Full Application Form</w:t>
            </w:r>
            <w:r w:rsidR="00C23851">
              <w:rPr>
                <w:rFonts w:ascii="Times New Roman" w:hAnsi="Times New Roman"/>
                <w:sz w:val="24"/>
                <w:szCs w:val="24"/>
                <w:lang w:val="en-GB"/>
              </w:rPr>
              <w:t>) of the Grant Application form</w:t>
            </w:r>
            <w:r w:rsidR="009F1546" w:rsidRPr="00665C1C">
              <w:rPr>
                <w:rFonts w:ascii="Times New Roman" w:hAnsi="Times New Roman"/>
                <w:sz w:val="24"/>
                <w:szCs w:val="24"/>
                <w:lang w:val="en-GB"/>
              </w:rPr>
              <w:t>.</w:t>
            </w:r>
          </w:p>
          <w:p w:rsidR="000D6AA0" w:rsidRPr="00665C1C" w:rsidRDefault="000D6AA0" w:rsidP="00665C1C">
            <w:pPr>
              <w:spacing w:before="240"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Documents which must be submitted f</w:t>
            </w:r>
            <w:r w:rsidR="009F1546" w:rsidRPr="00665C1C">
              <w:rPr>
                <w:rFonts w:ascii="Times New Roman" w:hAnsi="Times New Roman"/>
                <w:b/>
                <w:sz w:val="24"/>
                <w:szCs w:val="24"/>
                <w:lang w:val="en-GB"/>
              </w:rPr>
              <w:t>or the phase I (</w:t>
            </w:r>
            <w:r w:rsidRPr="00665C1C">
              <w:rPr>
                <w:rFonts w:ascii="Times New Roman" w:hAnsi="Times New Roman"/>
                <w:b/>
                <w:sz w:val="24"/>
                <w:szCs w:val="24"/>
                <w:lang w:val="en-GB"/>
              </w:rPr>
              <w:t>evaluation of the Concept note)</w:t>
            </w:r>
            <w:r w:rsidR="000816D8" w:rsidRPr="00665C1C">
              <w:rPr>
                <w:rFonts w:ascii="Times New Roman" w:hAnsi="Times New Roman"/>
                <w:b/>
                <w:sz w:val="24"/>
                <w:szCs w:val="24"/>
                <w:lang w:val="en-GB"/>
              </w:rPr>
              <w:t xml:space="preserve"> are</w:t>
            </w:r>
            <w:r w:rsidRPr="00665C1C">
              <w:rPr>
                <w:rFonts w:ascii="Times New Roman" w:hAnsi="Times New Roman"/>
                <w:b/>
                <w:sz w:val="24"/>
                <w:szCs w:val="24"/>
                <w:lang w:val="en-GB"/>
              </w:rPr>
              <w:t>:</w:t>
            </w:r>
          </w:p>
          <w:p w:rsidR="000D6AA0" w:rsidRPr="00665C1C" w:rsidRDefault="000D6AA0" w:rsidP="00665C1C">
            <w:pPr>
              <w:spacing w:before="240" w:after="0" w:line="240" w:lineRule="auto"/>
              <w:jc w:val="both"/>
              <w:rPr>
                <w:rFonts w:ascii="Times New Roman" w:hAnsi="Times New Roman"/>
                <w:sz w:val="24"/>
                <w:szCs w:val="24"/>
                <w:lang w:val="en-GB"/>
              </w:rPr>
            </w:pPr>
            <w:r w:rsidRPr="00665C1C">
              <w:rPr>
                <w:rFonts w:ascii="Times New Roman" w:hAnsi="Times New Roman"/>
                <w:sz w:val="24"/>
                <w:szCs w:val="24"/>
                <w:lang w:val="en-GB"/>
              </w:rPr>
              <w:t>Part A: Concept note (Grant Application Form)</w:t>
            </w:r>
          </w:p>
          <w:p w:rsidR="000D6AA0" w:rsidRPr="00665C1C" w:rsidRDefault="000D6AA0" w:rsidP="00665C1C">
            <w:pPr>
              <w:pStyle w:val="ListParagraph"/>
              <w:numPr>
                <w:ilvl w:val="0"/>
                <w:numId w:val="12"/>
              </w:numPr>
              <w:spacing w:before="240" w:after="0" w:line="240" w:lineRule="auto"/>
              <w:jc w:val="both"/>
              <w:rPr>
                <w:rFonts w:ascii="Times New Roman" w:hAnsi="Times New Roman"/>
                <w:sz w:val="24"/>
                <w:szCs w:val="24"/>
                <w:lang w:val="en-GB"/>
              </w:rPr>
            </w:pPr>
            <w:r w:rsidRPr="00665C1C">
              <w:rPr>
                <w:rFonts w:ascii="Times New Roman" w:hAnsi="Times New Roman"/>
                <w:sz w:val="24"/>
                <w:szCs w:val="24"/>
                <w:lang w:val="en-GB"/>
              </w:rPr>
              <w:t>Instructions for drafting the concept note</w:t>
            </w:r>
          </w:p>
          <w:p w:rsidR="000D6AA0" w:rsidRPr="00665C1C" w:rsidRDefault="000D6AA0" w:rsidP="00665C1C">
            <w:pPr>
              <w:pStyle w:val="ListParagraph"/>
              <w:numPr>
                <w:ilvl w:val="0"/>
                <w:numId w:val="12"/>
              </w:numPr>
              <w:spacing w:before="240" w:after="0" w:line="240" w:lineRule="auto"/>
              <w:jc w:val="both"/>
              <w:rPr>
                <w:rFonts w:ascii="Times New Roman" w:hAnsi="Times New Roman"/>
                <w:sz w:val="24"/>
                <w:szCs w:val="24"/>
                <w:lang w:val="en-GB"/>
              </w:rPr>
            </w:pPr>
            <w:r w:rsidRPr="00665C1C">
              <w:rPr>
                <w:rFonts w:ascii="Times New Roman" w:hAnsi="Times New Roman"/>
                <w:sz w:val="24"/>
                <w:szCs w:val="24"/>
                <w:lang w:val="en-GB"/>
              </w:rPr>
              <w:t>Checklist for the concept note</w:t>
            </w:r>
          </w:p>
          <w:p w:rsidR="000D6AA0" w:rsidRPr="00665C1C" w:rsidRDefault="000D6AA0" w:rsidP="00665C1C">
            <w:pPr>
              <w:pStyle w:val="ListParagraph"/>
              <w:numPr>
                <w:ilvl w:val="0"/>
                <w:numId w:val="12"/>
              </w:numPr>
              <w:spacing w:before="240"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Declaration by the applicant for the concept note</w:t>
            </w:r>
          </w:p>
          <w:p w:rsidR="000D6AA0" w:rsidRPr="00665C1C" w:rsidRDefault="000D6AA0" w:rsidP="00665C1C">
            <w:pPr>
              <w:spacing w:before="240"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Documents which must be submitted for the phase II (evaluation of the Full application)</w:t>
            </w:r>
            <w:r w:rsidR="000816D8" w:rsidRPr="00665C1C">
              <w:rPr>
                <w:rFonts w:ascii="Times New Roman" w:hAnsi="Times New Roman"/>
                <w:b/>
                <w:sz w:val="24"/>
                <w:szCs w:val="24"/>
                <w:lang w:val="en-GB"/>
              </w:rPr>
              <w:t xml:space="preserve"> are</w:t>
            </w:r>
            <w:r w:rsidRPr="00665C1C">
              <w:rPr>
                <w:rFonts w:ascii="Times New Roman" w:hAnsi="Times New Roman"/>
                <w:b/>
                <w:sz w:val="24"/>
                <w:szCs w:val="24"/>
                <w:lang w:val="en-GB"/>
              </w:rPr>
              <w:t>:</w:t>
            </w:r>
          </w:p>
          <w:p w:rsidR="000D6AA0" w:rsidRPr="00665C1C" w:rsidRDefault="000D6AA0" w:rsidP="00665C1C">
            <w:pPr>
              <w:spacing w:before="240" w:after="0" w:line="240" w:lineRule="auto"/>
              <w:jc w:val="both"/>
              <w:rPr>
                <w:rFonts w:ascii="Times New Roman" w:hAnsi="Times New Roman"/>
                <w:sz w:val="24"/>
                <w:szCs w:val="24"/>
                <w:lang w:val="en-GB"/>
              </w:rPr>
            </w:pPr>
            <w:r w:rsidRPr="00665C1C">
              <w:rPr>
                <w:rFonts w:ascii="Times New Roman" w:hAnsi="Times New Roman"/>
                <w:sz w:val="24"/>
                <w:szCs w:val="24"/>
                <w:lang w:val="en-GB"/>
              </w:rPr>
              <w:t>Part B: Full application form</w:t>
            </w:r>
          </w:p>
          <w:p w:rsidR="000D6AA0" w:rsidRPr="00665C1C" w:rsidRDefault="000D6AA0" w:rsidP="00665C1C">
            <w:pPr>
              <w:pStyle w:val="ListParagraph"/>
              <w:numPr>
                <w:ilvl w:val="0"/>
                <w:numId w:val="14"/>
              </w:numPr>
              <w:spacing w:before="240" w:after="0" w:line="240" w:lineRule="auto"/>
              <w:jc w:val="both"/>
              <w:rPr>
                <w:rFonts w:ascii="Times New Roman" w:hAnsi="Times New Roman"/>
                <w:sz w:val="24"/>
                <w:szCs w:val="24"/>
                <w:lang w:val="en-GB"/>
              </w:rPr>
            </w:pPr>
            <w:r w:rsidRPr="00665C1C">
              <w:rPr>
                <w:rFonts w:ascii="Times New Roman" w:hAnsi="Times New Roman"/>
                <w:sz w:val="24"/>
                <w:szCs w:val="24"/>
                <w:lang w:val="en-GB"/>
              </w:rPr>
              <w:t>General information</w:t>
            </w:r>
          </w:p>
          <w:p w:rsidR="000D6AA0" w:rsidRPr="00665C1C" w:rsidRDefault="000D6AA0" w:rsidP="00665C1C">
            <w:pPr>
              <w:pStyle w:val="ListParagraph"/>
              <w:numPr>
                <w:ilvl w:val="0"/>
                <w:numId w:val="14"/>
              </w:numPr>
              <w:spacing w:before="240" w:after="0" w:line="240" w:lineRule="auto"/>
              <w:jc w:val="both"/>
              <w:rPr>
                <w:rFonts w:ascii="Times New Roman" w:hAnsi="Times New Roman"/>
                <w:sz w:val="24"/>
                <w:szCs w:val="24"/>
                <w:lang w:val="en-GB"/>
              </w:rPr>
            </w:pPr>
            <w:r w:rsidRPr="00665C1C">
              <w:rPr>
                <w:rFonts w:ascii="Times New Roman" w:hAnsi="Times New Roman"/>
                <w:sz w:val="24"/>
                <w:szCs w:val="24"/>
                <w:lang w:val="en-GB"/>
              </w:rPr>
              <w:t>The action</w:t>
            </w:r>
          </w:p>
          <w:p w:rsidR="000D6AA0" w:rsidRPr="00665C1C" w:rsidRDefault="000D6AA0" w:rsidP="00665C1C">
            <w:pPr>
              <w:pStyle w:val="ListParagraph"/>
              <w:numPr>
                <w:ilvl w:val="0"/>
                <w:numId w:val="14"/>
              </w:numPr>
              <w:spacing w:before="240" w:after="0" w:line="240" w:lineRule="auto"/>
              <w:jc w:val="both"/>
              <w:rPr>
                <w:rFonts w:ascii="Times New Roman" w:hAnsi="Times New Roman"/>
                <w:sz w:val="24"/>
                <w:szCs w:val="24"/>
                <w:lang w:val="en-GB"/>
              </w:rPr>
            </w:pPr>
            <w:r w:rsidRPr="00665C1C">
              <w:rPr>
                <w:rFonts w:ascii="Times New Roman" w:hAnsi="Times New Roman"/>
                <w:sz w:val="24"/>
                <w:szCs w:val="24"/>
                <w:lang w:val="en-GB"/>
              </w:rPr>
              <w:t>The applicant</w:t>
            </w:r>
          </w:p>
          <w:p w:rsidR="000D6AA0" w:rsidRPr="00665C1C" w:rsidRDefault="000D6AA0" w:rsidP="00665C1C">
            <w:pPr>
              <w:pStyle w:val="ListParagraph"/>
              <w:numPr>
                <w:ilvl w:val="0"/>
                <w:numId w:val="14"/>
              </w:numPr>
              <w:spacing w:before="240" w:after="0" w:line="240" w:lineRule="auto"/>
              <w:jc w:val="both"/>
              <w:rPr>
                <w:rFonts w:ascii="Times New Roman" w:hAnsi="Times New Roman"/>
                <w:sz w:val="24"/>
                <w:szCs w:val="24"/>
                <w:lang w:val="en-GB"/>
              </w:rPr>
            </w:pPr>
            <w:r w:rsidRPr="00665C1C">
              <w:rPr>
                <w:rFonts w:ascii="Times New Roman" w:hAnsi="Times New Roman"/>
                <w:sz w:val="24"/>
                <w:szCs w:val="24"/>
                <w:lang w:val="en-GB"/>
              </w:rPr>
              <w:t>The Co-applicant(s)</w:t>
            </w:r>
          </w:p>
          <w:p w:rsidR="000D6AA0" w:rsidRPr="00665C1C" w:rsidRDefault="000D6AA0" w:rsidP="00665C1C">
            <w:pPr>
              <w:pStyle w:val="ListParagraph"/>
              <w:numPr>
                <w:ilvl w:val="0"/>
                <w:numId w:val="14"/>
              </w:numPr>
              <w:spacing w:before="240" w:after="0" w:line="240" w:lineRule="auto"/>
              <w:jc w:val="both"/>
              <w:rPr>
                <w:rFonts w:ascii="Times New Roman" w:hAnsi="Times New Roman"/>
                <w:sz w:val="24"/>
                <w:szCs w:val="24"/>
                <w:lang w:val="en-GB"/>
              </w:rPr>
            </w:pPr>
            <w:r w:rsidRPr="00665C1C">
              <w:rPr>
                <w:rFonts w:ascii="Times New Roman" w:hAnsi="Times New Roman"/>
                <w:sz w:val="24"/>
                <w:szCs w:val="24"/>
                <w:lang w:val="en-GB"/>
              </w:rPr>
              <w:t>AFFILIATED ENTITY(ies) participating in the action</w:t>
            </w:r>
          </w:p>
          <w:p w:rsidR="000D6AA0" w:rsidRPr="00665C1C" w:rsidRDefault="000D6AA0" w:rsidP="00665C1C">
            <w:pPr>
              <w:pStyle w:val="ListParagraph"/>
              <w:numPr>
                <w:ilvl w:val="0"/>
                <w:numId w:val="14"/>
              </w:numPr>
              <w:spacing w:before="240" w:after="0" w:line="240" w:lineRule="auto"/>
              <w:jc w:val="both"/>
              <w:rPr>
                <w:rFonts w:ascii="Times New Roman" w:hAnsi="Times New Roman"/>
                <w:sz w:val="24"/>
                <w:szCs w:val="24"/>
                <w:lang w:val="en-GB"/>
              </w:rPr>
            </w:pPr>
            <w:r w:rsidRPr="00665C1C">
              <w:rPr>
                <w:rFonts w:ascii="Times New Roman" w:hAnsi="Times New Roman"/>
                <w:sz w:val="24"/>
                <w:szCs w:val="24"/>
                <w:lang w:val="en-GB"/>
              </w:rPr>
              <w:t>Associates of the applicant participating in the action</w:t>
            </w:r>
          </w:p>
          <w:p w:rsidR="000D6AA0" w:rsidRPr="00665C1C" w:rsidRDefault="000D6AA0" w:rsidP="00665C1C">
            <w:pPr>
              <w:pStyle w:val="ListParagraph"/>
              <w:numPr>
                <w:ilvl w:val="0"/>
                <w:numId w:val="14"/>
              </w:numPr>
              <w:spacing w:before="240" w:after="0" w:line="240" w:lineRule="auto"/>
              <w:jc w:val="both"/>
              <w:rPr>
                <w:rFonts w:ascii="Times New Roman" w:hAnsi="Times New Roman"/>
                <w:sz w:val="24"/>
                <w:szCs w:val="24"/>
                <w:lang w:val="en-GB"/>
              </w:rPr>
            </w:pPr>
            <w:r w:rsidRPr="00665C1C">
              <w:rPr>
                <w:rFonts w:ascii="Times New Roman" w:hAnsi="Times New Roman"/>
                <w:sz w:val="24"/>
                <w:szCs w:val="24"/>
                <w:lang w:val="en-GB"/>
              </w:rPr>
              <w:t>Checklist for the full application form</w:t>
            </w:r>
          </w:p>
          <w:p w:rsidR="009F1546" w:rsidRPr="00665C1C" w:rsidRDefault="000D6AA0" w:rsidP="00665C1C">
            <w:pPr>
              <w:pStyle w:val="ListParagraph"/>
              <w:numPr>
                <w:ilvl w:val="0"/>
                <w:numId w:val="14"/>
              </w:numPr>
              <w:spacing w:before="240"/>
              <w:jc w:val="both"/>
              <w:rPr>
                <w:rFonts w:ascii="Times New Roman" w:hAnsi="Times New Roman"/>
                <w:b/>
                <w:sz w:val="24"/>
                <w:szCs w:val="24"/>
                <w:lang w:val="en-GB"/>
              </w:rPr>
            </w:pPr>
            <w:r w:rsidRPr="00665C1C">
              <w:rPr>
                <w:rFonts w:ascii="Times New Roman" w:hAnsi="Times New Roman"/>
                <w:b/>
                <w:sz w:val="24"/>
                <w:szCs w:val="24"/>
                <w:lang w:val="en-GB"/>
              </w:rPr>
              <w:t>Declaration by the applicant</w:t>
            </w:r>
          </w:p>
          <w:p w:rsidR="00C86539" w:rsidRPr="00665C1C" w:rsidRDefault="00C86539" w:rsidP="00665C1C">
            <w:pPr>
              <w:spacing w:before="240"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 xml:space="preserve">Consequently, separate declarations are submitted in both phases Phase I and Phase II. </w:t>
            </w:r>
          </w:p>
        </w:tc>
      </w:tr>
      <w:tr w:rsidR="00A8725B" w:rsidRPr="00665C1C" w:rsidTr="00802705">
        <w:trPr>
          <w:trHeight w:val="181"/>
        </w:trPr>
        <w:tc>
          <w:tcPr>
            <w:tcW w:w="980" w:type="dxa"/>
          </w:tcPr>
          <w:p w:rsidR="00A8725B" w:rsidRPr="00665C1C" w:rsidRDefault="00A8725B" w:rsidP="00665C1C">
            <w:pPr>
              <w:jc w:val="both"/>
              <w:rPr>
                <w:rFonts w:ascii="Times New Roman" w:hAnsi="Times New Roman"/>
                <w:b/>
                <w:sz w:val="24"/>
                <w:szCs w:val="24"/>
                <w:lang w:val="en-GB"/>
              </w:rPr>
            </w:pPr>
            <w:r w:rsidRPr="00665C1C">
              <w:rPr>
                <w:rFonts w:ascii="Times New Roman" w:hAnsi="Times New Roman"/>
                <w:b/>
                <w:sz w:val="24"/>
                <w:szCs w:val="24"/>
                <w:lang w:val="en-GB"/>
              </w:rPr>
              <w:t>Q</w:t>
            </w:r>
            <w:r w:rsidR="00C86539" w:rsidRPr="00665C1C">
              <w:rPr>
                <w:rFonts w:ascii="Times New Roman" w:hAnsi="Times New Roman"/>
                <w:b/>
                <w:sz w:val="24"/>
                <w:szCs w:val="24"/>
                <w:lang w:val="en-GB"/>
              </w:rPr>
              <w:t>17</w:t>
            </w:r>
          </w:p>
        </w:tc>
        <w:tc>
          <w:tcPr>
            <w:tcW w:w="8472" w:type="dxa"/>
          </w:tcPr>
          <w:p w:rsidR="00A8725B"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Can public funds be considered as co-financing of the Action (for example subsidies received for work of persons with disabilities)?</w:t>
            </w:r>
          </w:p>
        </w:tc>
      </w:tr>
      <w:tr w:rsidR="00A8725B" w:rsidRPr="00665C1C" w:rsidTr="00802705">
        <w:trPr>
          <w:trHeight w:val="181"/>
        </w:trPr>
        <w:tc>
          <w:tcPr>
            <w:tcW w:w="980" w:type="dxa"/>
          </w:tcPr>
          <w:p w:rsidR="00A8725B" w:rsidRPr="00665C1C" w:rsidRDefault="00A8725B"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w:t>
            </w:r>
            <w:r w:rsidR="000977F7" w:rsidRPr="00665C1C">
              <w:rPr>
                <w:rFonts w:ascii="Times New Roman" w:hAnsi="Times New Roman"/>
                <w:sz w:val="24"/>
                <w:szCs w:val="24"/>
                <w:lang w:val="en-GB"/>
              </w:rPr>
              <w:t>1</w:t>
            </w:r>
            <w:r w:rsidR="005B0D71" w:rsidRPr="00665C1C">
              <w:rPr>
                <w:rFonts w:ascii="Times New Roman" w:hAnsi="Times New Roman"/>
                <w:sz w:val="24"/>
                <w:szCs w:val="24"/>
                <w:lang w:val="en-GB"/>
              </w:rPr>
              <w:t>7</w:t>
            </w:r>
          </w:p>
        </w:tc>
        <w:tc>
          <w:tcPr>
            <w:tcW w:w="8472" w:type="dxa"/>
          </w:tcPr>
          <w:p w:rsidR="005E325E"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 xml:space="preserve">According to the </w:t>
            </w:r>
            <w:r w:rsidR="00E2399A" w:rsidRPr="00665C1C">
              <w:rPr>
                <w:rFonts w:ascii="Times New Roman" w:hAnsi="Times New Roman"/>
                <w:sz w:val="24"/>
                <w:szCs w:val="24"/>
                <w:lang w:val="en-GB"/>
              </w:rPr>
              <w:t xml:space="preserve">PRAG </w:t>
            </w:r>
            <w:r w:rsidRPr="00665C1C">
              <w:rPr>
                <w:rFonts w:ascii="Times New Roman" w:hAnsi="Times New Roman"/>
                <w:sz w:val="24"/>
                <w:szCs w:val="24"/>
                <w:lang w:val="en-GB"/>
              </w:rPr>
              <w:t>document, Article 6.3.9:</w:t>
            </w:r>
          </w:p>
          <w:p w:rsidR="00A8725B" w:rsidRPr="00665C1C" w:rsidRDefault="00C73C97" w:rsidP="00665C1C">
            <w:pPr>
              <w:jc w:val="both"/>
              <w:rPr>
                <w:rFonts w:ascii="Times New Roman" w:hAnsi="Times New Roman"/>
                <w:sz w:val="24"/>
                <w:szCs w:val="24"/>
                <w:lang w:val="en-GB"/>
              </w:rPr>
            </w:pPr>
            <w:r>
              <w:rPr>
                <w:rFonts w:ascii="Times New Roman" w:hAnsi="Times New Roman"/>
                <w:sz w:val="24"/>
                <w:szCs w:val="24"/>
                <w:lang w:val="en-GB"/>
              </w:rPr>
              <w:t>“</w:t>
            </w:r>
            <w:r w:rsidR="00C86539" w:rsidRPr="00665C1C">
              <w:rPr>
                <w:rFonts w:ascii="Times New Roman" w:hAnsi="Times New Roman"/>
                <w:sz w:val="24"/>
                <w:szCs w:val="24"/>
                <w:lang w:val="en-GB"/>
              </w:rPr>
              <w:t>The Co-financing may take the form of the beneficiariy’s own resources (self- financing), income generated by the action and financial contributions from third parties.</w:t>
            </w:r>
            <w:r>
              <w:rPr>
                <w:rFonts w:ascii="Times New Roman" w:hAnsi="Times New Roman"/>
                <w:sz w:val="24"/>
                <w:szCs w:val="24"/>
                <w:lang w:val="en-GB"/>
              </w:rPr>
              <w:t>”</w:t>
            </w:r>
          </w:p>
        </w:tc>
      </w:tr>
      <w:tr w:rsidR="00890644" w:rsidRPr="00665C1C" w:rsidTr="00802705">
        <w:trPr>
          <w:trHeight w:val="181"/>
        </w:trPr>
        <w:tc>
          <w:tcPr>
            <w:tcW w:w="980" w:type="dxa"/>
          </w:tcPr>
          <w:p w:rsidR="00890644" w:rsidRPr="00665C1C" w:rsidRDefault="00890644"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Q18</w:t>
            </w:r>
          </w:p>
        </w:tc>
        <w:tc>
          <w:tcPr>
            <w:tcW w:w="8472" w:type="dxa"/>
          </w:tcPr>
          <w:p w:rsidR="00890644"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 xml:space="preserve">Who is considered as </w:t>
            </w:r>
            <w:r w:rsidR="002C0332" w:rsidRPr="00665C1C">
              <w:rPr>
                <w:rFonts w:ascii="Times New Roman" w:hAnsi="Times New Roman"/>
                <w:b/>
                <w:sz w:val="24"/>
                <w:szCs w:val="24"/>
                <w:lang w:val="en-GB"/>
              </w:rPr>
              <w:t>an “employer</w:t>
            </w:r>
            <w:r w:rsidRPr="00665C1C">
              <w:rPr>
                <w:rFonts w:ascii="Times New Roman" w:hAnsi="Times New Roman"/>
                <w:b/>
                <w:sz w:val="24"/>
                <w:szCs w:val="24"/>
                <w:lang w:val="en-GB"/>
              </w:rPr>
              <w:t>” under this CfP?</w:t>
            </w:r>
          </w:p>
        </w:tc>
      </w:tr>
      <w:tr w:rsidR="00890644" w:rsidRPr="00665C1C" w:rsidTr="00802705">
        <w:trPr>
          <w:trHeight w:val="70"/>
        </w:trPr>
        <w:tc>
          <w:tcPr>
            <w:tcW w:w="980" w:type="dxa"/>
          </w:tcPr>
          <w:p w:rsidR="00890644" w:rsidRPr="00665C1C" w:rsidRDefault="00890644"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A18</w:t>
            </w:r>
          </w:p>
        </w:tc>
        <w:tc>
          <w:tcPr>
            <w:tcW w:w="8472" w:type="dxa"/>
          </w:tcPr>
          <w:p w:rsidR="00B56C4E"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 xml:space="preserve">According to the Article 15 of the Labour Law (OJ of Montenegro, no. 49/2008, 26/2009, 59/2011 and 66/2012), an employer is a national or foreign legal person, or </w:t>
            </w:r>
            <w:r w:rsidRPr="00665C1C">
              <w:rPr>
                <w:rFonts w:ascii="Times New Roman" w:hAnsi="Times New Roman"/>
                <w:sz w:val="24"/>
                <w:szCs w:val="24"/>
                <w:lang w:val="en-GB"/>
              </w:rPr>
              <w:lastRenderedPageBreak/>
              <w:t>a part of a foreign legal person, or a physical person concluding contract of employment with an employee.</w:t>
            </w:r>
          </w:p>
        </w:tc>
      </w:tr>
      <w:tr w:rsidR="00890644" w:rsidRPr="00665C1C" w:rsidTr="00802705">
        <w:trPr>
          <w:trHeight w:val="181"/>
        </w:trPr>
        <w:tc>
          <w:tcPr>
            <w:tcW w:w="980" w:type="dxa"/>
          </w:tcPr>
          <w:p w:rsidR="00890644" w:rsidRPr="00665C1C" w:rsidRDefault="00890644"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lastRenderedPageBreak/>
              <w:t>Q19</w:t>
            </w:r>
          </w:p>
        </w:tc>
        <w:tc>
          <w:tcPr>
            <w:tcW w:w="8472" w:type="dxa"/>
          </w:tcPr>
          <w:p w:rsidR="00890644"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Is verification of budget accounts necessary under this CfP?</w:t>
            </w:r>
          </w:p>
        </w:tc>
      </w:tr>
      <w:tr w:rsidR="00890644" w:rsidRPr="00665C1C" w:rsidTr="00802705">
        <w:trPr>
          <w:trHeight w:val="181"/>
        </w:trPr>
        <w:tc>
          <w:tcPr>
            <w:tcW w:w="980" w:type="dxa"/>
          </w:tcPr>
          <w:p w:rsidR="00890644" w:rsidRPr="00665C1C" w:rsidRDefault="00890644"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A19</w:t>
            </w:r>
          </w:p>
        </w:tc>
        <w:tc>
          <w:tcPr>
            <w:tcW w:w="8472" w:type="dxa"/>
          </w:tcPr>
          <w:p w:rsidR="00FD623B" w:rsidRPr="00003CDF" w:rsidRDefault="00246768" w:rsidP="00665C1C">
            <w:pPr>
              <w:spacing w:after="0" w:line="240" w:lineRule="auto"/>
              <w:jc w:val="both"/>
              <w:rPr>
                <w:rFonts w:ascii="Times New Roman" w:hAnsi="Times New Roman"/>
                <w:sz w:val="24"/>
                <w:szCs w:val="24"/>
                <w:lang w:val="en-GB"/>
              </w:rPr>
            </w:pPr>
            <w:r w:rsidRPr="00246768">
              <w:rPr>
                <w:rFonts w:ascii="Times New Roman" w:hAnsi="Times New Roman"/>
                <w:sz w:val="24"/>
                <w:szCs w:val="24"/>
                <w:lang w:val="en-GB"/>
              </w:rPr>
              <w:t>The expenditure verification report is not required under this call for Proposals, since article 15 of the General Conditions defines that it should accompany a final report only, in the case of a grant of more than EUR 100.000. The amount of each grant under this call for Proposals is between EUR 60.000 and EUR 100.000.</w:t>
            </w:r>
          </w:p>
        </w:tc>
      </w:tr>
      <w:tr w:rsidR="00902D34" w:rsidRPr="00665C1C" w:rsidTr="00802705">
        <w:trPr>
          <w:trHeight w:val="181"/>
        </w:trPr>
        <w:tc>
          <w:tcPr>
            <w:tcW w:w="980" w:type="dxa"/>
          </w:tcPr>
          <w:p w:rsidR="00902D34" w:rsidRPr="00665C1C" w:rsidRDefault="00902D34"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Q20</w:t>
            </w:r>
          </w:p>
        </w:tc>
        <w:tc>
          <w:tcPr>
            <w:tcW w:w="8472" w:type="dxa"/>
          </w:tcPr>
          <w:p w:rsidR="00902D34" w:rsidRPr="00665C1C" w:rsidRDefault="00C86539" w:rsidP="00665C1C">
            <w:pPr>
              <w:jc w:val="both"/>
              <w:rPr>
                <w:rFonts w:ascii="Times New Roman" w:hAnsi="Times New Roman"/>
                <w:b/>
                <w:sz w:val="24"/>
                <w:szCs w:val="24"/>
                <w:lang w:val="en-GB"/>
              </w:rPr>
            </w:pPr>
            <w:r w:rsidRPr="00665C1C">
              <w:rPr>
                <w:rFonts w:ascii="Times New Roman" w:hAnsi="Times New Roman"/>
                <w:b/>
                <w:sz w:val="24"/>
                <w:szCs w:val="24"/>
                <w:lang w:val="en-GB"/>
              </w:rPr>
              <w:t>Is the rent of premises an eligible cost?</w:t>
            </w:r>
          </w:p>
        </w:tc>
      </w:tr>
      <w:tr w:rsidR="00902D34" w:rsidRPr="00665C1C" w:rsidTr="00802705">
        <w:trPr>
          <w:trHeight w:val="181"/>
        </w:trPr>
        <w:tc>
          <w:tcPr>
            <w:tcW w:w="980" w:type="dxa"/>
          </w:tcPr>
          <w:p w:rsidR="00902D34" w:rsidRPr="00665C1C" w:rsidRDefault="00902D34"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A20</w:t>
            </w:r>
          </w:p>
        </w:tc>
        <w:tc>
          <w:tcPr>
            <w:tcW w:w="8472" w:type="dxa"/>
          </w:tcPr>
          <w:p w:rsidR="00BC225C"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Refer to the point 2.1.5 of the Guidelines for Applicants. Ineligible cost:</w:t>
            </w:r>
          </w:p>
          <w:p w:rsidR="00AB52C3" w:rsidRPr="00665C1C" w:rsidRDefault="00C86539" w:rsidP="00665C1C">
            <w:pPr>
              <w:jc w:val="both"/>
              <w:rPr>
                <w:rFonts w:ascii="Times New Roman" w:hAnsi="Times New Roman"/>
                <w:sz w:val="24"/>
                <w:szCs w:val="24"/>
                <w:lang w:val="en-GB"/>
              </w:rPr>
            </w:pPr>
            <w:r w:rsidRPr="00665C1C">
              <w:rPr>
                <w:rFonts w:ascii="Times New Roman" w:hAnsi="Times New Roman"/>
                <w:sz w:val="24"/>
                <w:szCs w:val="24"/>
                <w:lang w:val="en-GB"/>
              </w:rPr>
              <w:t>“Rent or leasing, unless it is exclusively related to the period of co-financing of the operation, and that it is preferable to other solutions in terms of the best value for money.</w:t>
            </w:r>
            <w:r w:rsidR="005A31E6" w:rsidRPr="00665C1C">
              <w:rPr>
                <w:rFonts w:ascii="Times New Roman" w:hAnsi="Times New Roman"/>
                <w:sz w:val="24"/>
                <w:szCs w:val="24"/>
                <w:lang w:val="en-GB"/>
              </w:rPr>
              <w:t>”</w:t>
            </w:r>
          </w:p>
          <w:p w:rsidR="00F32A18" w:rsidRPr="00665C1C" w:rsidRDefault="00F32A18" w:rsidP="00665C1C">
            <w:pPr>
              <w:jc w:val="both"/>
              <w:rPr>
                <w:rFonts w:ascii="Times New Roman" w:hAnsi="Times New Roman"/>
                <w:sz w:val="24"/>
                <w:szCs w:val="24"/>
                <w:lang w:val="en-GB"/>
              </w:rPr>
            </w:pPr>
            <w:r w:rsidRPr="00665C1C">
              <w:rPr>
                <w:rFonts w:ascii="Times New Roman" w:hAnsi="Times New Roman"/>
                <w:sz w:val="24"/>
                <w:szCs w:val="24"/>
                <w:lang w:val="en-GB"/>
              </w:rPr>
              <w:t>The rent of premises is eligible cost if it is needed to perform activities of the project.</w:t>
            </w:r>
          </w:p>
        </w:tc>
      </w:tr>
      <w:tr w:rsidR="00A267A0" w:rsidRPr="00665C1C" w:rsidTr="00802705">
        <w:trPr>
          <w:trHeight w:val="181"/>
        </w:trPr>
        <w:tc>
          <w:tcPr>
            <w:tcW w:w="980" w:type="dxa"/>
          </w:tcPr>
          <w:p w:rsidR="00A267A0" w:rsidRPr="00665C1C" w:rsidRDefault="00A267A0"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Q21</w:t>
            </w:r>
          </w:p>
        </w:tc>
        <w:tc>
          <w:tcPr>
            <w:tcW w:w="8472" w:type="dxa"/>
          </w:tcPr>
          <w:p w:rsidR="00A267A0" w:rsidRPr="00665C1C" w:rsidRDefault="00A267A0"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Is it necessary to submit the certified translation of the licence for entities providing educational and vocational trainings</w:t>
            </w:r>
            <w:r w:rsidR="000E0945" w:rsidRPr="00665C1C">
              <w:rPr>
                <w:rFonts w:ascii="Times New Roman" w:hAnsi="Times New Roman"/>
                <w:b/>
                <w:sz w:val="24"/>
                <w:szCs w:val="24"/>
                <w:lang w:val="en-GB"/>
              </w:rPr>
              <w:t xml:space="preserve"> into English</w:t>
            </w:r>
            <w:r w:rsidRPr="00665C1C">
              <w:rPr>
                <w:rFonts w:ascii="Times New Roman" w:hAnsi="Times New Roman"/>
                <w:b/>
                <w:sz w:val="24"/>
                <w:szCs w:val="24"/>
                <w:lang w:val="en-GB"/>
              </w:rPr>
              <w:t>?</w:t>
            </w:r>
          </w:p>
        </w:tc>
      </w:tr>
      <w:tr w:rsidR="00A267A0" w:rsidRPr="00665C1C" w:rsidTr="00802705">
        <w:trPr>
          <w:trHeight w:val="181"/>
        </w:trPr>
        <w:tc>
          <w:tcPr>
            <w:tcW w:w="980" w:type="dxa"/>
          </w:tcPr>
          <w:p w:rsidR="00A267A0" w:rsidRPr="00665C1C" w:rsidRDefault="00A267A0"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A21</w:t>
            </w:r>
          </w:p>
        </w:tc>
        <w:tc>
          <w:tcPr>
            <w:tcW w:w="8472" w:type="dxa"/>
          </w:tcPr>
          <w:p w:rsidR="00A267A0" w:rsidRPr="00665C1C" w:rsidRDefault="00A267A0"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 xml:space="preserve">Refer </w:t>
            </w:r>
            <w:r w:rsidR="009E55C7" w:rsidRPr="00665C1C">
              <w:rPr>
                <w:rFonts w:ascii="Times New Roman" w:hAnsi="Times New Roman"/>
                <w:sz w:val="24"/>
                <w:szCs w:val="24"/>
                <w:lang w:val="en-GB"/>
              </w:rPr>
              <w:t>to the Section 2.4</w:t>
            </w:r>
            <w:r w:rsidR="006C46E7" w:rsidRPr="00665C1C">
              <w:rPr>
                <w:rFonts w:ascii="Times New Roman" w:hAnsi="Times New Roman"/>
                <w:sz w:val="24"/>
                <w:szCs w:val="24"/>
                <w:lang w:val="en-GB"/>
              </w:rPr>
              <w:t>.</w:t>
            </w:r>
            <w:r w:rsidRPr="00665C1C">
              <w:rPr>
                <w:rFonts w:ascii="Times New Roman" w:hAnsi="Times New Roman"/>
                <w:sz w:val="24"/>
                <w:szCs w:val="24"/>
                <w:lang w:val="en-GB"/>
              </w:rPr>
              <w:t xml:space="preserve"> of the Guidelines for Applicants</w:t>
            </w:r>
            <w:r w:rsidR="000816D8" w:rsidRPr="00665C1C">
              <w:rPr>
                <w:rFonts w:ascii="Times New Roman" w:hAnsi="Times New Roman"/>
                <w:sz w:val="24"/>
                <w:szCs w:val="24"/>
                <w:lang w:val="en-GB"/>
              </w:rPr>
              <w:t>, where it is stated that</w:t>
            </w:r>
            <w:r w:rsidRPr="00665C1C">
              <w:rPr>
                <w:rFonts w:ascii="Times New Roman" w:hAnsi="Times New Roman"/>
                <w:sz w:val="24"/>
                <w:szCs w:val="24"/>
                <w:lang w:val="en-GB"/>
              </w:rPr>
              <w:t>:</w:t>
            </w:r>
          </w:p>
          <w:p w:rsidR="00A267A0" w:rsidRPr="00665C1C" w:rsidRDefault="00A267A0" w:rsidP="00665C1C">
            <w:pPr>
              <w:spacing w:after="0" w:line="240" w:lineRule="auto"/>
              <w:jc w:val="both"/>
              <w:rPr>
                <w:rFonts w:ascii="Times New Roman" w:hAnsi="Times New Roman"/>
                <w:sz w:val="24"/>
                <w:szCs w:val="24"/>
                <w:lang w:val="en-GB"/>
              </w:rPr>
            </w:pPr>
          </w:p>
          <w:p w:rsidR="00A267A0" w:rsidRPr="00665C1C" w:rsidRDefault="00A267A0"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 xml:space="preserve">“Documents must be supplied in the form of originals, photocopies or scanned versions (i.e. showing legible stamps, signatures and dates) of the said originals. </w:t>
            </w:r>
          </w:p>
          <w:p w:rsidR="00A267A0" w:rsidRPr="00665C1C" w:rsidRDefault="00A267A0" w:rsidP="00665C1C">
            <w:pPr>
              <w:spacing w:after="0" w:line="240" w:lineRule="auto"/>
              <w:jc w:val="both"/>
              <w:rPr>
                <w:rFonts w:ascii="Times New Roman" w:hAnsi="Times New Roman"/>
                <w:sz w:val="24"/>
                <w:szCs w:val="24"/>
                <w:lang w:val="en-GB"/>
              </w:rPr>
            </w:pPr>
            <w:r w:rsidRPr="00665C1C">
              <w:rPr>
                <w:rFonts w:ascii="Times New Roman" w:hAnsi="Times New Roman"/>
                <w:b/>
                <w:sz w:val="24"/>
                <w:szCs w:val="24"/>
                <w:lang w:val="en-GB"/>
              </w:rPr>
              <w:t>Where such documents are not in one of the official languages of the European Union or in Montenegrin language</w:t>
            </w:r>
            <w:r w:rsidRPr="00665C1C">
              <w:rPr>
                <w:rFonts w:ascii="Times New Roman" w:hAnsi="Times New Roman"/>
                <w:sz w:val="24"/>
                <w:szCs w:val="24"/>
                <w:lang w:val="en-GB"/>
              </w:rPr>
              <w:t>, a translation into English the relevant parts of these documents proving the lead applicant's and, where applicable, co-applicants' and affiliated entity(ies)' eligibility, must be attached for the purpose of analysing the application.”</w:t>
            </w:r>
          </w:p>
          <w:p w:rsidR="00F620CB" w:rsidRPr="00665C1C" w:rsidRDefault="00F620CB" w:rsidP="00665C1C">
            <w:pPr>
              <w:spacing w:after="0" w:line="240" w:lineRule="auto"/>
              <w:jc w:val="both"/>
              <w:rPr>
                <w:rFonts w:ascii="Times New Roman" w:hAnsi="Times New Roman"/>
                <w:sz w:val="24"/>
                <w:szCs w:val="24"/>
                <w:lang w:val="en-GB"/>
              </w:rPr>
            </w:pPr>
          </w:p>
        </w:tc>
      </w:tr>
      <w:tr w:rsidR="00A267A0" w:rsidRPr="00665C1C" w:rsidTr="00802705">
        <w:trPr>
          <w:trHeight w:val="181"/>
        </w:trPr>
        <w:tc>
          <w:tcPr>
            <w:tcW w:w="980" w:type="dxa"/>
          </w:tcPr>
          <w:p w:rsidR="00A267A0" w:rsidRPr="00665C1C" w:rsidRDefault="00A267A0"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Q22</w:t>
            </w:r>
          </w:p>
        </w:tc>
        <w:tc>
          <w:tcPr>
            <w:tcW w:w="8472" w:type="dxa"/>
          </w:tcPr>
          <w:p w:rsidR="00A267A0" w:rsidRPr="00665C1C" w:rsidRDefault="00A267A0"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 xml:space="preserve">Is it necessary to include both target groups within one </w:t>
            </w:r>
            <w:r w:rsidR="000E0945" w:rsidRPr="00665C1C">
              <w:rPr>
                <w:rFonts w:ascii="Times New Roman" w:hAnsi="Times New Roman"/>
                <w:b/>
                <w:sz w:val="24"/>
                <w:szCs w:val="24"/>
                <w:lang w:val="en-GB"/>
              </w:rPr>
              <w:t>action</w:t>
            </w:r>
            <w:r w:rsidR="006C46E7" w:rsidRPr="00665C1C">
              <w:rPr>
                <w:rFonts w:ascii="Times New Roman" w:hAnsi="Times New Roman"/>
                <w:b/>
                <w:sz w:val="24"/>
                <w:szCs w:val="24"/>
                <w:lang w:val="en-GB"/>
              </w:rPr>
              <w:t xml:space="preserve"> under this Call for Proposals</w:t>
            </w:r>
            <w:r w:rsidRPr="00665C1C">
              <w:rPr>
                <w:rFonts w:ascii="Times New Roman" w:hAnsi="Times New Roman"/>
                <w:b/>
                <w:sz w:val="24"/>
                <w:szCs w:val="24"/>
                <w:lang w:val="en-GB"/>
              </w:rPr>
              <w:t>?</w:t>
            </w:r>
          </w:p>
        </w:tc>
      </w:tr>
      <w:tr w:rsidR="00A267A0" w:rsidRPr="00665C1C" w:rsidTr="00802705">
        <w:trPr>
          <w:trHeight w:val="181"/>
        </w:trPr>
        <w:tc>
          <w:tcPr>
            <w:tcW w:w="980" w:type="dxa"/>
          </w:tcPr>
          <w:p w:rsidR="00A267A0" w:rsidRPr="00665C1C" w:rsidRDefault="00A267A0"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A22</w:t>
            </w:r>
          </w:p>
        </w:tc>
        <w:tc>
          <w:tcPr>
            <w:tcW w:w="8472" w:type="dxa"/>
          </w:tcPr>
          <w:p w:rsidR="00A267A0" w:rsidRPr="00665C1C" w:rsidRDefault="009E55C7"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Refer to the Section 1.2</w:t>
            </w:r>
            <w:r w:rsidR="006C46E7" w:rsidRPr="00665C1C">
              <w:rPr>
                <w:rFonts w:ascii="Times New Roman" w:hAnsi="Times New Roman"/>
                <w:sz w:val="24"/>
                <w:szCs w:val="24"/>
                <w:lang w:val="en-GB"/>
              </w:rPr>
              <w:t>.</w:t>
            </w:r>
            <w:r w:rsidRPr="00665C1C">
              <w:rPr>
                <w:rFonts w:ascii="Times New Roman" w:hAnsi="Times New Roman"/>
                <w:sz w:val="24"/>
                <w:szCs w:val="24"/>
                <w:lang w:val="en-GB"/>
              </w:rPr>
              <w:t xml:space="preserve"> of the Guidelines for Applicants:</w:t>
            </w:r>
          </w:p>
          <w:p w:rsidR="009E55C7" w:rsidRPr="00665C1C" w:rsidRDefault="009E55C7" w:rsidP="00665C1C">
            <w:pPr>
              <w:spacing w:after="0" w:line="240" w:lineRule="auto"/>
              <w:jc w:val="both"/>
              <w:rPr>
                <w:rFonts w:ascii="Times New Roman" w:hAnsi="Times New Roman"/>
                <w:sz w:val="24"/>
                <w:szCs w:val="24"/>
                <w:lang w:val="en-GB"/>
              </w:rPr>
            </w:pPr>
          </w:p>
          <w:p w:rsidR="009E55C7" w:rsidRPr="00665C1C" w:rsidRDefault="009E55C7"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“The target groups for this Call for Proposals are:</w:t>
            </w:r>
          </w:p>
          <w:p w:rsidR="009E55C7" w:rsidRPr="00665C1C" w:rsidRDefault="009E55C7" w:rsidP="00665C1C">
            <w:pPr>
              <w:numPr>
                <w:ilvl w:val="0"/>
                <w:numId w:val="15"/>
              </w:num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Unemployed persons with disabilities;</w:t>
            </w:r>
          </w:p>
          <w:p w:rsidR="009E55C7" w:rsidRPr="00665C1C" w:rsidRDefault="009E55C7" w:rsidP="00665C1C">
            <w:pPr>
              <w:numPr>
                <w:ilvl w:val="0"/>
                <w:numId w:val="15"/>
              </w:num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Unemployed members of RE population.”</w:t>
            </w:r>
          </w:p>
          <w:p w:rsidR="00F620CB" w:rsidRPr="00665C1C" w:rsidRDefault="00F620CB" w:rsidP="00665C1C">
            <w:pPr>
              <w:spacing w:after="0" w:line="240" w:lineRule="auto"/>
              <w:jc w:val="both"/>
              <w:rPr>
                <w:rFonts w:ascii="Times New Roman" w:hAnsi="Times New Roman"/>
                <w:sz w:val="24"/>
                <w:szCs w:val="24"/>
                <w:lang w:val="en-GB"/>
              </w:rPr>
            </w:pPr>
          </w:p>
          <w:p w:rsidR="009E55C7" w:rsidRPr="00665C1C" w:rsidRDefault="00A769E7"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Following this provision the applicants need to include in the implementation of the Action at least one of the mentioned target groups</w:t>
            </w:r>
            <w:r w:rsidR="00F620CB" w:rsidRPr="00665C1C">
              <w:rPr>
                <w:rFonts w:ascii="Times New Roman" w:hAnsi="Times New Roman"/>
                <w:sz w:val="24"/>
                <w:szCs w:val="24"/>
                <w:lang w:val="en-GB"/>
              </w:rPr>
              <w:t xml:space="preserve">. </w:t>
            </w:r>
          </w:p>
        </w:tc>
      </w:tr>
      <w:tr w:rsidR="009E55C7" w:rsidRPr="00665C1C" w:rsidTr="00802705">
        <w:trPr>
          <w:trHeight w:val="181"/>
        </w:trPr>
        <w:tc>
          <w:tcPr>
            <w:tcW w:w="980" w:type="dxa"/>
          </w:tcPr>
          <w:p w:rsidR="009E55C7" w:rsidRPr="00665C1C" w:rsidRDefault="009E55C7"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Q23</w:t>
            </w:r>
          </w:p>
        </w:tc>
        <w:tc>
          <w:tcPr>
            <w:tcW w:w="8472" w:type="dxa"/>
          </w:tcPr>
          <w:p w:rsidR="009E55C7" w:rsidRPr="00665C1C" w:rsidRDefault="000E0945"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Can we</w:t>
            </w:r>
            <w:r w:rsidR="003B7487" w:rsidRPr="00665C1C">
              <w:rPr>
                <w:rFonts w:ascii="Times New Roman" w:hAnsi="Times New Roman"/>
                <w:b/>
                <w:sz w:val="24"/>
                <w:szCs w:val="24"/>
                <w:lang w:val="en-GB"/>
              </w:rPr>
              <w:t xml:space="preserve"> present the inflow </w:t>
            </w:r>
            <w:r w:rsidRPr="00665C1C">
              <w:rPr>
                <w:rFonts w:ascii="Times New Roman" w:hAnsi="Times New Roman"/>
                <w:b/>
                <w:sz w:val="24"/>
                <w:szCs w:val="24"/>
                <w:lang w:val="en-GB"/>
              </w:rPr>
              <w:t xml:space="preserve">of funds realized within the action </w:t>
            </w:r>
            <w:r w:rsidR="003B7487" w:rsidRPr="00665C1C">
              <w:rPr>
                <w:rFonts w:ascii="Times New Roman" w:hAnsi="Times New Roman"/>
                <w:b/>
                <w:sz w:val="24"/>
                <w:szCs w:val="24"/>
                <w:lang w:val="en-GB"/>
              </w:rPr>
              <w:t xml:space="preserve">as contributions in kind? </w:t>
            </w:r>
          </w:p>
        </w:tc>
      </w:tr>
      <w:tr w:rsidR="009E55C7" w:rsidRPr="00665C1C" w:rsidTr="00802705">
        <w:trPr>
          <w:trHeight w:val="181"/>
        </w:trPr>
        <w:tc>
          <w:tcPr>
            <w:tcW w:w="980" w:type="dxa"/>
          </w:tcPr>
          <w:p w:rsidR="009E55C7" w:rsidRPr="00665C1C" w:rsidRDefault="009E55C7"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A23</w:t>
            </w:r>
          </w:p>
        </w:tc>
        <w:tc>
          <w:tcPr>
            <w:tcW w:w="8472" w:type="dxa"/>
          </w:tcPr>
          <w:p w:rsidR="009E55C7" w:rsidRPr="00665C1C" w:rsidRDefault="00364EFA"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 xml:space="preserve">According to the Section </w:t>
            </w:r>
            <w:bookmarkStart w:id="3" w:name="_Toc424220514"/>
            <w:r w:rsidRPr="00665C1C">
              <w:rPr>
                <w:rFonts w:ascii="Times New Roman" w:hAnsi="Times New Roman"/>
                <w:sz w:val="24"/>
                <w:szCs w:val="24"/>
                <w:lang w:val="en-GB"/>
              </w:rPr>
              <w:t xml:space="preserve">2.1.5 of the GfA: </w:t>
            </w:r>
            <w:r w:rsidR="00AB52C3" w:rsidRPr="00665C1C">
              <w:rPr>
                <w:rFonts w:ascii="Times New Roman" w:hAnsi="Times New Roman"/>
                <w:sz w:val="24"/>
                <w:szCs w:val="24"/>
                <w:lang w:val="en-GB"/>
              </w:rPr>
              <w:t>Eligibility of costs</w:t>
            </w:r>
            <w:bookmarkEnd w:id="3"/>
            <w:r w:rsidR="00AB52C3" w:rsidRPr="00665C1C">
              <w:rPr>
                <w:rFonts w:ascii="Times New Roman" w:hAnsi="Times New Roman"/>
                <w:sz w:val="24"/>
                <w:szCs w:val="24"/>
                <w:lang w:val="en-GB"/>
              </w:rPr>
              <w:t xml:space="preserve">: costs that can be included, </w:t>
            </w:r>
            <w:r w:rsidR="00AB52C3" w:rsidRPr="00665C1C">
              <w:rPr>
                <w:rFonts w:ascii="Times New Roman" w:hAnsi="Times New Roman"/>
                <w:b/>
                <w:sz w:val="24"/>
                <w:szCs w:val="24"/>
                <w:lang w:val="en-GB"/>
              </w:rPr>
              <w:t>contributions in kind are indicated as ineligible cost.</w:t>
            </w:r>
            <w:r w:rsidR="00AB52C3" w:rsidRPr="00665C1C">
              <w:rPr>
                <w:rFonts w:ascii="Times New Roman" w:hAnsi="Times New Roman"/>
                <w:sz w:val="24"/>
                <w:szCs w:val="24"/>
                <w:lang w:val="en-GB"/>
              </w:rPr>
              <w:t xml:space="preserve"> </w:t>
            </w:r>
          </w:p>
          <w:p w:rsidR="005503CE" w:rsidRPr="00665C1C" w:rsidRDefault="005503CE" w:rsidP="00665C1C">
            <w:pPr>
              <w:spacing w:after="0" w:line="240" w:lineRule="auto"/>
              <w:jc w:val="both"/>
              <w:rPr>
                <w:rFonts w:ascii="Times New Roman" w:hAnsi="Times New Roman"/>
                <w:sz w:val="24"/>
                <w:szCs w:val="24"/>
                <w:lang w:val="en-GB"/>
              </w:rPr>
            </w:pPr>
          </w:p>
          <w:p w:rsidR="00972557" w:rsidRPr="006E4199" w:rsidRDefault="005503CE" w:rsidP="00665C1C">
            <w:pPr>
              <w:spacing w:after="0" w:line="240" w:lineRule="auto"/>
              <w:jc w:val="both"/>
              <w:rPr>
                <w:rFonts w:ascii="Times New Roman" w:hAnsi="Times New Roman"/>
                <w:bCs/>
                <w:sz w:val="24"/>
                <w:szCs w:val="24"/>
              </w:rPr>
            </w:pPr>
            <w:r w:rsidRPr="006E4199">
              <w:rPr>
                <w:rFonts w:ascii="Times New Roman" w:hAnsi="Times New Roman"/>
                <w:color w:val="000000"/>
                <w:sz w:val="24"/>
                <w:szCs w:val="24"/>
                <w:lang w:val="en-GB"/>
              </w:rPr>
              <w:t>Income generated by the action can be co</w:t>
            </w:r>
            <w:r w:rsidR="00552A13" w:rsidRPr="006E4199">
              <w:rPr>
                <w:rFonts w:ascii="Times New Roman" w:hAnsi="Times New Roman"/>
                <w:color w:val="000000"/>
                <w:sz w:val="24"/>
                <w:szCs w:val="24"/>
                <w:lang w:val="en-GB"/>
              </w:rPr>
              <w:t xml:space="preserve">nsidered as co-financing of the </w:t>
            </w:r>
            <w:r w:rsidRPr="006E4199">
              <w:rPr>
                <w:rFonts w:ascii="Times New Roman" w:hAnsi="Times New Roman"/>
                <w:color w:val="000000"/>
                <w:sz w:val="24"/>
                <w:szCs w:val="24"/>
                <w:lang w:val="en-GB"/>
              </w:rPr>
              <w:t xml:space="preserve">action (Ref. Point 6.3.9 of PRAG). </w:t>
            </w:r>
            <w:r w:rsidRPr="006E4199">
              <w:rPr>
                <w:rFonts w:ascii="Times New Roman" w:hAnsi="Times New Roman"/>
                <w:bCs/>
                <w:sz w:val="24"/>
                <w:szCs w:val="24"/>
              </w:rPr>
              <w:t xml:space="preserve">Such contributions should be explicitly explained in the description of action. </w:t>
            </w:r>
          </w:p>
          <w:p w:rsidR="00003CDF" w:rsidRDefault="00003CDF" w:rsidP="00665C1C">
            <w:pPr>
              <w:spacing w:after="0" w:line="240" w:lineRule="auto"/>
              <w:jc w:val="both"/>
              <w:rPr>
                <w:rFonts w:ascii="Times New Roman" w:hAnsi="Times New Roman"/>
                <w:b/>
                <w:bCs/>
                <w:sz w:val="24"/>
                <w:szCs w:val="24"/>
              </w:rPr>
            </w:pPr>
          </w:p>
          <w:p w:rsidR="005503CE" w:rsidRPr="00972557" w:rsidRDefault="00972557" w:rsidP="00972557">
            <w:pPr>
              <w:spacing w:after="0" w:line="240" w:lineRule="auto"/>
              <w:jc w:val="both"/>
              <w:rPr>
                <w:rFonts w:ascii="Times New Roman" w:hAnsi="Times New Roman"/>
                <w:sz w:val="24"/>
                <w:szCs w:val="24"/>
                <w:lang w:val="en-GB"/>
              </w:rPr>
            </w:pPr>
            <w:r w:rsidRPr="00972557">
              <w:rPr>
                <w:rFonts w:ascii="Times New Roman" w:hAnsi="Times New Roman"/>
                <w:bCs/>
                <w:sz w:val="24"/>
                <w:szCs w:val="24"/>
              </w:rPr>
              <w:lastRenderedPageBreak/>
              <w:t xml:space="preserve">Please be aware that in the Budget for the action </w:t>
            </w:r>
            <w:r>
              <w:rPr>
                <w:rFonts w:ascii="Times New Roman" w:hAnsi="Times New Roman"/>
                <w:bCs/>
                <w:sz w:val="24"/>
                <w:szCs w:val="24"/>
              </w:rPr>
              <w:t>at the Sources of funding page</w:t>
            </w:r>
            <w:r w:rsidRPr="00972557">
              <w:rPr>
                <w:rFonts w:ascii="Times New Roman" w:hAnsi="Times New Roman"/>
                <w:bCs/>
                <w:sz w:val="24"/>
                <w:szCs w:val="24"/>
              </w:rPr>
              <w:t>, there is a special line, where any revenues from the action should be specified.</w:t>
            </w:r>
          </w:p>
        </w:tc>
      </w:tr>
      <w:tr w:rsidR="00847B27" w:rsidRPr="00665C1C" w:rsidTr="00802705">
        <w:trPr>
          <w:trHeight w:val="181"/>
        </w:trPr>
        <w:tc>
          <w:tcPr>
            <w:tcW w:w="980" w:type="dxa"/>
          </w:tcPr>
          <w:p w:rsidR="00847B27" w:rsidRPr="00665C1C" w:rsidRDefault="00847B27"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lastRenderedPageBreak/>
              <w:t>Q24</w:t>
            </w:r>
          </w:p>
        </w:tc>
        <w:tc>
          <w:tcPr>
            <w:tcW w:w="8472" w:type="dxa"/>
          </w:tcPr>
          <w:p w:rsidR="00847B27" w:rsidRPr="00665C1C" w:rsidRDefault="004C4C45"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Is it allowed for Urban Municipality Tuzi to participate under this Call for Proposals as the Lead Applicant?</w:t>
            </w:r>
          </w:p>
        </w:tc>
      </w:tr>
      <w:tr w:rsidR="00847B27" w:rsidRPr="00665C1C" w:rsidTr="00802705">
        <w:trPr>
          <w:trHeight w:val="181"/>
        </w:trPr>
        <w:tc>
          <w:tcPr>
            <w:tcW w:w="980" w:type="dxa"/>
          </w:tcPr>
          <w:p w:rsidR="00847B27" w:rsidRPr="00665C1C" w:rsidRDefault="00847B27"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A24</w:t>
            </w:r>
          </w:p>
        </w:tc>
        <w:tc>
          <w:tcPr>
            <w:tcW w:w="8472" w:type="dxa"/>
          </w:tcPr>
          <w:p w:rsidR="00847B27" w:rsidRPr="00665C1C" w:rsidRDefault="0073229C"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R</w:t>
            </w:r>
            <w:r w:rsidR="005E7CE9" w:rsidRPr="00665C1C">
              <w:rPr>
                <w:rFonts w:ascii="Times New Roman" w:hAnsi="Times New Roman"/>
                <w:sz w:val="24"/>
                <w:szCs w:val="24"/>
                <w:lang w:val="en-GB"/>
              </w:rPr>
              <w:t>efer to A9.</w:t>
            </w:r>
          </w:p>
        </w:tc>
      </w:tr>
    </w:tbl>
    <w:p w:rsidR="006C4ADB" w:rsidRPr="00665C1C" w:rsidRDefault="006C4ADB" w:rsidP="00665C1C">
      <w:pPr>
        <w:jc w:val="both"/>
        <w:rPr>
          <w:rFonts w:ascii="Times New Roman" w:hAnsi="Times New Roman"/>
          <w:sz w:val="24"/>
          <w:szCs w:val="24"/>
          <w:lang w:val="en-GB"/>
        </w:rPr>
      </w:pPr>
    </w:p>
    <w:p w:rsidR="00E372B7" w:rsidRPr="00665C1C" w:rsidRDefault="00E372B7" w:rsidP="00665C1C">
      <w:pPr>
        <w:jc w:val="both"/>
        <w:rPr>
          <w:rFonts w:ascii="Times New Roman" w:eastAsia="Calibri" w:hAnsi="Times New Roman"/>
          <w:sz w:val="24"/>
          <w:szCs w:val="24"/>
          <w:lang w:val="en-GB"/>
        </w:rPr>
      </w:pPr>
      <w:r w:rsidRPr="00665C1C">
        <w:rPr>
          <w:rFonts w:ascii="Times New Roman" w:eastAsia="Calibri" w:hAnsi="Times New Roman"/>
          <w:sz w:val="24"/>
          <w:szCs w:val="24"/>
          <w:lang w:val="en-GB"/>
        </w:rPr>
        <w:t xml:space="preserve">The </w:t>
      </w:r>
      <w:r w:rsidR="009560B4" w:rsidRPr="00665C1C">
        <w:rPr>
          <w:rFonts w:ascii="Times New Roman" w:eastAsia="Calibri" w:hAnsi="Times New Roman"/>
          <w:sz w:val="24"/>
          <w:szCs w:val="24"/>
          <w:lang w:val="en-GB"/>
        </w:rPr>
        <w:t xml:space="preserve">answers on </w:t>
      </w:r>
      <w:r w:rsidRPr="00665C1C">
        <w:rPr>
          <w:rFonts w:ascii="Times New Roman" w:eastAsia="Calibri" w:hAnsi="Times New Roman"/>
          <w:sz w:val="24"/>
          <w:szCs w:val="24"/>
          <w:lang w:val="en-GB"/>
        </w:rPr>
        <w:t xml:space="preserve">questions </w:t>
      </w:r>
      <w:r w:rsidR="009560B4" w:rsidRPr="00665C1C">
        <w:rPr>
          <w:rFonts w:ascii="Times New Roman" w:eastAsia="Calibri" w:hAnsi="Times New Roman"/>
          <w:sz w:val="24"/>
          <w:szCs w:val="24"/>
          <w:lang w:val="en-GB"/>
        </w:rPr>
        <w:t>received on</w:t>
      </w:r>
      <w:r w:rsidRPr="00665C1C">
        <w:rPr>
          <w:rFonts w:ascii="Times New Roman" w:eastAsia="Calibri" w:hAnsi="Times New Roman"/>
          <w:sz w:val="24"/>
          <w:szCs w:val="24"/>
          <w:lang w:val="en-GB"/>
        </w:rPr>
        <w:t xml:space="preserve"> e-mail address </w:t>
      </w:r>
      <w:hyperlink r:id="rId11" w:history="1">
        <w:r w:rsidRPr="00665C1C">
          <w:rPr>
            <w:rStyle w:val="Hyperlink"/>
            <w:rFonts w:ascii="Times New Roman" w:eastAsia="Calibri" w:hAnsi="Times New Roman"/>
            <w:sz w:val="24"/>
            <w:szCs w:val="24"/>
            <w:lang w:val="en-GB"/>
          </w:rPr>
          <w:t>cfcu@mif.gov.me</w:t>
        </w:r>
      </w:hyperlink>
      <w:r w:rsidRPr="00665C1C">
        <w:rPr>
          <w:rFonts w:ascii="Times New Roman" w:eastAsia="Calibri" w:hAnsi="Times New Roman"/>
          <w:sz w:val="24"/>
          <w:szCs w:val="24"/>
          <w:lang w:val="en-GB"/>
        </w:rPr>
        <w:t xml:space="preserve"> </w:t>
      </w:r>
    </w:p>
    <w:tbl>
      <w:tblPr>
        <w:tblW w:w="9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
        <w:gridCol w:w="8314"/>
      </w:tblGrid>
      <w:tr w:rsidR="00E372B7" w:rsidRPr="00665C1C" w:rsidTr="00802705">
        <w:trPr>
          <w:trHeight w:val="144"/>
        </w:trPr>
        <w:tc>
          <w:tcPr>
            <w:tcW w:w="963" w:type="dxa"/>
          </w:tcPr>
          <w:p w:rsidR="00E372B7" w:rsidRPr="00665C1C" w:rsidRDefault="00E372B7"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Q2</w:t>
            </w:r>
            <w:r w:rsidR="005E7CE9" w:rsidRPr="00665C1C">
              <w:rPr>
                <w:rFonts w:ascii="Times New Roman" w:hAnsi="Times New Roman"/>
                <w:b/>
                <w:sz w:val="24"/>
                <w:szCs w:val="24"/>
                <w:lang w:val="en-GB"/>
              </w:rPr>
              <w:t>5</w:t>
            </w:r>
          </w:p>
        </w:tc>
        <w:tc>
          <w:tcPr>
            <w:tcW w:w="8314" w:type="dxa"/>
          </w:tcPr>
          <w:p w:rsidR="00E372B7" w:rsidRPr="00665C1C" w:rsidRDefault="00E372B7" w:rsidP="00665C1C">
            <w:pPr>
              <w:spacing w:after="0" w:line="240" w:lineRule="auto"/>
              <w:jc w:val="both"/>
              <w:rPr>
                <w:rFonts w:ascii="Times New Roman" w:hAnsi="Times New Roman"/>
                <w:b/>
                <w:color w:val="000000"/>
                <w:sz w:val="24"/>
                <w:szCs w:val="24"/>
                <w:lang w:val="en-GB"/>
              </w:rPr>
            </w:pPr>
            <w:r w:rsidRPr="00665C1C">
              <w:rPr>
                <w:rFonts w:ascii="Times New Roman" w:hAnsi="Times New Roman"/>
                <w:b/>
                <w:color w:val="000000"/>
                <w:sz w:val="24"/>
                <w:szCs w:val="24"/>
                <w:lang w:val="en-GB"/>
              </w:rPr>
              <w:t>Please clarify whether Local Authorities (i.e. Regional Authorities of EU Member States) are eligible as co-applicants for the call for proposals mentioned in the object.</w:t>
            </w:r>
          </w:p>
        </w:tc>
      </w:tr>
      <w:tr w:rsidR="00E372B7" w:rsidRPr="00665C1C" w:rsidTr="00802705">
        <w:trPr>
          <w:trHeight w:val="144"/>
        </w:trPr>
        <w:tc>
          <w:tcPr>
            <w:tcW w:w="963" w:type="dxa"/>
          </w:tcPr>
          <w:p w:rsidR="00E372B7" w:rsidRPr="00665C1C" w:rsidRDefault="00E372B7"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A2</w:t>
            </w:r>
            <w:r w:rsidR="005E7CE9" w:rsidRPr="00665C1C">
              <w:rPr>
                <w:rFonts w:ascii="Times New Roman" w:hAnsi="Times New Roman"/>
                <w:sz w:val="24"/>
                <w:szCs w:val="24"/>
                <w:lang w:val="en-GB"/>
              </w:rPr>
              <w:t>5</w:t>
            </w:r>
          </w:p>
        </w:tc>
        <w:tc>
          <w:tcPr>
            <w:tcW w:w="8314" w:type="dxa"/>
          </w:tcPr>
          <w:p w:rsidR="00E372B7" w:rsidRPr="00665C1C" w:rsidRDefault="0073229C"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 xml:space="preserve">Refer </w:t>
            </w:r>
            <w:r w:rsidR="005E7CE9" w:rsidRPr="00665C1C">
              <w:rPr>
                <w:rFonts w:ascii="Times New Roman" w:hAnsi="Times New Roman"/>
                <w:sz w:val="24"/>
                <w:szCs w:val="24"/>
                <w:lang w:val="en-GB"/>
              </w:rPr>
              <w:t>to</w:t>
            </w:r>
            <w:r w:rsidR="00E372B7" w:rsidRPr="00665C1C">
              <w:rPr>
                <w:rFonts w:ascii="Times New Roman" w:hAnsi="Times New Roman"/>
                <w:sz w:val="24"/>
                <w:szCs w:val="24"/>
                <w:lang w:val="en-GB"/>
              </w:rPr>
              <w:t xml:space="preserve"> A9</w:t>
            </w:r>
            <w:r w:rsidR="00E2399A" w:rsidRPr="00665C1C">
              <w:rPr>
                <w:rFonts w:ascii="Times New Roman" w:hAnsi="Times New Roman"/>
                <w:sz w:val="24"/>
                <w:szCs w:val="24"/>
                <w:lang w:val="en-GB"/>
              </w:rPr>
              <w:t>.</w:t>
            </w:r>
          </w:p>
        </w:tc>
      </w:tr>
      <w:tr w:rsidR="00E372B7" w:rsidRPr="00665C1C" w:rsidTr="00802705">
        <w:trPr>
          <w:trHeight w:val="144"/>
        </w:trPr>
        <w:tc>
          <w:tcPr>
            <w:tcW w:w="963" w:type="dxa"/>
          </w:tcPr>
          <w:p w:rsidR="00E372B7" w:rsidRPr="00665C1C" w:rsidRDefault="00E372B7"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Q2</w:t>
            </w:r>
            <w:r w:rsidR="005E7CE9" w:rsidRPr="00665C1C">
              <w:rPr>
                <w:rFonts w:ascii="Times New Roman" w:hAnsi="Times New Roman"/>
                <w:b/>
                <w:sz w:val="24"/>
                <w:szCs w:val="24"/>
                <w:lang w:val="en-GB"/>
              </w:rPr>
              <w:t>6</w:t>
            </w:r>
          </w:p>
        </w:tc>
        <w:tc>
          <w:tcPr>
            <w:tcW w:w="8314" w:type="dxa"/>
          </w:tcPr>
          <w:p w:rsidR="00E372B7" w:rsidRPr="00665C1C" w:rsidRDefault="00404A51"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 xml:space="preserve">We want </w:t>
            </w:r>
            <w:r w:rsidR="00003CDF">
              <w:rPr>
                <w:rFonts w:ascii="Times New Roman" w:hAnsi="Times New Roman"/>
                <w:b/>
                <w:sz w:val="24"/>
                <w:szCs w:val="24"/>
                <w:lang w:val="en-GB"/>
              </w:rPr>
              <w:t xml:space="preserve">to </w:t>
            </w:r>
            <w:r w:rsidRPr="00665C1C">
              <w:rPr>
                <w:rFonts w:ascii="Times New Roman" w:hAnsi="Times New Roman"/>
                <w:b/>
                <w:sz w:val="24"/>
                <w:szCs w:val="24"/>
                <w:lang w:val="en-GB"/>
              </w:rPr>
              <w:t xml:space="preserve">get information about </w:t>
            </w:r>
            <w:r w:rsidR="00337E86" w:rsidRPr="00665C1C">
              <w:rPr>
                <w:rFonts w:ascii="Times New Roman" w:hAnsi="Times New Roman"/>
                <w:b/>
                <w:sz w:val="24"/>
                <w:szCs w:val="24"/>
                <w:lang w:val="en-GB"/>
              </w:rPr>
              <w:t>whether the activity Organizing programs of social inclusion for unemployed people with disabilities with reduced working capacity and for people with disabilities who are unemployed, one of the prerequisites for the program that those people would be included is that they must be registered in the Agency of Employment Montenegro- Bureau of work</w:t>
            </w:r>
            <w:r w:rsidR="00C02014" w:rsidRPr="00665C1C">
              <w:rPr>
                <w:rFonts w:ascii="Times New Roman" w:hAnsi="Times New Roman"/>
                <w:b/>
                <w:sz w:val="24"/>
                <w:szCs w:val="24"/>
                <w:lang w:val="en-GB"/>
              </w:rPr>
              <w:t xml:space="preserve">. </w:t>
            </w:r>
          </w:p>
        </w:tc>
      </w:tr>
      <w:tr w:rsidR="00E372B7" w:rsidRPr="00665C1C" w:rsidTr="00802705">
        <w:trPr>
          <w:trHeight w:val="144"/>
        </w:trPr>
        <w:tc>
          <w:tcPr>
            <w:tcW w:w="963" w:type="dxa"/>
          </w:tcPr>
          <w:p w:rsidR="00E372B7" w:rsidRPr="00665C1C" w:rsidRDefault="00E372B7"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A2</w:t>
            </w:r>
            <w:r w:rsidR="00CF71D2" w:rsidRPr="00665C1C">
              <w:rPr>
                <w:rFonts w:ascii="Times New Roman" w:hAnsi="Times New Roman"/>
                <w:sz w:val="24"/>
                <w:szCs w:val="24"/>
                <w:lang w:val="en-GB"/>
              </w:rPr>
              <w:t>6</w:t>
            </w:r>
          </w:p>
        </w:tc>
        <w:tc>
          <w:tcPr>
            <w:tcW w:w="8314" w:type="dxa"/>
          </w:tcPr>
          <w:p w:rsidR="005E7CE9" w:rsidRPr="00665C1C" w:rsidRDefault="00AB52C3" w:rsidP="00665C1C">
            <w:pPr>
              <w:keepNext/>
              <w:keepLines/>
              <w:spacing w:before="200"/>
              <w:jc w:val="both"/>
              <w:outlineLvl w:val="1"/>
              <w:rPr>
                <w:rFonts w:ascii="Times New Roman" w:hAnsi="Times New Roman"/>
                <w:sz w:val="24"/>
                <w:szCs w:val="24"/>
                <w:lang w:val="en-GB"/>
              </w:rPr>
            </w:pPr>
            <w:r w:rsidRPr="00665C1C">
              <w:rPr>
                <w:rFonts w:ascii="Times New Roman" w:hAnsi="Times New Roman"/>
                <w:sz w:val="24"/>
                <w:szCs w:val="24"/>
                <w:lang w:val="en-GB"/>
              </w:rPr>
              <w:t>According to the Guidelines for the Applicants (point 1.2) the target groups of the Call for Proposals are:</w:t>
            </w:r>
          </w:p>
          <w:p w:rsidR="005E7CE9" w:rsidRPr="00665C1C" w:rsidRDefault="00AB52C3" w:rsidP="00665C1C">
            <w:pPr>
              <w:keepNext/>
              <w:keepLines/>
              <w:spacing w:before="200"/>
              <w:jc w:val="both"/>
              <w:outlineLvl w:val="1"/>
              <w:rPr>
                <w:rFonts w:ascii="Times New Roman" w:hAnsi="Times New Roman"/>
                <w:sz w:val="24"/>
                <w:szCs w:val="24"/>
                <w:lang w:val="en-GB"/>
              </w:rPr>
            </w:pPr>
            <w:r w:rsidRPr="00665C1C">
              <w:rPr>
                <w:rFonts w:ascii="Times New Roman" w:hAnsi="Times New Roman"/>
                <w:sz w:val="24"/>
                <w:szCs w:val="24"/>
                <w:lang w:val="en-GB"/>
              </w:rPr>
              <w:t>•</w:t>
            </w:r>
            <w:r w:rsidRPr="00665C1C">
              <w:rPr>
                <w:rFonts w:ascii="Times New Roman" w:hAnsi="Times New Roman"/>
                <w:sz w:val="24"/>
                <w:szCs w:val="24"/>
                <w:lang w:val="en-GB"/>
              </w:rPr>
              <w:tab/>
              <w:t>Unemployed persons with disabilities;</w:t>
            </w:r>
          </w:p>
          <w:p w:rsidR="005E7CE9" w:rsidRPr="00665C1C" w:rsidRDefault="00AB52C3" w:rsidP="00665C1C">
            <w:pPr>
              <w:keepNext/>
              <w:keepLines/>
              <w:spacing w:before="200"/>
              <w:jc w:val="both"/>
              <w:outlineLvl w:val="1"/>
              <w:rPr>
                <w:rFonts w:ascii="Times New Roman" w:hAnsi="Times New Roman"/>
                <w:sz w:val="24"/>
                <w:szCs w:val="24"/>
                <w:lang w:val="en-GB"/>
              </w:rPr>
            </w:pPr>
            <w:r w:rsidRPr="00665C1C">
              <w:rPr>
                <w:rFonts w:ascii="Times New Roman" w:hAnsi="Times New Roman"/>
                <w:sz w:val="24"/>
                <w:szCs w:val="24"/>
                <w:lang w:val="en-GB"/>
              </w:rPr>
              <w:t>•</w:t>
            </w:r>
            <w:r w:rsidRPr="00665C1C">
              <w:rPr>
                <w:rFonts w:ascii="Times New Roman" w:hAnsi="Times New Roman"/>
                <w:sz w:val="24"/>
                <w:szCs w:val="24"/>
                <w:lang w:val="en-GB"/>
              </w:rPr>
              <w:tab/>
              <w:t>Unemployed members of RE population.</w:t>
            </w:r>
          </w:p>
          <w:p w:rsidR="009C3947" w:rsidRPr="00665C1C" w:rsidRDefault="00AB52C3"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The applicants will need to demonstrate in the application/implementation that this condition was fulfilled.</w:t>
            </w:r>
            <w:r w:rsidR="00C02014" w:rsidRPr="00665C1C">
              <w:rPr>
                <w:rFonts w:ascii="Times New Roman" w:hAnsi="Times New Roman"/>
                <w:sz w:val="24"/>
                <w:szCs w:val="24"/>
                <w:lang w:val="en-GB"/>
              </w:rPr>
              <w:t xml:space="preserve"> </w:t>
            </w:r>
          </w:p>
        </w:tc>
      </w:tr>
      <w:tr w:rsidR="00E372B7" w:rsidRPr="00665C1C" w:rsidTr="00802705">
        <w:trPr>
          <w:trHeight w:val="144"/>
        </w:trPr>
        <w:tc>
          <w:tcPr>
            <w:tcW w:w="963" w:type="dxa"/>
          </w:tcPr>
          <w:p w:rsidR="00E372B7" w:rsidRPr="00665C1C" w:rsidRDefault="00EA42A8"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Q2</w:t>
            </w:r>
            <w:r w:rsidR="005E7CE9" w:rsidRPr="00665C1C">
              <w:rPr>
                <w:rFonts w:ascii="Times New Roman" w:hAnsi="Times New Roman"/>
                <w:b/>
                <w:sz w:val="24"/>
                <w:szCs w:val="24"/>
                <w:lang w:val="en-GB"/>
              </w:rPr>
              <w:t>7</w:t>
            </w:r>
          </w:p>
        </w:tc>
        <w:tc>
          <w:tcPr>
            <w:tcW w:w="8314" w:type="dxa"/>
          </w:tcPr>
          <w:p w:rsidR="004C4C45" w:rsidRPr="00665C1C" w:rsidRDefault="004C4C45"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Regarding Call for proposals ''Implementation of trainings and employment projects for persons with disabilities and RE population'', we need some clarification.</w:t>
            </w:r>
            <w:r w:rsidR="005A31E6" w:rsidRPr="00665C1C">
              <w:rPr>
                <w:rFonts w:ascii="Times New Roman" w:hAnsi="Times New Roman"/>
                <w:b/>
                <w:sz w:val="24"/>
                <w:szCs w:val="24"/>
                <w:lang w:val="en-GB"/>
              </w:rPr>
              <w:t xml:space="preserve"> </w:t>
            </w:r>
            <w:r w:rsidRPr="00665C1C">
              <w:rPr>
                <w:rFonts w:ascii="Times New Roman" w:hAnsi="Times New Roman"/>
                <w:b/>
                <w:sz w:val="24"/>
                <w:szCs w:val="24"/>
                <w:lang w:val="en-GB"/>
              </w:rPr>
              <w:t xml:space="preserve">Namely, in this Call it is stated that ''at least the lead applicant or the co-applicant must have a licence in Montenegro or a licence recognised by the Montenegrin authorities (meaning that the certifications given by the foreign education centre can be </w:t>
            </w:r>
            <w:r w:rsidR="00CF71D2" w:rsidRPr="00665C1C">
              <w:rPr>
                <w:rFonts w:ascii="Times New Roman" w:hAnsi="Times New Roman"/>
                <w:b/>
                <w:sz w:val="24"/>
                <w:szCs w:val="24"/>
                <w:lang w:val="en-GB"/>
              </w:rPr>
              <w:t>recognized</w:t>
            </w:r>
            <w:r w:rsidRPr="00665C1C">
              <w:rPr>
                <w:rFonts w:ascii="Times New Roman" w:hAnsi="Times New Roman"/>
                <w:b/>
                <w:sz w:val="24"/>
                <w:szCs w:val="24"/>
                <w:lang w:val="en-GB"/>
              </w:rPr>
              <w:t xml:space="preserve"> in Montenegro) for a publicly approved programme in case where the application deals with the implementation of an education programme within the grant project.</w:t>
            </w:r>
            <w:r w:rsidR="005A31E6" w:rsidRPr="00665C1C">
              <w:rPr>
                <w:rFonts w:ascii="Times New Roman" w:hAnsi="Times New Roman"/>
                <w:b/>
                <w:sz w:val="24"/>
                <w:szCs w:val="24"/>
                <w:lang w:val="en-GB"/>
              </w:rPr>
              <w:t xml:space="preserve"> </w:t>
            </w:r>
            <w:r w:rsidRPr="00665C1C">
              <w:rPr>
                <w:rFonts w:ascii="Times New Roman" w:hAnsi="Times New Roman"/>
                <w:b/>
                <w:sz w:val="24"/>
                <w:szCs w:val="24"/>
                <w:lang w:val="en-GB"/>
              </w:rPr>
              <w:t xml:space="preserve">Since in our project idea we planned on job trainings for target group at the employers, is it necessary that in that case applicant and co-applicant in the project must have named license or is it enough to have or to engage licensed companies or institutions  to conduct those trainings but without defining them as formal partners in the project? </w:t>
            </w:r>
          </w:p>
          <w:p w:rsidR="00AB52C3" w:rsidRPr="00665C1C" w:rsidRDefault="004C4C45"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Just to mention that applicant and co-applicant are NGO's dealing with persons with disabilities.</w:t>
            </w:r>
          </w:p>
        </w:tc>
      </w:tr>
      <w:tr w:rsidR="00E372B7" w:rsidRPr="00665C1C" w:rsidTr="00802705">
        <w:trPr>
          <w:trHeight w:val="144"/>
        </w:trPr>
        <w:tc>
          <w:tcPr>
            <w:tcW w:w="963" w:type="dxa"/>
          </w:tcPr>
          <w:p w:rsidR="00E372B7" w:rsidRPr="00665C1C" w:rsidRDefault="00EA42A8"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A2</w:t>
            </w:r>
            <w:r w:rsidR="005E7CE9" w:rsidRPr="00665C1C">
              <w:rPr>
                <w:rFonts w:ascii="Times New Roman" w:hAnsi="Times New Roman"/>
                <w:sz w:val="24"/>
                <w:szCs w:val="24"/>
                <w:lang w:val="en-GB"/>
              </w:rPr>
              <w:t>7</w:t>
            </w:r>
          </w:p>
        </w:tc>
        <w:tc>
          <w:tcPr>
            <w:tcW w:w="8314" w:type="dxa"/>
          </w:tcPr>
          <w:p w:rsidR="00FF6EFC" w:rsidRPr="00665C1C" w:rsidRDefault="00FF6EFC"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Refer to the point 2.1.1. of the Guidelines for Applicants, where it is stated that:</w:t>
            </w:r>
          </w:p>
          <w:p w:rsidR="00FF6EFC" w:rsidRPr="00665C1C" w:rsidRDefault="00FF6EFC" w:rsidP="00665C1C">
            <w:pPr>
              <w:spacing w:after="0" w:line="240" w:lineRule="auto"/>
              <w:jc w:val="both"/>
              <w:rPr>
                <w:rFonts w:ascii="Times New Roman" w:hAnsi="Times New Roman"/>
                <w:sz w:val="24"/>
                <w:szCs w:val="24"/>
                <w:lang w:val="en-GB"/>
              </w:rPr>
            </w:pPr>
          </w:p>
          <w:p w:rsidR="0001075B" w:rsidRPr="00665C1C" w:rsidRDefault="00FF6EFC"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 xml:space="preserve"> </w:t>
            </w:r>
            <w:r w:rsidR="005A31E6" w:rsidRPr="00665C1C">
              <w:rPr>
                <w:rFonts w:ascii="Times New Roman" w:hAnsi="Times New Roman"/>
                <w:sz w:val="24"/>
                <w:szCs w:val="24"/>
                <w:lang w:val="en-GB"/>
              </w:rPr>
              <w:t xml:space="preserve">“ </w:t>
            </w:r>
            <w:r w:rsidR="00AB52C3" w:rsidRPr="00665C1C">
              <w:rPr>
                <w:rFonts w:ascii="Times New Roman" w:hAnsi="Times New Roman"/>
                <w:sz w:val="24"/>
                <w:szCs w:val="24"/>
                <w:lang w:val="en-GB"/>
              </w:rPr>
              <w:t>•</w:t>
            </w:r>
            <w:r w:rsidR="00AB52C3" w:rsidRPr="00665C1C">
              <w:rPr>
                <w:rFonts w:ascii="Times New Roman" w:hAnsi="Times New Roman"/>
                <w:sz w:val="24"/>
                <w:szCs w:val="24"/>
                <w:lang w:val="en-GB"/>
              </w:rPr>
              <w:tab/>
              <w:t xml:space="preserve">at least the lead applicant or the </w:t>
            </w:r>
            <w:r w:rsidR="0001075B" w:rsidRPr="00665C1C">
              <w:rPr>
                <w:rFonts w:ascii="Times New Roman" w:hAnsi="Times New Roman"/>
                <w:sz w:val="24"/>
                <w:szCs w:val="24"/>
                <w:lang w:val="en-GB"/>
              </w:rPr>
              <w:t>co-</w:t>
            </w:r>
            <w:r w:rsidR="00AB52C3" w:rsidRPr="00665C1C">
              <w:rPr>
                <w:rFonts w:ascii="Times New Roman" w:hAnsi="Times New Roman"/>
                <w:sz w:val="24"/>
                <w:szCs w:val="24"/>
                <w:lang w:val="en-GB"/>
              </w:rPr>
              <w:t xml:space="preserve">applicant </w:t>
            </w:r>
            <w:r w:rsidR="00005F32" w:rsidRPr="00665C1C">
              <w:rPr>
                <w:rFonts w:ascii="Times New Roman" w:hAnsi="Times New Roman"/>
                <w:b/>
                <w:sz w:val="24"/>
                <w:szCs w:val="24"/>
                <w:lang w:val="en-GB"/>
              </w:rPr>
              <w:t>must have a licence in Montenegro or a licence recognised by the Montenegrin authorities</w:t>
            </w:r>
            <w:r w:rsidR="00AB52C3" w:rsidRPr="00665C1C">
              <w:rPr>
                <w:rFonts w:ascii="Times New Roman" w:hAnsi="Times New Roman"/>
                <w:sz w:val="24"/>
                <w:szCs w:val="24"/>
                <w:lang w:val="en-GB"/>
              </w:rPr>
              <w:t xml:space="preserve"> (meaning that the certifications given by the foreign education centre can be recognised in Montenegro) for a publicly approved programme </w:t>
            </w:r>
            <w:r w:rsidR="0001075B" w:rsidRPr="00665C1C">
              <w:rPr>
                <w:rFonts w:ascii="Times New Roman" w:hAnsi="Times New Roman"/>
                <w:b/>
                <w:sz w:val="24"/>
                <w:szCs w:val="24"/>
                <w:lang w:val="en-GB"/>
              </w:rPr>
              <w:t xml:space="preserve">in case where the application </w:t>
            </w:r>
            <w:r w:rsidR="0001075B" w:rsidRPr="00665C1C">
              <w:rPr>
                <w:rFonts w:ascii="Times New Roman" w:hAnsi="Times New Roman"/>
                <w:b/>
                <w:sz w:val="24"/>
                <w:szCs w:val="24"/>
                <w:lang w:val="en-GB"/>
              </w:rPr>
              <w:lastRenderedPageBreak/>
              <w:t>deals with the implementation of an education programme</w:t>
            </w:r>
            <w:r w:rsidR="00AB52C3" w:rsidRPr="00665C1C">
              <w:rPr>
                <w:rFonts w:ascii="Times New Roman" w:hAnsi="Times New Roman"/>
                <w:sz w:val="24"/>
                <w:szCs w:val="24"/>
                <w:lang w:val="en-GB"/>
              </w:rPr>
              <w:t xml:space="preserve"> within the grant project</w:t>
            </w:r>
            <w:r w:rsidR="00FB7D37" w:rsidRPr="00665C1C">
              <w:rPr>
                <w:rFonts w:ascii="Times New Roman" w:hAnsi="Times New Roman"/>
                <w:sz w:val="24"/>
                <w:szCs w:val="24"/>
                <w:lang w:val="en-GB"/>
              </w:rPr>
              <w:t>.</w:t>
            </w:r>
            <w:r w:rsidR="005A31E6" w:rsidRPr="00665C1C">
              <w:rPr>
                <w:rFonts w:ascii="Times New Roman" w:hAnsi="Times New Roman"/>
                <w:sz w:val="24"/>
                <w:szCs w:val="24"/>
                <w:lang w:val="en-GB"/>
              </w:rPr>
              <w:t>”</w:t>
            </w:r>
          </w:p>
          <w:p w:rsidR="0078441E" w:rsidRPr="00665C1C" w:rsidRDefault="0078441E" w:rsidP="00665C1C">
            <w:pPr>
              <w:spacing w:after="0" w:line="240" w:lineRule="auto"/>
              <w:jc w:val="both"/>
              <w:rPr>
                <w:rFonts w:ascii="Times New Roman" w:hAnsi="Times New Roman"/>
                <w:sz w:val="24"/>
                <w:szCs w:val="24"/>
                <w:lang w:val="en-GB"/>
              </w:rPr>
            </w:pPr>
          </w:p>
          <w:p w:rsidR="00D3510F" w:rsidRDefault="00247283" w:rsidP="00D3510F">
            <w:pPr>
              <w:spacing w:after="0" w:line="240" w:lineRule="auto"/>
              <w:jc w:val="both"/>
              <w:rPr>
                <w:rFonts w:ascii="Times New Roman" w:hAnsi="Times New Roman"/>
                <w:sz w:val="24"/>
                <w:szCs w:val="24"/>
                <w:lang w:val="en-GB"/>
              </w:rPr>
            </w:pPr>
            <w:r w:rsidRPr="00247283">
              <w:rPr>
                <w:rFonts w:ascii="Times New Roman" w:hAnsi="Times New Roman"/>
                <w:sz w:val="24"/>
                <w:szCs w:val="24"/>
                <w:lang w:val="en-GB"/>
              </w:rPr>
              <w:t>Applicants may propose certified (</w:t>
            </w:r>
            <w:r w:rsidR="00996ECC">
              <w:rPr>
                <w:rFonts w:ascii="Times New Roman" w:hAnsi="Times New Roman"/>
                <w:sz w:val="24"/>
                <w:szCs w:val="24"/>
                <w:lang w:val="en-GB"/>
              </w:rPr>
              <w:t>i.</w:t>
            </w:r>
            <w:r w:rsidRPr="00247283">
              <w:rPr>
                <w:rFonts w:ascii="Times New Roman" w:hAnsi="Times New Roman"/>
                <w:sz w:val="24"/>
                <w:szCs w:val="24"/>
                <w:lang w:val="en-GB"/>
              </w:rPr>
              <w:t xml:space="preserve">e. publicly approved) and non-certified programmes, providing the action corresponds to the objectives of the Call for Proposals. The license is required only for the implementation of a publicly approved education programme, as </w:t>
            </w:r>
            <w:r w:rsidR="00996ECC">
              <w:rPr>
                <w:rFonts w:ascii="Times New Roman" w:hAnsi="Times New Roman"/>
                <w:sz w:val="24"/>
                <w:szCs w:val="24"/>
                <w:lang w:val="en-GB"/>
              </w:rPr>
              <w:t>prescribed by</w:t>
            </w:r>
            <w:r w:rsidRPr="00247283">
              <w:rPr>
                <w:rFonts w:ascii="Times New Roman" w:hAnsi="Times New Roman"/>
                <w:sz w:val="24"/>
                <w:szCs w:val="24"/>
                <w:lang w:val="en-GB"/>
              </w:rPr>
              <w:t xml:space="preserve"> the </w:t>
            </w:r>
            <w:r w:rsidR="00D3510F">
              <w:rPr>
                <w:rFonts w:ascii="Times New Roman" w:hAnsi="Times New Roman"/>
                <w:sz w:val="24"/>
                <w:szCs w:val="24"/>
                <w:lang w:val="en-GB"/>
              </w:rPr>
              <w:t>Law on Adult Education (“OJ of Montenegro</w:t>
            </w:r>
            <w:r w:rsidRPr="00247283">
              <w:rPr>
                <w:rFonts w:ascii="Times New Roman" w:hAnsi="Times New Roman"/>
                <w:sz w:val="24"/>
                <w:szCs w:val="24"/>
                <w:lang w:val="en-GB"/>
              </w:rPr>
              <w:t>”,</w:t>
            </w:r>
            <w:r w:rsidR="00996ECC">
              <w:rPr>
                <w:rFonts w:ascii="Times New Roman" w:hAnsi="Times New Roman"/>
                <w:sz w:val="24"/>
                <w:szCs w:val="24"/>
                <w:lang w:val="en-GB"/>
              </w:rPr>
              <w:t xml:space="preserve"> </w:t>
            </w:r>
            <w:r w:rsidRPr="00247283">
              <w:rPr>
                <w:rFonts w:ascii="Times New Roman" w:hAnsi="Times New Roman"/>
                <w:sz w:val="24"/>
                <w:szCs w:val="24"/>
                <w:lang w:val="en-GB"/>
              </w:rPr>
              <w:t>no.</w:t>
            </w:r>
            <w:r w:rsidR="00996ECC">
              <w:rPr>
                <w:rFonts w:ascii="Times New Roman" w:hAnsi="Times New Roman"/>
                <w:sz w:val="24"/>
                <w:szCs w:val="24"/>
                <w:lang w:val="en-GB"/>
              </w:rPr>
              <w:t xml:space="preserve"> </w:t>
            </w:r>
            <w:r w:rsidRPr="00247283">
              <w:rPr>
                <w:rFonts w:ascii="Times New Roman" w:hAnsi="Times New Roman"/>
                <w:sz w:val="24"/>
                <w:szCs w:val="24"/>
                <w:lang w:val="en-GB"/>
              </w:rPr>
              <w:t>20/11</w:t>
            </w:r>
            <w:r w:rsidR="00996ECC">
              <w:rPr>
                <w:rFonts w:ascii="Times New Roman" w:hAnsi="Times New Roman"/>
                <w:sz w:val="24"/>
                <w:szCs w:val="24"/>
                <w:lang w:val="en-GB"/>
              </w:rPr>
              <w:t>, available at:</w:t>
            </w:r>
          </w:p>
          <w:p w:rsidR="00D3510F" w:rsidRDefault="00996ECC" w:rsidP="00D3510F">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w:t>
            </w:r>
            <w:hyperlink r:id="rId12" w:history="1">
              <w:r w:rsidRPr="00675141">
                <w:rPr>
                  <w:rStyle w:val="Hyperlink"/>
                  <w:rFonts w:ascii="Times New Roman" w:hAnsi="Times New Roman"/>
                  <w:sz w:val="24"/>
                  <w:szCs w:val="24"/>
                  <w:lang w:val="en-GB"/>
                </w:rPr>
                <w:t>http://www.sluzbenilist.me/PravniAktDetalji.aspx?tag={B8328501-A894-4D51-8EA0-92B0B4B1CDC3}</w:t>
              </w:r>
            </w:hyperlink>
            <w:r>
              <w:rPr>
                <w:rFonts w:ascii="Times New Roman" w:hAnsi="Times New Roman"/>
                <w:sz w:val="24"/>
                <w:szCs w:val="24"/>
                <w:lang w:val="en-GB"/>
              </w:rPr>
              <w:t xml:space="preserve">. </w:t>
            </w:r>
          </w:p>
          <w:p w:rsidR="00C80A22" w:rsidRPr="00665C1C" w:rsidRDefault="00247283" w:rsidP="00D3510F">
            <w:pPr>
              <w:spacing w:after="0" w:line="240" w:lineRule="auto"/>
              <w:jc w:val="both"/>
              <w:rPr>
                <w:rFonts w:ascii="Times New Roman" w:hAnsi="Times New Roman"/>
                <w:sz w:val="24"/>
                <w:szCs w:val="24"/>
                <w:lang w:val="en-GB"/>
              </w:rPr>
            </w:pPr>
            <w:r w:rsidRPr="00247283">
              <w:rPr>
                <w:rFonts w:ascii="Times New Roman" w:hAnsi="Times New Roman"/>
                <w:sz w:val="24"/>
                <w:szCs w:val="24"/>
                <w:lang w:val="en-GB"/>
              </w:rPr>
              <w:t>In case operators propose training activities not envisaged by the definition of “publicly approved programmes” of the law above, then, no license neither for the applicant nor from the co-applicant is requested.</w:t>
            </w:r>
          </w:p>
        </w:tc>
      </w:tr>
      <w:tr w:rsidR="00051E60" w:rsidRPr="00665C1C" w:rsidTr="00802705">
        <w:trPr>
          <w:trHeight w:val="826"/>
        </w:trPr>
        <w:tc>
          <w:tcPr>
            <w:tcW w:w="963" w:type="dxa"/>
          </w:tcPr>
          <w:p w:rsidR="00051E60" w:rsidRPr="00665C1C" w:rsidRDefault="00051E60"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lastRenderedPageBreak/>
              <w:t>Q28</w:t>
            </w:r>
          </w:p>
        </w:tc>
        <w:tc>
          <w:tcPr>
            <w:tcW w:w="8314" w:type="dxa"/>
          </w:tcPr>
          <w:p w:rsidR="00FB7D37" w:rsidRPr="00665C1C" w:rsidRDefault="009C3947" w:rsidP="00665C1C">
            <w:pPr>
              <w:spacing w:after="0" w:line="240" w:lineRule="auto"/>
              <w:jc w:val="both"/>
              <w:rPr>
                <w:rFonts w:ascii="Times New Roman" w:hAnsi="Times New Roman"/>
                <w:b/>
                <w:sz w:val="24"/>
                <w:szCs w:val="24"/>
                <w:lang w:val="en-GB"/>
              </w:rPr>
            </w:pPr>
            <w:r w:rsidRPr="00665C1C">
              <w:rPr>
                <w:rFonts w:ascii="Times New Roman" w:hAnsi="Times New Roman"/>
                <w:b/>
                <w:sz w:val="24"/>
                <w:szCs w:val="24"/>
                <w:lang w:val="en-GB"/>
              </w:rPr>
              <w:t>Can</w:t>
            </w:r>
            <w:r w:rsidR="005A31E6" w:rsidRPr="00665C1C">
              <w:rPr>
                <w:rFonts w:ascii="Times New Roman" w:hAnsi="Times New Roman"/>
                <w:b/>
                <w:sz w:val="24"/>
                <w:szCs w:val="24"/>
                <w:lang w:val="en-GB"/>
              </w:rPr>
              <w:t xml:space="preserve"> persons with disabilities </w:t>
            </w:r>
            <w:r w:rsidR="00FB7D37" w:rsidRPr="00665C1C">
              <w:rPr>
                <w:rFonts w:ascii="Times New Roman" w:hAnsi="Times New Roman"/>
                <w:b/>
                <w:sz w:val="24"/>
                <w:szCs w:val="24"/>
                <w:lang w:val="en-GB"/>
              </w:rPr>
              <w:t>be practically trained in public institutions,</w:t>
            </w:r>
            <w:r w:rsidR="00C02014" w:rsidRPr="00665C1C">
              <w:rPr>
                <w:rFonts w:ascii="Times New Roman" w:hAnsi="Times New Roman"/>
                <w:b/>
                <w:sz w:val="24"/>
                <w:szCs w:val="24"/>
                <w:lang w:val="en-GB"/>
              </w:rPr>
              <w:t xml:space="preserve"> </w:t>
            </w:r>
            <w:r w:rsidR="00FB7D37" w:rsidRPr="00665C1C">
              <w:rPr>
                <w:rFonts w:ascii="Times New Roman" w:hAnsi="Times New Roman"/>
                <w:b/>
                <w:sz w:val="24"/>
                <w:szCs w:val="24"/>
                <w:lang w:val="en-GB"/>
              </w:rPr>
              <w:t xml:space="preserve">with the support of mentors, with the aim of </w:t>
            </w:r>
            <w:r w:rsidR="00FF6EFC" w:rsidRPr="00665C1C">
              <w:rPr>
                <w:rFonts w:ascii="Times New Roman" w:hAnsi="Times New Roman"/>
                <w:b/>
                <w:sz w:val="24"/>
                <w:szCs w:val="24"/>
                <w:lang w:val="en-GB"/>
              </w:rPr>
              <w:t>obtaining</w:t>
            </w:r>
            <w:r w:rsidR="00FB7D37" w:rsidRPr="00665C1C">
              <w:rPr>
                <w:rFonts w:ascii="Times New Roman" w:hAnsi="Times New Roman"/>
                <w:b/>
                <w:sz w:val="24"/>
                <w:szCs w:val="24"/>
                <w:lang w:val="en-GB"/>
              </w:rPr>
              <w:t xml:space="preserve"> </w:t>
            </w:r>
            <w:r w:rsidR="00C86539" w:rsidRPr="00665C1C">
              <w:rPr>
                <w:rFonts w:ascii="Times New Roman" w:hAnsi="Times New Roman"/>
                <w:b/>
                <w:sz w:val="24"/>
                <w:szCs w:val="24"/>
                <w:lang w:val="en-GB"/>
              </w:rPr>
              <w:t>employment in the public institution after completion of the project?</w:t>
            </w:r>
          </w:p>
        </w:tc>
      </w:tr>
      <w:tr w:rsidR="00051E60" w:rsidRPr="00665C1C" w:rsidTr="00665C1C">
        <w:trPr>
          <w:trHeight w:val="2078"/>
        </w:trPr>
        <w:tc>
          <w:tcPr>
            <w:tcW w:w="963" w:type="dxa"/>
          </w:tcPr>
          <w:p w:rsidR="00051E60" w:rsidRPr="00665C1C" w:rsidRDefault="00051E60"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A28</w:t>
            </w:r>
          </w:p>
        </w:tc>
        <w:tc>
          <w:tcPr>
            <w:tcW w:w="8314" w:type="dxa"/>
          </w:tcPr>
          <w:p w:rsidR="00D76D27" w:rsidRPr="00665C1C" w:rsidRDefault="00D76D27"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To ensure equal treatment of applicants, the contracting authority cannot give a prior opinion on the eligibility of lead applicants, co-applicants, affiliated entity(ies), an action or specific activities.</w:t>
            </w:r>
          </w:p>
          <w:p w:rsidR="00D76D27" w:rsidRPr="00665C1C" w:rsidRDefault="00D76D27" w:rsidP="00665C1C">
            <w:pPr>
              <w:spacing w:after="0" w:line="240" w:lineRule="auto"/>
              <w:jc w:val="both"/>
              <w:rPr>
                <w:rFonts w:ascii="Times New Roman" w:hAnsi="Times New Roman"/>
                <w:sz w:val="24"/>
                <w:szCs w:val="24"/>
                <w:lang w:val="en-GB"/>
              </w:rPr>
            </w:pPr>
          </w:p>
          <w:p w:rsidR="003C06B2" w:rsidRPr="00665C1C" w:rsidRDefault="00D63594" w:rsidP="00665C1C">
            <w:pPr>
              <w:spacing w:after="0" w:line="240" w:lineRule="auto"/>
              <w:jc w:val="both"/>
              <w:rPr>
                <w:rFonts w:ascii="Times New Roman" w:hAnsi="Times New Roman"/>
                <w:sz w:val="24"/>
                <w:szCs w:val="24"/>
                <w:lang w:val="en-GB"/>
              </w:rPr>
            </w:pPr>
            <w:r w:rsidRPr="00665C1C">
              <w:rPr>
                <w:rFonts w:ascii="Times New Roman" w:hAnsi="Times New Roman"/>
                <w:sz w:val="24"/>
                <w:szCs w:val="24"/>
                <w:lang w:val="en-GB"/>
              </w:rPr>
              <w:t>Please refer to the Guidelines for Applicants, section 2.1.4. Eligible actions: actions for which an application may be made.</w:t>
            </w:r>
          </w:p>
        </w:tc>
      </w:tr>
    </w:tbl>
    <w:p w:rsidR="00E372B7" w:rsidRPr="005A31E6" w:rsidRDefault="00E372B7" w:rsidP="00777D15">
      <w:pPr>
        <w:jc w:val="both"/>
        <w:rPr>
          <w:rFonts w:ascii="Times New Roman" w:hAnsi="Times New Roman"/>
          <w:b/>
          <w:sz w:val="24"/>
          <w:szCs w:val="24"/>
          <w:lang w:val="en-GB"/>
        </w:rPr>
      </w:pPr>
    </w:p>
    <w:sectPr w:rsidR="00E372B7" w:rsidRPr="005A31E6" w:rsidSect="007302D5">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E4F" w:rsidRDefault="004F6E4F" w:rsidP="0078750A">
      <w:pPr>
        <w:spacing w:after="0" w:line="240" w:lineRule="auto"/>
      </w:pPr>
      <w:r>
        <w:separator/>
      </w:r>
    </w:p>
  </w:endnote>
  <w:endnote w:type="continuationSeparator" w:id="0">
    <w:p w:rsidR="004F6E4F" w:rsidRDefault="004F6E4F" w:rsidP="00787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6B2" w:rsidRDefault="009E1E4B">
    <w:pPr>
      <w:pStyle w:val="Footer"/>
      <w:jc w:val="right"/>
    </w:pPr>
    <w:r>
      <w:fldChar w:fldCharType="begin"/>
    </w:r>
    <w:r w:rsidR="00DD4926">
      <w:instrText xml:space="preserve"> PAGE   \* MERGEFORMAT </w:instrText>
    </w:r>
    <w:r>
      <w:fldChar w:fldCharType="separate"/>
    </w:r>
    <w:r w:rsidR="00247A7A">
      <w:rPr>
        <w:noProof/>
      </w:rPr>
      <w:t>8</w:t>
    </w:r>
    <w:r>
      <w:rPr>
        <w:noProof/>
      </w:rPr>
      <w:fldChar w:fldCharType="end"/>
    </w:r>
  </w:p>
  <w:p w:rsidR="003C06B2" w:rsidRDefault="003C0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E4F" w:rsidRDefault="004F6E4F" w:rsidP="0078750A">
      <w:pPr>
        <w:spacing w:after="0" w:line="240" w:lineRule="auto"/>
      </w:pPr>
      <w:r>
        <w:separator/>
      </w:r>
    </w:p>
  </w:footnote>
  <w:footnote w:type="continuationSeparator" w:id="0">
    <w:p w:rsidR="004F6E4F" w:rsidRDefault="004F6E4F" w:rsidP="007875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CCC"/>
    <w:multiLevelType w:val="multilevel"/>
    <w:tmpl w:val="298096B6"/>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vanish w:val="0"/>
        <w:color w:val="000000"/>
        <w:sz w:val="24"/>
        <w:u w:val="none"/>
        <w:vertAlign w:val="base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
    <w:nsid w:val="12876FFA"/>
    <w:multiLevelType w:val="hybridMultilevel"/>
    <w:tmpl w:val="9FD08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403641"/>
    <w:multiLevelType w:val="hybridMultilevel"/>
    <w:tmpl w:val="4202A49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5F31C9"/>
    <w:multiLevelType w:val="hybridMultilevel"/>
    <w:tmpl w:val="6E80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B25D58"/>
    <w:multiLevelType w:val="hybridMultilevel"/>
    <w:tmpl w:val="EB363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80132BC"/>
    <w:multiLevelType w:val="hybridMultilevel"/>
    <w:tmpl w:val="419ED30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3F2C399C"/>
    <w:multiLevelType w:val="hybridMultilevel"/>
    <w:tmpl w:val="2014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nsid w:val="47247F39"/>
    <w:multiLevelType w:val="hybridMultilevel"/>
    <w:tmpl w:val="D5220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7325933"/>
    <w:multiLevelType w:val="hybridMultilevel"/>
    <w:tmpl w:val="668A22D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EE5109"/>
    <w:multiLevelType w:val="hybridMultilevel"/>
    <w:tmpl w:val="093EE8A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5A680AAA"/>
    <w:multiLevelType w:val="hybridMultilevel"/>
    <w:tmpl w:val="ACB0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4CB1A6F"/>
    <w:multiLevelType w:val="hybridMultilevel"/>
    <w:tmpl w:val="B072B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8F70FA"/>
    <w:multiLevelType w:val="hybridMultilevel"/>
    <w:tmpl w:val="9738E4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AF470D"/>
    <w:multiLevelType w:val="hybridMultilevel"/>
    <w:tmpl w:val="DC569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8F34AD"/>
    <w:multiLevelType w:val="hybridMultilevel"/>
    <w:tmpl w:val="210C4096"/>
    <w:lvl w:ilvl="0" w:tplc="E76CBEF4">
      <w:start w:val="1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7B984BEA"/>
    <w:multiLevelType w:val="hybridMultilevel"/>
    <w:tmpl w:val="4E56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46637B"/>
    <w:multiLevelType w:val="hybridMultilevel"/>
    <w:tmpl w:val="5E94A878"/>
    <w:lvl w:ilvl="0" w:tplc="2AB4BE6A">
      <w:start w:val="1"/>
      <w:numFmt w:val="decimal"/>
      <w:lvlText w:val="(%1)"/>
      <w:lvlJc w:val="left"/>
      <w:pPr>
        <w:ind w:left="420" w:hanging="375"/>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8">
    <w:nsid w:val="7DCC5171"/>
    <w:multiLevelType w:val="hybridMultilevel"/>
    <w:tmpl w:val="278C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0"/>
  </w:num>
  <w:num w:numId="4">
    <w:abstractNumId w:val="7"/>
  </w:num>
  <w:num w:numId="5">
    <w:abstractNumId w:val="9"/>
  </w:num>
  <w:num w:numId="6">
    <w:abstractNumId w:val="17"/>
  </w:num>
  <w:num w:numId="7">
    <w:abstractNumId w:val="14"/>
  </w:num>
  <w:num w:numId="8">
    <w:abstractNumId w:val="1"/>
  </w:num>
  <w:num w:numId="9">
    <w:abstractNumId w:val="6"/>
  </w:num>
  <w:num w:numId="10">
    <w:abstractNumId w:val="13"/>
  </w:num>
  <w:num w:numId="11">
    <w:abstractNumId w:val="8"/>
  </w:num>
  <w:num w:numId="12">
    <w:abstractNumId w:val="12"/>
  </w:num>
  <w:num w:numId="13">
    <w:abstractNumId w:val="18"/>
  </w:num>
  <w:num w:numId="14">
    <w:abstractNumId w:val="4"/>
  </w:num>
  <w:num w:numId="15">
    <w:abstractNumId w:val="10"/>
  </w:num>
  <w:num w:numId="16">
    <w:abstractNumId w:val="2"/>
  </w:num>
  <w:num w:numId="17">
    <w:abstractNumId w:val="15"/>
  </w:num>
  <w:num w:numId="18">
    <w:abstractNumId w:val="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docVars>
    <w:docVar w:name="LW_DocType" w:val="NORMAL"/>
  </w:docVars>
  <w:rsids>
    <w:rsidRoot w:val="006C4ADB"/>
    <w:rsid w:val="000009DA"/>
    <w:rsid w:val="00003CDF"/>
    <w:rsid w:val="00005F32"/>
    <w:rsid w:val="0001075B"/>
    <w:rsid w:val="00012892"/>
    <w:rsid w:val="00050CE9"/>
    <w:rsid w:val="00051E60"/>
    <w:rsid w:val="00053411"/>
    <w:rsid w:val="000715E4"/>
    <w:rsid w:val="0007364B"/>
    <w:rsid w:val="00074245"/>
    <w:rsid w:val="000816D8"/>
    <w:rsid w:val="00083E8D"/>
    <w:rsid w:val="000965F2"/>
    <w:rsid w:val="000977F7"/>
    <w:rsid w:val="000C2DDD"/>
    <w:rsid w:val="000C5B4F"/>
    <w:rsid w:val="000D0753"/>
    <w:rsid w:val="000D6AA0"/>
    <w:rsid w:val="000E0945"/>
    <w:rsid w:val="000E1BE2"/>
    <w:rsid w:val="000F7D18"/>
    <w:rsid w:val="00110B62"/>
    <w:rsid w:val="00123A38"/>
    <w:rsid w:val="00123A91"/>
    <w:rsid w:val="00154BB4"/>
    <w:rsid w:val="00162FD4"/>
    <w:rsid w:val="0016712E"/>
    <w:rsid w:val="00185CD9"/>
    <w:rsid w:val="00187B5E"/>
    <w:rsid w:val="00191356"/>
    <w:rsid w:val="001B24D7"/>
    <w:rsid w:val="001C1774"/>
    <w:rsid w:val="001D4A4C"/>
    <w:rsid w:val="001D5C6B"/>
    <w:rsid w:val="001F0BBC"/>
    <w:rsid w:val="001F2160"/>
    <w:rsid w:val="00202825"/>
    <w:rsid w:val="00211524"/>
    <w:rsid w:val="0021442C"/>
    <w:rsid w:val="00236D64"/>
    <w:rsid w:val="002408F6"/>
    <w:rsid w:val="00244E3C"/>
    <w:rsid w:val="00246768"/>
    <w:rsid w:val="00247283"/>
    <w:rsid w:val="00247A7A"/>
    <w:rsid w:val="00252C88"/>
    <w:rsid w:val="00276157"/>
    <w:rsid w:val="00276EFB"/>
    <w:rsid w:val="002C0332"/>
    <w:rsid w:val="002C7F88"/>
    <w:rsid w:val="002F620D"/>
    <w:rsid w:val="00326D54"/>
    <w:rsid w:val="00337E86"/>
    <w:rsid w:val="0034730F"/>
    <w:rsid w:val="0035307A"/>
    <w:rsid w:val="00364EFA"/>
    <w:rsid w:val="003679E4"/>
    <w:rsid w:val="0037379E"/>
    <w:rsid w:val="003767AB"/>
    <w:rsid w:val="00385FBE"/>
    <w:rsid w:val="003964A4"/>
    <w:rsid w:val="003A2DF4"/>
    <w:rsid w:val="003B4198"/>
    <w:rsid w:val="003B45F8"/>
    <w:rsid w:val="003B7487"/>
    <w:rsid w:val="003C049F"/>
    <w:rsid w:val="003C06B2"/>
    <w:rsid w:val="003C1A9C"/>
    <w:rsid w:val="003C7EEC"/>
    <w:rsid w:val="00404A51"/>
    <w:rsid w:val="00413DC5"/>
    <w:rsid w:val="00421705"/>
    <w:rsid w:val="00425676"/>
    <w:rsid w:val="00433B34"/>
    <w:rsid w:val="00452306"/>
    <w:rsid w:val="00464F32"/>
    <w:rsid w:val="0046640D"/>
    <w:rsid w:val="004744F8"/>
    <w:rsid w:val="00477A9C"/>
    <w:rsid w:val="004800D1"/>
    <w:rsid w:val="00480126"/>
    <w:rsid w:val="004C4C45"/>
    <w:rsid w:val="004D2B6E"/>
    <w:rsid w:val="004F2C29"/>
    <w:rsid w:val="004F6E4F"/>
    <w:rsid w:val="00515EC1"/>
    <w:rsid w:val="00516D4B"/>
    <w:rsid w:val="00524CEE"/>
    <w:rsid w:val="005320F0"/>
    <w:rsid w:val="0053276B"/>
    <w:rsid w:val="005503CE"/>
    <w:rsid w:val="00552A13"/>
    <w:rsid w:val="0056320B"/>
    <w:rsid w:val="005639BE"/>
    <w:rsid w:val="00571BD2"/>
    <w:rsid w:val="0059670A"/>
    <w:rsid w:val="00597264"/>
    <w:rsid w:val="005A0FF7"/>
    <w:rsid w:val="005A31E6"/>
    <w:rsid w:val="005A72B9"/>
    <w:rsid w:val="005B0D71"/>
    <w:rsid w:val="005C21D5"/>
    <w:rsid w:val="005C36F4"/>
    <w:rsid w:val="005D0047"/>
    <w:rsid w:val="005E325E"/>
    <w:rsid w:val="005E7CE9"/>
    <w:rsid w:val="00603477"/>
    <w:rsid w:val="0060569F"/>
    <w:rsid w:val="00616F6A"/>
    <w:rsid w:val="00623956"/>
    <w:rsid w:val="006338F5"/>
    <w:rsid w:val="00640462"/>
    <w:rsid w:val="006426D4"/>
    <w:rsid w:val="00646F06"/>
    <w:rsid w:val="006613ED"/>
    <w:rsid w:val="00665C1C"/>
    <w:rsid w:val="00666F28"/>
    <w:rsid w:val="00670EE0"/>
    <w:rsid w:val="00673A4F"/>
    <w:rsid w:val="00682605"/>
    <w:rsid w:val="006B7FEA"/>
    <w:rsid w:val="006C3DFC"/>
    <w:rsid w:val="006C46E7"/>
    <w:rsid w:val="006C4ADB"/>
    <w:rsid w:val="006E4199"/>
    <w:rsid w:val="006F4204"/>
    <w:rsid w:val="007173F5"/>
    <w:rsid w:val="007265AA"/>
    <w:rsid w:val="007302D5"/>
    <w:rsid w:val="0073229C"/>
    <w:rsid w:val="00737C20"/>
    <w:rsid w:val="00740CE6"/>
    <w:rsid w:val="007474DA"/>
    <w:rsid w:val="0075571C"/>
    <w:rsid w:val="00757068"/>
    <w:rsid w:val="00761DF1"/>
    <w:rsid w:val="00777D15"/>
    <w:rsid w:val="007830A1"/>
    <w:rsid w:val="00783995"/>
    <w:rsid w:val="00783B82"/>
    <w:rsid w:val="0078441E"/>
    <w:rsid w:val="00785B1E"/>
    <w:rsid w:val="0078750A"/>
    <w:rsid w:val="007A269D"/>
    <w:rsid w:val="007E629F"/>
    <w:rsid w:val="007E72FE"/>
    <w:rsid w:val="007E7351"/>
    <w:rsid w:val="00802705"/>
    <w:rsid w:val="00813403"/>
    <w:rsid w:val="00847B27"/>
    <w:rsid w:val="00847BE9"/>
    <w:rsid w:val="00857374"/>
    <w:rsid w:val="008622AC"/>
    <w:rsid w:val="0087127F"/>
    <w:rsid w:val="008733EE"/>
    <w:rsid w:val="00881520"/>
    <w:rsid w:val="008823D7"/>
    <w:rsid w:val="00890644"/>
    <w:rsid w:val="008A7600"/>
    <w:rsid w:val="008A7E06"/>
    <w:rsid w:val="008B2AFB"/>
    <w:rsid w:val="008E42A1"/>
    <w:rsid w:val="008F26A5"/>
    <w:rsid w:val="008F61DE"/>
    <w:rsid w:val="00900514"/>
    <w:rsid w:val="00902D34"/>
    <w:rsid w:val="0093131E"/>
    <w:rsid w:val="00936843"/>
    <w:rsid w:val="0094513D"/>
    <w:rsid w:val="00947314"/>
    <w:rsid w:val="009560B4"/>
    <w:rsid w:val="00960DE9"/>
    <w:rsid w:val="00961F5E"/>
    <w:rsid w:val="00972557"/>
    <w:rsid w:val="00972A26"/>
    <w:rsid w:val="00981DC8"/>
    <w:rsid w:val="00996ECC"/>
    <w:rsid w:val="009970A5"/>
    <w:rsid w:val="009A3AF8"/>
    <w:rsid w:val="009C3947"/>
    <w:rsid w:val="009D1F62"/>
    <w:rsid w:val="009D73DD"/>
    <w:rsid w:val="009E1E4B"/>
    <w:rsid w:val="009E55C7"/>
    <w:rsid w:val="009F1546"/>
    <w:rsid w:val="00A13931"/>
    <w:rsid w:val="00A267A0"/>
    <w:rsid w:val="00A363E3"/>
    <w:rsid w:val="00A402EE"/>
    <w:rsid w:val="00A405F4"/>
    <w:rsid w:val="00A769E7"/>
    <w:rsid w:val="00A8725B"/>
    <w:rsid w:val="00AA4A3F"/>
    <w:rsid w:val="00AA52AC"/>
    <w:rsid w:val="00AA6C4F"/>
    <w:rsid w:val="00AB52C3"/>
    <w:rsid w:val="00AC36B8"/>
    <w:rsid w:val="00AE1CD0"/>
    <w:rsid w:val="00B1134C"/>
    <w:rsid w:val="00B1154A"/>
    <w:rsid w:val="00B1210D"/>
    <w:rsid w:val="00B12B9E"/>
    <w:rsid w:val="00B2184A"/>
    <w:rsid w:val="00B2202B"/>
    <w:rsid w:val="00B310A6"/>
    <w:rsid w:val="00B3320B"/>
    <w:rsid w:val="00B339AB"/>
    <w:rsid w:val="00B37082"/>
    <w:rsid w:val="00B42A2E"/>
    <w:rsid w:val="00B527AF"/>
    <w:rsid w:val="00B54C7A"/>
    <w:rsid w:val="00B56C4E"/>
    <w:rsid w:val="00B65CCA"/>
    <w:rsid w:val="00B664E0"/>
    <w:rsid w:val="00B733A0"/>
    <w:rsid w:val="00B74E4E"/>
    <w:rsid w:val="00B800C5"/>
    <w:rsid w:val="00B909CA"/>
    <w:rsid w:val="00B919BE"/>
    <w:rsid w:val="00B974C9"/>
    <w:rsid w:val="00BA67FE"/>
    <w:rsid w:val="00BB5BDF"/>
    <w:rsid w:val="00BC0891"/>
    <w:rsid w:val="00BC1B4D"/>
    <w:rsid w:val="00BC225C"/>
    <w:rsid w:val="00BC4481"/>
    <w:rsid w:val="00BF1CC8"/>
    <w:rsid w:val="00C02014"/>
    <w:rsid w:val="00C23851"/>
    <w:rsid w:val="00C32ACD"/>
    <w:rsid w:val="00C356A0"/>
    <w:rsid w:val="00C51320"/>
    <w:rsid w:val="00C5151C"/>
    <w:rsid w:val="00C533D9"/>
    <w:rsid w:val="00C53E34"/>
    <w:rsid w:val="00C61B22"/>
    <w:rsid w:val="00C73C97"/>
    <w:rsid w:val="00C76F49"/>
    <w:rsid w:val="00C80A22"/>
    <w:rsid w:val="00C86539"/>
    <w:rsid w:val="00C9569D"/>
    <w:rsid w:val="00C96CA7"/>
    <w:rsid w:val="00CD20EA"/>
    <w:rsid w:val="00CD2D9C"/>
    <w:rsid w:val="00CE3DB6"/>
    <w:rsid w:val="00CF71D2"/>
    <w:rsid w:val="00D0725F"/>
    <w:rsid w:val="00D17C8A"/>
    <w:rsid w:val="00D3510F"/>
    <w:rsid w:val="00D60B21"/>
    <w:rsid w:val="00D63594"/>
    <w:rsid w:val="00D70815"/>
    <w:rsid w:val="00D76D27"/>
    <w:rsid w:val="00D93FD6"/>
    <w:rsid w:val="00DB6013"/>
    <w:rsid w:val="00DB780B"/>
    <w:rsid w:val="00DC1DB6"/>
    <w:rsid w:val="00DD440E"/>
    <w:rsid w:val="00DD4926"/>
    <w:rsid w:val="00DD59D1"/>
    <w:rsid w:val="00DE0543"/>
    <w:rsid w:val="00DF18A2"/>
    <w:rsid w:val="00E01DFB"/>
    <w:rsid w:val="00E05B61"/>
    <w:rsid w:val="00E2399A"/>
    <w:rsid w:val="00E23DF0"/>
    <w:rsid w:val="00E26D6F"/>
    <w:rsid w:val="00E27F7C"/>
    <w:rsid w:val="00E32EC8"/>
    <w:rsid w:val="00E372B7"/>
    <w:rsid w:val="00E43122"/>
    <w:rsid w:val="00E51623"/>
    <w:rsid w:val="00E574B9"/>
    <w:rsid w:val="00E60F0E"/>
    <w:rsid w:val="00E61586"/>
    <w:rsid w:val="00E7250A"/>
    <w:rsid w:val="00E817F4"/>
    <w:rsid w:val="00E8417F"/>
    <w:rsid w:val="00EA42A8"/>
    <w:rsid w:val="00ED0C13"/>
    <w:rsid w:val="00ED1A66"/>
    <w:rsid w:val="00ED4EC4"/>
    <w:rsid w:val="00EE1A90"/>
    <w:rsid w:val="00F0619D"/>
    <w:rsid w:val="00F07F92"/>
    <w:rsid w:val="00F12E80"/>
    <w:rsid w:val="00F239F9"/>
    <w:rsid w:val="00F32A18"/>
    <w:rsid w:val="00F50624"/>
    <w:rsid w:val="00F53293"/>
    <w:rsid w:val="00F53733"/>
    <w:rsid w:val="00F57AF6"/>
    <w:rsid w:val="00F607C5"/>
    <w:rsid w:val="00F620CB"/>
    <w:rsid w:val="00F64164"/>
    <w:rsid w:val="00F65BC6"/>
    <w:rsid w:val="00F75709"/>
    <w:rsid w:val="00F87180"/>
    <w:rsid w:val="00F956E6"/>
    <w:rsid w:val="00FA71F7"/>
    <w:rsid w:val="00FB063B"/>
    <w:rsid w:val="00FB2CDD"/>
    <w:rsid w:val="00FB7A11"/>
    <w:rsid w:val="00FB7D37"/>
    <w:rsid w:val="00FD623B"/>
    <w:rsid w:val="00FD774A"/>
    <w:rsid w:val="00FE6D69"/>
    <w:rsid w:val="00FF03D8"/>
    <w:rsid w:val="00FF6E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D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C4ADB"/>
    <w:pPr>
      <w:autoSpaceDE w:val="0"/>
      <w:autoSpaceDN w:val="0"/>
      <w:adjustRightInd w:val="0"/>
    </w:pPr>
    <w:rPr>
      <w:rFonts w:ascii="Times New Roman" w:hAnsi="Times New Roman"/>
      <w:color w:val="000000"/>
      <w:sz w:val="24"/>
      <w:szCs w:val="24"/>
      <w:lang w:val="en-GB"/>
    </w:rPr>
  </w:style>
  <w:style w:type="paragraph" w:styleId="BalloonText">
    <w:name w:val="Balloon Text"/>
    <w:basedOn w:val="Normal"/>
    <w:link w:val="BalloonTextChar"/>
    <w:uiPriority w:val="99"/>
    <w:semiHidden/>
    <w:unhideWhenUsed/>
    <w:rsid w:val="006C4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DB"/>
    <w:rPr>
      <w:rFonts w:ascii="Tahoma" w:hAnsi="Tahoma" w:cs="Tahoma"/>
      <w:sz w:val="16"/>
      <w:szCs w:val="16"/>
    </w:rPr>
  </w:style>
  <w:style w:type="paragraph" w:customStyle="1" w:styleId="SubTitle1">
    <w:name w:val="SubTitle 1"/>
    <w:basedOn w:val="Normal"/>
    <w:next w:val="Normal"/>
    <w:rsid w:val="006C4ADB"/>
    <w:pPr>
      <w:spacing w:after="240" w:line="240" w:lineRule="auto"/>
      <w:jc w:val="center"/>
    </w:pPr>
    <w:rPr>
      <w:rFonts w:ascii="Times New Roman" w:hAnsi="Times New Roman"/>
      <w:b/>
      <w:snapToGrid w:val="0"/>
      <w:sz w:val="40"/>
      <w:szCs w:val="20"/>
      <w:lang w:val="en-GB"/>
    </w:rPr>
  </w:style>
  <w:style w:type="character" w:styleId="Hyperlink">
    <w:name w:val="Hyperlink"/>
    <w:basedOn w:val="DefaultParagraphFont"/>
    <w:uiPriority w:val="99"/>
    <w:unhideWhenUsed/>
    <w:rsid w:val="006C4ADB"/>
    <w:rPr>
      <w:color w:val="0000FF"/>
      <w:u w:val="single"/>
    </w:rPr>
  </w:style>
  <w:style w:type="table" w:styleId="TableGrid">
    <w:name w:val="Table Grid"/>
    <w:basedOn w:val="TableNormal"/>
    <w:uiPriority w:val="59"/>
    <w:rsid w:val="006C4A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974C9"/>
    <w:pPr>
      <w:ind w:left="720"/>
      <w:contextualSpacing/>
    </w:pPr>
  </w:style>
  <w:style w:type="paragraph" w:customStyle="1" w:styleId="Pa13">
    <w:name w:val="Pa13"/>
    <w:basedOn w:val="Default"/>
    <w:next w:val="Default"/>
    <w:uiPriority w:val="99"/>
    <w:rsid w:val="00C61B22"/>
    <w:pPr>
      <w:spacing w:line="211" w:lineRule="atLeast"/>
    </w:pPr>
    <w:rPr>
      <w:rFonts w:ascii="Adobe Caslon Pro" w:hAnsi="Adobe Caslon Pro"/>
      <w:color w:val="auto"/>
    </w:rPr>
  </w:style>
  <w:style w:type="character" w:customStyle="1" w:styleId="A0">
    <w:name w:val="A0"/>
    <w:uiPriority w:val="99"/>
    <w:rsid w:val="00C61B22"/>
    <w:rPr>
      <w:rFonts w:cs="Adobe Caslon Pro"/>
      <w:color w:val="000000"/>
    </w:rPr>
  </w:style>
  <w:style w:type="character" w:styleId="CommentReference">
    <w:name w:val="annotation reference"/>
    <w:basedOn w:val="DefaultParagraphFont"/>
    <w:uiPriority w:val="99"/>
    <w:semiHidden/>
    <w:unhideWhenUsed/>
    <w:rsid w:val="00DD440E"/>
    <w:rPr>
      <w:sz w:val="16"/>
      <w:szCs w:val="16"/>
    </w:rPr>
  </w:style>
  <w:style w:type="paragraph" w:styleId="CommentText">
    <w:name w:val="annotation text"/>
    <w:basedOn w:val="Normal"/>
    <w:link w:val="CommentTextChar"/>
    <w:uiPriority w:val="99"/>
    <w:semiHidden/>
    <w:unhideWhenUsed/>
    <w:rsid w:val="00DD440E"/>
    <w:pPr>
      <w:spacing w:line="240" w:lineRule="auto"/>
    </w:pPr>
    <w:rPr>
      <w:sz w:val="20"/>
      <w:szCs w:val="20"/>
    </w:rPr>
  </w:style>
  <w:style w:type="character" w:customStyle="1" w:styleId="CommentTextChar">
    <w:name w:val="Comment Text Char"/>
    <w:basedOn w:val="DefaultParagraphFont"/>
    <w:link w:val="CommentText"/>
    <w:uiPriority w:val="99"/>
    <w:semiHidden/>
    <w:rsid w:val="00DD440E"/>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440E"/>
    <w:rPr>
      <w:b/>
      <w:bCs/>
    </w:rPr>
  </w:style>
  <w:style w:type="character" w:customStyle="1" w:styleId="CommentSubjectChar">
    <w:name w:val="Comment Subject Char"/>
    <w:basedOn w:val="CommentTextChar"/>
    <w:link w:val="CommentSubject"/>
    <w:uiPriority w:val="99"/>
    <w:semiHidden/>
    <w:rsid w:val="00DD440E"/>
    <w:rPr>
      <w:rFonts w:ascii="Calibri" w:eastAsia="Times New Roman" w:hAnsi="Calibri" w:cs="Times New Roman"/>
      <w:b/>
      <w:bCs/>
      <w:sz w:val="20"/>
      <w:szCs w:val="20"/>
      <w:lang w:val="en-US"/>
    </w:rPr>
  </w:style>
  <w:style w:type="paragraph" w:customStyle="1" w:styleId="Guidelines1">
    <w:name w:val="Guidelines 1"/>
    <w:basedOn w:val="Normal"/>
    <w:autoRedefine/>
    <w:qFormat/>
    <w:rsid w:val="00DD440E"/>
    <w:pPr>
      <w:widowControl w:val="0"/>
      <w:numPr>
        <w:numId w:val="3"/>
      </w:numPr>
      <w:spacing w:after="360" w:line="240" w:lineRule="auto"/>
      <w:jc w:val="both"/>
    </w:pPr>
    <w:rPr>
      <w:rFonts w:ascii="Times New Roman Bold" w:hAnsi="Times New Roman Bold"/>
      <w:b/>
      <w:caps/>
      <w:snapToGrid w:val="0"/>
      <w:szCs w:val="20"/>
      <w:lang w:val="en-GB"/>
    </w:rPr>
  </w:style>
  <w:style w:type="paragraph" w:customStyle="1" w:styleId="Guidelines2">
    <w:name w:val="Guidelines 2"/>
    <w:basedOn w:val="Normal"/>
    <w:next w:val="Normal"/>
    <w:autoRedefine/>
    <w:qFormat/>
    <w:rsid w:val="00DD440E"/>
    <w:pPr>
      <w:numPr>
        <w:ilvl w:val="1"/>
        <w:numId w:val="3"/>
      </w:numPr>
      <w:spacing w:before="240" w:after="120" w:line="240" w:lineRule="auto"/>
      <w:jc w:val="both"/>
      <w:outlineLvl w:val="0"/>
    </w:pPr>
    <w:rPr>
      <w:rFonts w:ascii="Times New Roman Bold" w:hAnsi="Times New Roman Bold"/>
      <w:b/>
      <w:smallCaps/>
      <w:snapToGrid w:val="0"/>
      <w:sz w:val="24"/>
      <w:szCs w:val="20"/>
      <w:lang w:val="en-GB"/>
    </w:rPr>
  </w:style>
  <w:style w:type="paragraph" w:customStyle="1" w:styleId="Guidelines3">
    <w:name w:val="Guidelines 3"/>
    <w:basedOn w:val="Normal"/>
    <w:next w:val="Normal"/>
    <w:autoRedefine/>
    <w:qFormat/>
    <w:rsid w:val="00DD440E"/>
    <w:pPr>
      <w:keepNext/>
      <w:numPr>
        <w:ilvl w:val="2"/>
        <w:numId w:val="3"/>
      </w:numPr>
      <w:pBdr>
        <w:top w:val="single" w:sz="4" w:space="1" w:color="auto"/>
        <w:left w:val="single" w:sz="4" w:space="4" w:color="auto"/>
        <w:bottom w:val="single" w:sz="4" w:space="1" w:color="auto"/>
        <w:right w:val="single" w:sz="4" w:space="4" w:color="auto"/>
      </w:pBdr>
      <w:tabs>
        <w:tab w:val="left" w:pos="900"/>
      </w:tabs>
      <w:spacing w:before="120" w:after="0" w:line="240" w:lineRule="auto"/>
    </w:pPr>
    <w:rPr>
      <w:rFonts w:ascii="Times New Roman" w:hAnsi="Times New Roman"/>
      <w:b/>
      <w:i/>
      <w:snapToGrid w:val="0"/>
      <w:sz w:val="24"/>
      <w:szCs w:val="20"/>
      <w:lang w:val="en-GB"/>
    </w:rPr>
  </w:style>
  <w:style w:type="paragraph" w:styleId="FootnoteText">
    <w:name w:val="footnote text"/>
    <w:aliases w:val="Footnote Text Char1,Footnote Text Char Char,- OP,Fußnote,Podrozdział,Fußnotentextf,single space,footnote text,FOOTNOTES,fn,stile 1,Footnote,Footnote1,Footnote2,Footnote3,Footnote4,Footnote5,Footnote6,Footnote7,Footnot"/>
    <w:basedOn w:val="Normal"/>
    <w:link w:val="FootnoteTextChar"/>
    <w:qFormat/>
    <w:rsid w:val="0078750A"/>
    <w:pPr>
      <w:spacing w:before="120" w:after="0" w:line="240" w:lineRule="auto"/>
      <w:ind w:left="284" w:hanging="284"/>
      <w:jc w:val="both"/>
    </w:pPr>
    <w:rPr>
      <w:rFonts w:ascii="Times New Roman" w:hAnsi="Times New Roman"/>
      <w:snapToGrid w:val="0"/>
      <w:sz w:val="20"/>
      <w:szCs w:val="20"/>
    </w:rPr>
  </w:style>
  <w:style w:type="character" w:customStyle="1" w:styleId="FootnoteTextChar">
    <w:name w:val="Footnote Text Char"/>
    <w:aliases w:val="Footnote Text Char1 Char,Footnote Text Char Char Char,- OP Char,Fußnote Char,Podrozdział Char,Fußnotentextf Char,single space Char,footnote text Char,FOOTNOTES Char,fn Char,stile 1 Char,Footnote Char,Footnote1 Char,Footnote2 Char"/>
    <w:basedOn w:val="DefaultParagraphFont"/>
    <w:link w:val="FootnoteText"/>
    <w:rsid w:val="0078750A"/>
    <w:rPr>
      <w:rFonts w:ascii="Times New Roman" w:eastAsia="Times New Roman" w:hAnsi="Times New Roman" w:cs="Times New Roman"/>
      <w:snapToGrid w:val="0"/>
      <w:sz w:val="20"/>
      <w:szCs w:val="20"/>
    </w:rPr>
  </w:style>
  <w:style w:type="character" w:styleId="FootnoteReference">
    <w:name w:val="footnote reference"/>
    <w:aliases w:val=" BVI fnr Char Char1 Char Char Char Char Char Char Char Char Char Char Char Char Char Char Char Char Char Char Char Char Char Char Char,BVI fnr,ftref"/>
    <w:link w:val="Char2"/>
    <w:qFormat/>
    <w:rsid w:val="0078750A"/>
    <w:rPr>
      <w:sz w:val="24"/>
      <w:vertAlign w:val="superscript"/>
    </w:rPr>
  </w:style>
  <w:style w:type="paragraph" w:customStyle="1" w:styleId="Char2">
    <w:name w:val="Char2"/>
    <w:basedOn w:val="Normal"/>
    <w:link w:val="FootnoteReference"/>
    <w:rsid w:val="0078750A"/>
    <w:pPr>
      <w:spacing w:before="120" w:after="160" w:line="240" w:lineRule="exact"/>
    </w:pPr>
    <w:rPr>
      <w:rFonts w:eastAsia="Calibri"/>
      <w:sz w:val="24"/>
      <w:szCs w:val="20"/>
      <w:vertAlign w:val="superscript"/>
    </w:rPr>
  </w:style>
  <w:style w:type="character" w:customStyle="1" w:styleId="DefaultChar">
    <w:name w:val="Default Char"/>
    <w:basedOn w:val="DefaultParagraphFont"/>
    <w:link w:val="Default"/>
    <w:rsid w:val="0078750A"/>
    <w:rPr>
      <w:rFonts w:ascii="Times New Roman" w:hAnsi="Times New Roman" w:cs="Times New Roman"/>
      <w:color w:val="000000"/>
      <w:sz w:val="24"/>
      <w:szCs w:val="24"/>
      <w:lang w:val="en-GB" w:eastAsia="en-US" w:bidi="ar-SA"/>
    </w:rPr>
  </w:style>
  <w:style w:type="paragraph" w:styleId="TOC2">
    <w:name w:val="toc 2"/>
    <w:basedOn w:val="Normal"/>
    <w:next w:val="Normal"/>
    <w:autoRedefine/>
    <w:uiPriority w:val="39"/>
    <w:rsid w:val="000D6AA0"/>
    <w:pPr>
      <w:tabs>
        <w:tab w:val="left" w:pos="360"/>
        <w:tab w:val="right" w:leader="dot" w:pos="9345"/>
      </w:tabs>
      <w:spacing w:before="240" w:after="0" w:line="240" w:lineRule="auto"/>
    </w:pPr>
    <w:rPr>
      <w:rFonts w:ascii="Times New Roman" w:hAnsi="Times New Roman"/>
      <w:b/>
      <w:bCs/>
      <w:sz w:val="24"/>
      <w:szCs w:val="20"/>
      <w:lang w:val="en-GB" w:eastAsia="en-GB"/>
    </w:rPr>
  </w:style>
  <w:style w:type="paragraph" w:styleId="TOC3">
    <w:name w:val="toc 3"/>
    <w:basedOn w:val="Normal"/>
    <w:next w:val="Normal"/>
    <w:autoRedefine/>
    <w:uiPriority w:val="39"/>
    <w:rsid w:val="000D6AA0"/>
    <w:pPr>
      <w:tabs>
        <w:tab w:val="left" w:pos="840"/>
        <w:tab w:val="right" w:leader="dot" w:pos="9345"/>
      </w:tabs>
      <w:spacing w:after="0" w:line="240" w:lineRule="auto"/>
      <w:ind w:left="840" w:hanging="480"/>
    </w:pPr>
    <w:rPr>
      <w:rFonts w:ascii="Times New Roman" w:hAnsi="Times New Roman"/>
      <w:szCs w:val="20"/>
      <w:lang w:val="en-GB" w:eastAsia="en-GB"/>
    </w:rPr>
  </w:style>
  <w:style w:type="paragraph" w:styleId="Header">
    <w:name w:val="header"/>
    <w:basedOn w:val="Normal"/>
    <w:link w:val="HeaderChar"/>
    <w:uiPriority w:val="99"/>
    <w:semiHidden/>
    <w:unhideWhenUsed/>
    <w:rsid w:val="00777D15"/>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777D15"/>
    <w:rPr>
      <w:rFonts w:ascii="Calibri" w:eastAsia="Times New Roman" w:hAnsi="Calibri" w:cs="Times New Roman"/>
      <w:lang w:val="en-US"/>
    </w:rPr>
  </w:style>
  <w:style w:type="paragraph" w:styleId="Footer">
    <w:name w:val="footer"/>
    <w:basedOn w:val="Normal"/>
    <w:link w:val="FooterChar"/>
    <w:uiPriority w:val="99"/>
    <w:unhideWhenUsed/>
    <w:rsid w:val="00777D15"/>
    <w:pPr>
      <w:tabs>
        <w:tab w:val="center" w:pos="4703"/>
        <w:tab w:val="right" w:pos="9406"/>
      </w:tabs>
      <w:spacing w:after="0" w:line="240" w:lineRule="auto"/>
    </w:pPr>
  </w:style>
  <w:style w:type="character" w:customStyle="1" w:styleId="FooterChar">
    <w:name w:val="Footer Char"/>
    <w:basedOn w:val="DefaultParagraphFont"/>
    <w:link w:val="Footer"/>
    <w:uiPriority w:val="99"/>
    <w:rsid w:val="00777D15"/>
    <w:rPr>
      <w:rFonts w:ascii="Calibri" w:eastAsia="Times New Roman" w:hAnsi="Calibri" w:cs="Times New Roman"/>
      <w:lang w:val="en-US"/>
    </w:rPr>
  </w:style>
  <w:style w:type="paragraph" w:styleId="Revision">
    <w:name w:val="Revision"/>
    <w:hidden/>
    <w:uiPriority w:val="99"/>
    <w:semiHidden/>
    <w:rsid w:val="000E1BE2"/>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D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C4ADB"/>
    <w:pPr>
      <w:autoSpaceDE w:val="0"/>
      <w:autoSpaceDN w:val="0"/>
      <w:adjustRightInd w:val="0"/>
    </w:pPr>
    <w:rPr>
      <w:rFonts w:ascii="Times New Roman" w:hAnsi="Times New Roman"/>
      <w:color w:val="000000"/>
      <w:sz w:val="24"/>
      <w:szCs w:val="24"/>
      <w:lang w:val="en-GB"/>
    </w:rPr>
  </w:style>
  <w:style w:type="paragraph" w:styleId="BalloonText">
    <w:name w:val="Balloon Text"/>
    <w:basedOn w:val="Normal"/>
    <w:link w:val="BalloonTextChar"/>
    <w:uiPriority w:val="99"/>
    <w:semiHidden/>
    <w:unhideWhenUsed/>
    <w:rsid w:val="006C4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DB"/>
    <w:rPr>
      <w:rFonts w:ascii="Tahoma" w:hAnsi="Tahoma" w:cs="Tahoma"/>
      <w:sz w:val="16"/>
      <w:szCs w:val="16"/>
    </w:rPr>
  </w:style>
  <w:style w:type="paragraph" w:customStyle="1" w:styleId="SubTitle1">
    <w:name w:val="SubTitle 1"/>
    <w:basedOn w:val="Normal"/>
    <w:next w:val="Normal"/>
    <w:rsid w:val="006C4ADB"/>
    <w:pPr>
      <w:spacing w:after="240" w:line="240" w:lineRule="auto"/>
      <w:jc w:val="center"/>
    </w:pPr>
    <w:rPr>
      <w:rFonts w:ascii="Times New Roman" w:hAnsi="Times New Roman"/>
      <w:b/>
      <w:snapToGrid w:val="0"/>
      <w:sz w:val="40"/>
      <w:szCs w:val="20"/>
      <w:lang w:val="en-GB"/>
    </w:rPr>
  </w:style>
  <w:style w:type="character" w:styleId="Hyperlink">
    <w:name w:val="Hyperlink"/>
    <w:basedOn w:val="DefaultParagraphFont"/>
    <w:uiPriority w:val="99"/>
    <w:unhideWhenUsed/>
    <w:rsid w:val="006C4ADB"/>
    <w:rPr>
      <w:color w:val="0000FF"/>
      <w:u w:val="single"/>
    </w:rPr>
  </w:style>
  <w:style w:type="table" w:styleId="TableGrid">
    <w:name w:val="Table Grid"/>
    <w:basedOn w:val="TableNormal"/>
    <w:uiPriority w:val="59"/>
    <w:rsid w:val="006C4A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974C9"/>
    <w:pPr>
      <w:ind w:left="720"/>
      <w:contextualSpacing/>
    </w:pPr>
  </w:style>
  <w:style w:type="paragraph" w:customStyle="1" w:styleId="Pa13">
    <w:name w:val="Pa13"/>
    <w:basedOn w:val="Default"/>
    <w:next w:val="Default"/>
    <w:uiPriority w:val="99"/>
    <w:rsid w:val="00C61B22"/>
    <w:pPr>
      <w:spacing w:line="211" w:lineRule="atLeast"/>
    </w:pPr>
    <w:rPr>
      <w:rFonts w:ascii="Adobe Caslon Pro" w:hAnsi="Adobe Caslon Pro"/>
      <w:color w:val="auto"/>
    </w:rPr>
  </w:style>
  <w:style w:type="character" w:customStyle="1" w:styleId="A0">
    <w:name w:val="A0"/>
    <w:uiPriority w:val="99"/>
    <w:rsid w:val="00C61B22"/>
    <w:rPr>
      <w:rFonts w:cs="Adobe Caslon Pro"/>
      <w:color w:val="000000"/>
    </w:rPr>
  </w:style>
  <w:style w:type="character" w:styleId="CommentReference">
    <w:name w:val="annotation reference"/>
    <w:basedOn w:val="DefaultParagraphFont"/>
    <w:uiPriority w:val="99"/>
    <w:semiHidden/>
    <w:unhideWhenUsed/>
    <w:rsid w:val="00DD440E"/>
    <w:rPr>
      <w:sz w:val="16"/>
      <w:szCs w:val="16"/>
    </w:rPr>
  </w:style>
  <w:style w:type="paragraph" w:styleId="CommentText">
    <w:name w:val="annotation text"/>
    <w:basedOn w:val="Normal"/>
    <w:link w:val="CommentTextChar"/>
    <w:uiPriority w:val="99"/>
    <w:semiHidden/>
    <w:unhideWhenUsed/>
    <w:rsid w:val="00DD440E"/>
    <w:pPr>
      <w:spacing w:line="240" w:lineRule="auto"/>
    </w:pPr>
    <w:rPr>
      <w:sz w:val="20"/>
      <w:szCs w:val="20"/>
    </w:rPr>
  </w:style>
  <w:style w:type="character" w:customStyle="1" w:styleId="CommentTextChar">
    <w:name w:val="Comment Text Char"/>
    <w:basedOn w:val="DefaultParagraphFont"/>
    <w:link w:val="CommentText"/>
    <w:uiPriority w:val="99"/>
    <w:semiHidden/>
    <w:rsid w:val="00DD440E"/>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440E"/>
    <w:rPr>
      <w:b/>
      <w:bCs/>
    </w:rPr>
  </w:style>
  <w:style w:type="character" w:customStyle="1" w:styleId="CommentSubjectChar">
    <w:name w:val="Comment Subject Char"/>
    <w:basedOn w:val="CommentTextChar"/>
    <w:link w:val="CommentSubject"/>
    <w:uiPriority w:val="99"/>
    <w:semiHidden/>
    <w:rsid w:val="00DD440E"/>
    <w:rPr>
      <w:rFonts w:ascii="Calibri" w:eastAsia="Times New Roman" w:hAnsi="Calibri" w:cs="Times New Roman"/>
      <w:b/>
      <w:bCs/>
      <w:sz w:val="20"/>
      <w:szCs w:val="20"/>
      <w:lang w:val="en-US"/>
    </w:rPr>
  </w:style>
  <w:style w:type="paragraph" w:customStyle="1" w:styleId="Guidelines1">
    <w:name w:val="Guidelines 1"/>
    <w:basedOn w:val="Normal"/>
    <w:autoRedefine/>
    <w:qFormat/>
    <w:rsid w:val="00DD440E"/>
    <w:pPr>
      <w:widowControl w:val="0"/>
      <w:numPr>
        <w:numId w:val="3"/>
      </w:numPr>
      <w:spacing w:after="360" w:line="240" w:lineRule="auto"/>
      <w:jc w:val="both"/>
    </w:pPr>
    <w:rPr>
      <w:rFonts w:ascii="Times New Roman Bold" w:hAnsi="Times New Roman Bold"/>
      <w:b/>
      <w:caps/>
      <w:snapToGrid w:val="0"/>
      <w:szCs w:val="20"/>
      <w:lang w:val="en-GB"/>
    </w:rPr>
  </w:style>
  <w:style w:type="paragraph" w:customStyle="1" w:styleId="Guidelines2">
    <w:name w:val="Guidelines 2"/>
    <w:basedOn w:val="Normal"/>
    <w:next w:val="Normal"/>
    <w:autoRedefine/>
    <w:qFormat/>
    <w:rsid w:val="00DD440E"/>
    <w:pPr>
      <w:numPr>
        <w:ilvl w:val="1"/>
        <w:numId w:val="3"/>
      </w:numPr>
      <w:spacing w:before="240" w:after="120" w:line="240" w:lineRule="auto"/>
      <w:jc w:val="both"/>
      <w:outlineLvl w:val="0"/>
    </w:pPr>
    <w:rPr>
      <w:rFonts w:ascii="Times New Roman Bold" w:hAnsi="Times New Roman Bold"/>
      <w:b/>
      <w:smallCaps/>
      <w:snapToGrid w:val="0"/>
      <w:sz w:val="24"/>
      <w:szCs w:val="20"/>
      <w:lang w:val="en-GB"/>
    </w:rPr>
  </w:style>
  <w:style w:type="paragraph" w:customStyle="1" w:styleId="Guidelines3">
    <w:name w:val="Guidelines 3"/>
    <w:basedOn w:val="Normal"/>
    <w:next w:val="Normal"/>
    <w:autoRedefine/>
    <w:qFormat/>
    <w:rsid w:val="00DD440E"/>
    <w:pPr>
      <w:keepNext/>
      <w:numPr>
        <w:ilvl w:val="2"/>
        <w:numId w:val="3"/>
      </w:numPr>
      <w:pBdr>
        <w:top w:val="single" w:sz="4" w:space="1" w:color="auto"/>
        <w:left w:val="single" w:sz="4" w:space="4" w:color="auto"/>
        <w:bottom w:val="single" w:sz="4" w:space="1" w:color="auto"/>
        <w:right w:val="single" w:sz="4" w:space="4" w:color="auto"/>
      </w:pBdr>
      <w:tabs>
        <w:tab w:val="left" w:pos="900"/>
      </w:tabs>
      <w:spacing w:before="120" w:after="0" w:line="240" w:lineRule="auto"/>
    </w:pPr>
    <w:rPr>
      <w:rFonts w:ascii="Times New Roman" w:hAnsi="Times New Roman"/>
      <w:b/>
      <w:i/>
      <w:snapToGrid w:val="0"/>
      <w:sz w:val="24"/>
      <w:szCs w:val="20"/>
      <w:lang w:val="en-GB"/>
    </w:rPr>
  </w:style>
  <w:style w:type="paragraph" w:styleId="FootnoteText">
    <w:name w:val="footnote text"/>
    <w:aliases w:val="Footnote Text Char1,Footnote Text Char Char,- OP,Fußnote,Podrozdział,Fußnotentextf,single space,footnote text,FOOTNOTES,fn,stile 1,Footnote,Footnote1,Footnote2,Footnote3,Footnote4,Footnote5,Footnote6,Footnote7,Footnot"/>
    <w:basedOn w:val="Normal"/>
    <w:link w:val="FootnoteTextChar"/>
    <w:qFormat/>
    <w:rsid w:val="0078750A"/>
    <w:pPr>
      <w:spacing w:before="120" w:after="0" w:line="240" w:lineRule="auto"/>
      <w:ind w:left="284" w:hanging="284"/>
      <w:jc w:val="both"/>
    </w:pPr>
    <w:rPr>
      <w:rFonts w:ascii="Times New Roman" w:hAnsi="Times New Roman"/>
      <w:snapToGrid w:val="0"/>
      <w:sz w:val="20"/>
      <w:szCs w:val="20"/>
    </w:rPr>
  </w:style>
  <w:style w:type="character" w:customStyle="1" w:styleId="FootnoteTextChar">
    <w:name w:val="Footnote Text Char"/>
    <w:aliases w:val="Footnote Text Char1 Char,Footnote Text Char Char Char,- OP Char,Fußnote Char,Podrozdział Char,Fußnotentextf Char,single space Char,footnote text Char,FOOTNOTES Char,fn Char,stile 1 Char,Footnote Char,Footnote1 Char,Footnote2 Char"/>
    <w:basedOn w:val="DefaultParagraphFont"/>
    <w:link w:val="FootnoteText"/>
    <w:rsid w:val="0078750A"/>
    <w:rPr>
      <w:rFonts w:ascii="Times New Roman" w:eastAsia="Times New Roman" w:hAnsi="Times New Roman" w:cs="Times New Roman"/>
      <w:snapToGrid w:val="0"/>
      <w:sz w:val="20"/>
      <w:szCs w:val="20"/>
    </w:rPr>
  </w:style>
  <w:style w:type="character" w:styleId="FootnoteReference">
    <w:name w:val="footnote reference"/>
    <w:aliases w:val=" BVI fnr Char Char1 Char Char Char Char Char Char Char Char Char Char Char Char Char Char Char Char Char Char Char Char Char Char Char,BVI fnr,ftref"/>
    <w:link w:val="Char2"/>
    <w:qFormat/>
    <w:rsid w:val="0078750A"/>
    <w:rPr>
      <w:sz w:val="24"/>
      <w:vertAlign w:val="superscript"/>
    </w:rPr>
  </w:style>
  <w:style w:type="paragraph" w:customStyle="1" w:styleId="Char2">
    <w:name w:val="Char2"/>
    <w:basedOn w:val="Normal"/>
    <w:link w:val="FootnoteReference"/>
    <w:rsid w:val="0078750A"/>
    <w:pPr>
      <w:spacing w:before="120" w:after="160" w:line="240" w:lineRule="exact"/>
    </w:pPr>
    <w:rPr>
      <w:rFonts w:eastAsia="Calibri"/>
      <w:sz w:val="24"/>
      <w:szCs w:val="20"/>
      <w:vertAlign w:val="superscript"/>
    </w:rPr>
  </w:style>
  <w:style w:type="character" w:customStyle="1" w:styleId="DefaultChar">
    <w:name w:val="Default Char"/>
    <w:basedOn w:val="DefaultParagraphFont"/>
    <w:link w:val="Default"/>
    <w:rsid w:val="0078750A"/>
    <w:rPr>
      <w:rFonts w:ascii="Times New Roman" w:hAnsi="Times New Roman" w:cs="Times New Roman"/>
      <w:color w:val="000000"/>
      <w:sz w:val="24"/>
      <w:szCs w:val="24"/>
      <w:lang w:val="en-GB" w:eastAsia="en-US" w:bidi="ar-SA"/>
    </w:rPr>
  </w:style>
  <w:style w:type="paragraph" w:styleId="TOC2">
    <w:name w:val="toc 2"/>
    <w:basedOn w:val="Normal"/>
    <w:next w:val="Normal"/>
    <w:autoRedefine/>
    <w:uiPriority w:val="39"/>
    <w:rsid w:val="000D6AA0"/>
    <w:pPr>
      <w:tabs>
        <w:tab w:val="left" w:pos="360"/>
        <w:tab w:val="right" w:leader="dot" w:pos="9345"/>
      </w:tabs>
      <w:spacing w:before="240" w:after="0" w:line="240" w:lineRule="auto"/>
    </w:pPr>
    <w:rPr>
      <w:rFonts w:ascii="Times New Roman" w:hAnsi="Times New Roman"/>
      <w:b/>
      <w:bCs/>
      <w:sz w:val="24"/>
      <w:szCs w:val="20"/>
      <w:lang w:val="en-GB" w:eastAsia="en-GB"/>
    </w:rPr>
  </w:style>
  <w:style w:type="paragraph" w:styleId="TOC3">
    <w:name w:val="toc 3"/>
    <w:basedOn w:val="Normal"/>
    <w:next w:val="Normal"/>
    <w:autoRedefine/>
    <w:uiPriority w:val="39"/>
    <w:rsid w:val="000D6AA0"/>
    <w:pPr>
      <w:tabs>
        <w:tab w:val="left" w:pos="840"/>
        <w:tab w:val="right" w:leader="dot" w:pos="9345"/>
      </w:tabs>
      <w:spacing w:after="0" w:line="240" w:lineRule="auto"/>
      <w:ind w:left="840" w:hanging="480"/>
    </w:pPr>
    <w:rPr>
      <w:rFonts w:ascii="Times New Roman" w:hAnsi="Times New Roman"/>
      <w:szCs w:val="20"/>
      <w:lang w:val="en-GB" w:eastAsia="en-GB"/>
    </w:rPr>
  </w:style>
  <w:style w:type="paragraph" w:styleId="Header">
    <w:name w:val="header"/>
    <w:basedOn w:val="Normal"/>
    <w:link w:val="HeaderChar"/>
    <w:uiPriority w:val="99"/>
    <w:semiHidden/>
    <w:unhideWhenUsed/>
    <w:rsid w:val="00777D15"/>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777D15"/>
    <w:rPr>
      <w:rFonts w:ascii="Calibri" w:eastAsia="Times New Roman" w:hAnsi="Calibri" w:cs="Times New Roman"/>
      <w:lang w:val="en-US"/>
    </w:rPr>
  </w:style>
  <w:style w:type="paragraph" w:styleId="Footer">
    <w:name w:val="footer"/>
    <w:basedOn w:val="Normal"/>
    <w:link w:val="FooterChar"/>
    <w:uiPriority w:val="99"/>
    <w:unhideWhenUsed/>
    <w:rsid w:val="00777D15"/>
    <w:pPr>
      <w:tabs>
        <w:tab w:val="center" w:pos="4703"/>
        <w:tab w:val="right" w:pos="9406"/>
      </w:tabs>
      <w:spacing w:after="0" w:line="240" w:lineRule="auto"/>
    </w:pPr>
  </w:style>
  <w:style w:type="character" w:customStyle="1" w:styleId="FooterChar">
    <w:name w:val="Footer Char"/>
    <w:basedOn w:val="DefaultParagraphFont"/>
    <w:link w:val="Footer"/>
    <w:uiPriority w:val="99"/>
    <w:rsid w:val="00777D15"/>
    <w:rPr>
      <w:rFonts w:ascii="Calibri" w:eastAsia="Times New Roman" w:hAnsi="Calibri" w:cs="Times New Roman"/>
      <w:lang w:val="en-US"/>
    </w:rPr>
  </w:style>
  <w:style w:type="paragraph" w:styleId="Revision">
    <w:name w:val="Revision"/>
    <w:hidden/>
    <w:uiPriority w:val="99"/>
    <w:semiHidden/>
    <w:rsid w:val="000E1BE2"/>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447093414">
      <w:bodyDiv w:val="1"/>
      <w:marLeft w:val="0"/>
      <w:marRight w:val="0"/>
      <w:marTop w:val="0"/>
      <w:marBottom w:val="0"/>
      <w:divBdr>
        <w:top w:val="none" w:sz="0" w:space="0" w:color="auto"/>
        <w:left w:val="none" w:sz="0" w:space="0" w:color="auto"/>
        <w:bottom w:val="none" w:sz="0" w:space="0" w:color="auto"/>
        <w:right w:val="none" w:sz="0" w:space="0" w:color="auto"/>
      </w:divBdr>
    </w:div>
    <w:div w:id="531843344">
      <w:bodyDiv w:val="1"/>
      <w:marLeft w:val="0"/>
      <w:marRight w:val="0"/>
      <w:marTop w:val="0"/>
      <w:marBottom w:val="0"/>
      <w:divBdr>
        <w:top w:val="none" w:sz="0" w:space="0" w:color="auto"/>
        <w:left w:val="none" w:sz="0" w:space="0" w:color="auto"/>
        <w:bottom w:val="none" w:sz="0" w:space="0" w:color="auto"/>
        <w:right w:val="none" w:sz="0" w:space="0" w:color="auto"/>
      </w:divBdr>
      <w:divsChild>
        <w:div w:id="1545405114">
          <w:marLeft w:val="0"/>
          <w:marRight w:val="0"/>
          <w:marTop w:val="0"/>
          <w:marBottom w:val="0"/>
          <w:divBdr>
            <w:top w:val="none" w:sz="0" w:space="0" w:color="auto"/>
            <w:left w:val="none" w:sz="0" w:space="0" w:color="auto"/>
            <w:bottom w:val="none" w:sz="0" w:space="0" w:color="auto"/>
            <w:right w:val="none" w:sz="0" w:space="0" w:color="auto"/>
          </w:divBdr>
          <w:divsChild>
            <w:div w:id="2083720776">
              <w:marLeft w:val="0"/>
              <w:marRight w:val="0"/>
              <w:marTop w:val="0"/>
              <w:marBottom w:val="0"/>
              <w:divBdr>
                <w:top w:val="none" w:sz="0" w:space="0" w:color="auto"/>
                <w:left w:val="none" w:sz="0" w:space="0" w:color="auto"/>
                <w:bottom w:val="none" w:sz="0" w:space="0" w:color="auto"/>
                <w:right w:val="none" w:sz="0" w:space="0" w:color="auto"/>
              </w:divBdr>
              <w:divsChild>
                <w:div w:id="784541752">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sChild>
                        <w:div w:id="3012792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19351158">
      <w:bodyDiv w:val="1"/>
      <w:marLeft w:val="0"/>
      <w:marRight w:val="0"/>
      <w:marTop w:val="0"/>
      <w:marBottom w:val="0"/>
      <w:divBdr>
        <w:top w:val="none" w:sz="0" w:space="0" w:color="auto"/>
        <w:left w:val="none" w:sz="0" w:space="0" w:color="auto"/>
        <w:bottom w:val="none" w:sz="0" w:space="0" w:color="auto"/>
        <w:right w:val="none" w:sz="0" w:space="0" w:color="auto"/>
      </w:divBdr>
    </w:div>
    <w:div w:id="849878387">
      <w:bodyDiv w:val="1"/>
      <w:marLeft w:val="0"/>
      <w:marRight w:val="0"/>
      <w:marTop w:val="0"/>
      <w:marBottom w:val="0"/>
      <w:divBdr>
        <w:top w:val="none" w:sz="0" w:space="0" w:color="auto"/>
        <w:left w:val="none" w:sz="0" w:space="0" w:color="auto"/>
        <w:bottom w:val="none" w:sz="0" w:space="0" w:color="auto"/>
        <w:right w:val="none" w:sz="0" w:space="0" w:color="auto"/>
      </w:divBdr>
    </w:div>
    <w:div w:id="1341666558">
      <w:bodyDiv w:val="1"/>
      <w:marLeft w:val="0"/>
      <w:marRight w:val="0"/>
      <w:marTop w:val="0"/>
      <w:marBottom w:val="0"/>
      <w:divBdr>
        <w:top w:val="none" w:sz="0" w:space="0" w:color="auto"/>
        <w:left w:val="none" w:sz="0" w:space="0" w:color="auto"/>
        <w:bottom w:val="none" w:sz="0" w:space="0" w:color="auto"/>
        <w:right w:val="none" w:sz="0" w:space="0" w:color="auto"/>
      </w:divBdr>
    </w:div>
    <w:div w:id="163421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uzbenilist.me/PravniAktDetalji.aspx?tag=%7bB8328501-A894-4D51-8EA0-92B0B4B1CDC3%7d"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cu@mif.gov.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fcu@.mif.gov.me" TargetMode="External"/><Relationship Id="rId4" Type="http://schemas.openxmlformats.org/officeDocument/2006/relationships/settings" Target="settings.xml"/><Relationship Id="rId9" Type="http://schemas.openxmlformats.org/officeDocument/2006/relationships/image" Target="file:///C:\Users\Administrator\Desktop\1095339371.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82F12-3303-4594-8AC3-2BF07C06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2551</Words>
  <Characters>14543</Characters>
  <Application>Microsoft Office Word</Application>
  <DocSecurity>0</DocSecurity>
  <Lines>121</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17060</CharactersWithSpaces>
  <SharedDoc>false</SharedDoc>
  <HLinks>
    <vt:vector size="18" baseType="variant">
      <vt:variant>
        <vt:i4>4259886</vt:i4>
      </vt:variant>
      <vt:variant>
        <vt:i4>3</vt:i4>
      </vt:variant>
      <vt:variant>
        <vt:i4>0</vt:i4>
      </vt:variant>
      <vt:variant>
        <vt:i4>5</vt:i4>
      </vt:variant>
      <vt:variant>
        <vt:lpwstr>mailto:cfcu@mif.gov.me</vt:lpwstr>
      </vt:variant>
      <vt:variant>
        <vt:lpwstr/>
      </vt:variant>
      <vt:variant>
        <vt:i4>5570673</vt:i4>
      </vt:variant>
      <vt:variant>
        <vt:i4>0</vt:i4>
      </vt:variant>
      <vt:variant>
        <vt:i4>0</vt:i4>
      </vt:variant>
      <vt:variant>
        <vt:i4>5</vt:i4>
      </vt:variant>
      <vt:variant>
        <vt:lpwstr>mailto:cfcu@.mif.gov.me</vt:lpwstr>
      </vt:variant>
      <vt:variant>
        <vt:lpwstr/>
      </vt:variant>
      <vt:variant>
        <vt:i4>4456515</vt:i4>
      </vt:variant>
      <vt:variant>
        <vt:i4>-1</vt:i4>
      </vt:variant>
      <vt:variant>
        <vt:i4>1026</vt:i4>
      </vt:variant>
      <vt:variant>
        <vt:i4>1</vt:i4>
      </vt:variant>
      <vt:variant>
        <vt:lpwstr>C:\Users\Administrator\Desktop\1095339371.jpg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bojana.pocek</dc:creator>
  <cp:lastModifiedBy>vlado.stojkovic</cp:lastModifiedBy>
  <cp:revision>2</cp:revision>
  <cp:lastPrinted>2015-11-20T15:30:00Z</cp:lastPrinted>
  <dcterms:created xsi:type="dcterms:W3CDTF">2015-11-26T15:42:00Z</dcterms:created>
  <dcterms:modified xsi:type="dcterms:W3CDTF">2015-11-26T15:42:00Z</dcterms:modified>
</cp:coreProperties>
</file>