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2" w:rsidRPr="00AD1B16" w:rsidRDefault="00D61692" w:rsidP="00D61692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AD1B16">
        <w:rPr>
          <w:rFonts w:ascii="Cambria" w:hAnsi="Cambria" w:cs="Cambria"/>
          <w:noProof/>
        </w:rPr>
        <w:drawing>
          <wp:inline distT="0" distB="0" distL="0" distR="0">
            <wp:extent cx="672998" cy="82658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9" cy="82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CRNA GORA</w:t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MINISTARSTVO FINANSIJA</w:t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Sektor za ekonomsku politiku i razvoj</w:t>
      </w:r>
    </w:p>
    <w:p w:rsidR="00D61692" w:rsidRPr="00AD1B16" w:rsidRDefault="00D61692" w:rsidP="00D61692">
      <w:pPr>
        <w:rPr>
          <w:rFonts w:cstheme="minorHAnsi"/>
        </w:rPr>
      </w:pPr>
    </w:p>
    <w:p w:rsidR="00D61692" w:rsidRPr="00AD1B16" w:rsidRDefault="00D61692" w:rsidP="00D61692">
      <w:pPr>
        <w:jc w:val="center"/>
        <w:rPr>
          <w:rFonts w:cstheme="minorHAnsi"/>
          <w:b/>
          <w:bCs/>
          <w:i/>
          <w:iCs/>
          <w:sz w:val="36"/>
          <w:szCs w:val="36"/>
        </w:rPr>
      </w:pPr>
    </w:p>
    <w:p w:rsidR="00D61692" w:rsidRPr="00AD1B16" w:rsidRDefault="00D61692" w:rsidP="000F756E">
      <w:pPr>
        <w:rPr>
          <w:rFonts w:cstheme="minorHAnsi"/>
          <w:b/>
          <w:bCs/>
          <w:i/>
          <w:iCs/>
          <w:sz w:val="36"/>
          <w:szCs w:val="36"/>
        </w:rPr>
      </w:pPr>
    </w:p>
    <w:p w:rsidR="004F7F71" w:rsidRPr="00AD1B16" w:rsidRDefault="004F7F71" w:rsidP="000F756E">
      <w:pPr>
        <w:rPr>
          <w:rFonts w:cstheme="minorHAnsi"/>
          <w:b/>
          <w:bCs/>
          <w:i/>
          <w:iCs/>
          <w:sz w:val="36"/>
          <w:szCs w:val="36"/>
        </w:rPr>
      </w:pPr>
    </w:p>
    <w:p w:rsidR="00D61692" w:rsidRPr="00AD1B16" w:rsidRDefault="00D61692" w:rsidP="00D61692">
      <w:pPr>
        <w:spacing w:line="240" w:lineRule="auto"/>
        <w:jc w:val="center"/>
        <w:rPr>
          <w:rFonts w:cstheme="minorHAnsi"/>
          <w:b/>
          <w:bCs/>
          <w:iCs/>
          <w:sz w:val="52"/>
          <w:szCs w:val="52"/>
        </w:rPr>
      </w:pPr>
      <w:r w:rsidRPr="00AD1B16">
        <w:rPr>
          <w:rFonts w:cstheme="minorHAnsi"/>
          <w:b/>
          <w:bCs/>
          <w:iCs/>
          <w:sz w:val="52"/>
          <w:szCs w:val="52"/>
        </w:rPr>
        <w:t>MJESEČNI MAKROEKONOMSKI INDIKATORI</w:t>
      </w:r>
    </w:p>
    <w:p w:rsidR="00D61692" w:rsidRPr="00AD1B16" w:rsidRDefault="00F24ACA" w:rsidP="00D61692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Novembar</w:t>
      </w:r>
      <w:r w:rsidR="00DC3690" w:rsidRPr="00AD1B16">
        <w:rPr>
          <w:rFonts w:cstheme="minorHAnsi"/>
          <w:b/>
          <w:bCs/>
          <w:sz w:val="32"/>
          <w:szCs w:val="32"/>
        </w:rPr>
        <w:t xml:space="preserve"> 2012</w:t>
      </w:r>
      <w:r w:rsidR="00D61692" w:rsidRPr="00AD1B16">
        <w:rPr>
          <w:rFonts w:cstheme="minorHAnsi"/>
          <w:b/>
          <w:bCs/>
          <w:sz w:val="32"/>
          <w:szCs w:val="32"/>
        </w:rPr>
        <w:t>.</w:t>
      </w:r>
    </w:p>
    <w:p w:rsidR="00D61692" w:rsidRPr="00AD1B16" w:rsidRDefault="00D61692" w:rsidP="00D6169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20CDA" w:rsidRPr="00AD1B16" w:rsidRDefault="00D20CDA" w:rsidP="00D6169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20CDA" w:rsidRPr="00AD1B16" w:rsidRDefault="002455BD" w:rsidP="00D20CDA">
      <w:pPr>
        <w:spacing w:after="0" w:line="240" w:lineRule="auto"/>
        <w:rPr>
          <w:rFonts w:cstheme="minorHAnsi"/>
          <w:bCs/>
          <w:sz w:val="28"/>
          <w:szCs w:val="28"/>
        </w:rPr>
      </w:pPr>
      <w:r w:rsidRPr="002455BD">
        <w:rPr>
          <w:rFonts w:cstheme="minorHAnsi"/>
          <w:b/>
          <w:bCs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6.5pt;margin-top:367.6pt;width:234.35pt;height:304.1pt;rotation:-360;z-index:-251658240;mso-position-horizontal-relative:margin;mso-position-vertical-relative:margin;mso-width-relative:margin;mso-height-relative:margin" wrapcoords="1181 -93 506 93 -169 466 -169 21088 591 21507 1012 21647 1181 21647 20334 21647 21178 21507 21769 20902 21769 466 20841 0 20334 -93 1181 -93" o:allowincell="f" adj="1739" fillcolor="#943634 [2405]" strokecolor="#c00000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2C73B5" w:rsidRPr="00BE47BD" w:rsidRDefault="002C73B5" w:rsidP="00BE47B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BE47B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2C73B5" w:rsidRDefault="002C73B5" w:rsidP="00FD0AB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</w:p>
                <w:p w:rsidR="00F24ACA" w:rsidRDefault="00F24ACA" w:rsidP="00F24ACA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  <w:t>Povoljni vremenski uslovi utiču na produžetak sezone i, izmedju ostalog, na povećanje aktivnosti u gradjevinskom sektoru.</w:t>
                  </w:r>
                </w:p>
                <w:p w:rsidR="00F24ACA" w:rsidRDefault="00F24ACA" w:rsidP="00F24ACA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</w:p>
                <w:p w:rsidR="00F24ACA" w:rsidRDefault="00F24ACA" w:rsidP="00F24ACA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  <w:t>Fiskalni prihodi ispod planiranih</w:t>
                  </w:r>
                </w:p>
                <w:p w:rsidR="00F24ACA" w:rsidRDefault="00F24ACA" w:rsidP="00F24ACA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</w:p>
                <w:p w:rsidR="00F24ACA" w:rsidRDefault="00F24ACA" w:rsidP="00F24ACA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  <w:t>SDI i dalje bilježe rast</w:t>
                  </w:r>
                </w:p>
                <w:p w:rsidR="00F24ACA" w:rsidRDefault="00F24ACA" w:rsidP="00F24ACA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</w:p>
              </w:txbxContent>
            </v:textbox>
            <w10:wrap type="tight" anchorx="margin" anchory="margin"/>
          </v:shape>
        </w:pict>
      </w:r>
      <w:r w:rsidR="004F7F71" w:rsidRPr="00AD1B16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40640</wp:posOffset>
            </wp:positionV>
            <wp:extent cx="5528945" cy="5076190"/>
            <wp:effectExtent l="19050" t="0" r="0" b="0"/>
            <wp:wrapNone/>
            <wp:docPr id="11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507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692" w:rsidRPr="00AD1B16" w:rsidRDefault="00D61692" w:rsidP="00D20CDA">
      <w:pPr>
        <w:spacing w:after="0" w:line="240" w:lineRule="auto"/>
        <w:rPr>
          <w:rFonts w:cstheme="minorHAnsi"/>
          <w:bCs/>
          <w:iCs/>
          <w:sz w:val="26"/>
          <w:szCs w:val="26"/>
        </w:rPr>
      </w:pPr>
    </w:p>
    <w:p w:rsidR="00D61692" w:rsidRPr="00AD1B16" w:rsidRDefault="00D61692" w:rsidP="00D61692">
      <w:pPr>
        <w:pStyle w:val="NoSpacing"/>
        <w:rPr>
          <w:rFonts w:asciiTheme="minorHAnsi" w:hAnsiTheme="minorHAnsi" w:cstheme="minorHAnsi"/>
          <w:bCs/>
          <w:iCs/>
          <w:sz w:val="26"/>
          <w:szCs w:val="26"/>
        </w:rPr>
      </w:pPr>
    </w:p>
    <w:p w:rsidR="00694445" w:rsidRPr="00AD1B16" w:rsidRDefault="00694445" w:rsidP="00694445">
      <w:pPr>
        <w:pStyle w:val="NoSpacing"/>
        <w:rPr>
          <w:rFonts w:asciiTheme="minorHAnsi" w:hAnsiTheme="minorHAnsi" w:cstheme="minorHAnsi"/>
          <w:bCs/>
          <w:sz w:val="28"/>
          <w:szCs w:val="20"/>
        </w:rPr>
      </w:pPr>
    </w:p>
    <w:p w:rsidR="00694445" w:rsidRPr="00AD1B16" w:rsidRDefault="00694445" w:rsidP="003324D9">
      <w:pPr>
        <w:pStyle w:val="NoSpacing"/>
        <w:rPr>
          <w:rFonts w:asciiTheme="minorHAnsi" w:hAnsiTheme="minorHAnsi" w:cstheme="minorHAnsi"/>
          <w:sz w:val="32"/>
        </w:rPr>
      </w:pPr>
    </w:p>
    <w:p w:rsidR="003324D9" w:rsidRPr="00AD1B16" w:rsidRDefault="003324D9" w:rsidP="003324D9">
      <w:pPr>
        <w:pStyle w:val="NoSpacing"/>
        <w:rPr>
          <w:rFonts w:asciiTheme="minorHAnsi" w:hAnsiTheme="minorHAnsi" w:cstheme="minorHAnsi"/>
          <w:sz w:val="32"/>
        </w:rPr>
      </w:pPr>
    </w:p>
    <w:p w:rsidR="003324D9" w:rsidRPr="00AD1B16" w:rsidRDefault="003324D9" w:rsidP="003324D9">
      <w:pPr>
        <w:pStyle w:val="NoSpacing"/>
      </w:pPr>
    </w:p>
    <w:p w:rsidR="003324D9" w:rsidRPr="00AD1B16" w:rsidRDefault="003324D9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777134" w:rsidRPr="00AD1B16" w:rsidRDefault="00777134" w:rsidP="003324D9">
      <w:pPr>
        <w:pStyle w:val="NoSpacing"/>
        <w:rPr>
          <w:b/>
          <w:bCs/>
          <w:color w:val="000000"/>
          <w:sz w:val="16"/>
          <w:szCs w:val="16"/>
        </w:rPr>
      </w:pPr>
    </w:p>
    <w:p w:rsidR="004F7F71" w:rsidRPr="00AD1B16" w:rsidRDefault="004F7F71" w:rsidP="003324D9">
      <w:pPr>
        <w:pStyle w:val="NoSpacing"/>
        <w:rPr>
          <w:b/>
          <w:bCs/>
          <w:color w:val="000000"/>
          <w:sz w:val="16"/>
          <w:szCs w:val="16"/>
        </w:rPr>
      </w:pPr>
    </w:p>
    <w:p w:rsidR="000F756E" w:rsidRPr="00AD1B16" w:rsidRDefault="000F756E" w:rsidP="003324D9">
      <w:pPr>
        <w:pStyle w:val="NoSpacing"/>
        <w:rPr>
          <w:bCs/>
          <w:color w:val="000000"/>
          <w:sz w:val="16"/>
          <w:szCs w:val="16"/>
        </w:rPr>
      </w:pPr>
      <w:r w:rsidRPr="00AD1B16">
        <w:rPr>
          <w:b/>
          <w:bCs/>
          <w:color w:val="000000"/>
          <w:sz w:val="16"/>
          <w:szCs w:val="16"/>
        </w:rPr>
        <w:t>Tim autora:</w:t>
      </w:r>
      <w:r w:rsidRPr="00AD1B16">
        <w:rPr>
          <w:bCs/>
          <w:color w:val="000000"/>
          <w:sz w:val="16"/>
          <w:szCs w:val="16"/>
        </w:rPr>
        <w:t xml:space="preserve"> Radojka Martinović, Olja Tomanović, Miloš Popović, </w:t>
      </w:r>
      <w:r w:rsidR="001F69DD" w:rsidRPr="00AD1B16">
        <w:rPr>
          <w:bCs/>
          <w:color w:val="000000"/>
          <w:sz w:val="16"/>
          <w:szCs w:val="16"/>
        </w:rPr>
        <w:t>Marija</w:t>
      </w:r>
      <w:r w:rsidRPr="00AD1B16">
        <w:rPr>
          <w:bCs/>
          <w:color w:val="000000"/>
          <w:sz w:val="16"/>
          <w:szCs w:val="16"/>
        </w:rPr>
        <w:t xml:space="preserve"> Novosel i Zdenka Dabović</w:t>
      </w:r>
    </w:p>
    <w:p w:rsidR="00B40133" w:rsidRPr="00AD1B16" w:rsidRDefault="000F756E" w:rsidP="004F7F71">
      <w:pPr>
        <w:pStyle w:val="NoSpacing"/>
      </w:pPr>
      <w:r w:rsidRPr="00AD1B16">
        <w:rPr>
          <w:b/>
          <w:bCs/>
          <w:color w:val="000000"/>
          <w:sz w:val="16"/>
          <w:szCs w:val="16"/>
        </w:rPr>
        <w:t>Tim recezenata:</w:t>
      </w:r>
      <w:r w:rsidR="00664DEB" w:rsidRPr="00AD1B16">
        <w:rPr>
          <w:b/>
          <w:bCs/>
          <w:color w:val="000000"/>
          <w:sz w:val="16"/>
          <w:szCs w:val="16"/>
        </w:rPr>
        <w:t xml:space="preserve"> </w:t>
      </w:r>
      <w:r w:rsidR="0095708D" w:rsidRPr="00AD1B16">
        <w:rPr>
          <w:bCs/>
          <w:color w:val="000000"/>
          <w:sz w:val="16"/>
          <w:szCs w:val="16"/>
        </w:rPr>
        <w:t>mr</w:t>
      </w:r>
      <w:r w:rsidR="00664DEB" w:rsidRPr="00AD1B16"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Tijana Stanković, Radovan Živković i Iva Vuković</w:t>
      </w:r>
      <w:r w:rsidR="00B40133" w:rsidRPr="00AD1B16">
        <w:br w:type="page"/>
      </w:r>
    </w:p>
    <w:tbl>
      <w:tblPr>
        <w:tblStyle w:val="TableGrid"/>
        <w:tblW w:w="10683" w:type="dxa"/>
        <w:tblBorders>
          <w:top w:val="thinThickSmallGap" w:sz="18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none" w:sz="0" w:space="0" w:color="auto"/>
        </w:tblBorders>
        <w:tblLayout w:type="fixed"/>
        <w:tblLook w:val="04A0"/>
      </w:tblPr>
      <w:tblGrid>
        <w:gridCol w:w="7054"/>
        <w:gridCol w:w="3629"/>
      </w:tblGrid>
      <w:tr w:rsidR="00716A7D" w:rsidRPr="00AD1B16" w:rsidTr="00AA53FC">
        <w:tc>
          <w:tcPr>
            <w:tcW w:w="7054" w:type="dxa"/>
            <w:tcBorders>
              <w:bottom w:val="single" w:sz="4" w:space="0" w:color="auto"/>
            </w:tcBorders>
          </w:tcPr>
          <w:p w:rsidR="00716A7D" w:rsidRPr="00AD1B16" w:rsidRDefault="00716A7D" w:rsidP="00D26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AD1B16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br w:type="page"/>
            </w:r>
            <w:bookmarkStart w:id="0" w:name="OLE_LINK3"/>
            <w:r w:rsidRPr="00AD1B16">
              <w:rPr>
                <w:b/>
                <w:bCs/>
                <w:sz w:val="20"/>
                <w:szCs w:val="20"/>
              </w:rPr>
              <w:t>Međunarodno okruženje</w:t>
            </w:r>
            <w:bookmarkEnd w:id="0"/>
          </w:p>
        </w:tc>
        <w:tc>
          <w:tcPr>
            <w:tcW w:w="3629" w:type="dxa"/>
            <w:vMerge w:val="restart"/>
          </w:tcPr>
          <w:p w:rsidR="00D01C27" w:rsidRPr="00AD1B16" w:rsidRDefault="00243419" w:rsidP="00EB64B9">
            <w:pPr>
              <w:ind w:left="-108"/>
              <w:rPr>
                <w:sz w:val="14"/>
                <w:szCs w:val="14"/>
              </w:rPr>
            </w:pPr>
            <w:r w:rsidRPr="00AD1B16">
              <w:rPr>
                <w:noProof/>
                <w:sz w:val="14"/>
                <w:szCs w:val="14"/>
              </w:rPr>
              <w:drawing>
                <wp:inline distT="0" distB="0" distL="0" distR="0">
                  <wp:extent cx="2247900" cy="196215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F6B9D" w:rsidRPr="00AD1B16" w:rsidTr="00EB39E1">
        <w:trPr>
          <w:trHeight w:val="2872"/>
        </w:trPr>
        <w:tc>
          <w:tcPr>
            <w:tcW w:w="7054" w:type="dxa"/>
            <w:tcBorders>
              <w:top w:val="single" w:sz="4" w:space="0" w:color="auto"/>
            </w:tcBorders>
          </w:tcPr>
          <w:p w:rsidR="00974320" w:rsidRPr="00AD1B16" w:rsidRDefault="00243419" w:rsidP="00C565D2">
            <w:pPr>
              <w:jc w:val="both"/>
              <w:rPr>
                <w:sz w:val="17"/>
                <w:szCs w:val="17"/>
              </w:rPr>
            </w:pPr>
            <w:r w:rsidRPr="00AD1B16">
              <w:rPr>
                <w:b/>
                <w:sz w:val="17"/>
                <w:szCs w:val="17"/>
              </w:rPr>
              <w:t xml:space="preserve">Ekonomija Eurozone </w:t>
            </w:r>
            <w:r w:rsidR="009707F3">
              <w:rPr>
                <w:b/>
                <w:sz w:val="17"/>
                <w:szCs w:val="17"/>
              </w:rPr>
              <w:t>je</w:t>
            </w:r>
            <w:r w:rsidRPr="00AD1B16">
              <w:rPr>
                <w:b/>
                <w:sz w:val="17"/>
                <w:szCs w:val="17"/>
              </w:rPr>
              <w:t xml:space="preserve"> u trećem kvartalu zabilježila dalji pad BDP-a od 0,1</w:t>
            </w:r>
            <w:r w:rsidR="00A46C9C" w:rsidRPr="00AD1B16">
              <w:rPr>
                <w:b/>
                <w:sz w:val="17"/>
                <w:szCs w:val="17"/>
              </w:rPr>
              <w:t>%</w:t>
            </w:r>
            <w:r w:rsidRPr="00AD1B16">
              <w:rPr>
                <w:sz w:val="17"/>
                <w:szCs w:val="17"/>
              </w:rPr>
              <w:t xml:space="preserve"> dok je rast u EU bio pozitivan u istom iznosu. Sve zemlje periferije eurozone su u m</w:t>
            </w:r>
            <w:r w:rsidR="00A46C9C" w:rsidRPr="00AD1B16">
              <w:rPr>
                <w:sz w:val="17"/>
                <w:szCs w:val="17"/>
              </w:rPr>
              <w:t>inusu, dok su najveće ekonomije</w:t>
            </w:r>
            <w:r w:rsidRPr="00AD1B16">
              <w:rPr>
                <w:sz w:val="17"/>
                <w:szCs w:val="17"/>
              </w:rPr>
              <w:t>, Njemačka i Francuska zabilježile rast od po 0,2</w:t>
            </w:r>
            <w:r w:rsidR="00A46C9C" w:rsidRPr="00AD1B16">
              <w:rPr>
                <w:sz w:val="17"/>
                <w:szCs w:val="17"/>
              </w:rPr>
              <w:t>%</w:t>
            </w:r>
            <w:r w:rsidRPr="00AD1B16">
              <w:rPr>
                <w:sz w:val="17"/>
                <w:szCs w:val="17"/>
              </w:rPr>
              <w:t>. Najnovije fleš procjene evropske ekonomije (MARKIT) pokazuju da je sentiment ukupne ekonomske aktivnosti 45,8 (obuhvata zaposlenost, nove porudžbe, zalihe, industrijsku proizvodnju i usluge)</w:t>
            </w:r>
            <w:r w:rsidR="00A46C9C" w:rsidRPr="00AD1B16">
              <w:rPr>
                <w:sz w:val="17"/>
                <w:szCs w:val="17"/>
              </w:rPr>
              <w:t xml:space="preserve"> </w:t>
            </w:r>
            <w:r w:rsidRPr="00AD1B16">
              <w:rPr>
                <w:sz w:val="17"/>
                <w:szCs w:val="17"/>
              </w:rPr>
              <w:t>što je neznatno više nego u oktobru kad je iznosio 45,7. Svaka vrijednost ovog indeksa ispod 50 ukazuje na smanjenje aktivnosti. Ekon</w:t>
            </w:r>
            <w:r w:rsidR="00A46C9C" w:rsidRPr="00AD1B16">
              <w:rPr>
                <w:sz w:val="17"/>
                <w:szCs w:val="17"/>
              </w:rPr>
              <w:t>o</w:t>
            </w:r>
            <w:r w:rsidRPr="00AD1B16">
              <w:rPr>
                <w:sz w:val="17"/>
                <w:szCs w:val="17"/>
              </w:rPr>
              <w:t>mska aktivnost pada u posljednjih 14 od 15 mjeseci s neznatnim po</w:t>
            </w:r>
            <w:r w:rsidR="00A46C9C" w:rsidRPr="00AD1B16">
              <w:rPr>
                <w:sz w:val="17"/>
                <w:szCs w:val="17"/>
              </w:rPr>
              <w:t>boljšanjem u j</w:t>
            </w:r>
            <w:r w:rsidRPr="00AD1B16">
              <w:rPr>
                <w:sz w:val="17"/>
                <w:szCs w:val="17"/>
              </w:rPr>
              <w:t>anuaru ove godine. Ovi indikatori ukazuju na jači pad</w:t>
            </w:r>
            <w:r w:rsidR="00A46C9C" w:rsidRPr="00AD1B16">
              <w:rPr>
                <w:sz w:val="17"/>
                <w:szCs w:val="17"/>
              </w:rPr>
              <w:t xml:space="preserve"> </w:t>
            </w:r>
            <w:r w:rsidRPr="00AD1B16">
              <w:rPr>
                <w:sz w:val="17"/>
                <w:szCs w:val="17"/>
              </w:rPr>
              <w:t>BDP-a u četvrtom kvartalu. Pozitivna dešavanja vidljiva su na tržištu kapitala jer su traženi prinosi na Španske 10-godišnje obveznice (reper) značajno niže nego u</w:t>
            </w:r>
            <w:r w:rsidR="009707F3">
              <w:rPr>
                <w:sz w:val="17"/>
                <w:szCs w:val="17"/>
              </w:rPr>
              <w:t xml:space="preserve"> </w:t>
            </w:r>
            <w:r w:rsidR="00C565D2">
              <w:rPr>
                <w:sz w:val="17"/>
                <w:szCs w:val="17"/>
              </w:rPr>
              <w:t>prethodnom</w:t>
            </w:r>
            <w:r w:rsidR="009707F3">
              <w:rPr>
                <w:sz w:val="17"/>
                <w:szCs w:val="17"/>
              </w:rPr>
              <w:t xml:space="preserve"> periodu i iznose 5,2</w:t>
            </w:r>
            <w:r w:rsidR="00A46C9C" w:rsidRPr="00AD1B16">
              <w:rPr>
                <w:sz w:val="17"/>
                <w:szCs w:val="17"/>
              </w:rPr>
              <w:t xml:space="preserve">% </w:t>
            </w:r>
            <w:r w:rsidRPr="00AD1B16">
              <w:rPr>
                <w:sz w:val="17"/>
                <w:szCs w:val="17"/>
              </w:rPr>
              <w:t>-</w:t>
            </w:r>
            <w:r w:rsidR="00A46C9C" w:rsidRPr="00AD1B16">
              <w:rPr>
                <w:sz w:val="17"/>
                <w:szCs w:val="17"/>
              </w:rPr>
              <w:t xml:space="preserve"> </w:t>
            </w:r>
            <w:r w:rsidRPr="00AD1B16">
              <w:rPr>
                <w:sz w:val="17"/>
                <w:szCs w:val="17"/>
              </w:rPr>
              <w:t>razli</w:t>
            </w:r>
            <w:r w:rsidR="009707F3">
              <w:rPr>
                <w:sz w:val="17"/>
                <w:szCs w:val="17"/>
              </w:rPr>
              <w:t>ka u odnosu na njemačke je oko 3,8</w:t>
            </w:r>
            <w:r w:rsidR="00A46C9C" w:rsidRPr="00AD1B16">
              <w:rPr>
                <w:sz w:val="17"/>
                <w:szCs w:val="17"/>
              </w:rPr>
              <w:t xml:space="preserve">%. Isti podaci za Italiju su 4,5% </w:t>
            </w:r>
            <w:r w:rsidRPr="00AD1B16">
              <w:rPr>
                <w:sz w:val="17"/>
                <w:szCs w:val="17"/>
              </w:rPr>
              <w:t>i 3,2</w:t>
            </w:r>
            <w:r w:rsidR="00A46C9C" w:rsidRPr="00AD1B16">
              <w:rPr>
                <w:sz w:val="17"/>
                <w:szCs w:val="17"/>
              </w:rPr>
              <w:t xml:space="preserve">% </w:t>
            </w:r>
            <w:r w:rsidRPr="00AD1B16">
              <w:rPr>
                <w:sz w:val="17"/>
                <w:szCs w:val="17"/>
              </w:rPr>
              <w:t>raspona.</w:t>
            </w:r>
            <w:r w:rsidR="00F21D60">
              <w:rPr>
                <w:sz w:val="17"/>
                <w:szCs w:val="17"/>
              </w:rPr>
              <w:t xml:space="preserve"> Ovi indikatori idu u paru s cijenama zaduživanja za korporativni sektor pa je jasno da kompanije (i potrošači) u pomenutim zemljama opterećene višim troškovima koji dodatno umanjuju njihovu konkurentnost.</w:t>
            </w:r>
            <w:r w:rsidRPr="00AD1B16">
              <w:rPr>
                <w:sz w:val="17"/>
                <w:szCs w:val="17"/>
              </w:rPr>
              <w:t xml:space="preserve"> Brent sirova nafta varira oko nivoa od 110</w:t>
            </w:r>
            <w:r w:rsidR="00A46C9C" w:rsidRPr="00AD1B16">
              <w:rPr>
                <w:sz w:val="17"/>
                <w:szCs w:val="17"/>
              </w:rPr>
              <w:t xml:space="preserve"> </w:t>
            </w:r>
            <w:r w:rsidRPr="00AD1B16">
              <w:rPr>
                <w:sz w:val="17"/>
                <w:szCs w:val="17"/>
              </w:rPr>
              <w:t>USD/barel. Euro se mijenja za USD po kursu od oko 1</w:t>
            </w:r>
            <w:r w:rsidR="00A46C9C" w:rsidRPr="00AD1B16">
              <w:rPr>
                <w:sz w:val="17"/>
                <w:szCs w:val="17"/>
              </w:rPr>
              <w:t>,</w:t>
            </w:r>
            <w:r w:rsidRPr="00AD1B16">
              <w:rPr>
                <w:sz w:val="17"/>
                <w:szCs w:val="17"/>
              </w:rPr>
              <w:t>3</w:t>
            </w:r>
            <w:r w:rsidR="00435D37">
              <w:rPr>
                <w:sz w:val="17"/>
                <w:szCs w:val="17"/>
              </w:rPr>
              <w:t>0</w:t>
            </w:r>
            <w:r w:rsidRPr="00AD1B16">
              <w:rPr>
                <w:sz w:val="17"/>
                <w:szCs w:val="17"/>
              </w:rPr>
              <w:t>. Cijena aluminijuma je porasla na oko 2</w:t>
            </w:r>
            <w:r w:rsidR="00A46C9C" w:rsidRPr="00AD1B16">
              <w:rPr>
                <w:sz w:val="17"/>
                <w:szCs w:val="17"/>
              </w:rPr>
              <w:t>.</w:t>
            </w:r>
            <w:r w:rsidR="009707F3">
              <w:rPr>
                <w:sz w:val="17"/>
                <w:szCs w:val="17"/>
              </w:rPr>
              <w:t>100</w:t>
            </w:r>
            <w:r w:rsidRPr="00AD1B16">
              <w:rPr>
                <w:sz w:val="17"/>
                <w:szCs w:val="17"/>
              </w:rPr>
              <w:t xml:space="preserve"> USD/T.</w:t>
            </w:r>
          </w:p>
        </w:tc>
        <w:tc>
          <w:tcPr>
            <w:tcW w:w="3629" w:type="dxa"/>
            <w:vMerge/>
            <w:vAlign w:val="center"/>
          </w:tcPr>
          <w:p w:rsidR="00DF6B9D" w:rsidRPr="00AD1B16" w:rsidRDefault="00DF6B9D" w:rsidP="001C6750">
            <w:pPr>
              <w:ind w:left="34" w:hanging="34"/>
              <w:rPr>
                <w:sz w:val="17"/>
                <w:szCs w:val="17"/>
              </w:rPr>
            </w:pPr>
          </w:p>
        </w:tc>
      </w:tr>
      <w:tr w:rsidR="00DF6B9D" w:rsidRPr="00AD1B16" w:rsidTr="00AA53FC">
        <w:trPr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DF6B9D" w:rsidRPr="00AD1B16" w:rsidRDefault="00DF6B9D" w:rsidP="00FE641C">
            <w:pPr>
              <w:pStyle w:val="ListParagraph"/>
              <w:numPr>
                <w:ilvl w:val="0"/>
                <w:numId w:val="1"/>
              </w:numPr>
              <w:rPr>
                <w:rStyle w:val="CaptionChar"/>
              </w:rPr>
            </w:pPr>
            <w:r w:rsidRPr="00AD1B16">
              <w:rPr>
                <w:rStyle w:val="CaptionChar"/>
              </w:rPr>
              <w:t>Realni sektor</w:t>
            </w:r>
          </w:p>
        </w:tc>
        <w:tc>
          <w:tcPr>
            <w:tcW w:w="3629" w:type="dxa"/>
            <w:vMerge w:val="restart"/>
            <w:vAlign w:val="center"/>
          </w:tcPr>
          <w:p w:rsidR="00DF6B9D" w:rsidRPr="00AD1B16" w:rsidRDefault="00A33860" w:rsidP="00157601">
            <w:pPr>
              <w:ind w:left="-250"/>
              <w:jc w:val="center"/>
            </w:pPr>
            <w:r w:rsidRPr="00AD1B16">
              <w:rPr>
                <w:noProof/>
              </w:rPr>
              <w:drawing>
                <wp:inline distT="0" distB="0" distL="0" distR="0">
                  <wp:extent cx="2219325" cy="2286000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F6B9D" w:rsidRPr="00AD1B16" w:rsidTr="00AA53FC">
        <w:trPr>
          <w:trHeight w:val="3006"/>
        </w:trPr>
        <w:tc>
          <w:tcPr>
            <w:tcW w:w="7054" w:type="dxa"/>
            <w:tcBorders>
              <w:top w:val="single" w:sz="4" w:space="0" w:color="auto"/>
            </w:tcBorders>
          </w:tcPr>
          <w:p w:rsidR="00DF6B9D" w:rsidRPr="00AD1B16" w:rsidRDefault="005078B9" w:rsidP="007C1EE8">
            <w:pPr>
              <w:pStyle w:val="NormalWeb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>Pokazatelji aktivnosti</w:t>
            </w:r>
            <w:r w:rsidR="00A46C9C"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>realnog sektora u oktobru 2012, ukazuju na dalji rast prometa u turizmu</w:t>
            </w:r>
            <w:r w:rsidR="00A46C9C"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>,</w:t>
            </w:r>
            <w:r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 xml:space="preserve"> ali i pad industrijske proizvodnje, usljed pada proizvodnje u sektoru prerađivačke industrije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. U oktobru je registrovano 6,0% više dolazaka i 2,6% više noćenja turista neg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o u istom mjesecu prošle godine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, dok je za deset mjeseci Crnu Goru posjetilo 1,4 mil.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turista 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i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ostvareno 9,0 mil.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="00400C11">
              <w:rPr>
                <w:rFonts w:ascii="Calibri" w:hAnsi="Calibri" w:cs="Calibri"/>
                <w:sz w:val="17"/>
                <w:szCs w:val="17"/>
                <w:lang w:eastAsia="en-US"/>
              </w:rPr>
              <w:t>noćenja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, što je rast od 4,9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%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i 4,3% u odnosu na isti period 2011.</w:t>
            </w:r>
            <w:r w:rsidR="00400C11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Industrijska proizvodnja u period januar-oktobar, u odnosu na uporedni period, bilježi pad od 9,4%, što je rezultat pada u svim sektorima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(vađenje rude i kamena 20,6%, prerađivačka industrija 7,1% i snabdijevanje el.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energijom, gasom i parom 11,5%).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Godišnji pad industrijske proizvodnje od 24,4%,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opredijeljen je padom prerađivačke industrije od 40,5%,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a to je rezultat pada proizvodnje osnovnih metala od 61,2%,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usljed već prisutnih teškoća u snabdijevanju električnom energijom KAP-a i prekida proizvodnje čelika.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Oporavak je 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evidentan kod proizvodnje hrane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, koja bilježi godišnji rast od 11,9%, dok proizvodnja osnovnih farmaceutskih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proizvoda i preparata i pored godišnjeg pada od 73,1%, u periodu januar-oktobar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bilježi rast od 41,0%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,u odnosu na uporedni period prošle godine. Proizvodnja električne energije se povećava i bilježi godišnji rast od 4,7%.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Promet u maloproda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ji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u oktobru</w:t>
            </w:r>
            <w:r w:rsidR="007C1EE8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="007C1EE8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bilježi  </w:t>
            </w:r>
            <w:r w:rsidR="007C1EE8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nominalni rast od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3,5% u odnosu na oktobar proš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le godine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, dok je u periodu januar-oktobar ostvaren rast prometa od 7,5%, u odnosu na uporedni period 2011.</w:t>
            </w:r>
          </w:p>
        </w:tc>
        <w:tc>
          <w:tcPr>
            <w:tcW w:w="3629" w:type="dxa"/>
            <w:vMerge/>
            <w:vAlign w:val="center"/>
          </w:tcPr>
          <w:p w:rsidR="00DF6B9D" w:rsidRPr="00AD1B16" w:rsidRDefault="00DF6B9D" w:rsidP="00FE641C">
            <w:pPr>
              <w:spacing w:after="119"/>
              <w:jc w:val="center"/>
              <w:rPr>
                <w:noProof/>
              </w:rPr>
            </w:pPr>
          </w:p>
        </w:tc>
      </w:tr>
      <w:tr w:rsidR="00DF6B9D" w:rsidRPr="00AD1B16" w:rsidTr="00AA53FC">
        <w:trPr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DF6B9D" w:rsidRPr="00AD1B16" w:rsidRDefault="00DF6B9D" w:rsidP="00FE641C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1B1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Cijene</w:t>
            </w:r>
          </w:p>
        </w:tc>
        <w:tc>
          <w:tcPr>
            <w:tcW w:w="3629" w:type="dxa"/>
            <w:vMerge w:val="restart"/>
            <w:vAlign w:val="center"/>
          </w:tcPr>
          <w:p w:rsidR="00DF6B9D" w:rsidRPr="00AD1B16" w:rsidRDefault="00DB55E7" w:rsidP="00676A4B">
            <w:pPr>
              <w:ind w:left="-250"/>
              <w:jc w:val="center"/>
              <w:rPr>
                <w:b/>
                <w:noProof/>
              </w:rPr>
            </w:pPr>
            <w:r w:rsidRPr="00AD1B16">
              <w:rPr>
                <w:b/>
                <w:noProof/>
              </w:rPr>
              <w:drawing>
                <wp:inline distT="0" distB="0" distL="0" distR="0">
                  <wp:extent cx="2400300" cy="2152650"/>
                  <wp:effectExtent l="0" t="0" r="0" b="0"/>
                  <wp:docPr id="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DF6B9D" w:rsidRPr="00AD1B16" w:rsidTr="00AA53FC">
        <w:trPr>
          <w:trHeight w:val="3122"/>
        </w:trPr>
        <w:tc>
          <w:tcPr>
            <w:tcW w:w="7054" w:type="dxa"/>
            <w:tcBorders>
              <w:top w:val="single" w:sz="4" w:space="0" w:color="auto"/>
            </w:tcBorders>
          </w:tcPr>
          <w:p w:rsidR="00DF6B9D" w:rsidRPr="00AD1B16" w:rsidRDefault="005027D6" w:rsidP="00A33860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>Rast</w:t>
            </w:r>
            <w:r w:rsidR="00A46C9C"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>inflacije sa 4,4% u septembru na 5,2% u oktobru, podstaknut je rastom cijena hrane,</w:t>
            </w:r>
            <w:r w:rsidR="00BF1F70"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>alkoholnih pića,</w:t>
            </w:r>
            <w:r w:rsidR="00BF1F70"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>odjeće, čvrstih goriva i farmaceutskih proizvoda.</w:t>
            </w:r>
            <w:r w:rsidR="00A46C9C" w:rsidRPr="00AD1B16">
              <w:rPr>
                <w:rFonts w:ascii="Calibri" w:hAnsi="Calibri" w:cs="Calibri"/>
                <w:b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Godišnja stopa inflacije,</w:t>
            </w:r>
            <w:r w:rsidR="00BF1F70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mjerena indeksom potrošačkih cijena,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u oktobru je iznosila 5,2%, što je dominantno </w:t>
            </w:r>
            <w:r w:rsidR="00BF1F70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opredijeljeno rastom cijena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hrane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(6,8%),</w:t>
            </w:r>
            <w:r w:rsidR="00BF1F70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električne energije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(17,6%),</w:t>
            </w:r>
            <w:r w:rsidR="00BF1F70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duvana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(16,5%),</w:t>
            </w:r>
            <w:r w:rsidR="00BF1F70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goriva i maziva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(6,3%) i odjeće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(6,3%).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Harmonizovani indeks potrošačkih cijena u oktobru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bilježi godišnju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stopu inflacije od 4,9%,</w:t>
            </w:r>
            <w:r w:rsidR="00BF1F70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što je rast od 0,3 p.p u odnosu na godišnju stopu iz avgusta.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Najveći uticaj na godišnju stopu inflacije, mjerenu ovim indeksom, imali su rast cijena hrane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(8,6%),</w:t>
            </w:r>
            <w:r w:rsidR="00BF1F70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električne energije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(17,7%),</w:t>
            </w:r>
            <w:r w:rsidR="00BF1F70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goriva i maziva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(6,0%),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duvana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(0,3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%) i usluga smještaja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(7,4%)</w:t>
            </w:r>
            <w:r w:rsidR="005829D9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Cijene proizvođača industrijskih proizvoda u oktobru bilježe godišnji rast od 4,3%, kao rezultat rasta cijena u sektoru </w:t>
            </w:r>
            <w:r w:rsidRPr="00AD1B16">
              <w:rPr>
                <w:rFonts w:ascii="Calibri" w:hAnsi="Calibri" w:cs="Calibri"/>
                <w:i/>
                <w:sz w:val="17"/>
                <w:szCs w:val="17"/>
                <w:lang w:eastAsia="en-US"/>
              </w:rPr>
              <w:t>snabdijevanje električnom energijom,</w:t>
            </w:r>
            <w:r w:rsidR="00A46C9C" w:rsidRPr="00AD1B16">
              <w:rPr>
                <w:rFonts w:ascii="Calibri" w:hAnsi="Calibri" w:cs="Calibri"/>
                <w:i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i/>
                <w:sz w:val="17"/>
                <w:szCs w:val="17"/>
                <w:lang w:eastAsia="en-US"/>
              </w:rPr>
              <w:t>gasom i parom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od 18,7%.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Godišnja stopa inflacija u EU zoni u oktobru bilježi blagi pad u odnosu na septembar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(-0,1p.p) i iznosi 2,4%, pri čemu je najveći rast registrovan kod transporta (4,1%), alkohola i duvana i stanovanja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(4,0%), dok najniže godišnje stope </w:t>
            </w:r>
            <w:r w:rsidR="005829D9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rasta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bilježe komunikacije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(-3,5%) i rekreacija i kultura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(1,0%).</w:t>
            </w:r>
            <w:r w:rsidR="005829D9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Od zemalja i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z regiona najveća godišnja stopa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inflacije </w:t>
            </w:r>
            <w:r w:rsidR="005829D9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zabilježena je u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Srbiji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( 12,9%) a 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najniža u Bosni i Hercegovini (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2,3%).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Prema poslednjim prognozama Centralne banke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(novembar 2012),</w:t>
            </w:r>
            <w:r w:rsidR="00A46C9C"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AD1B16">
              <w:rPr>
                <w:rFonts w:ascii="Calibri" w:hAnsi="Calibri" w:cs="Calibri"/>
                <w:sz w:val="17"/>
                <w:szCs w:val="17"/>
                <w:lang w:eastAsia="en-US"/>
              </w:rPr>
              <w:t>inflaciona očekivanja su u porastu u odnosu na prethodnu godinu, pa se za ovu godinu predviđa da će se inflacija kretati u rasponu od 4,7% do 6,0%.</w:t>
            </w:r>
          </w:p>
        </w:tc>
        <w:tc>
          <w:tcPr>
            <w:tcW w:w="3629" w:type="dxa"/>
            <w:vMerge/>
            <w:vAlign w:val="center"/>
          </w:tcPr>
          <w:p w:rsidR="00DF6B9D" w:rsidRPr="00AD1B16" w:rsidRDefault="00DF6B9D" w:rsidP="00480082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17"/>
                <w:szCs w:val="17"/>
              </w:rPr>
            </w:pPr>
          </w:p>
        </w:tc>
      </w:tr>
      <w:tr w:rsidR="00DF6B9D" w:rsidRPr="00AD1B16" w:rsidTr="00AA53FC">
        <w:trPr>
          <w:trHeight w:val="255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607500" w:rsidRPr="00AD1B16" w:rsidRDefault="00DF6B9D" w:rsidP="00A3386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Zaposlenost i zarade</w:t>
            </w:r>
          </w:p>
        </w:tc>
        <w:tc>
          <w:tcPr>
            <w:tcW w:w="3629" w:type="dxa"/>
            <w:vMerge w:val="restart"/>
            <w:vAlign w:val="center"/>
          </w:tcPr>
          <w:p w:rsidR="00DF6B9D" w:rsidRPr="00AD1B16" w:rsidRDefault="00541D70" w:rsidP="00905F6A">
            <w:pPr>
              <w:ind w:left="-250"/>
              <w:jc w:val="center"/>
            </w:pPr>
            <w:r w:rsidRPr="00AD1B16">
              <w:rPr>
                <w:noProof/>
              </w:rPr>
              <w:drawing>
                <wp:inline distT="0" distB="0" distL="0" distR="0">
                  <wp:extent cx="2543175" cy="2276475"/>
                  <wp:effectExtent l="19050" t="0" r="0" b="0"/>
                  <wp:docPr id="4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F4195C" w:rsidRPr="00AD1B16" w:rsidTr="00AA53FC">
        <w:trPr>
          <w:trHeight w:val="1986"/>
        </w:trPr>
        <w:tc>
          <w:tcPr>
            <w:tcW w:w="7054" w:type="dxa"/>
            <w:tcBorders>
              <w:top w:val="single" w:sz="4" w:space="0" w:color="auto"/>
            </w:tcBorders>
          </w:tcPr>
          <w:p w:rsidR="00F4195C" w:rsidRPr="00AD1B16" w:rsidRDefault="003B1A29" w:rsidP="003B1A29">
            <w:pPr>
              <w:jc w:val="both"/>
              <w:rPr>
                <w:sz w:val="17"/>
                <w:szCs w:val="17"/>
              </w:rPr>
            </w:pPr>
            <w:r w:rsidRPr="00AD1B16">
              <w:rPr>
                <w:b/>
                <w:sz w:val="17"/>
                <w:szCs w:val="17"/>
              </w:rPr>
              <w:t>Nastavlja se trend povećanja zaposlenosti i</w:t>
            </w:r>
            <w:r w:rsidR="00400C11">
              <w:rPr>
                <w:b/>
                <w:sz w:val="17"/>
                <w:szCs w:val="17"/>
              </w:rPr>
              <w:t xml:space="preserve"> </w:t>
            </w:r>
            <w:r w:rsidRPr="00AD1B16">
              <w:rPr>
                <w:b/>
                <w:sz w:val="17"/>
                <w:szCs w:val="17"/>
              </w:rPr>
              <w:t>smanjenja nezaposlenosti</w:t>
            </w:r>
            <w:r w:rsidRPr="00AD1B16">
              <w:rPr>
                <w:sz w:val="17"/>
                <w:szCs w:val="17"/>
              </w:rPr>
              <w:t xml:space="preserve">. Broj zaposlenih u oktobru 2012. je iznosio 168.701, a povećan je za 3,2% u odnosu na oktobar 2011. U oktobru 2012. broj nezaposlenih je iznosio 29.540, a smanjen je za 2,1% u odnosu na oktobar 2011. U period januar-oktobar 2012. broj zaposlenih se povećao 1,9% u odnosu na uporedni period 2011, dok se broj nezaposlenih u istom periodu smanjio za 2,9%. </w:t>
            </w:r>
            <w:r w:rsidRPr="00AD1B16">
              <w:rPr>
                <w:b/>
                <w:sz w:val="17"/>
                <w:szCs w:val="17"/>
              </w:rPr>
              <w:t>Smanjena je stopa nezaposlenosti</w:t>
            </w:r>
            <w:r w:rsidRPr="00AD1B16">
              <w:rPr>
                <w:sz w:val="17"/>
                <w:szCs w:val="17"/>
              </w:rPr>
              <w:t xml:space="preserve"> u oktobru 2012. (12,7%), u odnosu na oktobar 2011. (13,0%). Broj oglašenih slobodnih radnih mjesta u periodu januar-oktobar 2012. iznosio je 20.948 ili 1,0% više nego u uporednom periodu 2011, dok je istovremeno izdato 17.921 radnih dozvola strancima, odnosno 5,6% više. Najviše slobodnih radnih mjesta sa visokom stručnom spremom, u oktobru 2012, je u Podgorici 345, Baru 310, Bijelom Polju 255 i Budvi 240, a u  Nikšiću je nezaposlenih visokoškolaca 956, a slobodnih radnih mjesta 34, što ukazuje na neravnomjernu prostornu ponudu za zapošljavanjem u odnosu na broj nezaposlenih. I dalje se povećava broj lica koja prvi put traže zaposlenje, tako da ih je u oktobru 2012. za 5,5% više nego u oktobru 2011. </w:t>
            </w:r>
            <w:r w:rsidRPr="00AD1B16">
              <w:rPr>
                <w:b/>
                <w:sz w:val="17"/>
                <w:szCs w:val="17"/>
              </w:rPr>
              <w:t>Prosječna zarada, u oktobru 2012</w:t>
            </w:r>
            <w:r w:rsidRPr="00AD1B16">
              <w:rPr>
                <w:sz w:val="17"/>
                <w:szCs w:val="17"/>
              </w:rPr>
              <w:t>, je iznosila 717€ ili 0,8% više nego u oktobru 2011. Prosječna zarada bez poreza i doprinosa je iznosila 480€ u oktobru 2012, što je za 0,6% više nego u oktobru 2011, dok je realno smanjena 3,2% u periodu januar-oktobar 2012. u odnosu na period januar-oktobar 2011 godine.</w:t>
            </w:r>
          </w:p>
        </w:tc>
        <w:tc>
          <w:tcPr>
            <w:tcW w:w="3629" w:type="dxa"/>
            <w:vMerge/>
            <w:vAlign w:val="center"/>
          </w:tcPr>
          <w:p w:rsidR="00F4195C" w:rsidRPr="00AD1B16" w:rsidRDefault="00F4195C" w:rsidP="00CD1303">
            <w:pPr>
              <w:jc w:val="center"/>
              <w:rPr>
                <w:noProof/>
                <w:sz w:val="17"/>
                <w:szCs w:val="17"/>
              </w:rPr>
            </w:pPr>
          </w:p>
        </w:tc>
      </w:tr>
    </w:tbl>
    <w:p w:rsidR="00A46C9C" w:rsidRPr="00AD1B16" w:rsidRDefault="00A46C9C">
      <w:r w:rsidRPr="00AD1B16">
        <w:br w:type="page"/>
      </w:r>
    </w:p>
    <w:tbl>
      <w:tblPr>
        <w:tblStyle w:val="TableGrid"/>
        <w:tblW w:w="10740" w:type="dxa"/>
        <w:tblBorders>
          <w:top w:val="thinThickSmallGap" w:sz="18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none" w:sz="0" w:space="0" w:color="auto"/>
        </w:tblBorders>
        <w:tblLayout w:type="fixed"/>
        <w:tblLook w:val="04A0"/>
      </w:tblPr>
      <w:tblGrid>
        <w:gridCol w:w="7054"/>
        <w:gridCol w:w="3686"/>
      </w:tblGrid>
      <w:tr w:rsidR="00716A7D" w:rsidRPr="00AD1B16" w:rsidTr="00EB64B9">
        <w:trPr>
          <w:trHeight w:val="236"/>
        </w:trPr>
        <w:tc>
          <w:tcPr>
            <w:tcW w:w="705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16A7D" w:rsidRPr="00AD1B16" w:rsidRDefault="00716A7D" w:rsidP="00D26EB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Javne finansije</w:t>
            </w:r>
          </w:p>
        </w:tc>
        <w:tc>
          <w:tcPr>
            <w:tcW w:w="368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487296" w:rsidRPr="00AD1B16" w:rsidRDefault="007503B6" w:rsidP="007503B6">
            <w:pPr>
              <w:ind w:left="-250"/>
              <w:jc w:val="right"/>
            </w:pPr>
            <w:r w:rsidRPr="007503B6">
              <w:rPr>
                <w:noProof/>
              </w:rPr>
              <w:drawing>
                <wp:inline distT="0" distB="0" distL="0" distR="0">
                  <wp:extent cx="2541270" cy="1979875"/>
                  <wp:effectExtent l="0" t="0" r="0" b="0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AD0474" w:rsidRPr="00AD1B16" w:rsidTr="00C35CAA">
        <w:trPr>
          <w:trHeight w:val="3425"/>
        </w:trPr>
        <w:tc>
          <w:tcPr>
            <w:tcW w:w="7054" w:type="dxa"/>
            <w:tcBorders>
              <w:top w:val="single" w:sz="4" w:space="0" w:color="auto"/>
            </w:tcBorders>
          </w:tcPr>
          <w:p w:rsidR="002D40AB" w:rsidRPr="00C72651" w:rsidRDefault="002C73B5" w:rsidP="00F24ACA">
            <w:pPr>
              <w:pStyle w:val="NormalWeb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Izvorni prihodi budžeta u oktob</w:t>
            </w:r>
            <w:r w:rsidR="00F74097" w:rsidRP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u</w:t>
            </w:r>
            <w:r w:rsidR="00F74097" w:rsidRP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su premašili plan za 1% dok  u odnosu na prošlogodišnje oktobarske prihode bilježe rast od 8,5%. </w:t>
            </w:r>
            <w:r w:rsidR="00DB203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Ipak, p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rihodi za period su niži od </w:t>
            </w:r>
            <w:r w:rsidR="00DB203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prošle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za 1,4%</w:t>
            </w:r>
            <w:r w:rsidR="00DB203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B203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="00F74097" w:rsidRP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ashodi </w:t>
            </w:r>
            <w:r w:rsidR="00DB203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budžeta </w:t>
            </w:r>
            <w:r w:rsidR="00F74097" w:rsidRP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za 1</w:t>
            </w:r>
            <w:r w:rsidR="00DB203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,1</w:t>
            </w:r>
            <w:r w:rsidR="00F74097" w:rsidRP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% v</w:t>
            </w:r>
            <w:r w:rsidR="00DB203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eći u odnosu na prošlogodišnje, dok oktobarski rashodi </w:t>
            </w:r>
            <w:r w:rsidR="001A65F4" w:rsidRP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bilježi povećanj</w:t>
            </w:r>
            <w:r w:rsidR="00DB203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 od 14,9</w:t>
            </w:r>
            <w:r w:rsidR="001A65F4" w:rsidRP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%</w:t>
            </w:r>
            <w:r w:rsidR="00DB203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u odnosu na prošlu</w:t>
            </w:r>
            <w:r w:rsidR="001A65F4" w:rsidRP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="001A65F4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U oktobru 2012. prihodi su iznosili 98,5 mil. €, i</w:t>
            </w:r>
            <w:r w:rsidR="00DB203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u odnosu na plan su veći za 1,2</w:t>
            </w:r>
            <w:r w:rsidR="001A65F4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%. Pozitivan signal koji se reflektovao na fiskalni aspekt jeste povećanje naplate prihoda po osnovu PDV za 9,4% u odnosu na planirane, i 10,3% u odnosu na prošlogodišnje. Teorijski, PDV se najčešće uzima kao indikator ekonomske aktivnosti, što dovodi do zaključka da je ekonomija pokazala znake napretka u septembru (PDV se plaća u tekućem mjesecu za prihode ostvarene u prethodnom). To se dovodi u vezu sa porastom vrijednosti radova u građevinarstvu za 12,0% za prethodni kvartal,</w:t>
            </w:r>
            <w:r w:rsidR="00E328B1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rastom noćenja turista za 6,9%, te rastom prometa u maloprodaji za 4,4%.</w:t>
            </w:r>
            <w:r w:rsidR="001A65F4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328B1" w:rsidRPr="00F24AC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Prihodi od akciza, iako veći za 1,8% u periodu januar-oktobar 2012. u odnosu na isti period prethodne godine, za mjesec oktobar bilježe smanjenje od 3,7%, u odnosu na isti prošlogodišnji mjesec, dok je odstupanje od plana -20,9%. </w:t>
            </w:r>
            <w:r w:rsidR="00F24ACA" w:rsidRPr="00F24AC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Tu treba imati u vidu</w:t>
            </w:r>
            <w:r w:rsidR="00E328B1" w:rsidRPr="00F24AC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da su u ovoj godini povećane akcizne stope za duvanske i alkoholne proizvode</w:t>
            </w:r>
            <w:r w:rsidR="00365E46" w:rsidRPr="00F24AC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, te proširena lista akciznih proizvoda za kafu i gazirana pića.</w:t>
            </w:r>
            <w:r w:rsidR="000C36DB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U oktobru 2012,</w:t>
            </w:r>
            <w:r w:rsidR="000C36DB" w:rsidRP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C36DB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izdaci Budžeta su iznosili </w:t>
            </w:r>
            <w:r w:rsidR="00DB203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104,1 mil. €, i veći su za 14,9</w:t>
            </w:r>
            <w:r w:rsidR="00CD3371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% u odnosu na isti mjesec prethodno godine. Izdaci</w:t>
            </w:r>
            <w:r w:rsidR="004865CE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Budžeta Crne Gore</w:t>
            </w:r>
            <w:r w:rsidR="00CD3371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B203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za deset mjeseci iznose 1.020,9</w:t>
            </w:r>
            <w:r w:rsidR="00802B7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D3371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mlrd. €, i nominalno su veći u odnosu na prošlogodišnje za 1</w:t>
            </w:r>
            <w:r w:rsidR="00DB203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,1</w:t>
            </w:r>
            <w:r w:rsidR="00CD3371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%. Gotovo 70% državne potrošnje u oktobru činila su davanja za penzije i bruto zarade</w:t>
            </w:r>
            <w:r w:rsidR="002A4910" w:rsidRP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, a uvećani su u odnosu na isti mjesec prethodne godine za 1,2% i 6,4%, respektivno. </w:t>
            </w:r>
            <w:r w:rsid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Deficit državnog budžeta </w:t>
            </w:r>
            <w:r w:rsidR="00DB203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iznosio je 5,6</w:t>
            </w:r>
            <w:r w:rsid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mil. €, </w:t>
            </w:r>
            <w:r w:rsidR="00802B7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dok</w:t>
            </w:r>
            <w:r w:rsid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na nivou perioda, iznosi 3</w:t>
            </w:r>
            <w:r w:rsidR="002D40A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,4</w:t>
            </w:r>
            <w:r w:rsid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% BDP-a (3.324 mil. €). </w:t>
            </w:r>
            <w:r w:rsidR="002A4910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Državni dug </w:t>
            </w:r>
            <w:r w:rsidR="002D40A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na kraju oktobra iznosio je 1.709,4 mil € ili 51,4% BDP-a</w:t>
            </w:r>
            <w:r w:rsidR="002A4910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. </w:t>
            </w:r>
            <w:bookmarkStart w:id="1" w:name="_GoBack"/>
            <w:bookmarkEnd w:id="1"/>
          </w:p>
        </w:tc>
        <w:tc>
          <w:tcPr>
            <w:tcW w:w="3686" w:type="dxa"/>
            <w:vMerge/>
            <w:tcBorders>
              <w:top w:val="nil"/>
            </w:tcBorders>
            <w:vAlign w:val="center"/>
          </w:tcPr>
          <w:p w:rsidR="00AD0474" w:rsidRPr="00AD1B16" w:rsidRDefault="00AD0474" w:rsidP="00461324">
            <w:pPr>
              <w:jc w:val="center"/>
              <w:rPr>
                <w:noProof/>
              </w:rPr>
            </w:pPr>
          </w:p>
        </w:tc>
      </w:tr>
      <w:tr w:rsidR="00ED66A9" w:rsidRPr="00AD1B16" w:rsidTr="00EB64B9">
        <w:trPr>
          <w:trHeight w:val="258"/>
        </w:trPr>
        <w:tc>
          <w:tcPr>
            <w:tcW w:w="7054" w:type="dxa"/>
            <w:tcBorders>
              <w:bottom w:val="single" w:sz="4" w:space="0" w:color="auto"/>
            </w:tcBorders>
          </w:tcPr>
          <w:p w:rsidR="00ED66A9" w:rsidRPr="00AD1B16" w:rsidRDefault="00ED66A9" w:rsidP="00461324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Bankarski sektor i likvidnost</w:t>
            </w:r>
          </w:p>
        </w:tc>
        <w:tc>
          <w:tcPr>
            <w:tcW w:w="3686" w:type="dxa"/>
            <w:vMerge w:val="restart"/>
            <w:vAlign w:val="center"/>
          </w:tcPr>
          <w:p w:rsidR="00ED66A9" w:rsidRPr="00AD1B16" w:rsidRDefault="00861F52" w:rsidP="00B74947">
            <w:pPr>
              <w:ind w:left="-250"/>
              <w:jc w:val="center"/>
            </w:pPr>
            <w:r w:rsidRPr="00861F52">
              <w:rPr>
                <w:noProof/>
              </w:rPr>
              <w:drawing>
                <wp:inline distT="0" distB="0" distL="0" distR="0">
                  <wp:extent cx="2501798" cy="2823667"/>
                  <wp:effectExtent l="0" t="0" r="0" b="0"/>
                  <wp:docPr id="7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A46C9C" w:rsidRPr="00AD1B16" w:rsidTr="00EB64B9">
        <w:trPr>
          <w:trHeight w:val="4232"/>
        </w:trPr>
        <w:tc>
          <w:tcPr>
            <w:tcW w:w="7054" w:type="dxa"/>
            <w:tcBorders>
              <w:top w:val="single" w:sz="4" w:space="0" w:color="auto"/>
            </w:tcBorders>
          </w:tcPr>
          <w:p w:rsidR="00A46C9C" w:rsidRPr="00AD1B16" w:rsidRDefault="00A46C9C" w:rsidP="00447221">
            <w:pPr>
              <w:pStyle w:val="NormalWeb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sz w:val="16"/>
                <w:szCs w:val="17"/>
              </w:rPr>
            </w:pP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>Poslovanje banaka u ovom mjesecu je obilježio rast kapitala i depozita stanovništva, kao i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>smanjenje nekvalitetnih kredita i nekvalitetne aktive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. Ipak,monetarna kretanja karakteriše i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pad aktive, kreditnih plasmana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, ukupnih depozita i rast kredita koji kasne sa otplatom.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Iako su 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>ukupni depoziti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ostvarili pad od 1,8% na mjesečnom nivou, njihov iznos u poslednja tri mjeseca se kreće iznad nivoa ukupnih kredita.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Na godišnjem nivou uku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pni depoziti su povećani za 5,2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%. Sektorski posmatrano, 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>depoziti stanovništva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sa iznosom od 1.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114,7 mil. € imaju najveće učešće u ukupnim depozitima od 56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,7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%, i ostvareni rast 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od 9,0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% u odnosu na isti mjesec prošle godine.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Vrijednost 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 xml:space="preserve">ukupnih kredita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je iznosila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1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.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859,3 mil. €, što je za 1,7% niže u odnosu na prethodni mjesec i 4,2% na godišnjem nivou.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Kreditno zaduženje sektora privrede je iznosilo 89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1,8 mil. € i smanjeno je za 1,9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% na mjesečnom nivou, dok krediti stanovništva biljež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e pad na godišnjem nivou od 2,4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%. P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ri tome dug po glavi stanovnika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,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mjeren odnosom ukupnih kredita i broja stanovnika je iznosio 1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.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325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€,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dok je dug po zaposlenom bio 4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.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870 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€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.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Aktivne efektivne 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>kamatne stope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na kredite su iznosile 9,50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%, što predstavlja blago sniže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nje u odnosu na septembar (9,53%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),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dok su pasivne kamatne st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ope povećane i iznosile su 3,24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%. Zbog prisutnog trenda rasta kamatnih 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stopa na novoodobrene kredite (11,32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% u oktobru), kao i postojanja ekstremno visokih kamatnih stop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a na pojedine kreditne plasmane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,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CBCG je donijela Odluku o privremenim mjerama za og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raničenje kamatnih stopa banaka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,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kojom je limitirala kamatne stope na kredite stanovništvu na 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15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% na godišnjem nivou, odnosno 14 % za pravna lica. Jedan od rizika za finansijsku stabilnost predstavljaju 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>krediti koji kasne sa otplatom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koji su iznosili 473,4 mil. € i poveća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ni su na mjesečnom nivou za 7,6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%,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dok su na 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godišnjem nivou smanjeni za 7,9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%. Pri tome,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 xml:space="preserve">nekvalitetni krediti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su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ostvarili pad na mjesečnom nivou od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5,7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%,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tako da je njihovo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u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češće smanjeno sa 18,5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>% u septembru na 17,7 % u oktobru.</w:t>
            </w:r>
            <w:r w:rsidR="00344581"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</w:t>
            </w:r>
            <w:r w:rsidRPr="00AD1B16">
              <w:rPr>
                <w:rFonts w:asciiTheme="minorHAnsi" w:hAnsiTheme="minorHAnsi" w:cstheme="minorHAnsi"/>
                <w:b/>
                <w:bCs/>
                <w:sz w:val="16"/>
                <w:szCs w:val="17"/>
              </w:rPr>
              <w:t>Nelikvidnost privrede</w:t>
            </w:r>
            <w:r w:rsidRPr="00AD1B16">
              <w:rPr>
                <w:rFonts w:asciiTheme="minorHAnsi" w:hAnsiTheme="minorHAnsi" w:cstheme="minorHAnsi"/>
                <w:bCs/>
                <w:sz w:val="16"/>
                <w:szCs w:val="17"/>
              </w:rPr>
              <w:t xml:space="preserve"> je</w:t>
            </w:r>
            <w:r w:rsidRPr="00AD1B16">
              <w:rPr>
                <w:rFonts w:asciiTheme="minorHAnsi" w:hAnsiTheme="minorHAnsi" w:cstheme="minorHAnsi"/>
                <w:sz w:val="16"/>
                <w:lang w:eastAsia="en-US"/>
              </w:rPr>
              <w:t xml:space="preserve"> i dalje nepovoljna, tako da se u blokadi nalazi 11.964 pravnih lica,</w:t>
            </w:r>
            <w:r w:rsidR="00344581" w:rsidRPr="00AD1B16">
              <w:rPr>
                <w:rFonts w:asciiTheme="minorHAnsi" w:hAnsiTheme="minorHAnsi" w:cstheme="minorHAnsi"/>
                <w:sz w:val="16"/>
                <w:lang w:eastAsia="en-US"/>
              </w:rPr>
              <w:t xml:space="preserve"> ili 23,1</w:t>
            </w:r>
            <w:r w:rsidRPr="00AD1B16">
              <w:rPr>
                <w:rFonts w:asciiTheme="minorHAnsi" w:hAnsiTheme="minorHAnsi" w:cstheme="minorHAnsi"/>
                <w:sz w:val="16"/>
                <w:lang w:eastAsia="en-US"/>
              </w:rPr>
              <w:t>% od ukupnog broja registrovanih f</w:t>
            </w:r>
            <w:r w:rsidR="00344581" w:rsidRPr="00AD1B16">
              <w:rPr>
                <w:rFonts w:asciiTheme="minorHAnsi" w:hAnsiTheme="minorHAnsi" w:cstheme="minorHAnsi"/>
                <w:sz w:val="16"/>
                <w:lang w:eastAsia="en-US"/>
              </w:rPr>
              <w:t>irmi, što je za 0,5</w:t>
            </w:r>
            <w:r w:rsidRPr="00AD1B16">
              <w:rPr>
                <w:rFonts w:asciiTheme="minorHAnsi" w:hAnsiTheme="minorHAnsi" w:cstheme="minorHAnsi"/>
                <w:sz w:val="16"/>
                <w:lang w:eastAsia="en-US"/>
              </w:rPr>
              <w:t>% više na mjesečnom nivou.</w:t>
            </w:r>
            <w:r w:rsidR="00344581" w:rsidRPr="00AD1B16">
              <w:rPr>
                <w:rFonts w:asciiTheme="minorHAnsi" w:hAnsiTheme="minorHAnsi" w:cstheme="minorHAnsi"/>
                <w:sz w:val="16"/>
                <w:lang w:eastAsia="en-US"/>
              </w:rPr>
              <w:t xml:space="preserve"> </w:t>
            </w:r>
            <w:r w:rsidRPr="00AD1B16">
              <w:rPr>
                <w:rFonts w:asciiTheme="minorHAnsi" w:hAnsiTheme="minorHAnsi" w:cstheme="minorHAnsi"/>
                <w:sz w:val="16"/>
                <w:lang w:eastAsia="en-US"/>
              </w:rPr>
              <w:t>Vrijednost duga je iznosila 398,5 mil. € ,što predstavlja rast od 2,3 % u o</w:t>
            </w:r>
            <w:r w:rsidR="00344581" w:rsidRPr="00AD1B16">
              <w:rPr>
                <w:rFonts w:asciiTheme="minorHAnsi" w:hAnsiTheme="minorHAnsi" w:cstheme="minorHAnsi"/>
                <w:sz w:val="16"/>
                <w:lang w:eastAsia="en-US"/>
              </w:rPr>
              <w:t>dnosu na prethodni mjesec i 5,5</w:t>
            </w:r>
            <w:r w:rsidRPr="00AD1B16">
              <w:rPr>
                <w:rFonts w:asciiTheme="minorHAnsi" w:hAnsiTheme="minorHAnsi" w:cstheme="minorHAnsi"/>
                <w:sz w:val="16"/>
                <w:lang w:eastAsia="en-US"/>
              </w:rPr>
              <w:t>% u odnosu na kraj prethodne godine.</w:t>
            </w:r>
            <w:r w:rsidR="00344581" w:rsidRPr="00AD1B16">
              <w:rPr>
                <w:rFonts w:asciiTheme="minorHAnsi" w:hAnsiTheme="minorHAnsi" w:cstheme="minorHAnsi"/>
                <w:sz w:val="16"/>
                <w:lang w:eastAsia="en-US"/>
              </w:rPr>
              <w:t xml:space="preserve"> </w:t>
            </w:r>
          </w:p>
        </w:tc>
        <w:tc>
          <w:tcPr>
            <w:tcW w:w="3686" w:type="dxa"/>
            <w:vMerge/>
            <w:vAlign w:val="center"/>
          </w:tcPr>
          <w:p w:rsidR="00A46C9C" w:rsidRPr="00AD1B16" w:rsidRDefault="00A46C9C" w:rsidP="00FE641C">
            <w:pPr>
              <w:spacing w:after="119"/>
              <w:jc w:val="center"/>
              <w:rPr>
                <w:noProof/>
              </w:rPr>
            </w:pPr>
          </w:p>
        </w:tc>
      </w:tr>
      <w:tr w:rsidR="00A46C9C" w:rsidRPr="00AD1B16" w:rsidTr="00EB64B9">
        <w:trPr>
          <w:trHeight w:val="258"/>
        </w:trPr>
        <w:tc>
          <w:tcPr>
            <w:tcW w:w="7054" w:type="dxa"/>
            <w:tcBorders>
              <w:bottom w:val="single" w:sz="4" w:space="0" w:color="auto"/>
            </w:tcBorders>
          </w:tcPr>
          <w:p w:rsidR="00A46C9C" w:rsidRPr="00AD1B16" w:rsidRDefault="00A46C9C" w:rsidP="00236B99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Spoljnotrgovinska razmjena i investicije</w:t>
            </w:r>
          </w:p>
        </w:tc>
        <w:tc>
          <w:tcPr>
            <w:tcW w:w="3686" w:type="dxa"/>
            <w:vMerge w:val="restart"/>
            <w:vAlign w:val="center"/>
          </w:tcPr>
          <w:p w:rsidR="00A46C9C" w:rsidRPr="00AD1B16" w:rsidRDefault="00AF71DC" w:rsidP="00B74947">
            <w:pPr>
              <w:ind w:left="-250"/>
              <w:jc w:val="center"/>
              <w:rPr>
                <w:sz w:val="17"/>
                <w:szCs w:val="17"/>
              </w:rPr>
            </w:pPr>
            <w:r w:rsidRPr="00AD1B16">
              <w:rPr>
                <w:noProof/>
                <w:sz w:val="17"/>
                <w:szCs w:val="17"/>
              </w:rPr>
              <w:drawing>
                <wp:inline distT="0" distB="0" distL="0" distR="0">
                  <wp:extent cx="2409825" cy="2981325"/>
                  <wp:effectExtent l="0" t="0" r="0" b="0"/>
                  <wp:docPr id="5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A46C9C" w:rsidRPr="00AD1B16" w:rsidTr="00FB6B92">
        <w:trPr>
          <w:trHeight w:val="4461"/>
        </w:trPr>
        <w:tc>
          <w:tcPr>
            <w:tcW w:w="7054" w:type="dxa"/>
            <w:tcBorders>
              <w:top w:val="single" w:sz="4" w:space="0" w:color="auto"/>
            </w:tcBorders>
          </w:tcPr>
          <w:p w:rsidR="00A46C9C" w:rsidRPr="002A4910" w:rsidRDefault="00A46C9C" w:rsidP="00447221">
            <w:pPr>
              <w:pStyle w:val="Default"/>
              <w:jc w:val="both"/>
              <w:rPr>
                <w:sz w:val="16"/>
                <w:szCs w:val="16"/>
              </w:rPr>
            </w:pP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>U prvih deset mjeseci 2012. zabilježen je rast spoljnotrgovinskog deficita, uslovljen trendom smanjenja izvoza roba i rasta uvoza.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Na takva kretanja na</w:t>
            </w:r>
            <w:r w:rsidR="00080AEE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>više utiče nepovoljna struktura izvoza koju čine sirovine i reprodukcioni materi</w:t>
            </w:r>
            <w:r w:rsidR="00E453FC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al, niska diverzifikovanost proizvodnje i pad inostrane tražnje. Istovremeno, </w:t>
            </w: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>neto strane direktne investicije u prvih devet mjeseci 2012. bilježe rast od 11,6%,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dos</w:t>
            </w:r>
            <w:r w:rsidR="00447221">
              <w:rPr>
                <w:rFonts w:asciiTheme="minorHAnsi" w:hAnsiTheme="minorHAnsi" w:cstheme="minorHAnsi"/>
                <w:sz w:val="16"/>
                <w:szCs w:val="16"/>
              </w:rPr>
              <w:t>tižući 9,1% procijenjenog BDP-a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>. Ukupna spoljnotrgovin</w:t>
            </w:r>
            <w:r w:rsidR="00331520" w:rsidRPr="002A4910">
              <w:rPr>
                <w:rFonts w:asciiTheme="minorHAnsi" w:hAnsiTheme="minorHAnsi" w:cstheme="minorHAnsi"/>
                <w:sz w:val="16"/>
                <w:szCs w:val="16"/>
              </w:rPr>
              <w:t>ska razmjena u periodu januar-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>oktobar 2012, u odnosu na isti period 2011, niža je za 2,6% i iznosila je 1.846,4</w:t>
            </w:r>
            <w:r w:rsidR="00331520"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>mil.</w:t>
            </w:r>
            <w:r w:rsidR="00331520"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€. </w:t>
            </w: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>Izv</w:t>
            </w:r>
            <w:r w:rsidR="00FF13A2"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zeno je robe u vrijednosti od 302,1mil.€ 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ili 20,5% manje, a </w:t>
            </w: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>uvezeno 1.544,3mil.€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ili 1,8% više u odnosu na isti period prethodne godine. Robni deficit na godišnjem nivou je bio viši za 9,3% i iznosio 1.242,2 mil.</w:t>
            </w:r>
            <w:r w:rsidR="00331520"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€. Stepen pokrivenosti izvoza uvozom robe smanjen je za </w:t>
            </w:r>
            <w:r w:rsidR="00331520" w:rsidRPr="002A4910">
              <w:rPr>
                <w:rFonts w:asciiTheme="minorHAnsi" w:hAnsiTheme="minorHAnsi" w:cstheme="minorHAnsi"/>
                <w:sz w:val="16"/>
                <w:szCs w:val="16"/>
              </w:rPr>
              <w:t>5,5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p.p i iznosi 19,6%. Visok pad </w:t>
            </w: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>izvoza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rezultat je smanjenja izvoza aluminijuma za 26,0%, na koji se odnosi 38,1% ukupnog izvoza, i u velikoj mjeri je pod uticajem smanjenja proizvodnje u KAP-u u cilju sniženja gubitaka i niske cijene aluminijuma na berzama metala. Izvoz aluminijuma i proizvoda od aluminijuma u zemlje EU-27, koje predstavljaju glavno izvozno tržište, manji je za 56,3% u odnosu na isti period 2011. U strukturi </w:t>
            </w: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>uvoza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najviše su zastupljeni hrana i žive životinje (19,4% ukupnog uvoza) i proizvodi sektora mineralna goriva i maziva (19,0% ukupnog uvoza). Povećanje </w:t>
            </w: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>uvoza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>, većim dijelom je posljedica rasta cijena prehrambenih proizvoda i energenata na svjetskom tržištu.</w:t>
            </w:r>
            <w:r w:rsidR="00331520"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>Najveći spoljnotrgovinski partner bile su</w:t>
            </w: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zemlje CEFTA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, na koje se odnosilo 61,9% ukupnog izvoza i 44,8% ukupnog uvoza. Pojedinačno najviše robe je </w:t>
            </w: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>izvezeno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u Hrvatsku, Srbiju i Sloveniju (54,2% ukupnog izvoza), dok se na </w:t>
            </w:r>
            <w:r w:rsidRPr="002A4910">
              <w:rPr>
                <w:rFonts w:asciiTheme="minorHAnsi" w:hAnsiTheme="minorHAnsi" w:cstheme="minorHAnsi"/>
                <w:b/>
                <w:sz w:val="16"/>
                <w:szCs w:val="16"/>
              </w:rPr>
              <w:t>uvoz</w:t>
            </w:r>
            <w:r w:rsidRPr="002A4910">
              <w:rPr>
                <w:rFonts w:asciiTheme="minorHAnsi" w:hAnsiTheme="minorHAnsi" w:cstheme="minorHAnsi"/>
                <w:sz w:val="16"/>
                <w:szCs w:val="16"/>
              </w:rPr>
              <w:t xml:space="preserve"> iz Srbije,Grčke i BiH odnosi 45,1% ukupnog uvoza.</w:t>
            </w:r>
            <w:r w:rsidRPr="002A4910">
              <w:rPr>
                <w:b/>
                <w:sz w:val="16"/>
                <w:szCs w:val="16"/>
              </w:rPr>
              <w:t xml:space="preserve"> Prema preliminarnim podacima </w:t>
            </w:r>
            <w:r w:rsidR="00331520" w:rsidRPr="002A4910">
              <w:rPr>
                <w:b/>
                <w:sz w:val="16"/>
                <w:szCs w:val="16"/>
              </w:rPr>
              <w:t>za period januar–</w:t>
            </w:r>
            <w:r w:rsidRPr="002A4910">
              <w:rPr>
                <w:b/>
                <w:sz w:val="16"/>
                <w:szCs w:val="16"/>
              </w:rPr>
              <w:t>septembar 2012. ostvaren je neto priliv stranih direktnih investicija u iznosu 302,6</w:t>
            </w:r>
            <w:r w:rsidR="00331520" w:rsidRPr="002A4910">
              <w:rPr>
                <w:b/>
                <w:sz w:val="16"/>
                <w:szCs w:val="16"/>
              </w:rPr>
              <w:t xml:space="preserve"> </w:t>
            </w:r>
            <w:r w:rsidRPr="002A4910">
              <w:rPr>
                <w:b/>
                <w:sz w:val="16"/>
                <w:szCs w:val="16"/>
              </w:rPr>
              <w:t>mil.</w:t>
            </w:r>
            <w:r w:rsidR="00331520" w:rsidRPr="002A4910">
              <w:rPr>
                <w:b/>
                <w:sz w:val="16"/>
                <w:szCs w:val="16"/>
              </w:rPr>
              <w:t xml:space="preserve"> </w:t>
            </w:r>
            <w:r w:rsidRPr="002A4910">
              <w:rPr>
                <w:b/>
                <w:sz w:val="16"/>
                <w:szCs w:val="16"/>
              </w:rPr>
              <w:t>€,</w:t>
            </w:r>
            <w:r w:rsidRPr="002A4910">
              <w:rPr>
                <w:sz w:val="16"/>
                <w:szCs w:val="16"/>
              </w:rPr>
              <w:t xml:space="preserve"> što je za 11,6% više nego u istom periodu 2011.</w:t>
            </w:r>
            <w:r w:rsidRPr="002A4910">
              <w:rPr>
                <w:b/>
                <w:sz w:val="16"/>
                <w:szCs w:val="16"/>
              </w:rPr>
              <w:t xml:space="preserve"> </w:t>
            </w:r>
            <w:r w:rsidRPr="002A4910">
              <w:rPr>
                <w:sz w:val="16"/>
                <w:szCs w:val="16"/>
              </w:rPr>
              <w:t>Ukupan priliv SDI iznosio je 396,4</w:t>
            </w:r>
            <w:r w:rsidR="00331520" w:rsidRPr="002A4910">
              <w:rPr>
                <w:sz w:val="16"/>
                <w:szCs w:val="16"/>
              </w:rPr>
              <w:t xml:space="preserve"> </w:t>
            </w:r>
            <w:r w:rsidRPr="002A4910">
              <w:rPr>
                <w:sz w:val="16"/>
                <w:szCs w:val="16"/>
              </w:rPr>
              <w:t>mil.</w:t>
            </w:r>
            <w:r w:rsidR="00331520" w:rsidRPr="002A4910">
              <w:rPr>
                <w:sz w:val="16"/>
                <w:szCs w:val="16"/>
              </w:rPr>
              <w:t xml:space="preserve"> </w:t>
            </w:r>
            <w:r w:rsidRPr="002A4910">
              <w:rPr>
                <w:sz w:val="16"/>
                <w:szCs w:val="16"/>
              </w:rPr>
              <w:t>€. Struktura SDI: vlasnička ulaganja 66,3%, od čega,</w:t>
            </w:r>
            <w:r w:rsidR="00331520" w:rsidRPr="002A4910">
              <w:rPr>
                <w:sz w:val="16"/>
                <w:szCs w:val="16"/>
              </w:rPr>
              <w:t xml:space="preserve"> </w:t>
            </w:r>
            <w:r w:rsidRPr="002A4910">
              <w:rPr>
                <w:sz w:val="16"/>
                <w:szCs w:val="16"/>
              </w:rPr>
              <w:t>ulaganja u nekretnine 43,8%</w:t>
            </w:r>
            <w:r w:rsidR="00331520" w:rsidRPr="002A4910">
              <w:rPr>
                <w:sz w:val="16"/>
                <w:szCs w:val="16"/>
              </w:rPr>
              <w:t xml:space="preserve"> </w:t>
            </w:r>
            <w:r w:rsidRPr="002A4910">
              <w:rPr>
                <w:sz w:val="16"/>
                <w:szCs w:val="16"/>
              </w:rPr>
              <w:t>(veća za 36,7%) i investicije u preduzeća i banke 22,5%; interkompanijski dug 26,0% (veći za 17,7%) i ostalo 7,8%.</w:t>
            </w:r>
          </w:p>
        </w:tc>
        <w:tc>
          <w:tcPr>
            <w:tcW w:w="3686" w:type="dxa"/>
            <w:vMerge/>
            <w:vAlign w:val="center"/>
          </w:tcPr>
          <w:p w:rsidR="00A46C9C" w:rsidRPr="00AD1B16" w:rsidRDefault="00A46C9C" w:rsidP="00CD1303">
            <w:pPr>
              <w:jc w:val="center"/>
              <w:rPr>
                <w:noProof/>
                <w:sz w:val="17"/>
                <w:szCs w:val="17"/>
              </w:rPr>
            </w:pPr>
          </w:p>
        </w:tc>
      </w:tr>
    </w:tbl>
    <w:p w:rsidR="00CD1303" w:rsidRPr="00AD1B16" w:rsidRDefault="00CD1303" w:rsidP="00D51C00">
      <w:pPr>
        <w:sectPr w:rsidR="00CD1303" w:rsidRPr="00AD1B16" w:rsidSect="008D4618">
          <w:pgSz w:w="11907" w:h="16839" w:code="9"/>
          <w:pgMar w:top="720" w:right="720" w:bottom="567" w:left="720" w:header="720" w:footer="720" w:gutter="0"/>
          <w:cols w:space="720"/>
          <w:docGrid w:linePitch="360"/>
        </w:sectPr>
      </w:pPr>
    </w:p>
    <w:p w:rsidR="00D61692" w:rsidRPr="00AD1B16" w:rsidRDefault="00D61692" w:rsidP="00D61692">
      <w:pPr>
        <w:jc w:val="center"/>
        <w:rPr>
          <w:sz w:val="17"/>
          <w:szCs w:val="16"/>
        </w:rPr>
      </w:pPr>
      <w:r w:rsidRPr="00AD1B16">
        <w:rPr>
          <w:sz w:val="17"/>
          <w:szCs w:val="16"/>
        </w:rPr>
        <w:t xml:space="preserve">Tabela 1: </w:t>
      </w:r>
      <w:r w:rsidRPr="00AD1B16">
        <w:rPr>
          <w:b/>
          <w:bCs/>
          <w:sz w:val="17"/>
          <w:szCs w:val="16"/>
        </w:rPr>
        <w:t>MAKROEKONOMSKI INDIKATORI</w:t>
      </w:r>
      <w:r w:rsidRPr="00AD1B16">
        <w:rPr>
          <w:sz w:val="17"/>
          <w:szCs w:val="16"/>
        </w:rPr>
        <w:t xml:space="preserve"> – </w:t>
      </w:r>
      <w:r w:rsidR="00BE47BD" w:rsidRPr="00AD1B16">
        <w:rPr>
          <w:sz w:val="17"/>
          <w:szCs w:val="16"/>
        </w:rPr>
        <w:t>septembar</w:t>
      </w:r>
      <w:r w:rsidRPr="00AD1B16">
        <w:rPr>
          <w:sz w:val="17"/>
          <w:szCs w:val="16"/>
        </w:rPr>
        <w:t xml:space="preserve"> 201</w:t>
      </w:r>
      <w:r w:rsidR="00DE7609" w:rsidRPr="00AD1B16">
        <w:rPr>
          <w:sz w:val="17"/>
          <w:szCs w:val="16"/>
        </w:rPr>
        <w:t>2</w:t>
      </w:r>
      <w:r w:rsidR="000F5B09" w:rsidRPr="00AD1B16">
        <w:rPr>
          <w:sz w:val="17"/>
          <w:szCs w:val="16"/>
        </w:rPr>
        <w:t>.</w:t>
      </w:r>
    </w:p>
    <w:tbl>
      <w:tblPr>
        <w:tblW w:w="16183" w:type="dxa"/>
        <w:tblInd w:w="85" w:type="dxa"/>
        <w:tblLook w:val="04A0"/>
      </w:tblPr>
      <w:tblGrid>
        <w:gridCol w:w="3425"/>
        <w:gridCol w:w="761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892"/>
        <w:gridCol w:w="851"/>
        <w:gridCol w:w="1134"/>
      </w:tblGrid>
      <w:tr w:rsidR="009B1C0A" w:rsidRPr="00AD1B16" w:rsidTr="009B1C0A">
        <w:trPr>
          <w:trHeight w:val="198"/>
        </w:trPr>
        <w:tc>
          <w:tcPr>
            <w:tcW w:w="34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  <w:t>BDP</w:t>
            </w:r>
          </w:p>
        </w:tc>
        <w:tc>
          <w:tcPr>
            <w:tcW w:w="228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2011</w:t>
            </w:r>
          </w:p>
        </w:tc>
        <w:tc>
          <w:tcPr>
            <w:tcW w:w="7600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2012</w:t>
            </w:r>
          </w:p>
        </w:tc>
        <w:tc>
          <w:tcPr>
            <w:tcW w:w="287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Analitika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  <w:t>BDP u mil €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  <w:t>3.273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  <w:t>3.324</w:t>
            </w:r>
          </w:p>
        </w:tc>
        <w:tc>
          <w:tcPr>
            <w:tcW w:w="287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  <w:t>BDP realni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  <w:t>2,5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  <w:t>0,5</w:t>
            </w:r>
          </w:p>
        </w:tc>
        <w:tc>
          <w:tcPr>
            <w:tcW w:w="287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  <w:t>BDP nominalni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  <w:t>5,5</w:t>
            </w:r>
          </w:p>
        </w:tc>
        <w:tc>
          <w:tcPr>
            <w:tcW w:w="7600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8"/>
              </w:rPr>
              <w:t>4,0</w:t>
            </w:r>
          </w:p>
        </w:tc>
        <w:tc>
          <w:tcPr>
            <w:tcW w:w="287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228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2011</w:t>
            </w:r>
          </w:p>
        </w:tc>
        <w:tc>
          <w:tcPr>
            <w:tcW w:w="7600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2012</w:t>
            </w:r>
          </w:p>
        </w:tc>
        <w:tc>
          <w:tcPr>
            <w:tcW w:w="287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B1C0A" w:rsidRPr="00AD1B16" w:rsidRDefault="00AD1B16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okt</w:t>
            </w:r>
            <w:r w:rsidR="009B1C0A"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 xml:space="preserve"> 2012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Indikatori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XI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XII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I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III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IV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VI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VII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VIII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IX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X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M-n-M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AD1B16" w:rsidP="00AD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okt</w:t>
            </w:r>
            <w:r w:rsidR="009B1C0A"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 xml:space="preserve"> 2012 / </w:t>
            </w: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okt</w:t>
            </w:r>
            <w:r w:rsidR="009B1C0A"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 xml:space="preserve"> 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AD1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 xml:space="preserve">jan - </w:t>
            </w:r>
            <w:r w:rsidR="00AD1B16"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okt</w:t>
            </w: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 xml:space="preserve"> 2012 / jan - </w:t>
            </w:r>
            <w:r w:rsidR="00AD1B16"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okt</w:t>
            </w: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 xml:space="preserve"> 2011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REALNI SEKTOR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8"/>
              </w:rPr>
              <w:t> 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Industrijska proizvodnja (stopa rasta)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-15,9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-37,1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-16,10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-24,40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-9,4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Prerađivačka industrija (stopa rasta)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11,60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33,10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-18,50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-20,40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-40,50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-7,1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Noćenja u turizmu (stopa rasta)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6,6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-7,10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14,80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6,20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6,90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2,60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4,3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Promet u maloprodaji (stopa rasta)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26,3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24,4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18,60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3,50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7,5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Vrijednost radova u gradjevinarstvu (stopa rasta)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-2,6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1,7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-23,7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color w:val="C00000"/>
                <w:sz w:val="14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color w:val="C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color w:val="C00000"/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color w:val="C00000"/>
                <w:sz w:val="14"/>
                <w:szCs w:val="16"/>
              </w:rPr>
              <w:t> 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INFLACIJA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Indeks potrošačkih cijena (stopa rasta)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5,2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3,9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Harmonizovani indeks potrošačkih cijena (stopa rasta)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4,9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n/d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Indeks proizvodjačkih cijena (stopa rasta)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4,3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1,2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ZAPOSLENOST I ZARADE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Zaposlenost (broj, kraj perioda)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163.396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162.712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162.450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160.880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162.035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162.569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163.744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165.776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162.567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173.124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173.024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169.877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168.701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1,9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Broj nezaposlenih (broj, kraj perioda)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30.180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30.576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30.552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31.339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31.495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31.562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31.320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30.126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29.411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28.686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28.549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28.272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29.540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-3,0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Stopa nezaposlenosti (%)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12,7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-3,1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Stopa nezaposlenosti (ARS) (%)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18,1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20,7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20,0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1,0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Oglašena radna mjesta (broj)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1.049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734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3.003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3.685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4.146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2.651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2.005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1,0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Prosječna mjesečna bruto zarada (u €)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717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0,7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Prosječna mjesečna neto zarada (u €)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480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0,6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MONETARNI SEKTOR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Ukupni krediti (kumulativ, u mil. €)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1.941,3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1.937,7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1.955,7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1.945,7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1.943,0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1.963,9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1.971,5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1.963,3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1.958,4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1.950,1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1.905,6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1.891,8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1.859,4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 xml:space="preserve">Ukupni krediti (stopa rasta)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-6,5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-13,0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-4,2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Nekvalitetni krediti (kumulativ, mil €)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358,7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341,4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288,3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292,2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297,3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305,1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287,5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309,8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335,4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338,4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342,7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350,5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330,4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Udio nekvalitetnih kredita u ukupnim kreditima (u %)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18,5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17,6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17,8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Ukupni depoziti (kumulativ, u mil €)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1.868,0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1.831,1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1.817,2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1.784,3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1.796,1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1.792,6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1.809,3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1.818,9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1.843,4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1.916,6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1.954,4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2.001,1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1.965,5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Ukupni depoziti (stopa rasta)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6,6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5,2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C53A70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Krediti privredi (kumulativ, u mil €)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969,4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959,7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944,6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931,1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934,7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945,6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951,0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948,3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942,6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938,8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918,3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909,2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891,8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Krediti domaćinstvima (kumulativ, u mil €)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841,6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840,5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833,7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832,3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826,2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828,8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829,6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830,3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831,7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827,6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824,6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825,2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821,6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C53A70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Depoziti privrede (kumulativ, u mil €)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507,3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477,8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460,1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465,0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453,8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465,8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527,4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552,1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569,2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549,5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C53A70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Lična štednja (kumulativ, u mil €)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1022,4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1026,4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1033,4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1024,7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1.034,1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1.034,0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1.044,8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1.043,3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1.051,4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1.086,6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1.108,3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1.113,7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1.114,7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Kamatna stopa na kredite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9,73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9,78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9,50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Kamatna stopa na depozite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3,09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 xml:space="preserve">3,32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3,24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EKSTERNI SEKTOR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</w:tr>
      <w:tr w:rsidR="00C53A70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Izvoz roba (u mil. €)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36,3</w:t>
            </w:r>
          </w:p>
        </w:tc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26,5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-20,5</w:t>
            </w:r>
          </w:p>
        </w:tc>
      </w:tr>
      <w:tr w:rsidR="00C53A70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Uvoz roba (u mil. €)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151,6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143,6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163,5</w:t>
            </w:r>
          </w:p>
        </w:tc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106,6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191,5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151,0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167,7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170,8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177,5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173,2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147,6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158,5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1,8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Spoljnotrgovinski bilans (u mil €)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-103,2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-105,7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-127,1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-72,5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-82,7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-158,1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-119,8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-133,2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-138,9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-146,2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-141,5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-117,5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-132,0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9,3</w:t>
            </w:r>
          </w:p>
        </w:tc>
      </w:tr>
      <w:tr w:rsidR="00C53A70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Strane direktne investicije (mil.€)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49,6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24,2</w:t>
            </w:r>
          </w:p>
        </w:tc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15,3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58,9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0,0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13,1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MEĐUNARODNO OKRUŽENJE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 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Brent crude oil (u US$)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109,6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110,5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107,4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111,0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122,2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122,9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119,5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101,7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97,6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104,5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114,7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111,9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108,5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-1,3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Aluminijum (u US$)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2.180,7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2.080,0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2.024,4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2.151,3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2.207,9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2.184,2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2.048,5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2.002,5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1.885,5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1.876,3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1.843,3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2.064,1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1.974,3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-18,9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Euribor (12 mjeseci)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0,7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  <w:tr w:rsidR="009B1C0A" w:rsidRPr="00AD1B16" w:rsidTr="009B1C0A">
        <w:trPr>
          <w:trHeight w:val="198"/>
        </w:trPr>
        <w:tc>
          <w:tcPr>
            <w:tcW w:w="34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b/>
                <w:bCs/>
                <w:sz w:val="14"/>
                <w:szCs w:val="16"/>
              </w:rPr>
              <w:t>Inflacija u Eurozoni</w:t>
            </w:r>
          </w:p>
        </w:tc>
        <w:tc>
          <w:tcPr>
            <w:tcW w:w="7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2,7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2,7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2,7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2,7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2,6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2,4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2,4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2,4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2,4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2,6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2,5</w:t>
            </w:r>
          </w:p>
        </w:tc>
        <w:tc>
          <w:tcPr>
            <w:tcW w:w="89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1C0A" w:rsidRPr="00AD1B16" w:rsidRDefault="009B1C0A" w:rsidP="009B1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6"/>
              </w:rPr>
            </w:pPr>
            <w:r w:rsidRPr="00AD1B16">
              <w:rPr>
                <w:rFonts w:ascii="Calibri" w:eastAsia="Times New Roman" w:hAnsi="Calibri" w:cs="Calibri"/>
                <w:sz w:val="14"/>
                <w:szCs w:val="16"/>
              </w:rPr>
              <w:t>/</w:t>
            </w:r>
          </w:p>
        </w:tc>
      </w:tr>
    </w:tbl>
    <w:p w:rsidR="005D751B" w:rsidRPr="00AD1B16" w:rsidRDefault="008D6E96" w:rsidP="00303D85">
      <w:pPr>
        <w:spacing w:after="0" w:line="240" w:lineRule="auto"/>
        <w:rPr>
          <w:b/>
          <w:i/>
          <w:sz w:val="16"/>
          <w:szCs w:val="16"/>
        </w:rPr>
      </w:pPr>
      <w:r w:rsidRPr="00AD1B16">
        <w:rPr>
          <w:b/>
          <w:i/>
          <w:sz w:val="16"/>
          <w:szCs w:val="16"/>
        </w:rPr>
        <w:t>Izvor: Monstat, Centralna Banka, Zavod za zapošljavanje Crne Gor</w:t>
      </w:r>
      <w:r w:rsidR="005D751B" w:rsidRPr="00AD1B16">
        <w:rPr>
          <w:b/>
          <w:i/>
          <w:sz w:val="16"/>
          <w:szCs w:val="16"/>
        </w:rPr>
        <w:t>e</w:t>
      </w:r>
    </w:p>
    <w:p w:rsidR="005D751B" w:rsidRPr="00AD1B16" w:rsidRDefault="005D751B" w:rsidP="00303D85">
      <w:pPr>
        <w:spacing w:after="0"/>
        <w:ind w:firstLine="142"/>
        <w:rPr>
          <w:i/>
          <w:iCs/>
          <w:sz w:val="12"/>
          <w:szCs w:val="12"/>
        </w:rPr>
      </w:pPr>
      <w:r w:rsidRPr="00AD1B16">
        <w:rPr>
          <w:i/>
          <w:iCs/>
          <w:sz w:val="12"/>
          <w:szCs w:val="12"/>
        </w:rPr>
        <w:t>Svi indikatori su prikazani kao godišnje stope rasta (stopa promjene indikatora u posmatranom mjesecu u odnosu na isti mjesec prethodne godine u %) ukoliko nije drugačije naznačeno u nazivu</w:t>
      </w:r>
    </w:p>
    <w:p w:rsidR="003A1150" w:rsidRPr="00AD1B16" w:rsidRDefault="005D751B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  <w:r w:rsidRPr="00AD1B16">
        <w:rPr>
          <w:i/>
          <w:iCs/>
          <w:sz w:val="12"/>
          <w:szCs w:val="12"/>
        </w:rPr>
        <w:t>M-n-M označava mjesečnu promjenu (stopa promjene indikatora u posmatranom mjesecu u odnosu na prethodni mjesec u %)</w:t>
      </w:r>
      <w:r w:rsidR="003A1150" w:rsidRPr="00AD1B16">
        <w:rPr>
          <w:i/>
          <w:iCs/>
          <w:sz w:val="12"/>
          <w:szCs w:val="12"/>
        </w:rPr>
        <w:br w:type="page"/>
      </w:r>
    </w:p>
    <w:p w:rsidR="0097377E" w:rsidRPr="00AD1B16" w:rsidRDefault="0097377E" w:rsidP="003A1150">
      <w:pPr>
        <w:spacing w:after="0" w:line="240" w:lineRule="auto"/>
        <w:jc w:val="both"/>
        <w:rPr>
          <w:i/>
          <w:iCs/>
          <w:sz w:val="12"/>
          <w:szCs w:val="12"/>
        </w:rPr>
      </w:pPr>
    </w:p>
    <w:p w:rsidR="00690A2B" w:rsidRDefault="00D61692" w:rsidP="00DA35C2">
      <w:pPr>
        <w:jc w:val="center"/>
        <w:rPr>
          <w:sz w:val="17"/>
          <w:szCs w:val="16"/>
        </w:rPr>
      </w:pPr>
      <w:r w:rsidRPr="00AD1B16">
        <w:rPr>
          <w:sz w:val="17"/>
          <w:szCs w:val="16"/>
        </w:rPr>
        <w:t xml:space="preserve">Tabela 2: </w:t>
      </w:r>
      <w:r w:rsidRPr="00AD1B16">
        <w:rPr>
          <w:b/>
          <w:bCs/>
          <w:sz w:val="17"/>
          <w:szCs w:val="16"/>
        </w:rPr>
        <w:t>BUDŽET CRNE GORE</w:t>
      </w:r>
      <w:r w:rsidRPr="00AD1B16">
        <w:rPr>
          <w:sz w:val="17"/>
          <w:szCs w:val="16"/>
        </w:rPr>
        <w:t xml:space="preserve"> – </w:t>
      </w:r>
      <w:r w:rsidR="002C73B5">
        <w:rPr>
          <w:sz w:val="17"/>
          <w:szCs w:val="16"/>
        </w:rPr>
        <w:t>oktobar</w:t>
      </w:r>
      <w:r w:rsidRPr="00AD1B16">
        <w:rPr>
          <w:sz w:val="17"/>
          <w:szCs w:val="16"/>
        </w:rPr>
        <w:t xml:space="preserve"> 201</w:t>
      </w:r>
      <w:r w:rsidR="00DE7609" w:rsidRPr="00AD1B16">
        <w:rPr>
          <w:sz w:val="17"/>
          <w:szCs w:val="16"/>
        </w:rPr>
        <w:t>2</w:t>
      </w:r>
      <w:r w:rsidR="000F5B09" w:rsidRPr="00AD1B16">
        <w:rPr>
          <w:sz w:val="17"/>
          <w:szCs w:val="16"/>
        </w:rPr>
        <w:t>.</w:t>
      </w:r>
    </w:p>
    <w:tbl>
      <w:tblPr>
        <w:tblW w:w="5000" w:type="pct"/>
        <w:tblLook w:val="04A0"/>
      </w:tblPr>
      <w:tblGrid>
        <w:gridCol w:w="2400"/>
        <w:gridCol w:w="1343"/>
        <w:gridCol w:w="683"/>
        <w:gridCol w:w="1070"/>
        <w:gridCol w:w="838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783"/>
        <w:gridCol w:w="580"/>
        <w:gridCol w:w="580"/>
        <w:gridCol w:w="579"/>
      </w:tblGrid>
      <w:tr w:rsidR="002C73B5" w:rsidRPr="002C73B5" w:rsidTr="002C73B5">
        <w:trPr>
          <w:trHeight w:val="330"/>
        </w:trPr>
        <w:tc>
          <w:tcPr>
            <w:tcW w:w="733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BUDŽET CRNE GORE</w:t>
            </w:r>
          </w:p>
        </w:tc>
        <w:tc>
          <w:tcPr>
            <w:tcW w:w="410" w:type="pct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Učešće u uk ostv Prihod/Rashod/Dug                                             X (u %)</w:t>
            </w:r>
          </w:p>
        </w:tc>
        <w:tc>
          <w:tcPr>
            <w:tcW w:w="209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2010 (jan-dec)</w:t>
            </w:r>
          </w:p>
        </w:tc>
        <w:tc>
          <w:tcPr>
            <w:tcW w:w="327" w:type="pct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2011 (jan -dec)</w:t>
            </w:r>
          </w:p>
        </w:tc>
        <w:tc>
          <w:tcPr>
            <w:tcW w:w="256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2011/2010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2011</w:t>
            </w:r>
          </w:p>
        </w:tc>
        <w:tc>
          <w:tcPr>
            <w:tcW w:w="2089" w:type="pct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2012</w:t>
            </w:r>
          </w:p>
        </w:tc>
        <w:tc>
          <w:tcPr>
            <w:tcW w:w="239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2012 plan</w:t>
            </w:r>
          </w:p>
        </w:tc>
        <w:tc>
          <w:tcPr>
            <w:tcW w:w="527" w:type="pct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Analitika</w:t>
            </w:r>
          </w:p>
        </w:tc>
      </w:tr>
      <w:tr w:rsidR="002C73B5" w:rsidRPr="002C73B5" w:rsidTr="002C73B5">
        <w:trPr>
          <w:trHeight w:val="1140"/>
        </w:trPr>
        <w:tc>
          <w:tcPr>
            <w:tcW w:w="733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09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56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X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II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III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IV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V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VI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VII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VIII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IX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17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okt 2012 / okt 2011    (%)</w:t>
            </w:r>
          </w:p>
        </w:tc>
        <w:tc>
          <w:tcPr>
            <w:tcW w:w="17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jan - okt 2012 / jan - okt 2011</w:t>
            </w:r>
          </w:p>
        </w:tc>
        <w:tc>
          <w:tcPr>
            <w:tcW w:w="17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okt 2012 / okt 2012 plan</w:t>
            </w:r>
          </w:p>
        </w:tc>
      </w:tr>
      <w:tr w:rsidR="002C73B5" w:rsidRPr="002C73B5" w:rsidTr="002C73B5">
        <w:trPr>
          <w:trHeight w:val="330"/>
        </w:trPr>
        <w:tc>
          <w:tcPr>
            <w:tcW w:w="733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IZVORNI PRIHODI, od čega:</w:t>
            </w: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1140.07</w:t>
            </w:r>
          </w:p>
        </w:tc>
        <w:tc>
          <w:tcPr>
            <w:tcW w:w="3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1129.14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99.04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90.81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48.73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67.73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76.28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98.71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86.82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95.94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130.89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108.52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95.84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98.50</w:t>
            </w:r>
          </w:p>
        </w:tc>
        <w:tc>
          <w:tcPr>
            <w:tcW w:w="23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97.36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8.47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-1.37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1.17</w:t>
            </w:r>
          </w:p>
        </w:tc>
      </w:tr>
      <w:tr w:rsidR="002C73B5" w:rsidRPr="002C73B5" w:rsidTr="002C73B5">
        <w:trPr>
          <w:trHeight w:val="330"/>
        </w:trPr>
        <w:tc>
          <w:tcPr>
            <w:tcW w:w="73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Porezi i doprinosi na  zarade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43.48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469.51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435.22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92.70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34.66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12.32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30.47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33.23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39.30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34.83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32.63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41.77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48.37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32.88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42.82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35.26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23.54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1.82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21.45</w:t>
            </w:r>
          </w:p>
        </w:tc>
      </w:tr>
      <w:tr w:rsidR="002C73B5" w:rsidRPr="002C73B5" w:rsidTr="002C73B5">
        <w:trPr>
          <w:trHeight w:val="315"/>
        </w:trPr>
        <w:tc>
          <w:tcPr>
            <w:tcW w:w="73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Porez na dobit pravnih lica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1.57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20.27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36.10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178.09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1.61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0.41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0.43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4.55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13.49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3.05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3.80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28.54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2.31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3.27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1.54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2.87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-4.35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87.87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-46.19</w:t>
            </w:r>
          </w:p>
        </w:tc>
      </w:tr>
      <w:tr w:rsidR="002C73B5" w:rsidRPr="002C73B5" w:rsidTr="002C73B5">
        <w:trPr>
          <w:trHeight w:val="300"/>
        </w:trPr>
        <w:tc>
          <w:tcPr>
            <w:tcW w:w="73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Porez na dodatu vrijednost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34.40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364.18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392.24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107.70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30.71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21.20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21.32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23.76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27.71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30.99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37.82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37.35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32.21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33.59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33.88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30.96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10.33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-8.43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9.44</w:t>
            </w:r>
          </w:p>
        </w:tc>
      </w:tr>
      <w:tr w:rsidR="002C73B5" w:rsidRPr="002C73B5" w:rsidTr="002C73B5">
        <w:trPr>
          <w:trHeight w:val="300"/>
        </w:trPr>
        <w:tc>
          <w:tcPr>
            <w:tcW w:w="73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Akcize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12.01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134.26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143.38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106.79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12.29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9.27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9.08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6.38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9.98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10.09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14.77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13.19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17.42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19.43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11.83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14.96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-3.71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1.63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-20.92</w:t>
            </w:r>
          </w:p>
        </w:tc>
      </w:tr>
      <w:tr w:rsidR="002C73B5" w:rsidRPr="002C73B5" w:rsidTr="002C73B5">
        <w:trPr>
          <w:trHeight w:val="315"/>
        </w:trPr>
        <w:tc>
          <w:tcPr>
            <w:tcW w:w="73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Porez na medj trgovinu i transak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2.30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50.81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45.33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89.21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3.49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2.27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3.24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3.38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3.25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2.36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2.41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1.99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3.87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-35.07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-32.94</w:t>
            </w:r>
          </w:p>
        </w:tc>
        <w:tc>
          <w:tcPr>
            <w:tcW w:w="17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-41.49</w:t>
            </w:r>
          </w:p>
        </w:tc>
      </w:tr>
      <w:tr w:rsidR="002C73B5" w:rsidRPr="002C73B5" w:rsidTr="002C73B5">
        <w:trPr>
          <w:trHeight w:val="330"/>
        </w:trPr>
        <w:tc>
          <w:tcPr>
            <w:tcW w:w="73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IZDACI BUDŽETA, od čega :</w:t>
            </w:r>
          </w:p>
        </w:tc>
        <w:tc>
          <w:tcPr>
            <w:tcW w:w="41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1252.60</w:t>
            </w:r>
          </w:p>
        </w:tc>
        <w:tc>
          <w:tcPr>
            <w:tcW w:w="32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1318.82</w:t>
            </w:r>
          </w:p>
        </w:tc>
        <w:tc>
          <w:tcPr>
            <w:tcW w:w="2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105.29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90.61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53.05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99.61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81.37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166.24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98.30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100.62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108.61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101.57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107.51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104.08</w:t>
            </w:r>
          </w:p>
        </w:tc>
        <w:tc>
          <w:tcPr>
            <w:tcW w:w="23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108.80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14.87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1.08</w:t>
            </w:r>
          </w:p>
        </w:tc>
        <w:tc>
          <w:tcPr>
            <w:tcW w:w="17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-4.34</w:t>
            </w:r>
          </w:p>
        </w:tc>
      </w:tr>
      <w:tr w:rsidR="002C73B5" w:rsidRPr="002C73B5" w:rsidTr="002C73B5">
        <w:trPr>
          <w:trHeight w:val="375"/>
        </w:trPr>
        <w:tc>
          <w:tcPr>
            <w:tcW w:w="73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Bruto zarade i doprinosi na teret posl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30.04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283.66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371.26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130.88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22.03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0.00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31.28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27.71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47.40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26.80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32.15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35.53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35.06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21.07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31.27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34.92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41.94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1.23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-10.47</w:t>
            </w:r>
          </w:p>
        </w:tc>
      </w:tr>
      <w:tr w:rsidR="002C73B5" w:rsidRPr="002C73B5" w:rsidTr="002C73B5">
        <w:trPr>
          <w:trHeight w:val="315"/>
        </w:trPr>
        <w:tc>
          <w:tcPr>
            <w:tcW w:w="73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Rashodi za materijal i usluge</w:t>
            </w:r>
            <w:r>
              <w:rPr>
                <w:rFonts w:eastAsia="Times New Roman" w:cs="Times New Roman"/>
                <w:i/>
                <w:iCs/>
                <w:sz w:val="14"/>
                <w:szCs w:val="14"/>
              </w:rPr>
              <w:t>*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12.30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112.68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110.49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98.06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10.74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2.31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12.47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6.67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21.04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14.13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10.14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16.00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10.53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13.01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12.81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12.29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19.25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50.07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4.17</w:t>
            </w:r>
          </w:p>
        </w:tc>
      </w:tr>
      <w:tr w:rsidR="002C73B5" w:rsidRPr="002C73B5" w:rsidTr="002C73B5">
        <w:trPr>
          <w:trHeight w:val="300"/>
        </w:trPr>
        <w:tc>
          <w:tcPr>
            <w:tcW w:w="73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Kamate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0.50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30.26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45.09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149.03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0.60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3.64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1.66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2.65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14.13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4.87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1.23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18.18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0.52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4.40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-14.05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35.09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-88.23</w:t>
            </w:r>
          </w:p>
        </w:tc>
      </w:tr>
      <w:tr w:rsidR="002C73B5" w:rsidRPr="002C73B5" w:rsidTr="002C73B5">
        <w:trPr>
          <w:trHeight w:val="300"/>
        </w:trPr>
        <w:tc>
          <w:tcPr>
            <w:tcW w:w="73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Transferi za socijalnu zaštitu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38.97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423.15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454.76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107.47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38.61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37.23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40.40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35.63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43.78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40.87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39.07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40.98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39.99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40.35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40.56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5.05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6.38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1.40</w:t>
            </w:r>
          </w:p>
        </w:tc>
      </w:tr>
      <w:tr w:rsidR="002C73B5" w:rsidRPr="002C73B5" w:rsidTr="002C73B5">
        <w:trPr>
          <w:trHeight w:val="300"/>
        </w:trPr>
        <w:tc>
          <w:tcPr>
            <w:tcW w:w="73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Transferi instit, pojed i NVO sektoru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2.86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174.64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87.91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50.34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6.05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0.44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2.81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0.99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4.07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2.47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2.43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2.68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2.97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-50.84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-64.46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13.78</w:t>
            </w:r>
          </w:p>
        </w:tc>
      </w:tr>
      <w:tr w:rsidR="002C73B5" w:rsidRPr="002C73B5" w:rsidTr="002C73B5">
        <w:trPr>
          <w:trHeight w:val="315"/>
        </w:trPr>
        <w:tc>
          <w:tcPr>
            <w:tcW w:w="73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Kapitalni izdaci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5.62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82.62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77.64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93.97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6.78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2.00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3.39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1.27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4.32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5.50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4.11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6.14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7.88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4.64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5.85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8.46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-13.75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-4.54</w:t>
            </w:r>
          </w:p>
        </w:tc>
        <w:tc>
          <w:tcPr>
            <w:tcW w:w="17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-30.78</w:t>
            </w:r>
          </w:p>
        </w:tc>
      </w:tr>
      <w:tr w:rsidR="002C73B5" w:rsidRPr="002C73B5" w:rsidTr="002C73B5">
        <w:trPr>
          <w:trHeight w:val="330"/>
        </w:trPr>
        <w:tc>
          <w:tcPr>
            <w:tcW w:w="73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Suficit / Deficit budžeta</w:t>
            </w:r>
          </w:p>
        </w:tc>
        <w:tc>
          <w:tcPr>
            <w:tcW w:w="41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-112.24</w:t>
            </w:r>
          </w:p>
        </w:tc>
        <w:tc>
          <w:tcPr>
            <w:tcW w:w="32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-189.67</w:t>
            </w:r>
          </w:p>
        </w:tc>
        <w:tc>
          <w:tcPr>
            <w:tcW w:w="2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0.20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-4.33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-31.88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-5.09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-67.52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-11.48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-4.68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22.28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6.95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-11.67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-5.57</w:t>
            </w:r>
          </w:p>
        </w:tc>
        <w:tc>
          <w:tcPr>
            <w:tcW w:w="23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-11.44</w:t>
            </w:r>
          </w:p>
        </w:tc>
        <w:tc>
          <w:tcPr>
            <w:tcW w:w="17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26.39</w:t>
            </w:r>
          </w:p>
        </w:tc>
        <w:tc>
          <w:tcPr>
            <w:tcW w:w="17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-</w:t>
            </w:r>
          </w:p>
        </w:tc>
      </w:tr>
      <w:tr w:rsidR="002C73B5" w:rsidRPr="002C73B5" w:rsidTr="002C73B5">
        <w:trPr>
          <w:trHeight w:val="330"/>
        </w:trPr>
        <w:tc>
          <w:tcPr>
            <w:tcW w:w="733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Primarni deficit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-81.99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-144.58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0.80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-0.69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-30.22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-2.44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-53.39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-9.46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0.19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23.51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9.55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6.51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-5.06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-7.04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19.93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</w:t>
            </w:r>
          </w:p>
        </w:tc>
      </w:tr>
      <w:tr w:rsidR="002C73B5" w:rsidRPr="002C73B5" w:rsidTr="002C73B5">
        <w:trPr>
          <w:trHeight w:val="330"/>
        </w:trPr>
        <w:tc>
          <w:tcPr>
            <w:tcW w:w="733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Otplata dugova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186.01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161.96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12.43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15.70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11.94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8.03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11.89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12.12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22.12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23.07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22.68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16.35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5.24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8.29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-57.82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10.55</w:t>
            </w:r>
          </w:p>
        </w:tc>
        <w:tc>
          <w:tcPr>
            <w:tcW w:w="17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</w:t>
            </w:r>
          </w:p>
        </w:tc>
      </w:tr>
      <w:tr w:rsidR="002C73B5" w:rsidRPr="002C73B5" w:rsidTr="002C73B5">
        <w:trPr>
          <w:trHeight w:val="330"/>
        </w:trPr>
        <w:tc>
          <w:tcPr>
            <w:tcW w:w="733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Državni dug (stanje duga)</w:t>
            </w: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1270.70</w:t>
            </w:r>
          </w:p>
        </w:tc>
        <w:tc>
          <w:tcPr>
            <w:tcW w:w="32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1483.50</w:t>
            </w:r>
          </w:p>
        </w:tc>
        <w:tc>
          <w:tcPr>
            <w:tcW w:w="2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116.75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1448.00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1473.20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1540.30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1534.80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1638.60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1634.50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1629.60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1718.80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1703.20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1707.20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1709.40</w:t>
            </w:r>
          </w:p>
        </w:tc>
        <w:tc>
          <w:tcPr>
            <w:tcW w:w="23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18.05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17.52</w:t>
            </w:r>
          </w:p>
        </w:tc>
        <w:tc>
          <w:tcPr>
            <w:tcW w:w="17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</w:rPr>
              <w:t>-</w:t>
            </w:r>
          </w:p>
        </w:tc>
      </w:tr>
      <w:tr w:rsidR="002C73B5" w:rsidRPr="002C73B5" w:rsidTr="002C73B5">
        <w:trPr>
          <w:trHeight w:val="330"/>
        </w:trPr>
        <w:tc>
          <w:tcPr>
            <w:tcW w:w="733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Domaći dug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23.48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358.30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419.80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117.16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383.50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419.00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431.30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426.50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432.60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424.10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424.10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411.20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395.40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399.60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401.30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4.64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13.73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</w:t>
            </w:r>
          </w:p>
        </w:tc>
      </w:tr>
      <w:tr w:rsidR="002C73B5" w:rsidRPr="002C73B5" w:rsidTr="002C73B5">
        <w:trPr>
          <w:trHeight w:val="330"/>
        </w:trPr>
        <w:tc>
          <w:tcPr>
            <w:tcW w:w="733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B5" w:rsidRPr="002C73B5" w:rsidRDefault="002C73B5" w:rsidP="002C73B5">
            <w:pPr>
              <w:spacing w:after="0" w:line="240" w:lineRule="auto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Inostrani dug</w:t>
            </w: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76.52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912.40</w:t>
            </w:r>
          </w:p>
        </w:tc>
        <w:tc>
          <w:tcPr>
            <w:tcW w:w="3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1063.70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116.58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1064.50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1054.20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1109.00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1108.30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1206.00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1210.40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1205.50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1307.60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1307.80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1307.60</w:t>
            </w:r>
          </w:p>
        </w:tc>
        <w:tc>
          <w:tcPr>
            <w:tcW w:w="20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1308.10</w:t>
            </w:r>
          </w:p>
        </w:tc>
        <w:tc>
          <w:tcPr>
            <w:tcW w:w="23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C73B5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22.88</w:t>
            </w:r>
          </w:p>
        </w:tc>
        <w:tc>
          <w:tcPr>
            <w:tcW w:w="1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18.88</w:t>
            </w:r>
          </w:p>
        </w:tc>
        <w:tc>
          <w:tcPr>
            <w:tcW w:w="17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2C73B5" w:rsidRPr="002C73B5" w:rsidRDefault="002C73B5" w:rsidP="002C73B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2C73B5">
              <w:rPr>
                <w:rFonts w:eastAsia="Times New Roman" w:cs="Times New Roman"/>
                <w:i/>
                <w:iCs/>
                <w:sz w:val="14"/>
                <w:szCs w:val="14"/>
              </w:rPr>
              <w:t>-</w:t>
            </w:r>
          </w:p>
        </w:tc>
      </w:tr>
    </w:tbl>
    <w:p w:rsidR="009472A1" w:rsidRPr="00AD1B16" w:rsidRDefault="008D6E96" w:rsidP="00805844">
      <w:pPr>
        <w:rPr>
          <w:b/>
          <w:i/>
          <w:sz w:val="14"/>
          <w:szCs w:val="14"/>
        </w:rPr>
      </w:pPr>
      <w:r w:rsidRPr="00AD1B16">
        <w:rPr>
          <w:b/>
          <w:i/>
          <w:sz w:val="14"/>
          <w:szCs w:val="14"/>
        </w:rPr>
        <w:t>Izvor: Ministarstvo finansija Crne Gore</w:t>
      </w:r>
    </w:p>
    <w:p w:rsidR="005025EC" w:rsidRPr="00AD1B16" w:rsidRDefault="005025EC" w:rsidP="005025EC">
      <w:pPr>
        <w:jc w:val="both"/>
        <w:rPr>
          <w:rFonts w:cstheme="minorHAnsi"/>
          <w:bCs/>
          <w:sz w:val="14"/>
          <w:szCs w:val="14"/>
        </w:rPr>
      </w:pPr>
    </w:p>
    <w:p w:rsidR="00A2480A" w:rsidRPr="00AD1B16" w:rsidRDefault="00A2480A" w:rsidP="005025EC">
      <w:pPr>
        <w:ind w:left="-142"/>
        <w:jc w:val="both"/>
        <w:rPr>
          <w:sz w:val="14"/>
          <w:szCs w:val="14"/>
        </w:rPr>
      </w:pPr>
      <w:r w:rsidRPr="00AD1B16">
        <w:rPr>
          <w:rFonts w:cstheme="minorHAnsi"/>
          <w:bCs/>
          <w:sz w:val="14"/>
          <w:szCs w:val="14"/>
        </w:rPr>
        <w:t>*Povećanje rashoda za materijal i usluge rezultat je tehničke izmjene u državnom Budžetu, čime se sredstva koja su ranije knjižena na poziciji</w:t>
      </w:r>
      <w:r w:rsidRPr="00AD1B16">
        <w:rPr>
          <w:rFonts w:cstheme="minorHAnsi"/>
          <w:bCs/>
          <w:i/>
          <w:sz w:val="14"/>
          <w:szCs w:val="14"/>
        </w:rPr>
        <w:t xml:space="preserve"> transferi institucijama, pojedincima i NVO sektoru </w:t>
      </w:r>
      <w:r w:rsidRPr="00AD1B16">
        <w:rPr>
          <w:rFonts w:cstheme="minorHAnsi"/>
          <w:bCs/>
          <w:sz w:val="14"/>
          <w:szCs w:val="14"/>
        </w:rPr>
        <w:t xml:space="preserve">sadabilježe na poziciji </w:t>
      </w:r>
      <w:r w:rsidRPr="00AD1B16">
        <w:rPr>
          <w:rFonts w:cstheme="minorHAnsi"/>
          <w:bCs/>
          <w:i/>
          <w:sz w:val="14"/>
          <w:szCs w:val="14"/>
        </w:rPr>
        <w:t>transferi za materijal i usluge</w:t>
      </w:r>
      <w:r w:rsidRPr="00AD1B16">
        <w:rPr>
          <w:rFonts w:cstheme="minorHAnsi"/>
          <w:bCs/>
          <w:sz w:val="14"/>
          <w:szCs w:val="14"/>
        </w:rPr>
        <w:t xml:space="preserve">. Time se </w:t>
      </w:r>
      <w:r w:rsidR="005025EC" w:rsidRPr="00AD1B16">
        <w:rPr>
          <w:rFonts w:cstheme="minorHAnsi"/>
          <w:bCs/>
          <w:sz w:val="14"/>
          <w:szCs w:val="14"/>
        </w:rPr>
        <w:t>podstiče transparentnost</w:t>
      </w:r>
      <w:r w:rsidRPr="00AD1B16">
        <w:rPr>
          <w:rFonts w:cstheme="minorHAnsi"/>
          <w:bCs/>
          <w:sz w:val="14"/>
          <w:szCs w:val="14"/>
        </w:rPr>
        <w:t xml:space="preserve"> trošenja budžetskih sredstava.</w:t>
      </w:r>
    </w:p>
    <w:sectPr w:rsidR="00A2480A" w:rsidRPr="00AD1B16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1D" w:rsidRDefault="004D2D1D" w:rsidP="00965FCD">
      <w:pPr>
        <w:spacing w:after="0" w:line="240" w:lineRule="auto"/>
      </w:pPr>
      <w:r>
        <w:separator/>
      </w:r>
    </w:p>
  </w:endnote>
  <w:endnote w:type="continuationSeparator" w:id="1">
    <w:p w:rsidR="004D2D1D" w:rsidRDefault="004D2D1D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1D" w:rsidRDefault="004D2D1D" w:rsidP="00965FCD">
      <w:pPr>
        <w:spacing w:after="0" w:line="240" w:lineRule="auto"/>
      </w:pPr>
      <w:r>
        <w:separator/>
      </w:r>
    </w:p>
  </w:footnote>
  <w:footnote w:type="continuationSeparator" w:id="1">
    <w:p w:rsidR="004D2D1D" w:rsidRDefault="004D2D1D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247B16"/>
    <w:multiLevelType w:val="hybridMultilevel"/>
    <w:tmpl w:val="78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97970"/>
    <w:multiLevelType w:val="hybridMultilevel"/>
    <w:tmpl w:val="530A2D48"/>
    <w:lvl w:ilvl="0" w:tplc="901E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692"/>
    <w:rsid w:val="000000CB"/>
    <w:rsid w:val="000010A3"/>
    <w:rsid w:val="00003D78"/>
    <w:rsid w:val="00004B56"/>
    <w:rsid w:val="00014AAB"/>
    <w:rsid w:val="00014D0B"/>
    <w:rsid w:val="00014E6A"/>
    <w:rsid w:val="00021033"/>
    <w:rsid w:val="000224B4"/>
    <w:rsid w:val="00022789"/>
    <w:rsid w:val="000263A4"/>
    <w:rsid w:val="000341DE"/>
    <w:rsid w:val="00034923"/>
    <w:rsid w:val="0003544A"/>
    <w:rsid w:val="000421A3"/>
    <w:rsid w:val="000449CD"/>
    <w:rsid w:val="00044CB0"/>
    <w:rsid w:val="00045654"/>
    <w:rsid w:val="00046C9E"/>
    <w:rsid w:val="00050EAB"/>
    <w:rsid w:val="00052DC4"/>
    <w:rsid w:val="00054068"/>
    <w:rsid w:val="00055E5C"/>
    <w:rsid w:val="00055F78"/>
    <w:rsid w:val="00056E43"/>
    <w:rsid w:val="000601A4"/>
    <w:rsid w:val="000645F3"/>
    <w:rsid w:val="00067726"/>
    <w:rsid w:val="000702C2"/>
    <w:rsid w:val="000734AF"/>
    <w:rsid w:val="00073786"/>
    <w:rsid w:val="00074378"/>
    <w:rsid w:val="000747AC"/>
    <w:rsid w:val="00074C3E"/>
    <w:rsid w:val="0007530C"/>
    <w:rsid w:val="00080AEE"/>
    <w:rsid w:val="000812E2"/>
    <w:rsid w:val="00085B67"/>
    <w:rsid w:val="00090FDD"/>
    <w:rsid w:val="000915D3"/>
    <w:rsid w:val="000917D8"/>
    <w:rsid w:val="000945C9"/>
    <w:rsid w:val="0009548F"/>
    <w:rsid w:val="00097E38"/>
    <w:rsid w:val="000A1159"/>
    <w:rsid w:val="000A2F52"/>
    <w:rsid w:val="000A43CE"/>
    <w:rsid w:val="000A47FF"/>
    <w:rsid w:val="000A4E37"/>
    <w:rsid w:val="000A787A"/>
    <w:rsid w:val="000B1DD7"/>
    <w:rsid w:val="000B502D"/>
    <w:rsid w:val="000B67B1"/>
    <w:rsid w:val="000B7AE2"/>
    <w:rsid w:val="000C06C5"/>
    <w:rsid w:val="000C1965"/>
    <w:rsid w:val="000C36DB"/>
    <w:rsid w:val="000C6818"/>
    <w:rsid w:val="000D52CF"/>
    <w:rsid w:val="000D5D48"/>
    <w:rsid w:val="000D6DF1"/>
    <w:rsid w:val="000E13EB"/>
    <w:rsid w:val="000E2251"/>
    <w:rsid w:val="000E2351"/>
    <w:rsid w:val="000E3987"/>
    <w:rsid w:val="000E6096"/>
    <w:rsid w:val="000E77A4"/>
    <w:rsid w:val="000F4D73"/>
    <w:rsid w:val="000F5B09"/>
    <w:rsid w:val="000F6C6B"/>
    <w:rsid w:val="000F756E"/>
    <w:rsid w:val="00100371"/>
    <w:rsid w:val="0010339D"/>
    <w:rsid w:val="00107128"/>
    <w:rsid w:val="00112853"/>
    <w:rsid w:val="00114109"/>
    <w:rsid w:val="00115519"/>
    <w:rsid w:val="00116365"/>
    <w:rsid w:val="001164A1"/>
    <w:rsid w:val="00120A3A"/>
    <w:rsid w:val="00131185"/>
    <w:rsid w:val="001326B7"/>
    <w:rsid w:val="00134816"/>
    <w:rsid w:val="00134C6C"/>
    <w:rsid w:val="00136E70"/>
    <w:rsid w:val="00144C86"/>
    <w:rsid w:val="0014607D"/>
    <w:rsid w:val="00147278"/>
    <w:rsid w:val="00152E4F"/>
    <w:rsid w:val="001530CE"/>
    <w:rsid w:val="0015515C"/>
    <w:rsid w:val="00156E33"/>
    <w:rsid w:val="00157601"/>
    <w:rsid w:val="001610BD"/>
    <w:rsid w:val="001613FC"/>
    <w:rsid w:val="001627A3"/>
    <w:rsid w:val="00163041"/>
    <w:rsid w:val="001644C7"/>
    <w:rsid w:val="00165DE6"/>
    <w:rsid w:val="001678F1"/>
    <w:rsid w:val="00170C82"/>
    <w:rsid w:val="00170CCE"/>
    <w:rsid w:val="00172D59"/>
    <w:rsid w:val="00174836"/>
    <w:rsid w:val="0017540F"/>
    <w:rsid w:val="00181309"/>
    <w:rsid w:val="0018289E"/>
    <w:rsid w:val="0018592D"/>
    <w:rsid w:val="00186BEF"/>
    <w:rsid w:val="00186F09"/>
    <w:rsid w:val="00187C66"/>
    <w:rsid w:val="00190285"/>
    <w:rsid w:val="001942BA"/>
    <w:rsid w:val="001A2829"/>
    <w:rsid w:val="001A392F"/>
    <w:rsid w:val="001A594D"/>
    <w:rsid w:val="001A65F4"/>
    <w:rsid w:val="001A7319"/>
    <w:rsid w:val="001C1F7E"/>
    <w:rsid w:val="001C23DD"/>
    <w:rsid w:val="001C264C"/>
    <w:rsid w:val="001C2751"/>
    <w:rsid w:val="001C51EC"/>
    <w:rsid w:val="001C5CE9"/>
    <w:rsid w:val="001C6698"/>
    <w:rsid w:val="001C6750"/>
    <w:rsid w:val="001D0A32"/>
    <w:rsid w:val="001D4E81"/>
    <w:rsid w:val="001E29D1"/>
    <w:rsid w:val="001E2BC7"/>
    <w:rsid w:val="001E33FE"/>
    <w:rsid w:val="001E5BE3"/>
    <w:rsid w:val="001F1378"/>
    <w:rsid w:val="001F2B57"/>
    <w:rsid w:val="001F4C02"/>
    <w:rsid w:val="001F69DD"/>
    <w:rsid w:val="001F7C33"/>
    <w:rsid w:val="002000E5"/>
    <w:rsid w:val="0020246C"/>
    <w:rsid w:val="00203447"/>
    <w:rsid w:val="00205D15"/>
    <w:rsid w:val="00206062"/>
    <w:rsid w:val="00207613"/>
    <w:rsid w:val="00207B53"/>
    <w:rsid w:val="0021042E"/>
    <w:rsid w:val="00212126"/>
    <w:rsid w:val="00212633"/>
    <w:rsid w:val="0021614C"/>
    <w:rsid w:val="00220834"/>
    <w:rsid w:val="002210E9"/>
    <w:rsid w:val="00223E45"/>
    <w:rsid w:val="002251C3"/>
    <w:rsid w:val="00225F74"/>
    <w:rsid w:val="0022695C"/>
    <w:rsid w:val="00227682"/>
    <w:rsid w:val="00227D75"/>
    <w:rsid w:val="00230FA2"/>
    <w:rsid w:val="00231268"/>
    <w:rsid w:val="00236B99"/>
    <w:rsid w:val="00240136"/>
    <w:rsid w:val="002402CA"/>
    <w:rsid w:val="00240CF4"/>
    <w:rsid w:val="002417C5"/>
    <w:rsid w:val="002427AE"/>
    <w:rsid w:val="00243419"/>
    <w:rsid w:val="002455BD"/>
    <w:rsid w:val="00245A6C"/>
    <w:rsid w:val="00245B04"/>
    <w:rsid w:val="0025102C"/>
    <w:rsid w:val="0025137D"/>
    <w:rsid w:val="00253ECF"/>
    <w:rsid w:val="00253F71"/>
    <w:rsid w:val="00256550"/>
    <w:rsid w:val="0025757E"/>
    <w:rsid w:val="00257D9D"/>
    <w:rsid w:val="00260EF0"/>
    <w:rsid w:val="00265023"/>
    <w:rsid w:val="002650CF"/>
    <w:rsid w:val="00265406"/>
    <w:rsid w:val="00265A3D"/>
    <w:rsid w:val="00270FD9"/>
    <w:rsid w:val="002717A8"/>
    <w:rsid w:val="00274EBC"/>
    <w:rsid w:val="00282488"/>
    <w:rsid w:val="00282DBE"/>
    <w:rsid w:val="00294586"/>
    <w:rsid w:val="00296127"/>
    <w:rsid w:val="00297AC4"/>
    <w:rsid w:val="002A046A"/>
    <w:rsid w:val="002A0D49"/>
    <w:rsid w:val="002A10A8"/>
    <w:rsid w:val="002A1DC4"/>
    <w:rsid w:val="002A235B"/>
    <w:rsid w:val="002A4910"/>
    <w:rsid w:val="002B10AE"/>
    <w:rsid w:val="002B318C"/>
    <w:rsid w:val="002B552A"/>
    <w:rsid w:val="002C1A52"/>
    <w:rsid w:val="002C1FBF"/>
    <w:rsid w:val="002C6888"/>
    <w:rsid w:val="002C73B5"/>
    <w:rsid w:val="002C78FB"/>
    <w:rsid w:val="002D170B"/>
    <w:rsid w:val="002D2E80"/>
    <w:rsid w:val="002D3B0F"/>
    <w:rsid w:val="002D40AB"/>
    <w:rsid w:val="002D5865"/>
    <w:rsid w:val="002E6CB0"/>
    <w:rsid w:val="002F184C"/>
    <w:rsid w:val="002F19E7"/>
    <w:rsid w:val="002F323A"/>
    <w:rsid w:val="002F5002"/>
    <w:rsid w:val="002F567B"/>
    <w:rsid w:val="002F6AB2"/>
    <w:rsid w:val="003004B8"/>
    <w:rsid w:val="003022A7"/>
    <w:rsid w:val="00303D85"/>
    <w:rsid w:val="00307F4D"/>
    <w:rsid w:val="0031558E"/>
    <w:rsid w:val="003217C9"/>
    <w:rsid w:val="00321CA6"/>
    <w:rsid w:val="00327AC3"/>
    <w:rsid w:val="00330832"/>
    <w:rsid w:val="00330C13"/>
    <w:rsid w:val="00331520"/>
    <w:rsid w:val="00331C0E"/>
    <w:rsid w:val="00331D9F"/>
    <w:rsid w:val="003324D9"/>
    <w:rsid w:val="00337648"/>
    <w:rsid w:val="00340752"/>
    <w:rsid w:val="003409C9"/>
    <w:rsid w:val="00341583"/>
    <w:rsid w:val="00344581"/>
    <w:rsid w:val="00350CFE"/>
    <w:rsid w:val="0035139C"/>
    <w:rsid w:val="003568F4"/>
    <w:rsid w:val="00357182"/>
    <w:rsid w:val="00360100"/>
    <w:rsid w:val="00360197"/>
    <w:rsid w:val="003625F1"/>
    <w:rsid w:val="00364D14"/>
    <w:rsid w:val="00365311"/>
    <w:rsid w:val="00365E46"/>
    <w:rsid w:val="00366F41"/>
    <w:rsid w:val="0037726C"/>
    <w:rsid w:val="00377A53"/>
    <w:rsid w:val="003809F3"/>
    <w:rsid w:val="0038117E"/>
    <w:rsid w:val="0038135E"/>
    <w:rsid w:val="003813A6"/>
    <w:rsid w:val="0038259A"/>
    <w:rsid w:val="00382F01"/>
    <w:rsid w:val="00384DC2"/>
    <w:rsid w:val="00387C29"/>
    <w:rsid w:val="00387DAD"/>
    <w:rsid w:val="0039257B"/>
    <w:rsid w:val="0039441A"/>
    <w:rsid w:val="00396D7E"/>
    <w:rsid w:val="00396FDF"/>
    <w:rsid w:val="003A0776"/>
    <w:rsid w:val="003A0F73"/>
    <w:rsid w:val="003A1150"/>
    <w:rsid w:val="003A1E5E"/>
    <w:rsid w:val="003B1992"/>
    <w:rsid w:val="003B1A29"/>
    <w:rsid w:val="003B2900"/>
    <w:rsid w:val="003B3299"/>
    <w:rsid w:val="003B436A"/>
    <w:rsid w:val="003B4F8C"/>
    <w:rsid w:val="003B62EC"/>
    <w:rsid w:val="003B6844"/>
    <w:rsid w:val="003C14C9"/>
    <w:rsid w:val="003C15EF"/>
    <w:rsid w:val="003C1D23"/>
    <w:rsid w:val="003C4817"/>
    <w:rsid w:val="003D1EDB"/>
    <w:rsid w:val="003D4739"/>
    <w:rsid w:val="003D7D58"/>
    <w:rsid w:val="003E0266"/>
    <w:rsid w:val="003E0C4A"/>
    <w:rsid w:val="003E221F"/>
    <w:rsid w:val="003E3296"/>
    <w:rsid w:val="003E3C65"/>
    <w:rsid w:val="003E3F0E"/>
    <w:rsid w:val="003E4749"/>
    <w:rsid w:val="003E51DE"/>
    <w:rsid w:val="003E757E"/>
    <w:rsid w:val="003F0052"/>
    <w:rsid w:val="003F0EA8"/>
    <w:rsid w:val="003F5183"/>
    <w:rsid w:val="003F5A35"/>
    <w:rsid w:val="00400C11"/>
    <w:rsid w:val="004010A8"/>
    <w:rsid w:val="00406097"/>
    <w:rsid w:val="00406C7B"/>
    <w:rsid w:val="00407FE4"/>
    <w:rsid w:val="0041311D"/>
    <w:rsid w:val="00415806"/>
    <w:rsid w:val="00417DAC"/>
    <w:rsid w:val="00420CBC"/>
    <w:rsid w:val="00421432"/>
    <w:rsid w:val="00421CD5"/>
    <w:rsid w:val="00425EC2"/>
    <w:rsid w:val="00427696"/>
    <w:rsid w:val="00435D37"/>
    <w:rsid w:val="00436469"/>
    <w:rsid w:val="0044465C"/>
    <w:rsid w:val="004471B9"/>
    <w:rsid w:val="00447221"/>
    <w:rsid w:val="00455227"/>
    <w:rsid w:val="00461324"/>
    <w:rsid w:val="0046148B"/>
    <w:rsid w:val="004634E4"/>
    <w:rsid w:val="004655E7"/>
    <w:rsid w:val="004725CB"/>
    <w:rsid w:val="0047278D"/>
    <w:rsid w:val="00475763"/>
    <w:rsid w:val="00480082"/>
    <w:rsid w:val="004848E8"/>
    <w:rsid w:val="004865CE"/>
    <w:rsid w:val="004868F5"/>
    <w:rsid w:val="00487296"/>
    <w:rsid w:val="00493B63"/>
    <w:rsid w:val="004940E0"/>
    <w:rsid w:val="00496861"/>
    <w:rsid w:val="004A1113"/>
    <w:rsid w:val="004A382B"/>
    <w:rsid w:val="004A3894"/>
    <w:rsid w:val="004A38D1"/>
    <w:rsid w:val="004A55B1"/>
    <w:rsid w:val="004A56BE"/>
    <w:rsid w:val="004A5717"/>
    <w:rsid w:val="004A62DA"/>
    <w:rsid w:val="004B1C2A"/>
    <w:rsid w:val="004B41B2"/>
    <w:rsid w:val="004B7800"/>
    <w:rsid w:val="004B7883"/>
    <w:rsid w:val="004C0135"/>
    <w:rsid w:val="004C16F3"/>
    <w:rsid w:val="004C373F"/>
    <w:rsid w:val="004C3C31"/>
    <w:rsid w:val="004C659C"/>
    <w:rsid w:val="004D2D1D"/>
    <w:rsid w:val="004D49A0"/>
    <w:rsid w:val="004D4E0F"/>
    <w:rsid w:val="004E7676"/>
    <w:rsid w:val="004F288B"/>
    <w:rsid w:val="004F3817"/>
    <w:rsid w:val="004F50B8"/>
    <w:rsid w:val="004F7D2D"/>
    <w:rsid w:val="004F7F71"/>
    <w:rsid w:val="005025EC"/>
    <w:rsid w:val="005027D6"/>
    <w:rsid w:val="005070CF"/>
    <w:rsid w:val="005078B9"/>
    <w:rsid w:val="00516264"/>
    <w:rsid w:val="00517175"/>
    <w:rsid w:val="00522282"/>
    <w:rsid w:val="00524587"/>
    <w:rsid w:val="0052531F"/>
    <w:rsid w:val="005253D1"/>
    <w:rsid w:val="00532B88"/>
    <w:rsid w:val="005331BD"/>
    <w:rsid w:val="0053621B"/>
    <w:rsid w:val="00536525"/>
    <w:rsid w:val="0053722D"/>
    <w:rsid w:val="00541131"/>
    <w:rsid w:val="00541D70"/>
    <w:rsid w:val="005429A2"/>
    <w:rsid w:val="00543A1F"/>
    <w:rsid w:val="00547212"/>
    <w:rsid w:val="005523CF"/>
    <w:rsid w:val="0055364A"/>
    <w:rsid w:val="0055409D"/>
    <w:rsid w:val="0055507E"/>
    <w:rsid w:val="00555A5E"/>
    <w:rsid w:val="0055713F"/>
    <w:rsid w:val="00560529"/>
    <w:rsid w:val="00561992"/>
    <w:rsid w:val="00564436"/>
    <w:rsid w:val="005644BB"/>
    <w:rsid w:val="00565662"/>
    <w:rsid w:val="00570EEF"/>
    <w:rsid w:val="00571A37"/>
    <w:rsid w:val="0057438A"/>
    <w:rsid w:val="00580172"/>
    <w:rsid w:val="00581749"/>
    <w:rsid w:val="005829D9"/>
    <w:rsid w:val="00583591"/>
    <w:rsid w:val="005852DA"/>
    <w:rsid w:val="005916D5"/>
    <w:rsid w:val="00593B25"/>
    <w:rsid w:val="00595DA2"/>
    <w:rsid w:val="005A4AB8"/>
    <w:rsid w:val="005A5064"/>
    <w:rsid w:val="005A5229"/>
    <w:rsid w:val="005B0DB1"/>
    <w:rsid w:val="005B18F4"/>
    <w:rsid w:val="005B25F8"/>
    <w:rsid w:val="005B5CB7"/>
    <w:rsid w:val="005C19AB"/>
    <w:rsid w:val="005C3915"/>
    <w:rsid w:val="005C4CBE"/>
    <w:rsid w:val="005C5F38"/>
    <w:rsid w:val="005D4BC4"/>
    <w:rsid w:val="005D751B"/>
    <w:rsid w:val="005E038B"/>
    <w:rsid w:val="005E150E"/>
    <w:rsid w:val="005E2852"/>
    <w:rsid w:val="005E35C9"/>
    <w:rsid w:val="005E4CD1"/>
    <w:rsid w:val="005E5941"/>
    <w:rsid w:val="005E6D35"/>
    <w:rsid w:val="005F50EA"/>
    <w:rsid w:val="005F568D"/>
    <w:rsid w:val="006006C6"/>
    <w:rsid w:val="006050EA"/>
    <w:rsid w:val="006071F2"/>
    <w:rsid w:val="00607217"/>
    <w:rsid w:val="00607500"/>
    <w:rsid w:val="0061084D"/>
    <w:rsid w:val="006127E9"/>
    <w:rsid w:val="00612F5E"/>
    <w:rsid w:val="00613676"/>
    <w:rsid w:val="00616B6E"/>
    <w:rsid w:val="00620FA4"/>
    <w:rsid w:val="0062271A"/>
    <w:rsid w:val="00623BC4"/>
    <w:rsid w:val="00624C12"/>
    <w:rsid w:val="0063610A"/>
    <w:rsid w:val="00645ED4"/>
    <w:rsid w:val="00647B12"/>
    <w:rsid w:val="006509EE"/>
    <w:rsid w:val="0065108A"/>
    <w:rsid w:val="006534C5"/>
    <w:rsid w:val="00653CF3"/>
    <w:rsid w:val="00654A8A"/>
    <w:rsid w:val="0065775B"/>
    <w:rsid w:val="00661339"/>
    <w:rsid w:val="00661C7E"/>
    <w:rsid w:val="00663690"/>
    <w:rsid w:val="00664DEB"/>
    <w:rsid w:val="00666EFC"/>
    <w:rsid w:val="00670373"/>
    <w:rsid w:val="00671844"/>
    <w:rsid w:val="006723F0"/>
    <w:rsid w:val="00672DCB"/>
    <w:rsid w:val="006751BF"/>
    <w:rsid w:val="006756E9"/>
    <w:rsid w:val="006760A4"/>
    <w:rsid w:val="00676A4B"/>
    <w:rsid w:val="00681351"/>
    <w:rsid w:val="00684902"/>
    <w:rsid w:val="00690A2B"/>
    <w:rsid w:val="00690EA9"/>
    <w:rsid w:val="00692810"/>
    <w:rsid w:val="0069434B"/>
    <w:rsid w:val="00694445"/>
    <w:rsid w:val="00695141"/>
    <w:rsid w:val="00695AC5"/>
    <w:rsid w:val="006971AF"/>
    <w:rsid w:val="00697A91"/>
    <w:rsid w:val="006A0B4A"/>
    <w:rsid w:val="006A290B"/>
    <w:rsid w:val="006A5DE6"/>
    <w:rsid w:val="006B2866"/>
    <w:rsid w:val="006B3579"/>
    <w:rsid w:val="006B4777"/>
    <w:rsid w:val="006B7725"/>
    <w:rsid w:val="006C15C6"/>
    <w:rsid w:val="006C2906"/>
    <w:rsid w:val="006C3C84"/>
    <w:rsid w:val="006C5F17"/>
    <w:rsid w:val="006C7BA4"/>
    <w:rsid w:val="006C7EA3"/>
    <w:rsid w:val="006D3727"/>
    <w:rsid w:val="006D4A5C"/>
    <w:rsid w:val="006D74DB"/>
    <w:rsid w:val="006E11AC"/>
    <w:rsid w:val="006E4B91"/>
    <w:rsid w:val="006E6751"/>
    <w:rsid w:val="006F2861"/>
    <w:rsid w:val="006F4309"/>
    <w:rsid w:val="006F5E1B"/>
    <w:rsid w:val="006F6B2B"/>
    <w:rsid w:val="006F6D5E"/>
    <w:rsid w:val="00701093"/>
    <w:rsid w:val="007027D1"/>
    <w:rsid w:val="007055C9"/>
    <w:rsid w:val="00710BC7"/>
    <w:rsid w:val="00712271"/>
    <w:rsid w:val="00713AA0"/>
    <w:rsid w:val="00715597"/>
    <w:rsid w:val="00716A7D"/>
    <w:rsid w:val="00716B14"/>
    <w:rsid w:val="00717FE8"/>
    <w:rsid w:val="00721DCD"/>
    <w:rsid w:val="00722A4C"/>
    <w:rsid w:val="00725D07"/>
    <w:rsid w:val="007307C9"/>
    <w:rsid w:val="00734729"/>
    <w:rsid w:val="00736E76"/>
    <w:rsid w:val="00737DB4"/>
    <w:rsid w:val="007406F2"/>
    <w:rsid w:val="00742C04"/>
    <w:rsid w:val="007452A1"/>
    <w:rsid w:val="00745BCE"/>
    <w:rsid w:val="007469F9"/>
    <w:rsid w:val="007503B6"/>
    <w:rsid w:val="007515DA"/>
    <w:rsid w:val="00753C0A"/>
    <w:rsid w:val="00754F86"/>
    <w:rsid w:val="0075551E"/>
    <w:rsid w:val="00756761"/>
    <w:rsid w:val="007579F4"/>
    <w:rsid w:val="00757A6C"/>
    <w:rsid w:val="00761287"/>
    <w:rsid w:val="0076182F"/>
    <w:rsid w:val="00771538"/>
    <w:rsid w:val="007722BC"/>
    <w:rsid w:val="00772A01"/>
    <w:rsid w:val="00772F45"/>
    <w:rsid w:val="00777134"/>
    <w:rsid w:val="00781377"/>
    <w:rsid w:val="00784166"/>
    <w:rsid w:val="0078476D"/>
    <w:rsid w:val="00784BF8"/>
    <w:rsid w:val="00785339"/>
    <w:rsid w:val="00786F50"/>
    <w:rsid w:val="00791DC2"/>
    <w:rsid w:val="007941BB"/>
    <w:rsid w:val="00794B8C"/>
    <w:rsid w:val="00796ED1"/>
    <w:rsid w:val="00797B66"/>
    <w:rsid w:val="007A1882"/>
    <w:rsid w:val="007A2838"/>
    <w:rsid w:val="007A299E"/>
    <w:rsid w:val="007A33EE"/>
    <w:rsid w:val="007B0888"/>
    <w:rsid w:val="007B5C2E"/>
    <w:rsid w:val="007B7DBE"/>
    <w:rsid w:val="007C1EE8"/>
    <w:rsid w:val="007C2107"/>
    <w:rsid w:val="007C2827"/>
    <w:rsid w:val="007D0956"/>
    <w:rsid w:val="007D4C9D"/>
    <w:rsid w:val="007D4EE7"/>
    <w:rsid w:val="007D5AB1"/>
    <w:rsid w:val="007E0203"/>
    <w:rsid w:val="007E056C"/>
    <w:rsid w:val="007E081D"/>
    <w:rsid w:val="007E293C"/>
    <w:rsid w:val="007E36EB"/>
    <w:rsid w:val="007E7DDD"/>
    <w:rsid w:val="007F33E9"/>
    <w:rsid w:val="007F388B"/>
    <w:rsid w:val="007F61AF"/>
    <w:rsid w:val="007F775F"/>
    <w:rsid w:val="00802B7F"/>
    <w:rsid w:val="00804F0B"/>
    <w:rsid w:val="00805844"/>
    <w:rsid w:val="00806B4B"/>
    <w:rsid w:val="00810837"/>
    <w:rsid w:val="00810CDD"/>
    <w:rsid w:val="0081184B"/>
    <w:rsid w:val="00811DF5"/>
    <w:rsid w:val="00813F13"/>
    <w:rsid w:val="00815A2F"/>
    <w:rsid w:val="0082070B"/>
    <w:rsid w:val="00822F67"/>
    <w:rsid w:val="008251C2"/>
    <w:rsid w:val="008268D4"/>
    <w:rsid w:val="0082721B"/>
    <w:rsid w:val="008343BA"/>
    <w:rsid w:val="00836A00"/>
    <w:rsid w:val="00845320"/>
    <w:rsid w:val="00845675"/>
    <w:rsid w:val="00847B5B"/>
    <w:rsid w:val="00854098"/>
    <w:rsid w:val="00860BDB"/>
    <w:rsid w:val="00861096"/>
    <w:rsid w:val="00861D85"/>
    <w:rsid w:val="00861F52"/>
    <w:rsid w:val="00864891"/>
    <w:rsid w:val="00873808"/>
    <w:rsid w:val="00875C4F"/>
    <w:rsid w:val="008770B1"/>
    <w:rsid w:val="00877642"/>
    <w:rsid w:val="00880646"/>
    <w:rsid w:val="00882650"/>
    <w:rsid w:val="00883754"/>
    <w:rsid w:val="008842AB"/>
    <w:rsid w:val="008844C7"/>
    <w:rsid w:val="008855BC"/>
    <w:rsid w:val="00886930"/>
    <w:rsid w:val="0089243B"/>
    <w:rsid w:val="0089368B"/>
    <w:rsid w:val="0089702D"/>
    <w:rsid w:val="008A1B88"/>
    <w:rsid w:val="008A1FE3"/>
    <w:rsid w:val="008A20BC"/>
    <w:rsid w:val="008A30DD"/>
    <w:rsid w:val="008A3BC7"/>
    <w:rsid w:val="008A3F44"/>
    <w:rsid w:val="008A68EC"/>
    <w:rsid w:val="008A73B0"/>
    <w:rsid w:val="008B2B3C"/>
    <w:rsid w:val="008C01EB"/>
    <w:rsid w:val="008C15C8"/>
    <w:rsid w:val="008C2299"/>
    <w:rsid w:val="008C3941"/>
    <w:rsid w:val="008D2C8B"/>
    <w:rsid w:val="008D4618"/>
    <w:rsid w:val="008D6E96"/>
    <w:rsid w:val="008D6F6A"/>
    <w:rsid w:val="008D6F78"/>
    <w:rsid w:val="008E0E90"/>
    <w:rsid w:val="008F0415"/>
    <w:rsid w:val="008F195C"/>
    <w:rsid w:val="008F34CB"/>
    <w:rsid w:val="008F3986"/>
    <w:rsid w:val="008F4F59"/>
    <w:rsid w:val="008F7755"/>
    <w:rsid w:val="00902289"/>
    <w:rsid w:val="009022BB"/>
    <w:rsid w:val="0090493D"/>
    <w:rsid w:val="00904C72"/>
    <w:rsid w:val="00905430"/>
    <w:rsid w:val="00905BF5"/>
    <w:rsid w:val="00905F6A"/>
    <w:rsid w:val="00907FE0"/>
    <w:rsid w:val="00910CBD"/>
    <w:rsid w:val="0091144B"/>
    <w:rsid w:val="009126D6"/>
    <w:rsid w:val="00915576"/>
    <w:rsid w:val="00916A0F"/>
    <w:rsid w:val="0092368D"/>
    <w:rsid w:val="0092403C"/>
    <w:rsid w:val="0092474C"/>
    <w:rsid w:val="009271A2"/>
    <w:rsid w:val="0093484E"/>
    <w:rsid w:val="00941C71"/>
    <w:rsid w:val="00941E99"/>
    <w:rsid w:val="0094299F"/>
    <w:rsid w:val="009472A1"/>
    <w:rsid w:val="00947E4E"/>
    <w:rsid w:val="00951A56"/>
    <w:rsid w:val="0095708D"/>
    <w:rsid w:val="00957325"/>
    <w:rsid w:val="00962341"/>
    <w:rsid w:val="009647DB"/>
    <w:rsid w:val="00965B35"/>
    <w:rsid w:val="00965FCD"/>
    <w:rsid w:val="00966CC3"/>
    <w:rsid w:val="009707F3"/>
    <w:rsid w:val="00972F5D"/>
    <w:rsid w:val="0097377E"/>
    <w:rsid w:val="00974320"/>
    <w:rsid w:val="00974F42"/>
    <w:rsid w:val="0098296F"/>
    <w:rsid w:val="009836D7"/>
    <w:rsid w:val="009860B5"/>
    <w:rsid w:val="00992B90"/>
    <w:rsid w:val="00994D96"/>
    <w:rsid w:val="009A0736"/>
    <w:rsid w:val="009A24E1"/>
    <w:rsid w:val="009A4C61"/>
    <w:rsid w:val="009A792A"/>
    <w:rsid w:val="009B1C0A"/>
    <w:rsid w:val="009B320B"/>
    <w:rsid w:val="009B5779"/>
    <w:rsid w:val="009B65AF"/>
    <w:rsid w:val="009B6603"/>
    <w:rsid w:val="009C162D"/>
    <w:rsid w:val="009C42D7"/>
    <w:rsid w:val="009C756D"/>
    <w:rsid w:val="009D04AF"/>
    <w:rsid w:val="009D198A"/>
    <w:rsid w:val="009D2F97"/>
    <w:rsid w:val="009D36B4"/>
    <w:rsid w:val="009D3E8D"/>
    <w:rsid w:val="009D64D9"/>
    <w:rsid w:val="009D7885"/>
    <w:rsid w:val="009E58AC"/>
    <w:rsid w:val="009E5D48"/>
    <w:rsid w:val="009E70C1"/>
    <w:rsid w:val="009E7177"/>
    <w:rsid w:val="009F1090"/>
    <w:rsid w:val="009F18E0"/>
    <w:rsid w:val="009F3CF9"/>
    <w:rsid w:val="009F3DA9"/>
    <w:rsid w:val="00A00218"/>
    <w:rsid w:val="00A0035B"/>
    <w:rsid w:val="00A060B3"/>
    <w:rsid w:val="00A06C70"/>
    <w:rsid w:val="00A07539"/>
    <w:rsid w:val="00A119B4"/>
    <w:rsid w:val="00A11CDE"/>
    <w:rsid w:val="00A14996"/>
    <w:rsid w:val="00A16685"/>
    <w:rsid w:val="00A17447"/>
    <w:rsid w:val="00A22776"/>
    <w:rsid w:val="00A22911"/>
    <w:rsid w:val="00A233F2"/>
    <w:rsid w:val="00A2480A"/>
    <w:rsid w:val="00A25D5F"/>
    <w:rsid w:val="00A33860"/>
    <w:rsid w:val="00A34E49"/>
    <w:rsid w:val="00A35C10"/>
    <w:rsid w:val="00A4482B"/>
    <w:rsid w:val="00A44F75"/>
    <w:rsid w:val="00A4692E"/>
    <w:rsid w:val="00A46C9C"/>
    <w:rsid w:val="00A46DEF"/>
    <w:rsid w:val="00A52BC0"/>
    <w:rsid w:val="00A55764"/>
    <w:rsid w:val="00A559ED"/>
    <w:rsid w:val="00A55AB0"/>
    <w:rsid w:val="00A5642C"/>
    <w:rsid w:val="00A57868"/>
    <w:rsid w:val="00A6220E"/>
    <w:rsid w:val="00A62711"/>
    <w:rsid w:val="00A63167"/>
    <w:rsid w:val="00A66994"/>
    <w:rsid w:val="00A67103"/>
    <w:rsid w:val="00A73828"/>
    <w:rsid w:val="00A74590"/>
    <w:rsid w:val="00A75004"/>
    <w:rsid w:val="00A76BD3"/>
    <w:rsid w:val="00A80523"/>
    <w:rsid w:val="00A85322"/>
    <w:rsid w:val="00A919D2"/>
    <w:rsid w:val="00A94105"/>
    <w:rsid w:val="00A965E6"/>
    <w:rsid w:val="00AA1568"/>
    <w:rsid w:val="00AA4C9B"/>
    <w:rsid w:val="00AA53FC"/>
    <w:rsid w:val="00AA57C2"/>
    <w:rsid w:val="00AB1AAD"/>
    <w:rsid w:val="00AB3700"/>
    <w:rsid w:val="00AB47EB"/>
    <w:rsid w:val="00AB4C24"/>
    <w:rsid w:val="00AB4C79"/>
    <w:rsid w:val="00AC41A8"/>
    <w:rsid w:val="00AC7CE7"/>
    <w:rsid w:val="00AD02E0"/>
    <w:rsid w:val="00AD0474"/>
    <w:rsid w:val="00AD1B16"/>
    <w:rsid w:val="00AD1CF2"/>
    <w:rsid w:val="00AD677F"/>
    <w:rsid w:val="00AD6C85"/>
    <w:rsid w:val="00AD6E0C"/>
    <w:rsid w:val="00AD725A"/>
    <w:rsid w:val="00AE3B29"/>
    <w:rsid w:val="00AE46D2"/>
    <w:rsid w:val="00AF16EF"/>
    <w:rsid w:val="00AF39C0"/>
    <w:rsid w:val="00AF6471"/>
    <w:rsid w:val="00AF71DC"/>
    <w:rsid w:val="00B0449D"/>
    <w:rsid w:val="00B063C0"/>
    <w:rsid w:val="00B10371"/>
    <w:rsid w:val="00B12E31"/>
    <w:rsid w:val="00B12FFF"/>
    <w:rsid w:val="00B144B8"/>
    <w:rsid w:val="00B215A7"/>
    <w:rsid w:val="00B2447D"/>
    <w:rsid w:val="00B2654F"/>
    <w:rsid w:val="00B27D61"/>
    <w:rsid w:val="00B30BC0"/>
    <w:rsid w:val="00B36D48"/>
    <w:rsid w:val="00B40133"/>
    <w:rsid w:val="00B41E7A"/>
    <w:rsid w:val="00B46ABF"/>
    <w:rsid w:val="00B47CAB"/>
    <w:rsid w:val="00B50CF4"/>
    <w:rsid w:val="00B53433"/>
    <w:rsid w:val="00B6394D"/>
    <w:rsid w:val="00B63FBA"/>
    <w:rsid w:val="00B6519A"/>
    <w:rsid w:val="00B663B8"/>
    <w:rsid w:val="00B71665"/>
    <w:rsid w:val="00B71C0B"/>
    <w:rsid w:val="00B74947"/>
    <w:rsid w:val="00B7591E"/>
    <w:rsid w:val="00B81BD0"/>
    <w:rsid w:val="00B82794"/>
    <w:rsid w:val="00B862AF"/>
    <w:rsid w:val="00B90D97"/>
    <w:rsid w:val="00B91241"/>
    <w:rsid w:val="00B92D47"/>
    <w:rsid w:val="00BA0B65"/>
    <w:rsid w:val="00BA1F78"/>
    <w:rsid w:val="00BB24C2"/>
    <w:rsid w:val="00BB40F6"/>
    <w:rsid w:val="00BB60B2"/>
    <w:rsid w:val="00BB785F"/>
    <w:rsid w:val="00BB7D3F"/>
    <w:rsid w:val="00BC2E39"/>
    <w:rsid w:val="00BC4BB9"/>
    <w:rsid w:val="00BC6E86"/>
    <w:rsid w:val="00BC76FE"/>
    <w:rsid w:val="00BD0C9A"/>
    <w:rsid w:val="00BD30D2"/>
    <w:rsid w:val="00BE2E1E"/>
    <w:rsid w:val="00BE47BD"/>
    <w:rsid w:val="00BE5B52"/>
    <w:rsid w:val="00BE6E6D"/>
    <w:rsid w:val="00BF0ACC"/>
    <w:rsid w:val="00BF1F70"/>
    <w:rsid w:val="00BF2B93"/>
    <w:rsid w:val="00BF301B"/>
    <w:rsid w:val="00BF43FA"/>
    <w:rsid w:val="00BF7150"/>
    <w:rsid w:val="00C00FED"/>
    <w:rsid w:val="00C0135E"/>
    <w:rsid w:val="00C01F4F"/>
    <w:rsid w:val="00C0788A"/>
    <w:rsid w:val="00C131FA"/>
    <w:rsid w:val="00C14571"/>
    <w:rsid w:val="00C1491F"/>
    <w:rsid w:val="00C157D1"/>
    <w:rsid w:val="00C20E5A"/>
    <w:rsid w:val="00C22E55"/>
    <w:rsid w:val="00C25367"/>
    <w:rsid w:val="00C26844"/>
    <w:rsid w:val="00C2734A"/>
    <w:rsid w:val="00C321B7"/>
    <w:rsid w:val="00C35CAA"/>
    <w:rsid w:val="00C37B69"/>
    <w:rsid w:val="00C41BAB"/>
    <w:rsid w:val="00C41D78"/>
    <w:rsid w:val="00C42122"/>
    <w:rsid w:val="00C46235"/>
    <w:rsid w:val="00C50494"/>
    <w:rsid w:val="00C51BC7"/>
    <w:rsid w:val="00C53A70"/>
    <w:rsid w:val="00C565D2"/>
    <w:rsid w:val="00C576EA"/>
    <w:rsid w:val="00C57CD2"/>
    <w:rsid w:val="00C6164F"/>
    <w:rsid w:val="00C62171"/>
    <w:rsid w:val="00C6348A"/>
    <w:rsid w:val="00C6406C"/>
    <w:rsid w:val="00C64636"/>
    <w:rsid w:val="00C652CE"/>
    <w:rsid w:val="00C701AF"/>
    <w:rsid w:val="00C72651"/>
    <w:rsid w:val="00C72C89"/>
    <w:rsid w:val="00C74B05"/>
    <w:rsid w:val="00C75F0D"/>
    <w:rsid w:val="00C75F73"/>
    <w:rsid w:val="00C81007"/>
    <w:rsid w:val="00C85EA2"/>
    <w:rsid w:val="00C86D66"/>
    <w:rsid w:val="00C9152B"/>
    <w:rsid w:val="00C93DA1"/>
    <w:rsid w:val="00C9626E"/>
    <w:rsid w:val="00CA44ED"/>
    <w:rsid w:val="00CA7C68"/>
    <w:rsid w:val="00CB0013"/>
    <w:rsid w:val="00CB04AC"/>
    <w:rsid w:val="00CB0D35"/>
    <w:rsid w:val="00CB2C84"/>
    <w:rsid w:val="00CB311F"/>
    <w:rsid w:val="00CB4560"/>
    <w:rsid w:val="00CB47DE"/>
    <w:rsid w:val="00CB7966"/>
    <w:rsid w:val="00CC199B"/>
    <w:rsid w:val="00CC53C4"/>
    <w:rsid w:val="00CC67DD"/>
    <w:rsid w:val="00CC6A54"/>
    <w:rsid w:val="00CD1303"/>
    <w:rsid w:val="00CD16E6"/>
    <w:rsid w:val="00CD3371"/>
    <w:rsid w:val="00CD4B5D"/>
    <w:rsid w:val="00CD68CA"/>
    <w:rsid w:val="00CF5FA3"/>
    <w:rsid w:val="00D0131E"/>
    <w:rsid w:val="00D01C27"/>
    <w:rsid w:val="00D0344E"/>
    <w:rsid w:val="00D0409E"/>
    <w:rsid w:val="00D0655B"/>
    <w:rsid w:val="00D06D66"/>
    <w:rsid w:val="00D0711F"/>
    <w:rsid w:val="00D17067"/>
    <w:rsid w:val="00D20419"/>
    <w:rsid w:val="00D20CDA"/>
    <w:rsid w:val="00D26B12"/>
    <w:rsid w:val="00D26EB8"/>
    <w:rsid w:val="00D31577"/>
    <w:rsid w:val="00D31748"/>
    <w:rsid w:val="00D32131"/>
    <w:rsid w:val="00D322B0"/>
    <w:rsid w:val="00D32FC1"/>
    <w:rsid w:val="00D333BF"/>
    <w:rsid w:val="00D33EDE"/>
    <w:rsid w:val="00D34181"/>
    <w:rsid w:val="00D3631D"/>
    <w:rsid w:val="00D44ED9"/>
    <w:rsid w:val="00D45256"/>
    <w:rsid w:val="00D50FD4"/>
    <w:rsid w:val="00D51C00"/>
    <w:rsid w:val="00D51E0A"/>
    <w:rsid w:val="00D55775"/>
    <w:rsid w:val="00D564C8"/>
    <w:rsid w:val="00D61692"/>
    <w:rsid w:val="00D710FD"/>
    <w:rsid w:val="00D733AC"/>
    <w:rsid w:val="00D73AA8"/>
    <w:rsid w:val="00D75F50"/>
    <w:rsid w:val="00D76A94"/>
    <w:rsid w:val="00D7718A"/>
    <w:rsid w:val="00D85C94"/>
    <w:rsid w:val="00D8651E"/>
    <w:rsid w:val="00D91904"/>
    <w:rsid w:val="00D92C91"/>
    <w:rsid w:val="00D96B77"/>
    <w:rsid w:val="00DA35C2"/>
    <w:rsid w:val="00DA372E"/>
    <w:rsid w:val="00DB0D61"/>
    <w:rsid w:val="00DB2033"/>
    <w:rsid w:val="00DB2EE2"/>
    <w:rsid w:val="00DB55E7"/>
    <w:rsid w:val="00DC1184"/>
    <w:rsid w:val="00DC3690"/>
    <w:rsid w:val="00DD230D"/>
    <w:rsid w:val="00DD351E"/>
    <w:rsid w:val="00DE0595"/>
    <w:rsid w:val="00DE1A7C"/>
    <w:rsid w:val="00DE2C31"/>
    <w:rsid w:val="00DE495F"/>
    <w:rsid w:val="00DE63E8"/>
    <w:rsid w:val="00DE7609"/>
    <w:rsid w:val="00DF1ED1"/>
    <w:rsid w:val="00DF228E"/>
    <w:rsid w:val="00DF2695"/>
    <w:rsid w:val="00DF27B1"/>
    <w:rsid w:val="00DF2AA3"/>
    <w:rsid w:val="00DF2C31"/>
    <w:rsid w:val="00DF4F9D"/>
    <w:rsid w:val="00DF6B9D"/>
    <w:rsid w:val="00E01F45"/>
    <w:rsid w:val="00E02E82"/>
    <w:rsid w:val="00E03367"/>
    <w:rsid w:val="00E05C49"/>
    <w:rsid w:val="00E143F2"/>
    <w:rsid w:val="00E237D9"/>
    <w:rsid w:val="00E27F19"/>
    <w:rsid w:val="00E30184"/>
    <w:rsid w:val="00E30F05"/>
    <w:rsid w:val="00E318AD"/>
    <w:rsid w:val="00E32169"/>
    <w:rsid w:val="00E328B1"/>
    <w:rsid w:val="00E35BCC"/>
    <w:rsid w:val="00E36E18"/>
    <w:rsid w:val="00E37149"/>
    <w:rsid w:val="00E40915"/>
    <w:rsid w:val="00E41355"/>
    <w:rsid w:val="00E453FC"/>
    <w:rsid w:val="00E456CD"/>
    <w:rsid w:val="00E4745C"/>
    <w:rsid w:val="00E523EF"/>
    <w:rsid w:val="00E565C1"/>
    <w:rsid w:val="00E56648"/>
    <w:rsid w:val="00E56E69"/>
    <w:rsid w:val="00E57695"/>
    <w:rsid w:val="00E57725"/>
    <w:rsid w:val="00E610DC"/>
    <w:rsid w:val="00E72541"/>
    <w:rsid w:val="00E72F93"/>
    <w:rsid w:val="00E734B7"/>
    <w:rsid w:val="00E73E27"/>
    <w:rsid w:val="00E75796"/>
    <w:rsid w:val="00E82901"/>
    <w:rsid w:val="00E82C42"/>
    <w:rsid w:val="00E83DA8"/>
    <w:rsid w:val="00E83E92"/>
    <w:rsid w:val="00E842DE"/>
    <w:rsid w:val="00E84A41"/>
    <w:rsid w:val="00E8523D"/>
    <w:rsid w:val="00E87BA7"/>
    <w:rsid w:val="00E91311"/>
    <w:rsid w:val="00E92380"/>
    <w:rsid w:val="00E95A95"/>
    <w:rsid w:val="00EA2FB5"/>
    <w:rsid w:val="00EA43D5"/>
    <w:rsid w:val="00EA60A7"/>
    <w:rsid w:val="00EB3658"/>
    <w:rsid w:val="00EB39B5"/>
    <w:rsid w:val="00EB39E1"/>
    <w:rsid w:val="00EB405A"/>
    <w:rsid w:val="00EB568C"/>
    <w:rsid w:val="00EB6068"/>
    <w:rsid w:val="00EB64B9"/>
    <w:rsid w:val="00EB7CD3"/>
    <w:rsid w:val="00EC0C1D"/>
    <w:rsid w:val="00EC0D33"/>
    <w:rsid w:val="00EC3691"/>
    <w:rsid w:val="00EC70BD"/>
    <w:rsid w:val="00ED05BC"/>
    <w:rsid w:val="00ED0E4C"/>
    <w:rsid w:val="00ED21BB"/>
    <w:rsid w:val="00ED2422"/>
    <w:rsid w:val="00ED3FE9"/>
    <w:rsid w:val="00ED4AD3"/>
    <w:rsid w:val="00ED4E43"/>
    <w:rsid w:val="00ED66A9"/>
    <w:rsid w:val="00EE096D"/>
    <w:rsid w:val="00EE2019"/>
    <w:rsid w:val="00EE337A"/>
    <w:rsid w:val="00EE4F3A"/>
    <w:rsid w:val="00EE5F9C"/>
    <w:rsid w:val="00EE725A"/>
    <w:rsid w:val="00EE7773"/>
    <w:rsid w:val="00EF0EF4"/>
    <w:rsid w:val="00EF3CD5"/>
    <w:rsid w:val="00EF490F"/>
    <w:rsid w:val="00EF668F"/>
    <w:rsid w:val="00EF6D1A"/>
    <w:rsid w:val="00F01200"/>
    <w:rsid w:val="00F04386"/>
    <w:rsid w:val="00F04AF5"/>
    <w:rsid w:val="00F10750"/>
    <w:rsid w:val="00F1270D"/>
    <w:rsid w:val="00F21847"/>
    <w:rsid w:val="00F21D60"/>
    <w:rsid w:val="00F231BA"/>
    <w:rsid w:val="00F24232"/>
    <w:rsid w:val="00F24992"/>
    <w:rsid w:val="00F24ACA"/>
    <w:rsid w:val="00F27924"/>
    <w:rsid w:val="00F3219F"/>
    <w:rsid w:val="00F32E78"/>
    <w:rsid w:val="00F36375"/>
    <w:rsid w:val="00F4195C"/>
    <w:rsid w:val="00F52271"/>
    <w:rsid w:val="00F54342"/>
    <w:rsid w:val="00F550CB"/>
    <w:rsid w:val="00F5720E"/>
    <w:rsid w:val="00F5737B"/>
    <w:rsid w:val="00F6365F"/>
    <w:rsid w:val="00F653CD"/>
    <w:rsid w:val="00F65D2D"/>
    <w:rsid w:val="00F67252"/>
    <w:rsid w:val="00F70CC9"/>
    <w:rsid w:val="00F737D1"/>
    <w:rsid w:val="00F74097"/>
    <w:rsid w:val="00F743B0"/>
    <w:rsid w:val="00F81AF7"/>
    <w:rsid w:val="00F81F17"/>
    <w:rsid w:val="00F911BE"/>
    <w:rsid w:val="00F93E6F"/>
    <w:rsid w:val="00F943E3"/>
    <w:rsid w:val="00F94653"/>
    <w:rsid w:val="00F967FC"/>
    <w:rsid w:val="00FA053C"/>
    <w:rsid w:val="00FA1BE2"/>
    <w:rsid w:val="00FA2AA4"/>
    <w:rsid w:val="00FB03D2"/>
    <w:rsid w:val="00FB0828"/>
    <w:rsid w:val="00FB6B92"/>
    <w:rsid w:val="00FC1555"/>
    <w:rsid w:val="00FC39C8"/>
    <w:rsid w:val="00FC3AFD"/>
    <w:rsid w:val="00FC4259"/>
    <w:rsid w:val="00FD004E"/>
    <w:rsid w:val="00FD0116"/>
    <w:rsid w:val="00FD0297"/>
    <w:rsid w:val="00FD0AB9"/>
    <w:rsid w:val="00FE0243"/>
    <w:rsid w:val="00FE28DC"/>
    <w:rsid w:val="00FE3405"/>
    <w:rsid w:val="00FE4291"/>
    <w:rsid w:val="00FE5CB3"/>
    <w:rsid w:val="00FE6153"/>
    <w:rsid w:val="00FE641C"/>
    <w:rsid w:val="00FE6A48"/>
    <w:rsid w:val="00FE7290"/>
    <w:rsid w:val="00FE76FA"/>
    <w:rsid w:val="00FF13A2"/>
    <w:rsid w:val="00FF3DED"/>
    <w:rsid w:val="00FF5D0A"/>
    <w:rsid w:val="00FF614F"/>
    <w:rsid w:val="00FF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pPr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NoSpacingChar">
    <w:name w:val="No Spacing Char"/>
    <w:basedOn w:val="DefaultParagraphFont"/>
    <w:link w:val="NoSpacing"/>
    <w:locked/>
    <w:rsid w:val="00D61692"/>
    <w:rPr>
      <w:rFonts w:ascii="Calibri" w:eastAsia="PMingLiU" w:hAnsi="Calibri" w:cs="Calibri"/>
      <w:lang w:eastAsia="zh-TW"/>
    </w:rPr>
  </w:style>
  <w:style w:type="paragraph" w:styleId="ListParagraph">
    <w:name w:val="List Paragraph"/>
    <w:basedOn w:val="Normal"/>
    <w:uiPriority w:val="34"/>
    <w:qFormat/>
    <w:rsid w:val="00D61692"/>
    <w:pPr>
      <w:ind w:left="720"/>
    </w:pPr>
    <w:rPr>
      <w:rFonts w:ascii="Calibri" w:eastAsia="PMingLiU" w:hAnsi="Calibri" w:cs="Calibri"/>
      <w:lang w:eastAsia="zh-TW"/>
    </w:rPr>
  </w:style>
  <w:style w:type="paragraph" w:styleId="Caption">
    <w:name w:val="caption"/>
    <w:basedOn w:val="Normal"/>
    <w:next w:val="Normal"/>
    <w:link w:val="CaptionChar"/>
    <w:qFormat/>
    <w:rsid w:val="00D61692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21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1A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9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FCD"/>
  </w:style>
  <w:style w:type="paragraph" w:styleId="Footer">
    <w:name w:val="footer"/>
    <w:basedOn w:val="Normal"/>
    <w:link w:val="FooterChar"/>
    <w:uiPriority w:val="99"/>
    <w:semiHidden/>
    <w:unhideWhenUsed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FCD"/>
  </w:style>
  <w:style w:type="paragraph" w:customStyle="1" w:styleId="msonospacing0">
    <w:name w:val="msonospacing"/>
    <w:rsid w:val="0055364A"/>
    <w:pPr>
      <w:spacing w:after="0" w:line="240" w:lineRule="auto"/>
    </w:pPr>
    <w:rPr>
      <w:rFonts w:ascii="PMingLiU" w:eastAsia="PMingLiU" w:hAnsi="Times New Roman" w:cs="Times New Roman" w:hint="eastAsia"/>
      <w:lang w:eastAsia="zh-TW"/>
    </w:rPr>
  </w:style>
  <w:style w:type="table" w:styleId="TableGrid">
    <w:name w:val="Table Grid"/>
    <w:basedOn w:val="TableNormal"/>
    <w:uiPriority w:val="59"/>
    <w:rsid w:val="00CD1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84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1A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1A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61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Radovan\MMI%20materijal\chart%20for%20MM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os.popovic\Dropbox\MINISTARSTVO%20FINANSIJA\SEP\MMI\MMI_2012_11\mmi_sirovi%20podaci_12_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os.popovic\Dropbox\MINISTARSTVO%20FINANSIJA\SEP\MMI\MMI_2012_11\mmi_sirovi%20podaci_12_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os.popovic\Dropbox\MINISTARSTVO%20FINANSIJA\SEP\MMI\MMI_2012_11\mmi_sirovi%20podaci_12_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va.vukovic\Dropbox\MINISTARSTVO%20FINANSIJA%20(1)\SEP\MMI\MMI_2012_11\mmi_sirovi%20podaci_12_1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os.popovic\Dropbox\MINISTARSTVO%20FINANSIJA\SEP\MMI\MMI_2012_11\mmi_sirovi%20podaci_12_1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os.popovic\Dropbox\MINISTARSTVO%20FINANSIJA\SEP\MMI\MMI_2012_11\mmi_sirovi%20podaci_12_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/>
            </a:pPr>
            <a:r>
              <a:rPr lang="x-none" sz="900"/>
              <a:t>Rast BDP-a u III kvartalu 2012 </a:t>
            </a:r>
            <a:endParaRPr lang="en-US" sz="900"/>
          </a:p>
        </c:rich>
      </c:tx>
      <c:layout>
        <c:manualLayout>
          <c:xMode val="edge"/>
          <c:yMode val="edge"/>
          <c:x val="0.13156768539525779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29504693269273546"/>
          <c:y val="9.0634441087614634E-2"/>
          <c:w val="0.64280617465190004"/>
          <c:h val="0.84290030211480904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spPr/>
              <c:txPr>
                <a:bodyPr rot="0" anchor="b" anchorCtr="1"/>
                <a:lstStyle/>
                <a:p>
                  <a:pPr>
                    <a:defRPr lang="en-US" sz="7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 rot="0" anchor="b" anchorCtr="1"/>
                <a:lstStyle/>
                <a:p>
                  <a:pPr>
                    <a:defRPr lang="en-US" sz="7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</c:dLbl>
            <c:dLbl>
              <c:idx val="2"/>
              <c:layout>
                <c:manualLayout>
                  <c:x val="-1.1889318919880872E-2"/>
                  <c:y val="0"/>
                </c:manualLayout>
              </c:layout>
              <c:spPr/>
              <c:txPr>
                <a:bodyPr rot="0" anchor="b" anchorCtr="1"/>
                <a:lstStyle/>
                <a:p>
                  <a:pPr>
                    <a:defRPr lang="en-US" sz="7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-9.0681856257329566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3304406098173979E-2"/>
                  <c:y val="0"/>
                </c:manualLayout>
              </c:layout>
              <c:spPr/>
              <c:txPr>
                <a:bodyPr rot="0" anchor="b" anchorCtr="1"/>
                <a:lstStyle/>
                <a:p>
                  <a:pPr>
                    <a:defRPr lang="en-US" sz="7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dLblPos val="outEnd"/>
              <c:showVal val="1"/>
            </c:dLbl>
            <c:dLbl>
              <c:idx val="5"/>
              <c:layout>
                <c:manualLayout>
                  <c:x val="-9.6547889140977186E-3"/>
                  <c:y val="0"/>
                </c:manualLayout>
              </c:layout>
              <c:spPr/>
              <c:txPr>
                <a:bodyPr rot="0" anchor="b" anchorCtr="1"/>
                <a:lstStyle/>
                <a:p>
                  <a:pPr>
                    <a:defRPr lang="en-US" sz="7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dLblPos val="outEnd"/>
              <c:showVal val="1"/>
            </c:dLbl>
            <c:dLbl>
              <c:idx val="6"/>
              <c:layout>
                <c:manualLayout>
                  <c:x val="-0.20010990115597271"/>
                  <c:y val="0"/>
                </c:manualLayout>
              </c:layout>
              <c:dLblPos val="outEnd"/>
              <c:showVal val="1"/>
            </c:dLbl>
            <c:dLbl>
              <c:idx val="7"/>
              <c:spPr/>
              <c:txPr>
                <a:bodyPr rot="0" vert="horz" anchor="b" anchorCtr="1"/>
                <a:lstStyle/>
                <a:p>
                  <a:pPr>
                    <a:defRPr lang="en-US" sz="700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dLblPos val="inEnd"/>
              <c:showLegendKey val="1"/>
              <c:showVal val="1"/>
              <c:separator>
</c:separator>
            </c:dLbl>
            <c:dLbl>
              <c:idx val="8"/>
              <c:spPr/>
              <c:txPr>
                <a:bodyPr rot="0" anchor="b" anchorCtr="1"/>
                <a:lstStyle/>
                <a:p>
                  <a:pPr>
                    <a:defRPr lang="en-US" sz="7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</c:dLbl>
            <c:txPr>
              <a:bodyPr rot="0" anchor="b" anchorCtr="1"/>
              <a:lstStyle/>
              <a:p>
                <a:pPr>
                  <a:defRPr lang="en-US" sz="700"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Base"/>
            <c:showVal val="1"/>
          </c:dLbls>
          <c:cat>
            <c:strRef>
              <c:f>Data!$A$12:$A$56</c:f>
              <c:strCache>
                <c:ptCount val="14"/>
                <c:pt idx="0">
                  <c:v>EU</c:v>
                </c:pt>
                <c:pt idx="1">
                  <c:v>Euro zona</c:v>
                </c:pt>
                <c:pt idx="2">
                  <c:v>Njemačka</c:v>
                </c:pt>
                <c:pt idx="3">
                  <c:v>Španija</c:v>
                </c:pt>
                <c:pt idx="4">
                  <c:v>Francuska</c:v>
                </c:pt>
                <c:pt idx="5">
                  <c:v>Italija</c:v>
                </c:pt>
                <c:pt idx="6">
                  <c:v>Litvanija</c:v>
                </c:pt>
                <c:pt idx="7">
                  <c:v>Holandija</c:v>
                </c:pt>
                <c:pt idx="8">
                  <c:v>Austrija</c:v>
                </c:pt>
                <c:pt idx="9">
                  <c:v>Slovačka</c:v>
                </c:pt>
                <c:pt idx="10">
                  <c:v>UK</c:v>
                </c:pt>
                <c:pt idx="11">
                  <c:v>Norveška</c:v>
                </c:pt>
                <c:pt idx="12">
                  <c:v>USA</c:v>
                </c:pt>
                <c:pt idx="13">
                  <c:v>Japan</c:v>
                </c:pt>
              </c:strCache>
            </c:strRef>
          </c:cat>
          <c:val>
            <c:numRef>
              <c:f>Data!$K$12:$K$56</c:f>
              <c:numCache>
                <c:formatCode>#,##0.0</c:formatCode>
                <c:ptCount val="14"/>
                <c:pt idx="0">
                  <c:v>0.1</c:v>
                </c:pt>
                <c:pt idx="1">
                  <c:v>-0.1</c:v>
                </c:pt>
                <c:pt idx="2">
                  <c:v>0.2</c:v>
                </c:pt>
                <c:pt idx="3">
                  <c:v>-0.30000000000000032</c:v>
                </c:pt>
                <c:pt idx="4">
                  <c:v>0.2</c:v>
                </c:pt>
                <c:pt idx="5">
                  <c:v>-0.2</c:v>
                </c:pt>
                <c:pt idx="6">
                  <c:v>1.3</c:v>
                </c:pt>
                <c:pt idx="7">
                  <c:v>-1.1000000000000001</c:v>
                </c:pt>
                <c:pt idx="8">
                  <c:v>-0.1</c:v>
                </c:pt>
                <c:pt idx="9">
                  <c:v>0.60000000000000064</c:v>
                </c:pt>
                <c:pt idx="10">
                  <c:v>1</c:v>
                </c:pt>
                <c:pt idx="11">
                  <c:v>-0.8</c:v>
                </c:pt>
                <c:pt idx="12">
                  <c:v>0.5</c:v>
                </c:pt>
                <c:pt idx="13">
                  <c:v>-0.9</c:v>
                </c:pt>
              </c:numCache>
            </c:numRef>
          </c:val>
        </c:ser>
        <c:gapWidth val="10"/>
        <c:axId val="138978432"/>
        <c:axId val="138979968"/>
      </c:barChart>
      <c:catAx>
        <c:axId val="138978432"/>
        <c:scaling>
          <c:orientation val="minMax"/>
        </c:scaling>
        <c:axPos val="l"/>
        <c:tickLblPos val="low"/>
        <c:txPr>
          <a:bodyPr anchor="t" anchorCtr="0"/>
          <a:lstStyle/>
          <a:p>
            <a:pPr>
              <a:defRPr lang="en-US" sz="700"/>
            </a:pPr>
            <a:endParaRPr lang="en-US"/>
          </a:p>
        </c:txPr>
        <c:crossAx val="138979968"/>
        <c:crosses val="autoZero"/>
        <c:auto val="1"/>
        <c:lblAlgn val="ctr"/>
        <c:lblOffset val="100"/>
      </c:catAx>
      <c:valAx>
        <c:axId val="138979968"/>
        <c:scaling>
          <c:orientation val="minMax"/>
          <c:max val="1.2"/>
          <c:min val="-1.2"/>
        </c:scaling>
        <c:delete val="1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numFmt formatCode="#,##0.0" sourceLinked="1"/>
        <c:tickLblPos val="none"/>
        <c:crossAx val="1389784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850"/>
            </a:pPr>
            <a:r>
              <a:rPr lang="x-none" sz="850"/>
              <a:t>Stope</a:t>
            </a:r>
            <a:r>
              <a:rPr lang="x-none" sz="850" baseline="0"/>
              <a:t> rasta u prerađivačkoj industriji i promet u maloprodaji</a:t>
            </a:r>
            <a:endParaRPr lang="en-US" sz="850"/>
          </a:p>
        </c:rich>
      </c:tx>
      <c:layout>
        <c:manualLayout>
          <c:xMode val="edge"/>
          <c:yMode val="edge"/>
          <c:x val="0.15672886166248279"/>
          <c:y val="1.1265384647246923E-2"/>
        </c:manualLayout>
      </c:layout>
    </c:title>
    <c:plotArea>
      <c:layout>
        <c:manualLayout>
          <c:layoutTarget val="inner"/>
          <c:xMode val="edge"/>
          <c:yMode val="edge"/>
          <c:x val="0.13704617394928639"/>
          <c:y val="0.30850831146106888"/>
          <c:w val="0.85094714429304674"/>
          <c:h val="0.57837314085739056"/>
        </c:manualLayout>
      </c:layout>
      <c:lineChart>
        <c:grouping val="standard"/>
        <c:ser>
          <c:idx val="0"/>
          <c:order val="0"/>
          <c:tx>
            <c:strRef>
              <c:f>'Makroekonomski indikatori'!$C$13</c:f>
              <c:strCache>
                <c:ptCount val="1"/>
                <c:pt idx="0">
                  <c:v>Prerađivačka industrija (stopa rasta)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  <a:prstDash val="solid"/>
            </a:ln>
          </c:spPr>
          <c:marker>
            <c:symbol val="none"/>
          </c:marker>
          <c:cat>
            <c:strRef>
              <c:f>'Makroekonomski indikatori'!$L$60:$AA$60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2012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indikatori'!$J$13:$AA$13</c:f>
              <c:numCache>
                <c:formatCode>0.0</c:formatCode>
                <c:ptCount val="13"/>
                <c:pt idx="0">
                  <c:v>0.8</c:v>
                </c:pt>
                <c:pt idx="1">
                  <c:v>4.5999999999999996</c:v>
                </c:pt>
                <c:pt idx="2">
                  <c:v>-8.3000000000000007</c:v>
                </c:pt>
                <c:pt idx="3">
                  <c:v>5</c:v>
                </c:pt>
                <c:pt idx="4" formatCode="0.00">
                  <c:v>-4.4000000000000004</c:v>
                </c:pt>
                <c:pt idx="5" formatCode="0.00">
                  <c:v>11.6</c:v>
                </c:pt>
                <c:pt idx="6" formatCode="0.00">
                  <c:v>33.1</c:v>
                </c:pt>
                <c:pt idx="7" formatCode="0.00">
                  <c:v>3.6</c:v>
                </c:pt>
                <c:pt idx="8" formatCode="0.00">
                  <c:v>-18.5</c:v>
                </c:pt>
                <c:pt idx="9" formatCode="0.00">
                  <c:v>-14.2</c:v>
                </c:pt>
                <c:pt idx="10" formatCode="0.00">
                  <c:v>-13</c:v>
                </c:pt>
                <c:pt idx="11" formatCode="0.00">
                  <c:v>-20.399999999999999</c:v>
                </c:pt>
                <c:pt idx="12" formatCode="0.00">
                  <c:v>-40.5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indikatori'!$C$15</c:f>
              <c:strCache>
                <c:ptCount val="1"/>
                <c:pt idx="0">
                  <c:v>Promet u maloprodaji (stopa rasta)</c:v>
                </c:pt>
              </c:strCache>
            </c:strRef>
          </c:tx>
          <c:spPr>
            <a:ln>
              <a:solidFill>
                <a:srgbClr val="C00000"/>
              </a:solidFill>
              <a:prstDash val="sysDash"/>
            </a:ln>
          </c:spPr>
          <c:marker>
            <c:symbol val="none"/>
          </c:marker>
          <c:cat>
            <c:strRef>
              <c:f>'Makroekonomski indikatori'!$L$60:$AA$60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2012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indikatori'!$J$15:$AA$15</c:f>
              <c:numCache>
                <c:formatCode>0.0</c:formatCode>
                <c:ptCount val="13"/>
                <c:pt idx="0">
                  <c:v>26.3</c:v>
                </c:pt>
                <c:pt idx="1">
                  <c:v>24.4</c:v>
                </c:pt>
                <c:pt idx="2">
                  <c:v>37.300000000000004</c:v>
                </c:pt>
                <c:pt idx="3">
                  <c:v>21.3</c:v>
                </c:pt>
                <c:pt idx="4" formatCode="0.00">
                  <c:v>16.3</c:v>
                </c:pt>
                <c:pt idx="5" formatCode="0.00">
                  <c:v>8</c:v>
                </c:pt>
                <c:pt idx="6" formatCode="0.00">
                  <c:v>18.600000000000001</c:v>
                </c:pt>
                <c:pt idx="7" formatCode="0.00">
                  <c:v>9.8000000000000007</c:v>
                </c:pt>
                <c:pt idx="8" formatCode="0.00">
                  <c:v>3.3</c:v>
                </c:pt>
                <c:pt idx="9" formatCode="0.00">
                  <c:v>2.1</c:v>
                </c:pt>
                <c:pt idx="10" formatCode="0.00">
                  <c:v>1.1000000000000001</c:v>
                </c:pt>
                <c:pt idx="11" formatCode="0.00">
                  <c:v>4.4000000000000004</c:v>
                </c:pt>
                <c:pt idx="12" formatCode="0.00">
                  <c:v>3.5</c:v>
                </c:pt>
              </c:numCache>
            </c:numRef>
          </c:val>
          <c:smooth val="1"/>
        </c:ser>
        <c:marker val="1"/>
        <c:axId val="144646144"/>
        <c:axId val="144648064"/>
      </c:lineChart>
      <c:catAx>
        <c:axId val="14464614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lang="en-US" sz="700"/>
            </a:pPr>
            <a:endParaRPr lang="en-US"/>
          </a:p>
        </c:txPr>
        <c:crossAx val="144648064"/>
        <c:crosses val="autoZero"/>
        <c:auto val="1"/>
        <c:lblAlgn val="ctr"/>
        <c:lblOffset val="100"/>
        <c:tickLblSkip val="3"/>
      </c:catAx>
      <c:valAx>
        <c:axId val="144648064"/>
        <c:scaling>
          <c:orientation val="minMax"/>
          <c:max val="50"/>
          <c:min val="-45"/>
        </c:scaling>
        <c:axPos val="l"/>
        <c:numFmt formatCode="0.0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44646144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45558081397984"/>
          <c:y val="0.19366930019438391"/>
          <c:w val="0.81747514931331577"/>
          <c:h val="0.10989085958130272"/>
        </c:manualLayout>
      </c:layout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850"/>
            </a:pPr>
            <a:r>
              <a:rPr lang="x-none" sz="850"/>
              <a:t>Inflacija</a:t>
            </a:r>
            <a:endParaRPr lang="en-US" sz="850"/>
          </a:p>
        </c:rich>
      </c:tx>
      <c:layout>
        <c:manualLayout>
          <c:xMode val="edge"/>
          <c:yMode val="edge"/>
          <c:x val="0.39504802970510638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15530642003083045"/>
          <c:y val="0.27762850440155157"/>
          <c:w val="0.81557945361102169"/>
          <c:h val="0.59367477295426552"/>
        </c:manualLayout>
      </c:layout>
      <c:lineChart>
        <c:grouping val="standard"/>
        <c:ser>
          <c:idx val="0"/>
          <c:order val="0"/>
          <c:tx>
            <c:strRef>
              <c:f>'Makroekonomski indikatori'!$C$19</c:f>
              <c:strCache>
                <c:ptCount val="1"/>
                <c:pt idx="0">
                  <c:v>Harmonizovani indeks potrošačkih cijena (stopa rasta)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'Makroekonomski indikatori'!$L$60:$AA$60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2012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indikatori'!$J$19:$AA$19</c:f>
              <c:numCache>
                <c:formatCode>0.0</c:formatCode>
                <c:ptCount val="13"/>
                <c:pt idx="0">
                  <c:v>3.9</c:v>
                </c:pt>
                <c:pt idx="1">
                  <c:v>3.5</c:v>
                </c:pt>
                <c:pt idx="2">
                  <c:v>3</c:v>
                </c:pt>
                <c:pt idx="3" formatCode="#,##0.0">
                  <c:v>3.1</c:v>
                </c:pt>
                <c:pt idx="4" formatCode="#,##0.0">
                  <c:v>3.1</c:v>
                </c:pt>
                <c:pt idx="5" formatCode="#,##0.0">
                  <c:v>2.1</c:v>
                </c:pt>
                <c:pt idx="6" formatCode="#,##0.0">
                  <c:v>2.9</c:v>
                </c:pt>
                <c:pt idx="7" formatCode="#,##0.0">
                  <c:v>3.6</c:v>
                </c:pt>
                <c:pt idx="8" formatCode="#,##0.0">
                  <c:v>4.4000000000000004</c:v>
                </c:pt>
                <c:pt idx="9" formatCode="#,##0.0">
                  <c:v>5.5</c:v>
                </c:pt>
                <c:pt idx="10" formatCode="#,##0.0">
                  <c:v>5</c:v>
                </c:pt>
                <c:pt idx="11" formatCode="#,##0.0">
                  <c:v>4.5999999999999996</c:v>
                </c:pt>
                <c:pt idx="12" formatCode="#,##0.0">
                  <c:v>4.9000000000000004</c:v>
                </c:pt>
              </c:numCache>
            </c:numRef>
          </c:val>
          <c:smooth val="1"/>
        </c:ser>
        <c:marker val="1"/>
        <c:axId val="145021184"/>
        <c:axId val="145235968"/>
      </c:lineChart>
      <c:catAx>
        <c:axId val="1450211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45235968"/>
        <c:crosses val="autoZero"/>
        <c:auto val="1"/>
        <c:lblAlgn val="ctr"/>
        <c:lblOffset val="100"/>
        <c:tickLblSkip val="3"/>
      </c:catAx>
      <c:valAx>
        <c:axId val="145235968"/>
        <c:scaling>
          <c:orientation val="minMax"/>
          <c:max val="5.5"/>
          <c:min val="1.5"/>
        </c:scaling>
        <c:axPos val="l"/>
        <c:numFmt formatCode="0.0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45021184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8.8110236220472468E-2"/>
          <c:y val="0.11004575755464199"/>
          <c:w val="0.63158980127484265"/>
          <c:h val="0.2096188464246847"/>
        </c:manualLayout>
      </c:layout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850"/>
            </a:pPr>
            <a:r>
              <a:rPr lang="x-none" sz="850"/>
              <a:t>Broj nezaposlenih i oglašena radna mjesta</a:t>
            </a:r>
            <a:endParaRPr lang="en-US" sz="850"/>
          </a:p>
        </c:rich>
      </c:tx>
      <c:layout>
        <c:manualLayout>
          <c:xMode val="edge"/>
          <c:yMode val="edge"/>
          <c:x val="0.1075741936752293"/>
          <c:y val="2.7894002789400563E-2"/>
        </c:manualLayout>
      </c:layout>
      <c:overlay val="1"/>
    </c:title>
    <c:plotArea>
      <c:layout>
        <c:manualLayout>
          <c:layoutTarget val="inner"/>
          <c:xMode val="edge"/>
          <c:yMode val="edge"/>
          <c:x val="0.14128027889643696"/>
          <c:y val="0.34329961892838673"/>
          <c:w val="0.67873334535473162"/>
          <c:h val="0.55998481869542671"/>
        </c:manualLayout>
      </c:layout>
      <c:barChart>
        <c:barDir val="col"/>
        <c:grouping val="clustered"/>
        <c:ser>
          <c:idx val="0"/>
          <c:order val="1"/>
          <c:tx>
            <c:strRef>
              <c:f>'Makroekonomski indikatori'!$C$26</c:f>
              <c:strCache>
                <c:ptCount val="1"/>
                <c:pt idx="0">
                  <c:v>Oglašena radna mjesta (broj)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strRef>
              <c:f>'Makroekonomski indikatori'!$K$60:$W$60</c:f>
              <c:strCache>
                <c:ptCount val="11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2012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</c:strCache>
            </c:strRef>
          </c:cat>
          <c:val>
            <c:numRef>
              <c:f>'Makroekonomski indikatori'!$J$26:$AA$26</c:f>
              <c:numCache>
                <c:formatCode>#,##0</c:formatCode>
                <c:ptCount val="13"/>
                <c:pt idx="0">
                  <c:v>1440</c:v>
                </c:pt>
                <c:pt idx="1">
                  <c:v>1049</c:v>
                </c:pt>
                <c:pt idx="2">
                  <c:v>876</c:v>
                </c:pt>
                <c:pt idx="3">
                  <c:v>734</c:v>
                </c:pt>
                <c:pt idx="4">
                  <c:v>976</c:v>
                </c:pt>
                <c:pt idx="5">
                  <c:v>1942</c:v>
                </c:pt>
                <c:pt idx="6">
                  <c:v>3003</c:v>
                </c:pt>
                <c:pt idx="7">
                  <c:v>3685</c:v>
                </c:pt>
                <c:pt idx="8">
                  <c:v>4146</c:v>
                </c:pt>
                <c:pt idx="9">
                  <c:v>2651</c:v>
                </c:pt>
                <c:pt idx="10">
                  <c:v>1081</c:v>
                </c:pt>
                <c:pt idx="11">
                  <c:v>725</c:v>
                </c:pt>
                <c:pt idx="12">
                  <c:v>2005</c:v>
                </c:pt>
              </c:numCache>
            </c:numRef>
          </c:val>
        </c:ser>
        <c:gapWidth val="92"/>
        <c:overlap val="-57"/>
        <c:axId val="146572032"/>
        <c:axId val="146099200"/>
      </c:barChart>
      <c:lineChart>
        <c:grouping val="standard"/>
        <c:ser>
          <c:idx val="1"/>
          <c:order val="0"/>
          <c:tx>
            <c:strRef>
              <c:f>'Makroekonomski indikatori'!$C$23</c:f>
              <c:strCache>
                <c:ptCount val="1"/>
                <c:pt idx="0">
                  <c:v>Broj nezaposlenih (broj, kraj perioda)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'Makroekonomski indikatori'!$J$60:$AA$60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2012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indikatori'!$J$23:$AA$23</c:f>
              <c:numCache>
                <c:formatCode>#,##0</c:formatCode>
                <c:ptCount val="13"/>
                <c:pt idx="0">
                  <c:v>30180</c:v>
                </c:pt>
                <c:pt idx="1">
                  <c:v>30576</c:v>
                </c:pt>
                <c:pt idx="2">
                  <c:v>30552</c:v>
                </c:pt>
                <c:pt idx="3">
                  <c:v>31339</c:v>
                </c:pt>
                <c:pt idx="4">
                  <c:v>31495</c:v>
                </c:pt>
                <c:pt idx="5">
                  <c:v>31562</c:v>
                </c:pt>
                <c:pt idx="6">
                  <c:v>31320</c:v>
                </c:pt>
                <c:pt idx="7">
                  <c:v>30126</c:v>
                </c:pt>
                <c:pt idx="8">
                  <c:v>29411</c:v>
                </c:pt>
                <c:pt idx="9">
                  <c:v>28686</c:v>
                </c:pt>
                <c:pt idx="10">
                  <c:v>28549</c:v>
                </c:pt>
                <c:pt idx="11">
                  <c:v>28272</c:v>
                </c:pt>
                <c:pt idx="12">
                  <c:v>29540</c:v>
                </c:pt>
              </c:numCache>
            </c:numRef>
          </c:val>
          <c:smooth val="1"/>
        </c:ser>
        <c:marker val="1"/>
        <c:axId val="145669504"/>
        <c:axId val="146097280"/>
      </c:lineChart>
      <c:catAx>
        <c:axId val="1456695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46097280"/>
        <c:crosses val="autoZero"/>
        <c:auto val="1"/>
        <c:lblAlgn val="ctr"/>
        <c:lblOffset val="100"/>
        <c:tickLblSkip val="3"/>
      </c:catAx>
      <c:valAx>
        <c:axId val="146097280"/>
        <c:scaling>
          <c:orientation val="minMax"/>
          <c:min val="25000"/>
        </c:scaling>
        <c:axPos val="l"/>
        <c:numFmt formatCode="#,##0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45669504"/>
        <c:crosses val="autoZero"/>
        <c:crossBetween val="between"/>
        <c:majorUnit val="5000"/>
      </c:valAx>
      <c:valAx>
        <c:axId val="146099200"/>
        <c:scaling>
          <c:orientation val="minMax"/>
          <c:min val="0"/>
        </c:scaling>
        <c:axPos val="r"/>
        <c:numFmt formatCode="#,##0" sourceLinked="1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46572032"/>
        <c:crosses val="max"/>
        <c:crossBetween val="between"/>
        <c:majorUnit val="2000"/>
      </c:valAx>
      <c:catAx>
        <c:axId val="146572032"/>
        <c:scaling>
          <c:orientation val="minMax"/>
        </c:scaling>
        <c:delete val="1"/>
        <c:axPos val="b"/>
        <c:tickLblPos val="none"/>
        <c:crossAx val="14609920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"/>
          <c:y val="0.16010450439036089"/>
          <c:w val="0.99546329365079367"/>
          <c:h val="0.12953713989651391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00"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 lang="en-US" sz="800"/>
            </a:pPr>
            <a:r>
              <a:rPr lang="en-US" sz="800"/>
              <a:t>Prihodi i rashodi budžeta Crne Gore </a:t>
            </a:r>
            <a:r>
              <a:rPr lang="sr-Latn-CS" sz="800"/>
              <a:t> u mil € </a:t>
            </a:r>
            <a:r>
              <a:rPr lang="x-none" sz="800"/>
              <a:t>(jan-</a:t>
            </a:r>
            <a:r>
              <a:rPr lang="en-US" sz="800"/>
              <a:t>okt</a:t>
            </a:r>
            <a:r>
              <a:rPr lang="x-none" sz="800"/>
              <a:t> </a:t>
            </a:r>
            <a:r>
              <a:rPr lang="x-none" sz="800" baseline="0"/>
              <a:t>2011 i jan-</a:t>
            </a:r>
            <a:r>
              <a:rPr lang="en-US" sz="800" baseline="0"/>
              <a:t>okt</a:t>
            </a:r>
            <a:r>
              <a:rPr lang="x-none" sz="800" baseline="0"/>
              <a:t> 2012</a:t>
            </a:r>
            <a:r>
              <a:rPr lang="en-US" sz="800"/>
              <a:t>)</a:t>
            </a:r>
          </a:p>
        </c:rich>
      </c:tx>
      <c:layout>
        <c:manualLayout>
          <c:xMode val="edge"/>
          <c:yMode val="edge"/>
          <c:x val="0.16894072648715025"/>
          <c:y val="2.623246417071785E-2"/>
        </c:manualLayout>
      </c:layout>
    </c:title>
    <c:plotArea>
      <c:layout>
        <c:manualLayout>
          <c:layoutTarget val="inner"/>
          <c:xMode val="edge"/>
          <c:yMode val="edge"/>
          <c:x val="0.13669920297651761"/>
          <c:y val="0.25853927400410626"/>
          <c:w val="0.83708597481209701"/>
          <c:h val="0.50990804427680403"/>
        </c:manualLayout>
      </c:layout>
      <c:barChart>
        <c:barDir val="col"/>
        <c:grouping val="clustered"/>
        <c:ser>
          <c:idx val="0"/>
          <c:order val="0"/>
          <c:tx>
            <c:v>2011</c:v>
          </c:tx>
          <c:spPr>
            <a:solidFill>
              <a:schemeClr val="tx2">
                <a:lumMod val="75000"/>
              </a:schemeClr>
            </a:solidFill>
            <a:ln w="25400" cap="rnd" cmpd="sng">
              <a:solidFill>
                <a:schemeClr val="tx2">
                  <a:lumMod val="75000"/>
                </a:schemeClr>
              </a:solidFill>
              <a:prstDash val="solid"/>
            </a:ln>
          </c:spPr>
          <c:dLbls>
            <c:numFmt formatCode="0.00,," sourceLinked="0"/>
            <c:txPr>
              <a:bodyPr/>
              <a:lstStyle/>
              <a:p>
                <a:pPr>
                  <a:defRPr lang="en-US" sz="700"/>
                </a:pPr>
                <a:endParaRPr lang="en-US"/>
              </a:p>
            </c:txPr>
            <c:showVal val="1"/>
          </c:dLbls>
          <c:cat>
            <c:strRef>
              <c:f>'Fiskalni indikatori'!$C$27:$C$28</c:f>
              <c:strCache>
                <c:ptCount val="2"/>
                <c:pt idx="0">
                  <c:v>Prihodi</c:v>
                </c:pt>
                <c:pt idx="1">
                  <c:v>Rashodi</c:v>
                </c:pt>
              </c:strCache>
            </c:strRef>
          </c:cat>
          <c:val>
            <c:numRef>
              <c:f>'Fiskalni indikatori'!$AP$28:$AP$29</c:f>
              <c:numCache>
                <c:formatCode>0.00,,</c:formatCode>
                <c:ptCount val="2"/>
                <c:pt idx="0">
                  <c:v>920617727.50999999</c:v>
                </c:pt>
                <c:pt idx="1">
                  <c:v>1010016437.3100001</c:v>
                </c:pt>
              </c:numCache>
            </c:numRef>
          </c:val>
        </c:ser>
        <c:ser>
          <c:idx val="1"/>
          <c:order val="1"/>
          <c:tx>
            <c:v>2012</c:v>
          </c:tx>
          <c:spPr>
            <a:solidFill>
              <a:srgbClr val="C00000"/>
            </a:solidFill>
            <a:ln w="25400">
              <a:solidFill>
                <a:srgbClr val="C00000"/>
              </a:solidFill>
            </a:ln>
          </c:spPr>
          <c:dLbls>
            <c:numFmt formatCode="0.00,," sourceLinked="0"/>
            <c:txPr>
              <a:bodyPr/>
              <a:lstStyle/>
              <a:p>
                <a:pPr>
                  <a:defRPr lang="en-US" sz="700"/>
                </a:pPr>
                <a:endParaRPr lang="en-US"/>
              </a:p>
            </c:txPr>
            <c:showVal val="1"/>
          </c:dLbls>
          <c:cat>
            <c:strRef>
              <c:f>'Fiskalni indikatori'!$C$27:$C$28</c:f>
              <c:strCache>
                <c:ptCount val="2"/>
                <c:pt idx="0">
                  <c:v>Prihodi</c:v>
                </c:pt>
                <c:pt idx="1">
                  <c:v>Rashodi</c:v>
                </c:pt>
              </c:strCache>
            </c:strRef>
          </c:cat>
          <c:val>
            <c:numRef>
              <c:f>'Fiskalni indikatori'!$AQ$28:$AQ$29</c:f>
              <c:numCache>
                <c:formatCode>0.00,,</c:formatCode>
                <c:ptCount val="2"/>
                <c:pt idx="0">
                  <c:v>907961278.22000003</c:v>
                </c:pt>
                <c:pt idx="1">
                  <c:v>1020954702.9599997</c:v>
                </c:pt>
              </c:numCache>
            </c:numRef>
          </c:val>
        </c:ser>
        <c:dLbls>
          <c:showVal val="1"/>
        </c:dLbls>
        <c:gapWidth val="75"/>
        <c:overlap val="-3"/>
        <c:axId val="144673024"/>
        <c:axId val="144678912"/>
      </c:barChart>
      <c:catAx>
        <c:axId val="1446730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44678912"/>
        <c:crosses val="autoZero"/>
        <c:auto val="1"/>
        <c:lblAlgn val="ctr"/>
        <c:lblOffset val="100"/>
      </c:catAx>
      <c:valAx>
        <c:axId val="144678912"/>
        <c:scaling>
          <c:orientation val="minMax"/>
          <c:max val="1030000000"/>
          <c:min val="900000000"/>
        </c:scaling>
        <c:axPos val="l"/>
        <c:numFmt formatCode="#,##0.0,," sourceLinked="0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44673024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850"/>
            </a:pPr>
            <a:r>
              <a:rPr lang="x-none" sz="850">
                <a:latin typeface="+mn-lt"/>
              </a:rPr>
              <a:t>Ukupni krediti i ukupni depoziti (mil.</a:t>
            </a:r>
            <a:r>
              <a:rPr lang="x-none" sz="850">
                <a:latin typeface="+mn-lt"/>
                <a:cs typeface="Times New Roman"/>
              </a:rPr>
              <a:t>€)</a:t>
            </a:r>
            <a:endParaRPr lang="en-US" sz="850">
              <a:latin typeface="+mn-lt"/>
            </a:endParaRPr>
          </a:p>
        </c:rich>
      </c:tx>
      <c:layout>
        <c:manualLayout>
          <c:xMode val="edge"/>
          <c:yMode val="edge"/>
          <c:x val="0.15342946507979752"/>
          <c:y val="1.3834681810037391E-2"/>
        </c:manualLayout>
      </c:layout>
      <c:overlay val="1"/>
    </c:title>
    <c:plotArea>
      <c:layout>
        <c:manualLayout>
          <c:layoutTarget val="inner"/>
          <c:xMode val="edge"/>
          <c:yMode val="edge"/>
          <c:x val="0.17597383961454918"/>
          <c:y val="0.2684206433073949"/>
          <c:w val="0.8157151894474729"/>
          <c:h val="0.63735838779956422"/>
        </c:manualLayout>
      </c:layout>
      <c:lineChart>
        <c:grouping val="standard"/>
        <c:ser>
          <c:idx val="1"/>
          <c:order val="0"/>
          <c:tx>
            <c:v>Krediti u kašnjenju</c:v>
          </c:tx>
          <c:cat>
            <c:strRef>
              <c:f>'Makroekonomski indikatori'!$L$60:$AA$60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2012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indikatori'!$D$33:$P$33</c:f>
            </c:numRef>
          </c:val>
        </c:ser>
        <c:ser>
          <c:idx val="0"/>
          <c:order val="1"/>
          <c:tx>
            <c:strRef>
              <c:f>'Makroekonomski indikatori'!$C$30</c:f>
              <c:strCache>
                <c:ptCount val="1"/>
                <c:pt idx="0">
                  <c:v>Ukupni krediti (kumulativ, u mil. €)</c:v>
                </c:pt>
              </c:strCache>
            </c:strRef>
          </c:tx>
          <c:spPr>
            <a:ln>
              <a:solidFill>
                <a:srgbClr val="C00000"/>
              </a:solidFill>
              <a:prstDash val="dash"/>
            </a:ln>
          </c:spPr>
          <c:marker>
            <c:symbol val="none"/>
          </c:marker>
          <c:cat>
            <c:strRef>
              <c:f>'Makroekonomski indikatori'!$L$60:$AA$60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2012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indikatori'!$J$30:$AA$30</c:f>
              <c:numCache>
                <c:formatCode>0,000.0,,</c:formatCode>
                <c:ptCount val="13"/>
                <c:pt idx="0">
                  <c:v>1941300000</c:v>
                </c:pt>
                <c:pt idx="1">
                  <c:v>1937700000</c:v>
                </c:pt>
                <c:pt idx="2">
                  <c:v>1955700000</c:v>
                </c:pt>
                <c:pt idx="3">
                  <c:v>1945732000</c:v>
                </c:pt>
                <c:pt idx="4">
                  <c:v>1943001000</c:v>
                </c:pt>
                <c:pt idx="5">
                  <c:v>1963878000</c:v>
                </c:pt>
                <c:pt idx="6" formatCode="#,##0.0,,">
                  <c:v>1971518000</c:v>
                </c:pt>
                <c:pt idx="7" formatCode="#,##0.0,,">
                  <c:v>1963286000</c:v>
                </c:pt>
                <c:pt idx="8" formatCode="#,##0.0,,">
                  <c:v>1958443000</c:v>
                </c:pt>
                <c:pt idx="9" formatCode="#,##0.0,,">
                  <c:v>1950054000</c:v>
                </c:pt>
                <c:pt idx="10" formatCode="#,##0.0,,">
                  <c:v>1905553000</c:v>
                </c:pt>
                <c:pt idx="11" formatCode="#,##0.0,,">
                  <c:v>1891846000</c:v>
                </c:pt>
                <c:pt idx="12" formatCode="#,##0.0,,">
                  <c:v>1859350000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'Makroekonomski indikatori'!$C$36</c:f>
              <c:strCache>
                <c:ptCount val="1"/>
                <c:pt idx="0">
                  <c:v>Ukupni depoziti (kumulativ, u mil €)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'Makroekonomski indikatori'!$L$60:$AA$60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2012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indikatori'!$J$36:$AA$36</c:f>
              <c:numCache>
                <c:formatCode>0,000.0,,</c:formatCode>
                <c:ptCount val="13"/>
                <c:pt idx="0">
                  <c:v>1868000000</c:v>
                </c:pt>
                <c:pt idx="1">
                  <c:v>1831100000</c:v>
                </c:pt>
                <c:pt idx="2">
                  <c:v>1817200000</c:v>
                </c:pt>
                <c:pt idx="3">
                  <c:v>1784319000</c:v>
                </c:pt>
                <c:pt idx="4">
                  <c:v>1796141000</c:v>
                </c:pt>
                <c:pt idx="5">
                  <c:v>1792598000</c:v>
                </c:pt>
                <c:pt idx="6" formatCode="#,##0.0,,">
                  <c:v>1809321000</c:v>
                </c:pt>
                <c:pt idx="7" formatCode="#,##0.0,,">
                  <c:v>1818885000</c:v>
                </c:pt>
                <c:pt idx="8" formatCode="#,##0.0,,">
                  <c:v>1843392000</c:v>
                </c:pt>
                <c:pt idx="9" formatCode="#,##0.0,,">
                  <c:v>1916624000</c:v>
                </c:pt>
                <c:pt idx="10" formatCode="#,##0.0,,">
                  <c:v>1954383000</c:v>
                </c:pt>
                <c:pt idx="11" formatCode="#,##0.0,,">
                  <c:v>2001119000</c:v>
                </c:pt>
                <c:pt idx="12" formatCode="#,##0.0,,">
                  <c:v>1965523000</c:v>
                </c:pt>
              </c:numCache>
            </c:numRef>
          </c:val>
          <c:smooth val="1"/>
        </c:ser>
        <c:marker val="1"/>
        <c:axId val="144692352"/>
        <c:axId val="144693888"/>
      </c:lineChart>
      <c:catAx>
        <c:axId val="144692352"/>
        <c:scaling>
          <c:orientation val="minMax"/>
        </c:scaling>
        <c:axPos val="b"/>
        <c:numFmt formatCode="0.0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44693888"/>
        <c:crosses val="autoZero"/>
        <c:auto val="1"/>
        <c:lblAlgn val="ctr"/>
        <c:lblOffset val="100"/>
        <c:tickLblSkip val="3"/>
      </c:catAx>
      <c:valAx>
        <c:axId val="144693888"/>
        <c:scaling>
          <c:orientation val="minMax"/>
          <c:min val="1700000000"/>
        </c:scaling>
        <c:axPos val="l"/>
        <c:numFmt formatCode="0,000.0,," sourceLinked="1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44692352"/>
        <c:crosses val="autoZero"/>
        <c:crossBetween val="between"/>
        <c:majorUnit val="200000000"/>
      </c:valAx>
    </c:plotArea>
    <c:legend>
      <c:legendPos val="b"/>
      <c:layout>
        <c:manualLayout>
          <c:xMode val="edge"/>
          <c:yMode val="edge"/>
          <c:x val="0.17328737172225744"/>
          <c:y val="0.11355588318310909"/>
          <c:w val="0.76155988612990044"/>
          <c:h val="0.12002300554562596"/>
        </c:manualLayout>
      </c:layout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850"/>
            </a:pPr>
            <a:r>
              <a:rPr lang="x-none" sz="850"/>
              <a:t>Spoljnotrgovinski bilans i strane direktne investicije</a:t>
            </a:r>
            <a:endParaRPr lang="en-US" sz="850"/>
          </a:p>
        </c:rich>
      </c:tx>
      <c:layout>
        <c:manualLayout>
          <c:xMode val="edge"/>
          <c:yMode val="edge"/>
          <c:x val="0.12421648874918362"/>
          <c:y val="3.2113238241385992E-3"/>
        </c:manualLayout>
      </c:layout>
      <c:overlay val="1"/>
    </c:title>
    <c:plotArea>
      <c:layout>
        <c:manualLayout>
          <c:layoutTarget val="inner"/>
          <c:xMode val="edge"/>
          <c:yMode val="edge"/>
          <c:x val="0.13648559752815709"/>
          <c:y val="0.27336576102048965"/>
          <c:w val="0.74772956018073844"/>
          <c:h val="0.60640646537888065"/>
        </c:manualLayout>
      </c:layout>
      <c:barChart>
        <c:barDir val="col"/>
        <c:grouping val="clustered"/>
        <c:ser>
          <c:idx val="0"/>
          <c:order val="0"/>
          <c:tx>
            <c:strRef>
              <c:f>'Makroekonomski indikatori'!$C$47</c:f>
              <c:strCache>
                <c:ptCount val="1"/>
                <c:pt idx="0">
                  <c:v>Spoljnotrgovinski bilans (u mil €)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strRef>
              <c:f>'Makroekonomski indikatori'!$L$60:$AA$60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2012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'Makroekonomski indikatori'!$J$47:$AA$47</c:f>
              <c:numCache>
                <c:formatCode>0.0,,</c:formatCode>
                <c:ptCount val="13"/>
                <c:pt idx="0">
                  <c:v>-103249000</c:v>
                </c:pt>
                <c:pt idx="1">
                  <c:v>-105680000</c:v>
                </c:pt>
                <c:pt idx="2">
                  <c:v>-127140000</c:v>
                </c:pt>
                <c:pt idx="3">
                  <c:v>-72459000</c:v>
                </c:pt>
                <c:pt idx="4">
                  <c:v>-82685000</c:v>
                </c:pt>
                <c:pt idx="5">
                  <c:v>-158091000</c:v>
                </c:pt>
                <c:pt idx="6" formatCode="#,##0.0,,">
                  <c:v>-119752000</c:v>
                </c:pt>
                <c:pt idx="7" formatCode="#,##0.0,,">
                  <c:v>-133185000</c:v>
                </c:pt>
                <c:pt idx="8" formatCode="#,##0.0,,">
                  <c:v>-138892000</c:v>
                </c:pt>
                <c:pt idx="9" formatCode="#,##0.0,,">
                  <c:v>-146196000</c:v>
                </c:pt>
                <c:pt idx="10" formatCode="#,##0.0,,">
                  <c:v>-141463000</c:v>
                </c:pt>
                <c:pt idx="11" formatCode="#,##0.0,,">
                  <c:v>-117453000</c:v>
                </c:pt>
                <c:pt idx="12" formatCode="#,##0.0,,">
                  <c:v>-132021000</c:v>
                </c:pt>
              </c:numCache>
            </c:numRef>
          </c:val>
        </c:ser>
        <c:gapWidth val="75"/>
        <c:axId val="145068416"/>
        <c:axId val="145069952"/>
      </c:barChart>
      <c:lineChart>
        <c:grouping val="standard"/>
        <c:ser>
          <c:idx val="1"/>
          <c:order val="1"/>
          <c:tx>
            <c:strRef>
              <c:f>'Makroekonomski indikatori'!$C$48</c:f>
              <c:strCache>
                <c:ptCount val="1"/>
                <c:pt idx="0">
                  <c:v>Strane direktne investicije (mil.€)</c:v>
                </c:pt>
              </c:strCache>
            </c:strRef>
          </c:tx>
          <c:spPr>
            <a:ln>
              <a:solidFill>
                <a:srgbClr val="C00000"/>
              </a:solidFill>
            </a:ln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strRef>
              <c:f>'Makroekonomski indikatori'!$K$60:$W$60</c:f>
              <c:strCache>
                <c:ptCount val="11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2012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</c:strCache>
            </c:strRef>
          </c:cat>
          <c:val>
            <c:numRef>
              <c:f>'Makroekonomski indikatori'!$H$48:$X$48</c:f>
              <c:numCache>
                <c:formatCode>0.0,,</c:formatCode>
                <c:ptCount val="12"/>
                <c:pt idx="0">
                  <c:v>44078750.050000004</c:v>
                </c:pt>
                <c:pt idx="1">
                  <c:v>49604775.20000001</c:v>
                </c:pt>
                <c:pt idx="2">
                  <c:v>24169568.349999998</c:v>
                </c:pt>
                <c:pt idx="3">
                  <c:v>15278290.590000004</c:v>
                </c:pt>
                <c:pt idx="4">
                  <c:v>18033788.310000021</c:v>
                </c:pt>
                <c:pt idx="5">
                  <c:v>20641574.120000001</c:v>
                </c:pt>
                <c:pt idx="6">
                  <c:v>25814449.929999992</c:v>
                </c:pt>
                <c:pt idx="7">
                  <c:v>27827836.690000001</c:v>
                </c:pt>
                <c:pt idx="8">
                  <c:v>37327581.420000002</c:v>
                </c:pt>
                <c:pt idx="9">
                  <c:v>58858633.18</c:v>
                </c:pt>
                <c:pt idx="10">
                  <c:v>18312453.68</c:v>
                </c:pt>
                <c:pt idx="11">
                  <c:v>84710259.730000004</c:v>
                </c:pt>
              </c:numCache>
            </c:numRef>
          </c:val>
          <c:smooth val="1"/>
        </c:ser>
        <c:marker val="1"/>
        <c:axId val="145085568"/>
        <c:axId val="145071488"/>
      </c:lineChart>
      <c:catAx>
        <c:axId val="14506841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lang="en-US" sz="600">
                <a:solidFill>
                  <a:schemeClr val="tx1"/>
                </a:solidFill>
              </a:defRPr>
            </a:pPr>
            <a:endParaRPr lang="en-US"/>
          </a:p>
        </c:txPr>
        <c:crossAx val="145069952"/>
        <c:crosses val="autoZero"/>
        <c:auto val="1"/>
        <c:lblAlgn val="ctr"/>
        <c:lblOffset val="100"/>
        <c:tickLblSkip val="3"/>
      </c:catAx>
      <c:valAx>
        <c:axId val="145069952"/>
        <c:scaling>
          <c:orientation val="minMax"/>
          <c:max val="160000000"/>
        </c:scaling>
        <c:axPos val="l"/>
        <c:numFmt formatCode="0.0,," sourceLinked="1"/>
        <c:maj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45068416"/>
        <c:crosses val="autoZero"/>
        <c:crossBetween val="between"/>
      </c:valAx>
      <c:valAx>
        <c:axId val="145071488"/>
        <c:scaling>
          <c:orientation val="minMax"/>
        </c:scaling>
        <c:axPos val="r"/>
        <c:numFmt formatCode="0.0,," sourceLinked="1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45085568"/>
        <c:crosses val="max"/>
        <c:crossBetween val="between"/>
      </c:valAx>
      <c:catAx>
        <c:axId val="145085568"/>
        <c:scaling>
          <c:orientation val="minMax"/>
        </c:scaling>
        <c:delete val="1"/>
        <c:axPos val="b"/>
        <c:tickLblPos val="none"/>
        <c:crossAx val="145071488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14203870903818355"/>
          <c:y val="0.17543616741247875"/>
          <c:w val="0.66177232142860065"/>
          <c:h val="0.1247826797385666"/>
        </c:manualLayout>
      </c:layout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</c:chart>
  <c:spPr>
    <a:solidFill>
      <a:schemeClr val="bg1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D024-0045-4857-A16D-39D834CA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milos.popovic;Iva Radovan</dc:creator>
  <cp:lastModifiedBy>iva.vukovic</cp:lastModifiedBy>
  <cp:revision>113</cp:revision>
  <cp:lastPrinted>2012-11-12T09:08:00Z</cp:lastPrinted>
  <dcterms:created xsi:type="dcterms:W3CDTF">2012-10-12T10:42:00Z</dcterms:created>
  <dcterms:modified xsi:type="dcterms:W3CDTF">2013-02-20T09:51:00Z</dcterms:modified>
</cp:coreProperties>
</file>