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137" w:rsidRDefault="004A2137" w:rsidP="004A2137">
      <w:pPr>
        <w:jc w:val="center"/>
      </w:pPr>
      <w:r>
        <w:rPr>
          <w:noProof/>
        </w:rPr>
        <w:drawing>
          <wp:inline distT="0" distB="0" distL="0" distR="0">
            <wp:extent cx="647700" cy="790575"/>
            <wp:effectExtent l="0" t="0" r="0" b="9525"/>
            <wp:docPr id="1" name="Picture 1" descr="http://www.vlada.cg.yu/img/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lada.cg.yu/img/1095339371.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rsidR="004A2137" w:rsidRDefault="004A2137" w:rsidP="004A2137">
      <w:pPr>
        <w:jc w:val="center"/>
      </w:pPr>
    </w:p>
    <w:p w:rsidR="004A2137" w:rsidRDefault="004A2137" w:rsidP="004A2137">
      <w:pPr>
        <w:jc w:val="center"/>
        <w:rPr>
          <w:rFonts w:ascii="Arial" w:hAnsi="Arial" w:cs="Arial"/>
          <w:b/>
          <w:sz w:val="24"/>
          <w:szCs w:val="24"/>
        </w:rPr>
      </w:pPr>
      <w:r>
        <w:rPr>
          <w:rFonts w:ascii="Arial" w:hAnsi="Arial" w:cs="Arial"/>
          <w:b/>
          <w:sz w:val="24"/>
          <w:szCs w:val="24"/>
        </w:rPr>
        <w:t>CRNA GORA</w:t>
      </w:r>
    </w:p>
    <w:p w:rsidR="004A2137" w:rsidRDefault="004A2137" w:rsidP="004A2137">
      <w:pPr>
        <w:jc w:val="center"/>
        <w:rPr>
          <w:rFonts w:ascii="Arial" w:hAnsi="Arial" w:cs="Arial"/>
          <w:b/>
          <w:sz w:val="24"/>
          <w:szCs w:val="24"/>
        </w:rPr>
      </w:pPr>
      <w:r>
        <w:rPr>
          <w:rFonts w:ascii="Arial" w:hAnsi="Arial" w:cs="Arial"/>
          <w:b/>
          <w:sz w:val="24"/>
          <w:szCs w:val="24"/>
        </w:rPr>
        <w:t>MINISTARSTVO PRAVDE</w:t>
      </w:r>
    </w:p>
    <w:p w:rsidR="004A2137" w:rsidRDefault="004A2137" w:rsidP="004A2137">
      <w:pPr>
        <w:jc w:val="center"/>
        <w:rPr>
          <w:rFonts w:ascii="Arial" w:hAnsi="Arial" w:cs="Arial"/>
          <w:b/>
          <w:sz w:val="24"/>
          <w:szCs w:val="24"/>
        </w:rPr>
      </w:pPr>
    </w:p>
    <w:p w:rsidR="004A2137" w:rsidRDefault="004A2137" w:rsidP="004A2137">
      <w:pPr>
        <w:jc w:val="center"/>
        <w:rPr>
          <w:rFonts w:ascii="Arial" w:hAnsi="Arial" w:cs="Arial"/>
          <w:b/>
          <w:sz w:val="24"/>
          <w:szCs w:val="24"/>
        </w:rPr>
      </w:pPr>
    </w:p>
    <w:p w:rsidR="004A2137" w:rsidRDefault="004A2137" w:rsidP="004A2137">
      <w:pPr>
        <w:jc w:val="center"/>
        <w:rPr>
          <w:rFonts w:ascii="Arial" w:hAnsi="Arial" w:cs="Arial"/>
          <w:b/>
          <w:sz w:val="24"/>
          <w:szCs w:val="24"/>
        </w:rPr>
      </w:pPr>
    </w:p>
    <w:p w:rsidR="004A2137" w:rsidRDefault="004A2137" w:rsidP="004A2137">
      <w:pPr>
        <w:jc w:val="center"/>
        <w:rPr>
          <w:rFonts w:ascii="Arial" w:hAnsi="Arial" w:cs="Arial"/>
          <w:b/>
          <w:sz w:val="24"/>
          <w:szCs w:val="24"/>
        </w:rPr>
      </w:pPr>
    </w:p>
    <w:p w:rsidR="004A2137" w:rsidRDefault="004A2137" w:rsidP="004A2137">
      <w:pPr>
        <w:spacing w:after="0"/>
        <w:jc w:val="center"/>
        <w:rPr>
          <w:rFonts w:ascii="Arial" w:hAnsi="Arial" w:cs="Arial"/>
          <w:b/>
          <w:sz w:val="28"/>
          <w:szCs w:val="28"/>
          <w:lang w:val="sr-Latn-ME"/>
        </w:rPr>
      </w:pPr>
      <w:r>
        <w:rPr>
          <w:rFonts w:ascii="Arial" w:hAnsi="Arial" w:cs="Arial"/>
          <w:b/>
          <w:sz w:val="28"/>
          <w:szCs w:val="28"/>
        </w:rPr>
        <w:t>I</w:t>
      </w:r>
      <w:r>
        <w:rPr>
          <w:rFonts w:ascii="Arial" w:hAnsi="Arial" w:cs="Arial"/>
          <w:b/>
          <w:sz w:val="28"/>
          <w:szCs w:val="28"/>
          <w:lang w:val="sr-Latn-ME"/>
        </w:rPr>
        <w:t>ZVJEŠTAJ</w:t>
      </w:r>
    </w:p>
    <w:p w:rsidR="004A2137" w:rsidRDefault="004A2137" w:rsidP="004A2137">
      <w:pPr>
        <w:spacing w:after="0"/>
        <w:jc w:val="center"/>
        <w:rPr>
          <w:rFonts w:ascii="Arial" w:hAnsi="Arial" w:cs="Arial"/>
          <w:b/>
          <w:sz w:val="28"/>
          <w:szCs w:val="28"/>
          <w:lang w:val="sr-Latn-ME"/>
        </w:rPr>
      </w:pPr>
      <w:r>
        <w:rPr>
          <w:rFonts w:ascii="Arial" w:hAnsi="Arial" w:cs="Arial"/>
          <w:b/>
          <w:sz w:val="28"/>
          <w:szCs w:val="28"/>
          <w:lang w:val="sr-Latn-ME"/>
        </w:rPr>
        <w:t xml:space="preserve"> O PRIMJENI INSTITUTA</w:t>
      </w:r>
    </w:p>
    <w:p w:rsidR="004A2137" w:rsidRDefault="004A2137" w:rsidP="004A2137">
      <w:pPr>
        <w:spacing w:after="0"/>
        <w:jc w:val="center"/>
        <w:rPr>
          <w:rFonts w:ascii="Arial" w:hAnsi="Arial" w:cs="Arial"/>
          <w:b/>
          <w:sz w:val="28"/>
          <w:szCs w:val="28"/>
          <w:lang w:val="sr-Latn-ME"/>
        </w:rPr>
      </w:pPr>
      <w:r>
        <w:rPr>
          <w:rFonts w:ascii="Arial" w:hAnsi="Arial" w:cs="Arial"/>
          <w:b/>
          <w:sz w:val="28"/>
          <w:szCs w:val="28"/>
          <w:lang w:val="sr-Latn-ME"/>
        </w:rPr>
        <w:t xml:space="preserve"> „LICE ZA PODRŠKU DJETETU U POSTUPCIMA U VEZI SA PORODIČNIM ODNOSIMA“</w:t>
      </w:r>
    </w:p>
    <w:p w:rsidR="004A2137" w:rsidRDefault="004A2137" w:rsidP="004A2137">
      <w:pPr>
        <w:jc w:val="center"/>
        <w:rPr>
          <w:rFonts w:ascii="Arial" w:hAnsi="Arial" w:cs="Arial"/>
          <w:b/>
          <w:sz w:val="28"/>
          <w:szCs w:val="28"/>
          <w:lang w:val="sr-Latn-ME"/>
        </w:rPr>
      </w:pPr>
      <w:r>
        <w:rPr>
          <w:rFonts w:ascii="Arial" w:hAnsi="Arial" w:cs="Arial"/>
          <w:b/>
          <w:sz w:val="28"/>
          <w:szCs w:val="28"/>
          <w:lang w:val="sr-Latn-ME"/>
        </w:rPr>
        <w:t>(NOVEMBAR 2021 – NOVEMBAR 2022.)</w:t>
      </w:r>
    </w:p>
    <w:p w:rsidR="004A2137" w:rsidRDefault="004A2137" w:rsidP="004A2137">
      <w:pPr>
        <w:jc w:val="center"/>
        <w:rPr>
          <w:rFonts w:ascii="Arial" w:hAnsi="Arial" w:cs="Arial"/>
          <w:b/>
          <w:sz w:val="28"/>
          <w:szCs w:val="28"/>
          <w:lang w:val="sr-Latn-ME"/>
        </w:rPr>
      </w:pPr>
    </w:p>
    <w:p w:rsidR="004A2137" w:rsidRDefault="004A2137" w:rsidP="004A2137">
      <w:pPr>
        <w:jc w:val="center"/>
        <w:rPr>
          <w:rFonts w:ascii="Arial" w:hAnsi="Arial" w:cs="Arial"/>
          <w:b/>
          <w:sz w:val="28"/>
          <w:szCs w:val="28"/>
          <w:lang w:val="sr-Latn-ME"/>
        </w:rPr>
      </w:pPr>
    </w:p>
    <w:p w:rsidR="004A2137" w:rsidRDefault="004A2137" w:rsidP="004A2137">
      <w:pPr>
        <w:jc w:val="center"/>
        <w:rPr>
          <w:rFonts w:ascii="Arial" w:hAnsi="Arial" w:cs="Arial"/>
          <w:b/>
          <w:sz w:val="28"/>
          <w:szCs w:val="28"/>
          <w:lang w:val="sr-Latn-ME"/>
        </w:rPr>
      </w:pPr>
    </w:p>
    <w:p w:rsidR="004A2137" w:rsidRDefault="004A2137" w:rsidP="004A2137">
      <w:pPr>
        <w:jc w:val="center"/>
        <w:rPr>
          <w:rFonts w:ascii="Arial" w:hAnsi="Arial" w:cs="Arial"/>
          <w:b/>
          <w:sz w:val="28"/>
          <w:szCs w:val="28"/>
          <w:lang w:val="sr-Latn-ME"/>
        </w:rPr>
      </w:pPr>
    </w:p>
    <w:p w:rsidR="004A2137" w:rsidRDefault="004A2137" w:rsidP="004A2137">
      <w:pPr>
        <w:jc w:val="center"/>
        <w:rPr>
          <w:rFonts w:ascii="Arial" w:hAnsi="Arial" w:cs="Arial"/>
          <w:b/>
          <w:sz w:val="28"/>
          <w:szCs w:val="28"/>
          <w:lang w:val="sr-Latn-ME"/>
        </w:rPr>
      </w:pPr>
    </w:p>
    <w:p w:rsidR="004A2137" w:rsidRDefault="004A2137" w:rsidP="004A2137">
      <w:pPr>
        <w:jc w:val="center"/>
        <w:rPr>
          <w:rFonts w:ascii="Arial" w:hAnsi="Arial" w:cs="Arial"/>
          <w:b/>
          <w:sz w:val="28"/>
          <w:szCs w:val="28"/>
          <w:lang w:val="sr-Latn-ME"/>
        </w:rPr>
      </w:pPr>
    </w:p>
    <w:p w:rsidR="004A2137" w:rsidRDefault="004A2137" w:rsidP="004A2137">
      <w:pPr>
        <w:jc w:val="center"/>
        <w:rPr>
          <w:rFonts w:ascii="Arial" w:hAnsi="Arial" w:cs="Arial"/>
          <w:b/>
          <w:sz w:val="28"/>
          <w:szCs w:val="28"/>
          <w:lang w:val="sr-Latn-ME"/>
        </w:rPr>
      </w:pPr>
    </w:p>
    <w:p w:rsidR="004A2137" w:rsidRDefault="004A2137" w:rsidP="004A2137">
      <w:pPr>
        <w:jc w:val="center"/>
        <w:rPr>
          <w:rFonts w:ascii="Arial" w:hAnsi="Arial" w:cs="Arial"/>
          <w:b/>
          <w:sz w:val="28"/>
          <w:szCs w:val="28"/>
          <w:lang w:val="sr-Latn-ME"/>
        </w:rPr>
      </w:pPr>
    </w:p>
    <w:p w:rsidR="004A2137" w:rsidRDefault="004A2137" w:rsidP="004A2137">
      <w:pPr>
        <w:jc w:val="center"/>
        <w:rPr>
          <w:rFonts w:ascii="Arial" w:hAnsi="Arial" w:cs="Arial"/>
          <w:b/>
          <w:sz w:val="28"/>
          <w:szCs w:val="28"/>
          <w:lang w:val="sr-Latn-ME"/>
        </w:rPr>
      </w:pPr>
    </w:p>
    <w:p w:rsidR="004A2137" w:rsidRDefault="004A2137" w:rsidP="004A2137">
      <w:pPr>
        <w:jc w:val="center"/>
        <w:rPr>
          <w:rFonts w:ascii="Arial" w:hAnsi="Arial" w:cs="Arial"/>
          <w:b/>
          <w:sz w:val="28"/>
          <w:szCs w:val="28"/>
          <w:lang w:val="sr-Latn-ME"/>
        </w:rPr>
      </w:pPr>
    </w:p>
    <w:p w:rsidR="004A2137" w:rsidRDefault="004A2137" w:rsidP="004A2137">
      <w:pPr>
        <w:jc w:val="center"/>
        <w:rPr>
          <w:rFonts w:ascii="Arial" w:hAnsi="Arial" w:cs="Arial"/>
          <w:b/>
          <w:sz w:val="28"/>
          <w:szCs w:val="28"/>
          <w:lang w:val="sr-Latn-ME"/>
        </w:rPr>
      </w:pPr>
    </w:p>
    <w:p w:rsidR="004A2137" w:rsidRDefault="004A2137" w:rsidP="004A2137">
      <w:pPr>
        <w:jc w:val="center"/>
        <w:rPr>
          <w:rFonts w:ascii="Arial" w:hAnsi="Arial" w:cs="Arial"/>
          <w:b/>
          <w:sz w:val="24"/>
          <w:szCs w:val="24"/>
          <w:lang w:val="sr-Latn-ME"/>
        </w:rPr>
      </w:pPr>
      <w:r>
        <w:rPr>
          <w:rFonts w:ascii="Arial" w:hAnsi="Arial" w:cs="Arial"/>
          <w:b/>
          <w:sz w:val="24"/>
          <w:szCs w:val="24"/>
          <w:lang w:val="sr-Latn-ME"/>
        </w:rPr>
        <w:t>Podgorica, decembar 2022. godine</w:t>
      </w:r>
    </w:p>
    <w:p w:rsidR="003B60EE" w:rsidRDefault="003B60EE" w:rsidP="00546BFC">
      <w:pPr>
        <w:jc w:val="both"/>
        <w:rPr>
          <w:sz w:val="24"/>
          <w:szCs w:val="24"/>
          <w:lang w:val="sr-Latn-ME"/>
        </w:rPr>
      </w:pPr>
    </w:p>
    <w:p w:rsidR="004A2137" w:rsidRDefault="004A2137" w:rsidP="00546BFC">
      <w:pPr>
        <w:jc w:val="both"/>
        <w:rPr>
          <w:rFonts w:ascii="Arial" w:hAnsi="Arial" w:cs="Arial"/>
          <w:b/>
          <w:sz w:val="24"/>
          <w:szCs w:val="24"/>
          <w:lang w:val="sr-Latn-ME"/>
        </w:rPr>
      </w:pPr>
      <w:r>
        <w:rPr>
          <w:rFonts w:ascii="Arial" w:hAnsi="Arial" w:cs="Arial"/>
          <w:b/>
          <w:sz w:val="24"/>
          <w:szCs w:val="24"/>
          <w:lang w:val="sr-Latn-ME"/>
        </w:rPr>
        <w:lastRenderedPageBreak/>
        <w:t>UVOD</w:t>
      </w:r>
    </w:p>
    <w:p w:rsidR="004A2137" w:rsidRDefault="004A2137" w:rsidP="00546BFC">
      <w:pPr>
        <w:jc w:val="both"/>
        <w:rPr>
          <w:rFonts w:ascii="Arial" w:hAnsi="Arial" w:cs="Arial"/>
          <w:sz w:val="24"/>
          <w:szCs w:val="24"/>
          <w:lang w:val="sr-Latn-ME"/>
        </w:rPr>
      </w:pPr>
      <w:r>
        <w:rPr>
          <w:rFonts w:ascii="Arial" w:hAnsi="Arial" w:cs="Arial"/>
          <w:sz w:val="24"/>
          <w:szCs w:val="24"/>
          <w:lang w:val="sr-Latn-ME"/>
        </w:rPr>
        <w:tab/>
        <w:t>Institut „Lice za podršku djetetu u postupcima u vezi sa porodičnim odnosima“ (u daljem tekstu: Lice za podršku) uveden je u pravni sistem Crne Gore Zakonom o izmjenama i dopunama Porodičnog zakona („Službeni list CG“, broj 53/16), sa ciljem pružanja stručne pomoći i podrške djetetu u sudskim postupcima u vezi sa porodičnim odnosima.</w:t>
      </w:r>
    </w:p>
    <w:p w:rsidR="004A2137" w:rsidRDefault="004A2137" w:rsidP="00546BFC">
      <w:pPr>
        <w:jc w:val="both"/>
        <w:rPr>
          <w:rFonts w:ascii="Arial" w:hAnsi="Arial" w:cs="Arial"/>
          <w:sz w:val="24"/>
          <w:szCs w:val="24"/>
          <w:lang w:val="sr-Latn-ME"/>
        </w:rPr>
      </w:pPr>
      <w:r>
        <w:rPr>
          <w:rFonts w:ascii="Arial" w:hAnsi="Arial" w:cs="Arial"/>
          <w:sz w:val="24"/>
          <w:szCs w:val="24"/>
          <w:lang w:val="sr-Latn-ME"/>
        </w:rPr>
        <w:tab/>
        <w:t>Imajući u vidu poseban značaj i ulogu instituta Lice za podršku, Akcionim planom za implementaciju Strategije reforme pravosuđa 2019 – 2020 (mjera 2.3.3.) i Programom rada Ministarstva pravde za IV kvartal 2021. godine, predviđeno je praćenje njegove praktične primjene kroz izradu godišnjeg Izvještaja o primjeni instituta „Lice za podršku djetetu u postupcima u vezi sa porodičnim odnosima“.</w:t>
      </w:r>
    </w:p>
    <w:p w:rsidR="004A2137" w:rsidRDefault="004A2137" w:rsidP="00546BFC">
      <w:pPr>
        <w:jc w:val="both"/>
        <w:rPr>
          <w:rFonts w:ascii="Arial" w:hAnsi="Arial" w:cs="Arial"/>
          <w:sz w:val="24"/>
          <w:szCs w:val="24"/>
          <w:lang w:val="sr-Latn-ME"/>
        </w:rPr>
      </w:pPr>
      <w:r>
        <w:rPr>
          <w:rFonts w:ascii="Arial" w:hAnsi="Arial" w:cs="Arial"/>
          <w:sz w:val="24"/>
          <w:szCs w:val="24"/>
          <w:lang w:val="sr-Latn-ME"/>
        </w:rPr>
        <w:tab/>
        <w:t>Izvještaj se zasniva na podacima pribavljenim od osnovnih sudova, Centra za obuku u sudstvu i državnom tužilaštvu, podacima i informacijama pribavljenim od lica za podršku, sudija i advokata.</w:t>
      </w:r>
    </w:p>
    <w:p w:rsidR="004A2137" w:rsidRDefault="004A2137" w:rsidP="00546BFC">
      <w:pPr>
        <w:jc w:val="both"/>
        <w:rPr>
          <w:rFonts w:ascii="Arial" w:hAnsi="Arial" w:cs="Arial"/>
          <w:sz w:val="24"/>
          <w:szCs w:val="24"/>
          <w:lang w:val="sr-Latn-ME"/>
        </w:rPr>
      </w:pPr>
    </w:p>
    <w:p w:rsidR="004A2137" w:rsidRDefault="004A2137" w:rsidP="00546BFC">
      <w:pPr>
        <w:jc w:val="both"/>
        <w:rPr>
          <w:rFonts w:ascii="Arial" w:hAnsi="Arial" w:cs="Arial"/>
          <w:b/>
          <w:sz w:val="24"/>
          <w:szCs w:val="24"/>
          <w:lang w:val="sr-Latn-ME"/>
        </w:rPr>
      </w:pPr>
      <w:r>
        <w:rPr>
          <w:rFonts w:ascii="Arial" w:hAnsi="Arial" w:cs="Arial"/>
          <w:b/>
          <w:sz w:val="24"/>
          <w:szCs w:val="24"/>
          <w:lang w:val="sr-Latn-ME"/>
        </w:rPr>
        <w:t>I NORMATIVNI OKVIR</w:t>
      </w:r>
    </w:p>
    <w:p w:rsidR="003E6AD2" w:rsidRDefault="003E6AD2" w:rsidP="00546BFC">
      <w:pPr>
        <w:jc w:val="both"/>
        <w:rPr>
          <w:rFonts w:ascii="Arial" w:hAnsi="Arial" w:cs="Arial"/>
          <w:b/>
          <w:sz w:val="24"/>
          <w:szCs w:val="24"/>
          <w:lang w:val="sr-Latn-ME"/>
        </w:rPr>
      </w:pPr>
    </w:p>
    <w:p w:rsidR="004A2137" w:rsidRDefault="004A2137" w:rsidP="00546BFC">
      <w:pPr>
        <w:jc w:val="both"/>
        <w:rPr>
          <w:rFonts w:ascii="Arial" w:hAnsi="Arial" w:cs="Arial"/>
          <w:sz w:val="24"/>
          <w:szCs w:val="24"/>
          <w:lang w:val="sr-Latn-ME"/>
        </w:rPr>
      </w:pPr>
      <w:r>
        <w:rPr>
          <w:rFonts w:ascii="Arial" w:hAnsi="Arial" w:cs="Arial"/>
          <w:b/>
          <w:sz w:val="24"/>
          <w:szCs w:val="24"/>
          <w:lang w:val="sr-Latn-ME"/>
        </w:rPr>
        <w:tab/>
      </w:r>
      <w:r>
        <w:rPr>
          <w:rFonts w:ascii="Arial" w:hAnsi="Arial" w:cs="Arial"/>
          <w:sz w:val="24"/>
          <w:szCs w:val="24"/>
          <w:lang w:val="sr-Latn-ME"/>
        </w:rPr>
        <w:t>Ustav Crne Gore iz 2007. godine promoviše koncep</w:t>
      </w:r>
      <w:r w:rsidR="00C86309">
        <w:rPr>
          <w:rFonts w:ascii="Arial" w:hAnsi="Arial" w:cs="Arial"/>
          <w:sz w:val="24"/>
          <w:szCs w:val="24"/>
          <w:lang w:val="sr-Latn-ME"/>
        </w:rPr>
        <w:t>t</w:t>
      </w:r>
      <w:r>
        <w:rPr>
          <w:rFonts w:ascii="Arial" w:hAnsi="Arial" w:cs="Arial"/>
          <w:sz w:val="24"/>
          <w:szCs w:val="24"/>
          <w:lang w:val="sr-Latn-ME"/>
        </w:rPr>
        <w:t xml:space="preserve"> prava djeteta, propisujući da dijete uživa prava i slobode koji su primjereni njegovom uzrastu i zrelosti, kao i da se djetetu jemči posebna zaštita od psihičkog, fizičkog, ekonomskog i svakog drugog iskorišćavanja ili zloupotrebe (član 74 Ustava).</w:t>
      </w:r>
    </w:p>
    <w:p w:rsidR="004A2137" w:rsidRDefault="004A2137" w:rsidP="00546BFC">
      <w:pPr>
        <w:jc w:val="both"/>
        <w:rPr>
          <w:rFonts w:ascii="Arial" w:hAnsi="Arial" w:cs="Arial"/>
          <w:sz w:val="24"/>
          <w:szCs w:val="24"/>
          <w:lang w:val="sr-Latn-ME"/>
        </w:rPr>
      </w:pPr>
      <w:r>
        <w:rPr>
          <w:rFonts w:ascii="Arial" w:hAnsi="Arial" w:cs="Arial"/>
          <w:sz w:val="24"/>
          <w:szCs w:val="24"/>
          <w:lang w:val="sr-Latn-ME"/>
        </w:rPr>
        <w:tab/>
        <w:t>Institut Lice za podršku uveden je u pravni sistem Crne Gore 2016. godine donošenjem Zakona o izmjenama i dopunama Porodičnog zakona, kojim je parcijalno noveliran Porodični zakon iz 2007. godine, pri čemu se najveći broj novina odnosi na oblast prava djeteta i mehanizme namijenjene sudskoj zaštiti prava djeteta iz sfere porodičnih odnosa. Uvođenjem ovog instituta unaprijeđeni su uslovi za efektivno učešće djece u sudskim postupcima iz porodično – pravnih odnosa i pružanje potrebne stručne pomoći</w:t>
      </w:r>
      <w:r w:rsidR="009C4B5C">
        <w:rPr>
          <w:rFonts w:ascii="Arial" w:hAnsi="Arial" w:cs="Arial"/>
          <w:sz w:val="24"/>
          <w:szCs w:val="24"/>
          <w:lang w:val="sr-Latn-ME"/>
        </w:rPr>
        <w:t xml:space="preserve"> i podrške djeci o čijim se pravima i interesima odlučuje, u skladu sa međunarodnim standardima.</w:t>
      </w:r>
    </w:p>
    <w:p w:rsidR="009C4B5C" w:rsidRDefault="009C4B5C" w:rsidP="00546BFC">
      <w:pPr>
        <w:jc w:val="both"/>
        <w:rPr>
          <w:rFonts w:ascii="Arial" w:hAnsi="Arial" w:cs="Arial"/>
          <w:sz w:val="24"/>
          <w:szCs w:val="24"/>
          <w:lang w:val="sr-Latn-ME"/>
        </w:rPr>
      </w:pPr>
      <w:r>
        <w:rPr>
          <w:rFonts w:ascii="Arial" w:hAnsi="Arial" w:cs="Arial"/>
          <w:sz w:val="24"/>
          <w:szCs w:val="24"/>
          <w:lang w:val="sr-Latn-ME"/>
        </w:rPr>
        <w:tab/>
        <w:t>Iskustvo pokazuje da je djetetu učesniku u sudskom postupku, bez obzira da li ima položaj stranke, svjedoka ili učesnika koji izražava svoje mišljenje, najčešće neophodna stručna pomoć i podrška, jer je nedovoljno pripremljeno za dolazak pred sud, ne poznaje svoja prava i ne razumije na pravi način ono što se događa u sudnici. S druge strane, za djecu, posebno onu nižeg uzrasta, dolazak u sudnicu i suočavanje sa tipičnim ambijentom i atmosferom koja u njoj vlada predstavlja traumatično iskustvo i uzrok je svojevrsne viktimizacije djeteta. Sagledavajući potrebu da se djeci obezbijedi adekvatna pomoć i podrška stručnih osoba, a imajući u vidu raznovrsne modele u uporednim pravnim sistemima, uveden je novi institut Lice za podršku, model koji je prilagođen domaćem pravnom sistemu.</w:t>
      </w:r>
    </w:p>
    <w:p w:rsidR="009C4B5C" w:rsidRDefault="009C4B5C" w:rsidP="00546BFC">
      <w:pPr>
        <w:jc w:val="both"/>
        <w:rPr>
          <w:rFonts w:ascii="Arial" w:hAnsi="Arial" w:cs="Arial"/>
          <w:sz w:val="24"/>
          <w:szCs w:val="24"/>
          <w:lang w:val="sr-Latn-ME"/>
        </w:rPr>
      </w:pPr>
      <w:r>
        <w:rPr>
          <w:rFonts w:ascii="Arial" w:hAnsi="Arial" w:cs="Arial"/>
          <w:sz w:val="24"/>
          <w:szCs w:val="24"/>
          <w:lang w:val="sr-Latn-ME"/>
        </w:rPr>
        <w:lastRenderedPageBreak/>
        <w:t>U Porodičnom zakonu u članu 317v stav 1 najprije je propisano da u postupcima u vezi sa porodičnim odnosima, sud može, ako ocijeni da to zahtijeva intenzitet konflikta između djeteta i roditelja ili između roditelja, postaviti djetetu Lice za podršku. Lice za podršku se postavlja djetetu mlađem od 14 godina bez njegove saglasnosti, a djetetu starijem od 14 godina iz njegovu saglasnost.</w:t>
      </w:r>
    </w:p>
    <w:p w:rsidR="005E6ED8" w:rsidRDefault="005E6ED8" w:rsidP="00546BFC">
      <w:pPr>
        <w:jc w:val="both"/>
        <w:rPr>
          <w:rFonts w:ascii="Arial" w:hAnsi="Arial" w:cs="Arial"/>
          <w:sz w:val="24"/>
          <w:szCs w:val="24"/>
          <w:lang w:val="sr-Latn-ME"/>
        </w:rPr>
      </w:pPr>
      <w:r>
        <w:rPr>
          <w:rFonts w:ascii="Arial" w:hAnsi="Arial" w:cs="Arial"/>
          <w:sz w:val="24"/>
          <w:szCs w:val="24"/>
          <w:lang w:val="sr-Latn-ME"/>
        </w:rPr>
        <w:tab/>
        <w:t>Lic</w:t>
      </w:r>
      <w:r w:rsidR="006E652A">
        <w:rPr>
          <w:rFonts w:ascii="Arial" w:hAnsi="Arial" w:cs="Arial"/>
          <w:sz w:val="24"/>
          <w:szCs w:val="24"/>
          <w:lang w:val="sr-Latn-ME"/>
        </w:rPr>
        <w:t>a</w:t>
      </w:r>
      <w:r>
        <w:rPr>
          <w:rFonts w:ascii="Arial" w:hAnsi="Arial" w:cs="Arial"/>
          <w:sz w:val="24"/>
          <w:szCs w:val="24"/>
          <w:lang w:val="sr-Latn-ME"/>
        </w:rPr>
        <w:t xml:space="preserve"> za podršku djetetu su stručnjaci odgovarajućeg profila koji </w:t>
      </w:r>
      <w:r w:rsidR="00A55660">
        <w:rPr>
          <w:rFonts w:ascii="Arial" w:hAnsi="Arial" w:cs="Arial"/>
          <w:sz w:val="24"/>
          <w:szCs w:val="24"/>
          <w:lang w:val="sr-Latn-ME"/>
        </w:rPr>
        <w:t>se nalaze na listi Lica za podršku koju utvrđuje Ministarstvo pravde.</w:t>
      </w:r>
    </w:p>
    <w:p w:rsidR="00A55660" w:rsidRDefault="00326F04" w:rsidP="00546BFC">
      <w:pPr>
        <w:jc w:val="both"/>
        <w:rPr>
          <w:rFonts w:ascii="Arial" w:hAnsi="Arial" w:cs="Arial"/>
          <w:sz w:val="24"/>
          <w:szCs w:val="24"/>
          <w:lang w:val="sr-Latn-ME"/>
        </w:rPr>
      </w:pPr>
      <w:r>
        <w:rPr>
          <w:rFonts w:ascii="Arial" w:hAnsi="Arial" w:cs="Arial"/>
          <w:sz w:val="24"/>
          <w:szCs w:val="24"/>
          <w:lang w:val="sr-Latn-ME"/>
        </w:rPr>
        <w:tab/>
        <w:t>U članu 317g istog zakona taksativno su propisani uslovi koje mora da ispunjava Lice za podršku, s tim što je propisan i jedan izuzetak kojim je dozvoljena</w:t>
      </w:r>
      <w:r w:rsidR="00157810">
        <w:rPr>
          <w:rFonts w:ascii="Arial" w:hAnsi="Arial" w:cs="Arial"/>
          <w:sz w:val="24"/>
          <w:szCs w:val="24"/>
        </w:rPr>
        <w:t xml:space="preserve"> </w:t>
      </w:r>
      <w:proofErr w:type="spellStart"/>
      <w:r w:rsidR="00157810">
        <w:rPr>
          <w:rFonts w:ascii="Arial" w:hAnsi="Arial" w:cs="Arial"/>
          <w:sz w:val="24"/>
          <w:szCs w:val="24"/>
        </w:rPr>
        <w:t>mogu</w:t>
      </w:r>
      <w:proofErr w:type="spellEnd"/>
      <w:r w:rsidR="00157810">
        <w:rPr>
          <w:rFonts w:ascii="Arial" w:hAnsi="Arial" w:cs="Arial"/>
          <w:sz w:val="24"/>
          <w:szCs w:val="24"/>
          <w:lang w:val="sr-Latn-ME"/>
        </w:rPr>
        <w:t>ćnost da Ministarstvo pravde izda licencu i licu druge struke osim one koja je predviđena ovim zakonom, a koje ima završene specijalističke studije VII1 nivo kvalifikacije obrazovanja i koje ispunjava preostale propisane uslove za izdavanje licence, ako utvrdi da to lice svojim praktičnim znanjem i iskustvom može uspješno da obavlja poslove Lica za podršku. Ministarstvo pravde sprovodi obuku Lica za podršku, obrazuje Komisiju za provjeru stečenih znanja i vještina, propisuje program obuke i način njenog sprovođenja i dr., te izdaje uvjerenje o uspješno završenoj obuci.</w:t>
      </w:r>
    </w:p>
    <w:p w:rsidR="00157810" w:rsidRDefault="00157810" w:rsidP="00546BFC">
      <w:pPr>
        <w:jc w:val="both"/>
        <w:rPr>
          <w:rFonts w:ascii="Arial" w:hAnsi="Arial" w:cs="Arial"/>
          <w:sz w:val="24"/>
          <w:szCs w:val="24"/>
          <w:lang w:val="sr-Latn-ME"/>
        </w:rPr>
      </w:pPr>
      <w:r>
        <w:rPr>
          <w:rFonts w:ascii="Arial" w:hAnsi="Arial" w:cs="Arial"/>
          <w:sz w:val="24"/>
          <w:szCs w:val="24"/>
          <w:lang w:val="sr-Latn-ME"/>
        </w:rPr>
        <w:tab/>
        <w:t>Dužnosti Lica za podršku su: da se brižljivo i savjesno stara o ličnosti i interesima djeteta, da sa djetetom izgradi odnos povjerenja, da ga upozna sa njegovim pravima, pruži informacije o predmetu, toku i mogućem ishodu postupka, kao i da objasni djetetu moguće posljedice izražavanja njegovog mišljenja. Takođe, propisana je i obaveza Lica za podršku da, uz saglasnost djeteta, sudu prenese njegovo mišljenje, da prisustvuje ročištu na kome se dijete saslušava odnosno neposredno iznosi mišljenje, kao i da djetetu objasni sadržinu odluke i njene posljedice.</w:t>
      </w:r>
    </w:p>
    <w:p w:rsidR="00157810" w:rsidRDefault="00157810" w:rsidP="00546BFC">
      <w:pPr>
        <w:jc w:val="both"/>
        <w:rPr>
          <w:rFonts w:ascii="Arial" w:hAnsi="Arial" w:cs="Arial"/>
          <w:sz w:val="24"/>
          <w:szCs w:val="24"/>
          <w:lang w:val="sr-Latn-ME"/>
        </w:rPr>
      </w:pPr>
      <w:r>
        <w:rPr>
          <w:rFonts w:ascii="Arial" w:hAnsi="Arial" w:cs="Arial"/>
          <w:sz w:val="24"/>
          <w:szCs w:val="24"/>
          <w:lang w:val="sr-Latn-ME"/>
        </w:rPr>
        <w:tab/>
        <w:t>Da bi Lice za podršku uspješno ostvarilo svoju ulogu, propisana su i odgovarajuća prava koja ono ima, prije svega pravo uvida u spise predmeta, pravo da mu budu dostavljeni svi podnesci i pravo da prisustvuje svim ročištima. Prava i obaveze Lica za podršku prestaju pravosnažnošću sudske odluke.</w:t>
      </w:r>
    </w:p>
    <w:p w:rsidR="00157810" w:rsidRDefault="00157810" w:rsidP="00546BFC">
      <w:pPr>
        <w:jc w:val="both"/>
        <w:rPr>
          <w:rFonts w:ascii="Arial" w:hAnsi="Arial" w:cs="Arial"/>
          <w:sz w:val="24"/>
          <w:szCs w:val="24"/>
          <w:lang w:val="sr-Latn-ME"/>
        </w:rPr>
      </w:pPr>
      <w:r>
        <w:rPr>
          <w:rFonts w:ascii="Arial" w:hAnsi="Arial" w:cs="Arial"/>
          <w:sz w:val="24"/>
          <w:szCs w:val="24"/>
          <w:lang w:val="sr-Latn-ME"/>
        </w:rPr>
        <w:tab/>
        <w:t>Kao kontrolni mehanizam i zaštita od nesavjesnog i neprofesionalnog postupanja Lica za podršku propisano je da će sud razriješiti Lice za podršku ako utvrdi da nesavjesno vrši svoju dužnost, da zloupotrebljava svoja ovlašćenja, da radom ugrožava interes djeteta ili ako smatra da bi za dijete bilo korisnije da mu se postavi drugo Lice za podršku.</w:t>
      </w:r>
    </w:p>
    <w:p w:rsidR="00157810" w:rsidRDefault="00157810" w:rsidP="00546BFC">
      <w:pPr>
        <w:jc w:val="both"/>
        <w:rPr>
          <w:rFonts w:ascii="Arial" w:hAnsi="Arial" w:cs="Arial"/>
          <w:sz w:val="24"/>
          <w:szCs w:val="24"/>
          <w:lang w:val="sr-Latn-ME"/>
        </w:rPr>
      </w:pPr>
      <w:r>
        <w:rPr>
          <w:rFonts w:ascii="Arial" w:hAnsi="Arial" w:cs="Arial"/>
          <w:sz w:val="24"/>
          <w:szCs w:val="24"/>
          <w:lang w:val="sr-Latn-ME"/>
        </w:rPr>
        <w:tab/>
        <w:t>U skladu sa navedenim zakonskim određenjima, Ministarstvo pravde je organizovalo i sprovelo obuku, te izdalo licencu za 17 Lica za podršku.</w:t>
      </w:r>
    </w:p>
    <w:p w:rsidR="00157810" w:rsidRDefault="00157810" w:rsidP="00546BFC">
      <w:pPr>
        <w:jc w:val="both"/>
        <w:rPr>
          <w:rFonts w:ascii="Arial" w:hAnsi="Arial" w:cs="Arial"/>
          <w:sz w:val="24"/>
          <w:szCs w:val="24"/>
          <w:lang w:val="sr-Latn-ME"/>
        </w:rPr>
      </w:pPr>
    </w:p>
    <w:p w:rsidR="003E6AD2" w:rsidRDefault="003E6AD2" w:rsidP="00546BFC">
      <w:pPr>
        <w:jc w:val="both"/>
        <w:rPr>
          <w:rFonts w:ascii="Arial" w:hAnsi="Arial" w:cs="Arial"/>
          <w:sz w:val="24"/>
          <w:szCs w:val="24"/>
          <w:lang w:val="sr-Latn-ME"/>
        </w:rPr>
      </w:pPr>
    </w:p>
    <w:p w:rsidR="003E6AD2" w:rsidRDefault="003E6AD2" w:rsidP="00546BFC">
      <w:pPr>
        <w:jc w:val="both"/>
        <w:rPr>
          <w:rFonts w:ascii="Arial" w:hAnsi="Arial" w:cs="Arial"/>
          <w:sz w:val="24"/>
          <w:szCs w:val="24"/>
          <w:lang w:val="sr-Latn-ME"/>
        </w:rPr>
      </w:pPr>
    </w:p>
    <w:p w:rsidR="003E6AD2" w:rsidRDefault="003E6AD2" w:rsidP="00546BFC">
      <w:pPr>
        <w:jc w:val="both"/>
        <w:rPr>
          <w:rFonts w:ascii="Arial" w:hAnsi="Arial" w:cs="Arial"/>
          <w:sz w:val="24"/>
          <w:szCs w:val="24"/>
          <w:lang w:val="sr-Latn-ME"/>
        </w:rPr>
      </w:pPr>
    </w:p>
    <w:p w:rsidR="003E6AD2" w:rsidRDefault="003E6AD2" w:rsidP="00546BFC">
      <w:pPr>
        <w:jc w:val="both"/>
        <w:rPr>
          <w:rFonts w:ascii="Arial" w:hAnsi="Arial" w:cs="Arial"/>
          <w:b/>
          <w:sz w:val="24"/>
          <w:szCs w:val="24"/>
          <w:lang w:val="sr-Latn-ME"/>
        </w:rPr>
      </w:pPr>
      <w:r>
        <w:rPr>
          <w:rFonts w:ascii="Arial" w:hAnsi="Arial" w:cs="Arial"/>
          <w:b/>
          <w:sz w:val="24"/>
          <w:szCs w:val="24"/>
          <w:lang w:val="sr-Latn-ME"/>
        </w:rPr>
        <w:lastRenderedPageBreak/>
        <w:t>II PRAKTIČNA PRIMJENA INSTITUTA LICE ZA PODRŠKU</w:t>
      </w:r>
    </w:p>
    <w:p w:rsidR="003E6AD2" w:rsidRDefault="003E6AD2" w:rsidP="00546BFC">
      <w:pPr>
        <w:jc w:val="both"/>
        <w:rPr>
          <w:rFonts w:ascii="Arial" w:hAnsi="Arial" w:cs="Arial"/>
          <w:b/>
          <w:sz w:val="24"/>
          <w:szCs w:val="24"/>
          <w:lang w:val="sr-Latn-ME"/>
        </w:rPr>
      </w:pPr>
    </w:p>
    <w:p w:rsidR="003E6AD2" w:rsidRDefault="003E6AD2" w:rsidP="003E6AD2">
      <w:pPr>
        <w:pStyle w:val="ListParagraph"/>
        <w:numPr>
          <w:ilvl w:val="0"/>
          <w:numId w:val="5"/>
        </w:numPr>
        <w:jc w:val="both"/>
        <w:rPr>
          <w:rFonts w:ascii="Arial" w:hAnsi="Arial" w:cs="Arial"/>
          <w:b/>
          <w:sz w:val="24"/>
          <w:szCs w:val="24"/>
          <w:lang w:val="sr-Latn-ME"/>
        </w:rPr>
      </w:pPr>
      <w:r>
        <w:rPr>
          <w:rFonts w:ascii="Arial" w:hAnsi="Arial" w:cs="Arial"/>
          <w:b/>
          <w:sz w:val="24"/>
          <w:szCs w:val="24"/>
          <w:lang w:val="sr-Latn-ME"/>
        </w:rPr>
        <w:t>Postupanje sudova</w:t>
      </w:r>
    </w:p>
    <w:p w:rsidR="003E6AD2" w:rsidRDefault="003E6AD2" w:rsidP="003E6AD2">
      <w:pPr>
        <w:ind w:firstLine="360"/>
        <w:jc w:val="both"/>
        <w:rPr>
          <w:rFonts w:ascii="Arial" w:hAnsi="Arial" w:cs="Arial"/>
          <w:sz w:val="24"/>
          <w:szCs w:val="24"/>
          <w:lang w:val="sr-Latn-ME"/>
        </w:rPr>
      </w:pPr>
      <w:r>
        <w:rPr>
          <w:rFonts w:ascii="Arial" w:hAnsi="Arial" w:cs="Arial"/>
          <w:sz w:val="24"/>
          <w:szCs w:val="24"/>
          <w:lang w:val="sr-Latn-ME"/>
        </w:rPr>
        <w:t>U sudskim postupcima u Crnoj Gori stručnu podršku i pomoć djeci pruža ukupno 17 lica za podršku. Riječ je o licima odgovarajuće specijalnosti, koja su nakon završene obuke i sticanja licence za rad upisana na listu Lica za podršku.</w:t>
      </w:r>
    </w:p>
    <w:p w:rsidR="003E6AD2" w:rsidRDefault="003E6AD2" w:rsidP="003E6AD2">
      <w:pPr>
        <w:ind w:firstLine="360"/>
        <w:jc w:val="both"/>
        <w:rPr>
          <w:rFonts w:ascii="Arial" w:hAnsi="Arial" w:cs="Arial"/>
          <w:sz w:val="24"/>
          <w:szCs w:val="24"/>
          <w:lang w:val="sr-Latn-ME"/>
        </w:rPr>
      </w:pPr>
      <w:r>
        <w:rPr>
          <w:rFonts w:ascii="Arial" w:hAnsi="Arial" w:cs="Arial"/>
          <w:sz w:val="24"/>
          <w:szCs w:val="24"/>
          <w:lang w:val="sr-Latn-ME"/>
        </w:rPr>
        <w:t>Prema pribavljenim podacima, osnovni sudovi su u izvještajnom periodu angažovali Lice za podršku u 37 predmeta.</w:t>
      </w:r>
    </w:p>
    <w:p w:rsidR="003E6AD2" w:rsidRDefault="003E6AD2" w:rsidP="003E6AD2">
      <w:pPr>
        <w:ind w:firstLine="360"/>
        <w:jc w:val="both"/>
        <w:rPr>
          <w:rFonts w:ascii="Arial" w:hAnsi="Arial" w:cs="Arial"/>
          <w:sz w:val="24"/>
          <w:szCs w:val="24"/>
          <w:lang w:val="sr-Latn-ME"/>
        </w:rPr>
      </w:pPr>
      <w:r>
        <w:rPr>
          <w:rFonts w:ascii="Arial" w:hAnsi="Arial" w:cs="Arial"/>
          <w:sz w:val="24"/>
          <w:szCs w:val="24"/>
          <w:lang w:val="sr-Latn-ME"/>
        </w:rPr>
        <w:t>U tabeli koja slijedi prikazani su osnovni sudovi koji su u izvještajnom periodu angažovali Lice za podršku, kao i broj predmeta u kojima su ta lica angažovana.</w:t>
      </w:r>
    </w:p>
    <w:p w:rsidR="00962FC5" w:rsidRDefault="00962FC5" w:rsidP="003E6AD2">
      <w:pPr>
        <w:ind w:firstLine="360"/>
        <w:jc w:val="both"/>
        <w:rPr>
          <w:rFonts w:ascii="Arial" w:hAnsi="Arial" w:cs="Arial"/>
          <w:sz w:val="24"/>
          <w:szCs w:val="24"/>
          <w:lang w:val="sr-Latn-ME"/>
        </w:rPr>
      </w:pPr>
    </w:p>
    <w:tbl>
      <w:tblPr>
        <w:tblStyle w:val="TableGrid"/>
        <w:tblW w:w="0" w:type="auto"/>
        <w:tblLook w:val="04A0" w:firstRow="1" w:lastRow="0" w:firstColumn="1" w:lastColumn="0" w:noHBand="0" w:noVBand="1"/>
      </w:tblPr>
      <w:tblGrid>
        <w:gridCol w:w="4675"/>
        <w:gridCol w:w="4675"/>
      </w:tblGrid>
      <w:tr w:rsidR="00962FC5" w:rsidTr="00962FC5">
        <w:tc>
          <w:tcPr>
            <w:tcW w:w="4675" w:type="dxa"/>
          </w:tcPr>
          <w:p w:rsidR="00962FC5" w:rsidRPr="00962FC5" w:rsidRDefault="00962FC5" w:rsidP="00962FC5">
            <w:pPr>
              <w:jc w:val="center"/>
              <w:rPr>
                <w:rFonts w:ascii="Arial" w:hAnsi="Arial" w:cs="Arial"/>
                <w:b/>
                <w:sz w:val="24"/>
                <w:szCs w:val="24"/>
                <w:lang w:val="sr-Latn-ME"/>
              </w:rPr>
            </w:pPr>
            <w:r w:rsidRPr="00962FC5">
              <w:rPr>
                <w:rFonts w:ascii="Arial" w:hAnsi="Arial" w:cs="Arial"/>
                <w:b/>
                <w:sz w:val="24"/>
                <w:szCs w:val="24"/>
                <w:lang w:val="sr-Latn-ME"/>
              </w:rPr>
              <w:t>Naziv suda</w:t>
            </w:r>
          </w:p>
        </w:tc>
        <w:tc>
          <w:tcPr>
            <w:tcW w:w="4675" w:type="dxa"/>
          </w:tcPr>
          <w:p w:rsidR="00962FC5" w:rsidRPr="00962FC5" w:rsidRDefault="00962FC5" w:rsidP="00962FC5">
            <w:pPr>
              <w:jc w:val="center"/>
              <w:rPr>
                <w:rFonts w:ascii="Arial" w:hAnsi="Arial" w:cs="Arial"/>
                <w:b/>
                <w:sz w:val="24"/>
                <w:szCs w:val="24"/>
                <w:lang w:val="sr-Latn-ME"/>
              </w:rPr>
            </w:pPr>
            <w:r w:rsidRPr="00962FC5">
              <w:rPr>
                <w:rFonts w:ascii="Arial" w:hAnsi="Arial" w:cs="Arial"/>
                <w:b/>
                <w:sz w:val="24"/>
                <w:szCs w:val="24"/>
                <w:lang w:val="sr-Latn-ME"/>
              </w:rPr>
              <w:t>Broj predmeta</w:t>
            </w:r>
          </w:p>
        </w:tc>
      </w:tr>
      <w:tr w:rsidR="00962FC5" w:rsidTr="00962FC5">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Osnovni sud u Baru</w:t>
            </w:r>
          </w:p>
        </w:tc>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1</w:t>
            </w:r>
          </w:p>
        </w:tc>
      </w:tr>
      <w:tr w:rsidR="00962FC5" w:rsidTr="00962FC5">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Osnovni sud u Beranama</w:t>
            </w:r>
          </w:p>
        </w:tc>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3</w:t>
            </w:r>
          </w:p>
        </w:tc>
      </w:tr>
      <w:tr w:rsidR="00962FC5" w:rsidTr="00962FC5">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Osnovni sud u Bijelom Polju</w:t>
            </w:r>
          </w:p>
        </w:tc>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1</w:t>
            </w:r>
          </w:p>
        </w:tc>
      </w:tr>
      <w:tr w:rsidR="00962FC5" w:rsidTr="00962FC5">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Osnovni sud u Danilovgradu</w:t>
            </w:r>
          </w:p>
        </w:tc>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2</w:t>
            </w:r>
          </w:p>
        </w:tc>
      </w:tr>
      <w:tr w:rsidR="00962FC5" w:rsidTr="00962FC5">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Osnovni sud u Kolašinu</w:t>
            </w:r>
          </w:p>
        </w:tc>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3</w:t>
            </w:r>
          </w:p>
        </w:tc>
      </w:tr>
      <w:tr w:rsidR="00962FC5" w:rsidTr="00962FC5">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Osnovni sud u Kotoru</w:t>
            </w:r>
          </w:p>
        </w:tc>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6</w:t>
            </w:r>
          </w:p>
        </w:tc>
      </w:tr>
      <w:tr w:rsidR="00962FC5" w:rsidTr="00962FC5">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Osnovni sud u Nikšiću</w:t>
            </w:r>
          </w:p>
        </w:tc>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1</w:t>
            </w:r>
          </w:p>
        </w:tc>
      </w:tr>
      <w:tr w:rsidR="00962FC5" w:rsidTr="00962FC5">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Osnovni sud u Plavu</w:t>
            </w:r>
          </w:p>
        </w:tc>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4</w:t>
            </w:r>
          </w:p>
        </w:tc>
      </w:tr>
      <w:tr w:rsidR="00962FC5" w:rsidTr="00962FC5">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Osnovni sud u Podgorici</w:t>
            </w:r>
          </w:p>
        </w:tc>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8</w:t>
            </w:r>
          </w:p>
        </w:tc>
      </w:tr>
      <w:tr w:rsidR="00962FC5" w:rsidTr="00962FC5">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Osnovni sud u Rožajama</w:t>
            </w:r>
          </w:p>
        </w:tc>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4</w:t>
            </w:r>
          </w:p>
        </w:tc>
      </w:tr>
      <w:tr w:rsidR="00962FC5" w:rsidTr="00962FC5">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Osnovni sud u Herceg Novom</w:t>
            </w:r>
          </w:p>
        </w:tc>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2</w:t>
            </w:r>
          </w:p>
        </w:tc>
      </w:tr>
      <w:tr w:rsidR="00962FC5" w:rsidTr="00962FC5">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Osnovni sud u Cetinju</w:t>
            </w:r>
          </w:p>
        </w:tc>
        <w:tc>
          <w:tcPr>
            <w:tcW w:w="4675" w:type="dxa"/>
          </w:tcPr>
          <w:p w:rsidR="00962FC5" w:rsidRDefault="00962FC5" w:rsidP="00962FC5">
            <w:pPr>
              <w:jc w:val="center"/>
              <w:rPr>
                <w:rFonts w:ascii="Arial" w:hAnsi="Arial" w:cs="Arial"/>
                <w:sz w:val="24"/>
                <w:szCs w:val="24"/>
                <w:lang w:val="sr-Latn-ME"/>
              </w:rPr>
            </w:pPr>
            <w:r>
              <w:rPr>
                <w:rFonts w:ascii="Arial" w:hAnsi="Arial" w:cs="Arial"/>
                <w:sz w:val="24"/>
                <w:szCs w:val="24"/>
                <w:lang w:val="sr-Latn-ME"/>
              </w:rPr>
              <w:t>2</w:t>
            </w:r>
          </w:p>
        </w:tc>
      </w:tr>
      <w:tr w:rsidR="00962FC5" w:rsidRPr="00962FC5" w:rsidTr="00962FC5">
        <w:tc>
          <w:tcPr>
            <w:tcW w:w="4675" w:type="dxa"/>
          </w:tcPr>
          <w:p w:rsidR="00962FC5" w:rsidRPr="00962FC5" w:rsidRDefault="00962FC5" w:rsidP="00962FC5">
            <w:pPr>
              <w:jc w:val="center"/>
              <w:rPr>
                <w:rFonts w:ascii="Arial" w:hAnsi="Arial" w:cs="Arial"/>
                <w:b/>
                <w:sz w:val="24"/>
                <w:szCs w:val="24"/>
                <w:lang w:val="sr-Latn-ME"/>
              </w:rPr>
            </w:pPr>
            <w:r w:rsidRPr="00962FC5">
              <w:rPr>
                <w:rFonts w:ascii="Arial" w:hAnsi="Arial" w:cs="Arial"/>
                <w:b/>
                <w:sz w:val="24"/>
                <w:szCs w:val="24"/>
                <w:lang w:val="sr-Latn-ME"/>
              </w:rPr>
              <w:t>Ukupno</w:t>
            </w:r>
          </w:p>
        </w:tc>
        <w:tc>
          <w:tcPr>
            <w:tcW w:w="4675" w:type="dxa"/>
          </w:tcPr>
          <w:p w:rsidR="00962FC5" w:rsidRPr="00962FC5" w:rsidRDefault="00962FC5" w:rsidP="00962FC5">
            <w:pPr>
              <w:jc w:val="center"/>
              <w:rPr>
                <w:rFonts w:ascii="Arial" w:hAnsi="Arial" w:cs="Arial"/>
                <w:b/>
                <w:sz w:val="24"/>
                <w:szCs w:val="24"/>
                <w:lang w:val="sr-Latn-ME"/>
              </w:rPr>
            </w:pPr>
            <w:r>
              <w:rPr>
                <w:rFonts w:ascii="Arial" w:hAnsi="Arial" w:cs="Arial"/>
                <w:b/>
                <w:sz w:val="24"/>
                <w:szCs w:val="24"/>
                <w:lang w:val="sr-Latn-ME"/>
              </w:rPr>
              <w:t>37</w:t>
            </w:r>
          </w:p>
        </w:tc>
      </w:tr>
    </w:tbl>
    <w:p w:rsidR="00962FC5" w:rsidRDefault="00962FC5" w:rsidP="003E6AD2">
      <w:pPr>
        <w:ind w:firstLine="360"/>
        <w:jc w:val="both"/>
        <w:rPr>
          <w:rFonts w:ascii="Arial" w:hAnsi="Arial" w:cs="Arial"/>
          <w:b/>
          <w:sz w:val="24"/>
          <w:szCs w:val="24"/>
          <w:lang w:val="sr-Latn-ME"/>
        </w:rPr>
      </w:pPr>
    </w:p>
    <w:p w:rsidR="00426D46" w:rsidRDefault="00426D46" w:rsidP="003E6AD2">
      <w:pPr>
        <w:ind w:firstLine="360"/>
        <w:jc w:val="both"/>
        <w:rPr>
          <w:rFonts w:ascii="Arial" w:hAnsi="Arial" w:cs="Arial"/>
          <w:sz w:val="24"/>
          <w:szCs w:val="24"/>
          <w:lang w:val="sr-Latn-ME"/>
        </w:rPr>
      </w:pPr>
      <w:r>
        <w:rPr>
          <w:rFonts w:ascii="Arial" w:hAnsi="Arial" w:cs="Arial"/>
          <w:sz w:val="24"/>
          <w:szCs w:val="24"/>
          <w:lang w:val="sr-Latn-ME"/>
        </w:rPr>
        <w:t>Iz tabelarnog prikaza proizilazi da je Osnovni sud u Podgorici u najvećem broju predmeta – 8 angažovao Lice za podršku, što čini 21,62% od ukupnog broja predmeta u kojima su ova lica u izvještajnm periodu angažovana u svim osnovnim sudovima. Posmatrano u odnosu na prethodni izvještajni period u kojem su u porodično</w:t>
      </w:r>
      <w:r w:rsidR="004B04A1">
        <w:rPr>
          <w:rFonts w:ascii="Arial" w:hAnsi="Arial" w:cs="Arial"/>
          <w:sz w:val="24"/>
          <w:szCs w:val="24"/>
          <w:lang w:val="sr-Latn-ME"/>
        </w:rPr>
        <w:t xml:space="preserve"> - </w:t>
      </w:r>
      <w:r>
        <w:rPr>
          <w:rFonts w:ascii="Arial" w:hAnsi="Arial" w:cs="Arial"/>
          <w:sz w:val="24"/>
          <w:szCs w:val="24"/>
          <w:lang w:val="sr-Latn-ME"/>
        </w:rPr>
        <w:t>pravnim sporovima sudije ovog suda angažovale Lice za podršku u 22 predmeta, primjetna je manja praktična zastupljenost i primjena ovog instituta.</w:t>
      </w:r>
    </w:p>
    <w:p w:rsidR="00A37DE0" w:rsidRDefault="00A37DE0" w:rsidP="003E6AD2">
      <w:pPr>
        <w:ind w:firstLine="360"/>
        <w:jc w:val="both"/>
        <w:rPr>
          <w:rFonts w:ascii="Arial" w:hAnsi="Arial" w:cs="Arial"/>
          <w:sz w:val="24"/>
          <w:szCs w:val="24"/>
          <w:lang w:val="sr-Latn-ME"/>
        </w:rPr>
      </w:pPr>
      <w:r>
        <w:rPr>
          <w:rFonts w:ascii="Arial" w:hAnsi="Arial" w:cs="Arial"/>
          <w:sz w:val="24"/>
          <w:szCs w:val="24"/>
          <w:lang w:val="sr-Latn-ME"/>
        </w:rPr>
        <w:t>Preostali osnovni sudovi, koji su u izvještajnom periodu angažovali Lice za podršku, to su učinili na sljedeći način: Osnovni sud u Kotoru u 6 predmeta, Osnovni sud u Rožajama i Osnovni sud u Plavu u po 4 predmeta, Osnovni sud u Beranama i Osnovni sud u Kolašinu u po 3 predmeta, Osnovni sud u Danilovgradu, Osnovni sud u Herceg Novom i Osnovni sud u Cetinju u po 2 predmeta, i Osnovni sud u Nikšiću, Osnovni sud u Baru i Osnovni sud u Bijelom Polju u po 1 predmetu.</w:t>
      </w:r>
    </w:p>
    <w:p w:rsidR="00A37DE0" w:rsidRDefault="00A37DE0" w:rsidP="003E6AD2">
      <w:pPr>
        <w:ind w:firstLine="360"/>
        <w:jc w:val="both"/>
        <w:rPr>
          <w:rFonts w:ascii="Arial" w:hAnsi="Arial" w:cs="Arial"/>
          <w:sz w:val="24"/>
          <w:szCs w:val="24"/>
          <w:lang w:val="sr-Latn-ME"/>
        </w:rPr>
      </w:pPr>
      <w:r>
        <w:rPr>
          <w:rFonts w:ascii="Arial" w:hAnsi="Arial" w:cs="Arial"/>
          <w:sz w:val="24"/>
          <w:szCs w:val="24"/>
          <w:lang w:val="sr-Latn-ME"/>
        </w:rPr>
        <w:lastRenderedPageBreak/>
        <w:t>Iz navedenih podataka proizilazi da je 12 od ukupno 15 osnovnih sudova angažovalo Lice za podršku u izvještajnom periodu, te da je, u odnosu na prethodni izvještajni period, kod još tri osnovna suda, konkretno Osnovn</w:t>
      </w:r>
      <w:r w:rsidR="009E0016">
        <w:rPr>
          <w:rFonts w:ascii="Arial" w:hAnsi="Arial" w:cs="Arial"/>
          <w:sz w:val="24"/>
          <w:szCs w:val="24"/>
          <w:lang w:val="sr-Latn-ME"/>
        </w:rPr>
        <w:t>og</w:t>
      </w:r>
      <w:r>
        <w:rPr>
          <w:rFonts w:ascii="Arial" w:hAnsi="Arial" w:cs="Arial"/>
          <w:sz w:val="24"/>
          <w:szCs w:val="24"/>
          <w:lang w:val="sr-Latn-ME"/>
        </w:rPr>
        <w:t xml:space="preserve"> </w:t>
      </w:r>
      <w:r w:rsidR="009E0016">
        <w:rPr>
          <w:rFonts w:ascii="Arial" w:hAnsi="Arial" w:cs="Arial"/>
          <w:sz w:val="24"/>
          <w:szCs w:val="24"/>
          <w:lang w:val="sr-Latn-ME"/>
        </w:rPr>
        <w:t>suda</w:t>
      </w:r>
      <w:r>
        <w:rPr>
          <w:rFonts w:ascii="Arial" w:hAnsi="Arial" w:cs="Arial"/>
          <w:sz w:val="24"/>
          <w:szCs w:val="24"/>
          <w:lang w:val="sr-Latn-ME"/>
        </w:rPr>
        <w:t xml:space="preserve"> u Beranama, Plavu i Rožajama , ovaj institut našao svoju primjenu.</w:t>
      </w:r>
    </w:p>
    <w:p w:rsidR="004B04A1" w:rsidRDefault="004B04A1" w:rsidP="003E6AD2">
      <w:pPr>
        <w:ind w:firstLine="360"/>
        <w:jc w:val="both"/>
        <w:rPr>
          <w:rFonts w:ascii="Arial" w:hAnsi="Arial" w:cs="Arial"/>
          <w:sz w:val="24"/>
          <w:szCs w:val="24"/>
          <w:lang w:val="sr-Latn-ME"/>
        </w:rPr>
      </w:pPr>
      <w:r>
        <w:rPr>
          <w:rFonts w:ascii="Arial" w:hAnsi="Arial" w:cs="Arial"/>
          <w:sz w:val="24"/>
          <w:szCs w:val="24"/>
          <w:lang w:val="sr-Latn-ME"/>
        </w:rPr>
        <w:t>U izvještaju nije bilo moguće iskazati odnos broja predmeta u kojima su sudovi angažovali Lice za podršku i ukupnog broja predmeta iz oblasti porodično – pravnih odnosa koji se nalazio u radu u sudovima u izvještajnom periodu, jer statistički podaci o broju parničnih i vanparničnih predmeta u sudovima ne pružaju uvid o njihovom broju prema predmetu spora.</w:t>
      </w:r>
    </w:p>
    <w:p w:rsidR="004B04A1" w:rsidRDefault="00530CAC" w:rsidP="003E6AD2">
      <w:pPr>
        <w:ind w:firstLine="360"/>
        <w:jc w:val="both"/>
        <w:rPr>
          <w:rFonts w:ascii="Arial" w:hAnsi="Arial" w:cs="Arial"/>
          <w:sz w:val="24"/>
          <w:szCs w:val="24"/>
          <w:lang w:val="sr-Latn-ME"/>
        </w:rPr>
      </w:pPr>
      <w:r>
        <w:rPr>
          <w:rFonts w:ascii="Arial" w:hAnsi="Arial" w:cs="Arial"/>
          <w:sz w:val="24"/>
          <w:szCs w:val="24"/>
          <w:lang w:val="sr-Latn-ME"/>
        </w:rPr>
        <w:t>U pravcu stvaranja svih neophodnih uslova za cjelovito praćenje praktične primjene instituta Lice za podršku predviđeno je da se analitički podaci koji se odnose na angažovanje Lica za podršku, razvrstani prema predmetu spora, unose u novi Informacioni sistem pravosuđa (sadašnji Pravosudni informacioni sistem). Navedeni način evidentiranja podataka počeće sa primjenom nakon početka primjene novog Informacionog sistema pravosuđa, koji je u pripremi.</w:t>
      </w:r>
    </w:p>
    <w:p w:rsidR="006944B5" w:rsidRDefault="006944B5" w:rsidP="003E6AD2">
      <w:pPr>
        <w:ind w:firstLine="360"/>
        <w:jc w:val="both"/>
        <w:rPr>
          <w:rFonts w:ascii="Arial" w:hAnsi="Arial" w:cs="Arial"/>
          <w:sz w:val="24"/>
          <w:szCs w:val="24"/>
          <w:lang w:val="sr-Latn-ME"/>
        </w:rPr>
      </w:pPr>
    </w:p>
    <w:p w:rsidR="006944B5" w:rsidRDefault="006944B5" w:rsidP="006944B5">
      <w:pPr>
        <w:pStyle w:val="ListParagraph"/>
        <w:numPr>
          <w:ilvl w:val="0"/>
          <w:numId w:val="5"/>
        </w:numPr>
        <w:jc w:val="both"/>
        <w:rPr>
          <w:rFonts w:ascii="Arial" w:hAnsi="Arial" w:cs="Arial"/>
          <w:b/>
          <w:sz w:val="24"/>
          <w:szCs w:val="24"/>
          <w:lang w:val="sr-Latn-ME"/>
        </w:rPr>
      </w:pPr>
      <w:r>
        <w:rPr>
          <w:rFonts w:ascii="Arial" w:hAnsi="Arial" w:cs="Arial"/>
          <w:b/>
          <w:sz w:val="24"/>
          <w:szCs w:val="24"/>
          <w:lang w:val="sr-Latn-ME"/>
        </w:rPr>
        <w:t>Angažovanje lica za podršku, obavljeni intervjui</w:t>
      </w:r>
    </w:p>
    <w:p w:rsidR="006944B5" w:rsidRDefault="006944B5" w:rsidP="006944B5">
      <w:pPr>
        <w:jc w:val="both"/>
        <w:rPr>
          <w:rFonts w:ascii="Arial" w:hAnsi="Arial" w:cs="Arial"/>
          <w:b/>
          <w:sz w:val="24"/>
          <w:szCs w:val="24"/>
          <w:lang w:val="sr-Latn-ME"/>
        </w:rPr>
      </w:pPr>
    </w:p>
    <w:p w:rsidR="006944B5" w:rsidRDefault="006944B5" w:rsidP="006944B5">
      <w:pPr>
        <w:ind w:firstLine="360"/>
        <w:jc w:val="both"/>
        <w:rPr>
          <w:rFonts w:ascii="Arial" w:hAnsi="Arial" w:cs="Arial"/>
          <w:sz w:val="24"/>
          <w:szCs w:val="24"/>
          <w:lang w:val="sr-Latn-ME"/>
        </w:rPr>
      </w:pPr>
      <w:r>
        <w:rPr>
          <w:rFonts w:ascii="Arial" w:hAnsi="Arial" w:cs="Arial"/>
          <w:sz w:val="24"/>
          <w:szCs w:val="24"/>
          <w:lang w:val="sr-Latn-ME"/>
        </w:rPr>
        <w:t>Za sveobuhvatno sagledavanje praktične primjene ovog instituta od posebnog su značaja podaci i informacije pribavljeni od lica koja su kao imaoci licence za rad upisana na Listu lica za podršku djetetu u postupcima u vezi sa porodičnim odnosima.</w:t>
      </w:r>
    </w:p>
    <w:p w:rsidR="006944B5" w:rsidRDefault="003E7F14" w:rsidP="006944B5">
      <w:pPr>
        <w:jc w:val="both"/>
        <w:rPr>
          <w:rFonts w:ascii="Arial" w:hAnsi="Arial" w:cs="Arial"/>
          <w:sz w:val="24"/>
          <w:szCs w:val="24"/>
          <w:lang w:val="sr-Latn-ME"/>
        </w:rPr>
      </w:pPr>
      <w:r>
        <w:rPr>
          <w:rFonts w:ascii="Arial" w:hAnsi="Arial" w:cs="Arial"/>
          <w:sz w:val="24"/>
          <w:szCs w:val="24"/>
          <w:lang w:val="sr-Latn-ME"/>
        </w:rPr>
        <w:tab/>
        <w:t xml:space="preserve">U posmatranom periodu 6 Lica za podršku od ukupno 17 upisanih na listi koju ažurira Ministarstvo pravde, bilo je angažovano u </w:t>
      </w:r>
      <w:r w:rsidR="004F0B04">
        <w:rPr>
          <w:rFonts w:ascii="Arial" w:hAnsi="Arial" w:cs="Arial"/>
          <w:sz w:val="24"/>
          <w:szCs w:val="24"/>
          <w:lang w:val="sr-Latn-ME"/>
        </w:rPr>
        <w:t>36 sudskih postupaka u vezi sa porodičnim odnosima. Kada je riječ o podacima dobijenim od Lica za podršku, koji su iste saopštili na osnovu svoje evidencije, čije vođenje nije obavezno, to se i razlikovanje u odnosu na podatke dobijene od strane sudova, za jedan postupak više u kojem je bilo angažovanja Lica za podršku, može pravdati omaškom koja je nastala prilikom evidencije datuma angažovanja u posmatranom periodu u odnosu na raniji period.</w:t>
      </w:r>
    </w:p>
    <w:p w:rsidR="004F0B04" w:rsidRDefault="004F0B04" w:rsidP="006944B5">
      <w:pPr>
        <w:jc w:val="both"/>
        <w:rPr>
          <w:rFonts w:ascii="Arial" w:hAnsi="Arial" w:cs="Arial"/>
          <w:sz w:val="24"/>
          <w:szCs w:val="24"/>
          <w:lang w:val="sr-Latn-ME"/>
        </w:rPr>
      </w:pPr>
      <w:r>
        <w:rPr>
          <w:rFonts w:ascii="Arial" w:hAnsi="Arial" w:cs="Arial"/>
          <w:sz w:val="24"/>
          <w:szCs w:val="24"/>
          <w:lang w:val="sr-Latn-ME"/>
        </w:rPr>
        <w:tab/>
        <w:t>Iz prethodno navedenih podataka proizilazi činjenica da sva Lica za podršku nisu imala angažovanje u posmatranom periodu. Takođe, uočljivo je i da postoji značajno odstupanje u procentualnoj zastupljenosti i među samim Licima za podršku koja su bila angažovana u sudskim postupcima, čemu treba posvetiti posebnu pažnju u narednom periodu, u smislu sugerisanja sudovima u pravcu obezbjeđenja jednake zastupljenosti svih licenciranih Lica za podršku i ravnomjerne raspodjele predmeta.</w:t>
      </w:r>
    </w:p>
    <w:p w:rsidR="004F0B04" w:rsidRDefault="004F0B04" w:rsidP="006944B5">
      <w:pPr>
        <w:jc w:val="both"/>
        <w:rPr>
          <w:rFonts w:ascii="Arial" w:hAnsi="Arial" w:cs="Arial"/>
          <w:sz w:val="24"/>
          <w:szCs w:val="24"/>
          <w:lang w:val="sr-Latn-ME"/>
        </w:rPr>
      </w:pPr>
      <w:r>
        <w:rPr>
          <w:rFonts w:ascii="Arial" w:hAnsi="Arial" w:cs="Arial"/>
          <w:sz w:val="24"/>
          <w:szCs w:val="24"/>
          <w:lang w:val="sr-Latn-ME"/>
        </w:rPr>
        <w:tab/>
        <w:t>Za potrebe sačinjavanja izvještaja, predstavnici Ministarstva pravde zatražili su izvještaj od sudija osnovnog suda</w:t>
      </w:r>
      <w:r w:rsidR="00FF79A4">
        <w:rPr>
          <w:rFonts w:ascii="Arial" w:hAnsi="Arial" w:cs="Arial"/>
          <w:sz w:val="24"/>
          <w:szCs w:val="24"/>
          <w:lang w:val="sr-Latn-ME"/>
        </w:rPr>
        <w:t xml:space="preserve"> i višeg suda</w:t>
      </w:r>
      <w:r>
        <w:rPr>
          <w:rFonts w:ascii="Arial" w:hAnsi="Arial" w:cs="Arial"/>
          <w:sz w:val="24"/>
          <w:szCs w:val="24"/>
          <w:lang w:val="sr-Latn-ME"/>
        </w:rPr>
        <w:t xml:space="preserve"> i Advokatske komore Crne Gore o praktičnom iskustvu u obavljanju ove dužnosti, te obavili intervju sa dva lica za podršku.</w:t>
      </w:r>
    </w:p>
    <w:p w:rsidR="004F0B04" w:rsidRDefault="004F0B04" w:rsidP="006944B5">
      <w:pPr>
        <w:jc w:val="both"/>
        <w:rPr>
          <w:rFonts w:ascii="Arial" w:hAnsi="Arial" w:cs="Arial"/>
          <w:sz w:val="24"/>
          <w:szCs w:val="24"/>
          <w:lang w:val="sr-Latn-ME"/>
        </w:rPr>
      </w:pPr>
      <w:r>
        <w:rPr>
          <w:rFonts w:ascii="Arial" w:hAnsi="Arial" w:cs="Arial"/>
          <w:sz w:val="24"/>
          <w:szCs w:val="24"/>
          <w:lang w:val="sr-Latn-ME"/>
        </w:rPr>
        <w:lastRenderedPageBreak/>
        <w:tab/>
        <w:t xml:space="preserve">Predstavnici sudija </w:t>
      </w:r>
      <w:r w:rsidR="005F637B">
        <w:rPr>
          <w:rFonts w:ascii="Arial" w:hAnsi="Arial" w:cs="Arial"/>
          <w:sz w:val="24"/>
          <w:szCs w:val="24"/>
          <w:lang w:val="sr-Latn-ME"/>
        </w:rPr>
        <w:t>istakli su da se radi o institutu koji ima veliki značaj u praktičnoj primjeni, te da smatraju da je potrebno raditi na edukaciji i obukama sudija o ovom institutu. Naveli su da su u predmetima u kojima je bilo angažovano lice za podršku djetetu uočili da su djeca prema licu za podršku imala iskreniji odnos jer su mogla izraziti svoje želje, kao npr. sa kojim roditeljem žele da žive nakon razvoda braka, kao i da su angažovana lica za podršku na pažljiv način pristupala razgovoru sa djecom na način kako je to primjereno njihovoj dobi, pa su stava da navedeni institut treba promovisati i time štititi interese maloljetne djece. Ističu da je primjena instituta Lice za podršku u potpunosti ispunila očekivanja, s obzirom na to da se iz izvještaja angažovanih lica dobijaju podaci relevantni za odlučivanje o predmetu spora, a koji podaci i činjenice naročito dobijaju na značaju usljed često šturih i nedovoljno obrazloženih nalaza Centara za socijalni rad. Upravo se kroz dobijeni izvještaj, koji je sačinjen nakon nekoliko obavljenih razgovora sa djetetom</w:t>
      </w:r>
      <w:r w:rsidR="0078681A">
        <w:rPr>
          <w:rFonts w:ascii="Arial" w:hAnsi="Arial" w:cs="Arial"/>
          <w:sz w:val="24"/>
          <w:szCs w:val="24"/>
          <w:lang w:val="sr-Latn-ME"/>
        </w:rPr>
        <w:t>, dobijaju potrebni podaci o mišljenju djeteta o pitanjima koja ga se tiču, a što u cjelini poboljšava kvalitet postupka, kvalitet obrazloženja presude i u konačnom afirmiše pravni standard najboljeg interesa djeteta. Sa druge strane, neposredan, topao i prijateljski odnos koji ova lica stvore sa djetetom u velikoj mjeri ola</w:t>
      </w:r>
      <w:r w:rsidR="009610FB">
        <w:rPr>
          <w:rFonts w:ascii="Arial" w:hAnsi="Arial" w:cs="Arial"/>
          <w:sz w:val="24"/>
          <w:szCs w:val="24"/>
          <w:lang w:val="sr-Latn-ME"/>
        </w:rPr>
        <w:t>k</w:t>
      </w:r>
      <w:r w:rsidR="0078681A">
        <w:rPr>
          <w:rFonts w:ascii="Arial" w:hAnsi="Arial" w:cs="Arial"/>
          <w:sz w:val="24"/>
          <w:szCs w:val="24"/>
          <w:lang w:val="sr-Latn-ME"/>
        </w:rPr>
        <w:t>šava djetetu razumijevanje svih posljedica razvoda braka. Istakli su da rad Lica za podršku cijene kao stručan, profesionalan, angažovan i proaktivan, s obzirom da tokom cijelog postupka ulažu veliki trud i profesionalni napor da u složenim porodičnim odnosima stvore topao i prijateljski odnos sa djetetom i u konačnom prenesu sudu mišljenje djeteta.</w:t>
      </w:r>
      <w:r w:rsidR="00246C1D">
        <w:rPr>
          <w:rFonts w:ascii="Arial" w:hAnsi="Arial" w:cs="Arial"/>
          <w:sz w:val="24"/>
          <w:szCs w:val="24"/>
          <w:lang w:val="sr-Latn-ME"/>
        </w:rPr>
        <w:t xml:space="preserve"> Smatraju da bi, ubuduće, angažovanje Lica za podršku trebalo da bude što češće, naročito kod konfliktnih situacija u kojima ne postoji zadovoljavajući odnos između roditelja ili djece i roditelja. Takođe, moguće je da bi Lice za podršku trebalo da postane i dio stručnog tima koji bi se formirao pri porodičnom savjetovalištu ili ustanovi specijalizovanoj za porodične odnose. U smislu promocije ins</w:t>
      </w:r>
      <w:r w:rsidR="00022CFF">
        <w:rPr>
          <w:rFonts w:ascii="Arial" w:hAnsi="Arial" w:cs="Arial"/>
          <w:sz w:val="24"/>
          <w:szCs w:val="24"/>
          <w:lang w:val="sr-Latn-ME"/>
        </w:rPr>
        <w:t>tituta i edukacije sudija, smatraju da bi trebalo voditi računa o praktičnim problemima koji se javljaju u parnicama, a koji se odnose na situacije u kojima roditelji ne žele saradnju sa Licem za podršku, ne odvode dijete na redovne sastanke, odnosno intervjue, traže izuzeća Lica za podršku, angažovanje novog Lica za podršku, zahtijevaju dopune izvještaja i slično. Takođe su predložili i moguće intervencije u zakonu, kako bi se intervenisalo i detaljnije odredilo o pravnim posljedicama nesaradnje stranaka, odnosno nepostupanja po nalozima suda, a što bi značajno doprinijelo radu Lica za podršku ali i sudija.</w:t>
      </w:r>
    </w:p>
    <w:p w:rsidR="004F0B04" w:rsidRPr="00AE02BE" w:rsidRDefault="004F0B04" w:rsidP="006944B5">
      <w:pPr>
        <w:jc w:val="both"/>
        <w:rPr>
          <w:rFonts w:ascii="Arial" w:hAnsi="Arial" w:cs="Arial"/>
          <w:sz w:val="24"/>
          <w:szCs w:val="24"/>
        </w:rPr>
      </w:pPr>
      <w:r>
        <w:rPr>
          <w:rFonts w:ascii="Arial" w:hAnsi="Arial" w:cs="Arial"/>
          <w:sz w:val="24"/>
          <w:szCs w:val="24"/>
          <w:lang w:val="sr-Latn-ME"/>
        </w:rPr>
        <w:tab/>
        <w:t xml:space="preserve">Predstavnici Advokatske komore </w:t>
      </w:r>
      <w:r w:rsidR="00BF2C3D">
        <w:rPr>
          <w:rFonts w:ascii="Arial" w:hAnsi="Arial" w:cs="Arial"/>
          <w:sz w:val="24"/>
          <w:szCs w:val="24"/>
          <w:lang w:val="sr-Latn-ME"/>
        </w:rPr>
        <w:t xml:space="preserve">istakli su da institut Lica za podršku ima veliki potencijal, ali da se isti u praksi ne koristi dovoljno i adekvatno. Smatraju da je problem što Lice za podršku i dijete ne kontaktiraju u toku cijelog postupka, često to bude samo jednom, čime se ne iscrpljuje suština ovog instituta, a Lice za podršku vrlo rijetko prisustvuje ročištima, budući da djetetu treba podrška tokom cijelog postupka, a ne samo jednog dana u toku trajanja istog. Takođe su istakli da se izvještaj Lica za podršku često koristi kao iznijeto mišljenje djeteta, što takođe nije suština ovog instituta, već da se djetetu da podrška da lakše podnese postupak koji je u toku. Takođe, lice za podršku bi trebalo da procijeni je li u konkretnom, bez obzira na saglasnost djeteta, u interesu djeteta da se sudu u cjelosti prenese ono što je dijete reklo licu za podršku, dakle, treba da procijeni da li je dijete dovoljno dobro razumjelo moguće posljedice takve saglasnosti, te </w:t>
      </w:r>
      <w:r w:rsidR="00BF2C3D">
        <w:rPr>
          <w:rFonts w:ascii="Arial" w:hAnsi="Arial" w:cs="Arial"/>
          <w:sz w:val="24"/>
          <w:szCs w:val="24"/>
          <w:lang w:val="sr-Latn-ME"/>
        </w:rPr>
        <w:lastRenderedPageBreak/>
        <w:t>da ako utvrdi da nije, sudu to i predoči. Naveli su da lica za podršku moraju biti obučena za utvrđivanje autentičnog mišljenja djeteta, te da bi trebali imati određenu obraznost u postupanju, uz svakako individualistički pristup djetetu, te određene obra</w:t>
      </w:r>
      <w:r w:rsidR="00410248">
        <w:rPr>
          <w:rFonts w:ascii="Arial" w:hAnsi="Arial" w:cs="Arial"/>
          <w:sz w:val="24"/>
          <w:szCs w:val="24"/>
          <w:lang w:val="sr-Latn-ME"/>
        </w:rPr>
        <w:t>sce</w:t>
      </w:r>
      <w:r w:rsidR="00BF2C3D">
        <w:rPr>
          <w:rFonts w:ascii="Arial" w:hAnsi="Arial" w:cs="Arial"/>
          <w:sz w:val="24"/>
          <w:szCs w:val="24"/>
          <w:lang w:val="sr-Latn-ME"/>
        </w:rPr>
        <w:t xml:space="preserve"> koj</w:t>
      </w:r>
      <w:r w:rsidR="00C751C6">
        <w:rPr>
          <w:rFonts w:ascii="Arial" w:hAnsi="Arial" w:cs="Arial"/>
          <w:sz w:val="24"/>
          <w:szCs w:val="24"/>
          <w:lang w:val="sr-Latn-ME"/>
        </w:rPr>
        <w:t>e</w:t>
      </w:r>
      <w:r w:rsidR="00BF2C3D">
        <w:rPr>
          <w:rFonts w:ascii="Arial" w:hAnsi="Arial" w:cs="Arial"/>
          <w:sz w:val="24"/>
          <w:szCs w:val="24"/>
          <w:lang w:val="sr-Latn-ME"/>
        </w:rPr>
        <w:t xml:space="preserve"> bi trebalo da prate sva lica za podršku. Predložili su da se </w:t>
      </w:r>
      <w:r w:rsidR="00D23460">
        <w:rPr>
          <w:rFonts w:ascii="Arial" w:hAnsi="Arial" w:cs="Arial"/>
          <w:sz w:val="24"/>
          <w:szCs w:val="24"/>
          <w:lang w:val="sr-Latn-ME"/>
        </w:rPr>
        <w:t>L</w:t>
      </w:r>
      <w:r w:rsidR="00BF2C3D">
        <w:rPr>
          <w:rFonts w:ascii="Arial" w:hAnsi="Arial" w:cs="Arial"/>
          <w:sz w:val="24"/>
          <w:szCs w:val="24"/>
          <w:lang w:val="sr-Latn-ME"/>
        </w:rPr>
        <w:t>ica za podršku kontinuirano i bolje obučavaju, buduć</w:t>
      </w:r>
      <w:r w:rsidR="00D23460">
        <w:rPr>
          <w:rFonts w:ascii="Arial" w:hAnsi="Arial" w:cs="Arial"/>
          <w:sz w:val="24"/>
          <w:szCs w:val="24"/>
          <w:lang w:val="sr-Latn-ME"/>
        </w:rPr>
        <w:t>i</w:t>
      </w:r>
      <w:r w:rsidR="00BF2C3D">
        <w:rPr>
          <w:rFonts w:ascii="Arial" w:hAnsi="Arial" w:cs="Arial"/>
          <w:sz w:val="24"/>
          <w:szCs w:val="24"/>
          <w:lang w:val="sr-Latn-ME"/>
        </w:rPr>
        <w:t xml:space="preserve"> da su, kako su istakli, svjedoci </w:t>
      </w:r>
      <w:r w:rsidR="00D23460">
        <w:rPr>
          <w:rFonts w:ascii="Arial" w:hAnsi="Arial" w:cs="Arial"/>
          <w:sz w:val="24"/>
          <w:szCs w:val="24"/>
          <w:lang w:val="sr-Latn-ME"/>
        </w:rPr>
        <w:t xml:space="preserve">da u največem broju predmeta gdje se ovo Lice imenuje, bude imenovana jedna konkretna osoba koja može biti Lice za podršku, što ukazuje na nedovoljno povjerenje suda u rad ostalih lica koja se mogu imenovati. Nalaze da sud već na prvom ročištu treba da uzme u razmatranje ovu mogućnost, te da ne odlučuje o eventualnom imenovanju samo na predlog neke od stranaka. Trebalo bi podsticati na učestalije kontakte djeteta i Lica za podršku, te na prioritet da se djetetu pruži podrška, a ne na iznošenje onoga što je dijete reklo pred sudom, posebno kada se ima u vidu da se zapravo u postupcima gdje postoji značajan konflikt među strankama najčešće i imenuje </w:t>
      </w:r>
      <w:r w:rsidR="00E00831">
        <w:rPr>
          <w:rFonts w:ascii="Arial" w:hAnsi="Arial" w:cs="Arial"/>
          <w:sz w:val="24"/>
          <w:szCs w:val="24"/>
          <w:lang w:val="sr-Latn-ME"/>
        </w:rPr>
        <w:t>L</w:t>
      </w:r>
      <w:r w:rsidR="00D23460">
        <w:rPr>
          <w:rFonts w:ascii="Arial" w:hAnsi="Arial" w:cs="Arial"/>
          <w:sz w:val="24"/>
          <w:szCs w:val="24"/>
          <w:lang w:val="sr-Latn-ME"/>
        </w:rPr>
        <w:t>ice za podršku</w:t>
      </w:r>
      <w:r w:rsidR="00AE02BE">
        <w:rPr>
          <w:rFonts w:ascii="Arial" w:hAnsi="Arial" w:cs="Arial"/>
          <w:sz w:val="24"/>
          <w:szCs w:val="24"/>
          <w:lang w:val="sr-Latn-ME"/>
        </w:rPr>
        <w:t xml:space="preserve">, </w:t>
      </w:r>
      <w:r w:rsidR="00E00831">
        <w:rPr>
          <w:rFonts w:ascii="Arial" w:hAnsi="Arial" w:cs="Arial"/>
          <w:sz w:val="24"/>
          <w:szCs w:val="24"/>
          <w:lang w:val="sr-Latn-ME"/>
        </w:rPr>
        <w:t>pa integralno iznošenje sudu i strankama onoga što je dijete reklo licu za podršku može biti kontraproduktivno za dijete, ponekad i bez obzira što ono da saglasnost. Sa druge strane, Lice za podršku bi moglo, kad procijeni, predložiti sudu da pribavi mišljenje djeteta na drugi adekvatan način, ako zaključi da bi to bilo od značaja, a na osnovu onoga što od djeteta čuje. Prednje naročito jer Porodični zakon propisuje da je Lice za podršku dužno da se brižljivo i savjesno stara o ličnosti i interesima djeteta, za šta nalazimo da je prioritetna dužnost, te da ostale dužnosti Lica za podršku moraju biti podređene navedenoj.</w:t>
      </w:r>
    </w:p>
    <w:p w:rsidR="004F0B04" w:rsidRDefault="004F0B04" w:rsidP="006944B5">
      <w:pPr>
        <w:jc w:val="both"/>
        <w:rPr>
          <w:rFonts w:ascii="Arial" w:hAnsi="Arial" w:cs="Arial"/>
          <w:sz w:val="24"/>
          <w:szCs w:val="24"/>
          <w:lang w:val="sr-Latn-ME"/>
        </w:rPr>
      </w:pPr>
      <w:r>
        <w:rPr>
          <w:rFonts w:ascii="Arial" w:hAnsi="Arial" w:cs="Arial"/>
          <w:sz w:val="24"/>
          <w:szCs w:val="24"/>
          <w:lang w:val="sr-Latn-ME"/>
        </w:rPr>
        <w:tab/>
        <w:t>Lica za podršku saglasna su da je neophodno uključivanje Lica za podr</w:t>
      </w:r>
      <w:r w:rsidR="00952788">
        <w:rPr>
          <w:rFonts w:ascii="Arial" w:hAnsi="Arial" w:cs="Arial"/>
          <w:sz w:val="24"/>
          <w:szCs w:val="24"/>
          <w:lang w:val="sr-Latn-ME"/>
        </w:rPr>
        <w:t>š</w:t>
      </w:r>
      <w:r>
        <w:rPr>
          <w:rFonts w:ascii="Arial" w:hAnsi="Arial" w:cs="Arial"/>
          <w:sz w:val="24"/>
          <w:szCs w:val="24"/>
          <w:lang w:val="sr-Latn-ME"/>
        </w:rPr>
        <w:t>ku u ranijim fazama postupka, tj. u slučajevima kada su konflikti manje intenzivni i između roditelja, zbog uvažavanja mišljenja djeteta u tim slučajevima. Ističu da su do sada bili angažovani u poodmaklim fazama postupka, gdje su odnosi između roditelja već narušeni, a sudski proces traje dugo. Saglasni su da je saradnja sa sudovima, odnosno sudijama na zadovoljavajućem nivou. Stava su da djecu treba smatrati punim nosiocima prava i da se tako prema njima treba i ophoditi, tj. rukovoditi se najboljim interesima djeteta, na koji način uvažavanje i poštovanje prema djetetu može doprinijeti da dijete stekne uvid u svoja prava i povjerenje u institucije koje ga uvažavaju i poštuju kao individuu. Smatraju da na formiranje ličnosti utiču genetika, sama aktivnost pojedinca, kao i socijalno okruženje kao što je porodica, škola, vršnjaci, kultura, društveni sistem, sredstva masovnih komunikacija, zanimanje, grupe ili organizacije čiji je osoba član</w:t>
      </w:r>
      <w:r w:rsidR="009E31AB">
        <w:rPr>
          <w:rFonts w:ascii="Arial" w:hAnsi="Arial" w:cs="Arial"/>
          <w:sz w:val="24"/>
          <w:szCs w:val="24"/>
          <w:lang w:val="sr-Latn-ME"/>
        </w:rPr>
        <w:t>. Prem</w:t>
      </w:r>
      <w:r w:rsidR="00417FFE">
        <w:rPr>
          <w:rFonts w:ascii="Arial" w:hAnsi="Arial" w:cs="Arial"/>
          <w:sz w:val="24"/>
          <w:szCs w:val="24"/>
          <w:lang w:val="sr-Latn-ME"/>
        </w:rPr>
        <w:t>a</w:t>
      </w:r>
      <w:r w:rsidR="009E31AB">
        <w:rPr>
          <w:rFonts w:ascii="Arial" w:hAnsi="Arial" w:cs="Arial"/>
          <w:sz w:val="24"/>
          <w:szCs w:val="24"/>
          <w:lang w:val="sr-Latn-ME"/>
        </w:rPr>
        <w:t xml:space="preserve"> tome, dijete se razvija u samosvjesnu individuu koja ima svoja prava, a društvo i sistem u kom živimo je dužno da uvažava mišljenje djeteta, čime se stvara doprinos u formiranju zdrave ličnosti. Takođe smatraju da bi opremanje prostorija prilagođenih za rad sa djecom doprinijelo unaprjeđenju njihovog rada. Kao nedostatak navode da su lica za podršku angažovana u veoma malom procentu uzimajući u obzir broj predmeta na godišnjem nivou.</w:t>
      </w:r>
    </w:p>
    <w:p w:rsidR="009E31AB" w:rsidRDefault="009E31AB" w:rsidP="006944B5">
      <w:pPr>
        <w:jc w:val="both"/>
        <w:rPr>
          <w:rFonts w:ascii="Arial" w:hAnsi="Arial" w:cs="Arial"/>
          <w:sz w:val="24"/>
          <w:szCs w:val="24"/>
          <w:lang w:val="sr-Latn-ME"/>
        </w:rPr>
      </w:pPr>
      <w:r>
        <w:rPr>
          <w:rFonts w:ascii="Arial" w:hAnsi="Arial" w:cs="Arial"/>
          <w:sz w:val="24"/>
          <w:szCs w:val="24"/>
          <w:lang w:val="sr-Latn-ME"/>
        </w:rPr>
        <w:tab/>
        <w:t>Sva lica koja učestvuju u primjeni ovog instituta smatraju pozitivnim uvođenje ovog instituta, jer je prepoznat kao izuzetno koristan sa aspekta zaštite prava i interesa djece, kojem je potrebna dalja podrška i promocija, a radi značajnijeg prepoznavanja i primjene u društvu. U narednom periodu očekuju obavezne dalje edukacije i sprovođenja obuka kako sudija, advokata, službenika Organa starateljstva, tako i Lica za podršku.</w:t>
      </w:r>
    </w:p>
    <w:p w:rsidR="00EB5D54" w:rsidRDefault="00EB5D54" w:rsidP="006944B5">
      <w:pPr>
        <w:jc w:val="both"/>
        <w:rPr>
          <w:rFonts w:ascii="Arial" w:hAnsi="Arial" w:cs="Arial"/>
          <w:sz w:val="24"/>
          <w:szCs w:val="24"/>
          <w:lang w:val="sr-Latn-ME"/>
        </w:rPr>
      </w:pPr>
    </w:p>
    <w:p w:rsidR="00EB5D54" w:rsidRDefault="00EB5D54" w:rsidP="006944B5">
      <w:pPr>
        <w:jc w:val="both"/>
        <w:rPr>
          <w:rFonts w:ascii="Arial" w:hAnsi="Arial" w:cs="Arial"/>
          <w:b/>
          <w:sz w:val="24"/>
          <w:szCs w:val="24"/>
          <w:lang w:val="sr-Latn-ME"/>
        </w:rPr>
      </w:pPr>
      <w:r>
        <w:rPr>
          <w:rFonts w:ascii="Arial" w:hAnsi="Arial" w:cs="Arial"/>
          <w:sz w:val="24"/>
          <w:szCs w:val="24"/>
          <w:lang w:val="sr-Latn-ME"/>
        </w:rPr>
        <w:tab/>
      </w:r>
      <w:r>
        <w:rPr>
          <w:rFonts w:ascii="Arial" w:hAnsi="Arial" w:cs="Arial"/>
          <w:b/>
          <w:sz w:val="24"/>
          <w:szCs w:val="24"/>
          <w:lang w:val="sr-Latn-ME"/>
        </w:rPr>
        <w:t>III OBUKE</w:t>
      </w:r>
    </w:p>
    <w:p w:rsidR="00EB5D54" w:rsidRDefault="00EB5D54" w:rsidP="006944B5">
      <w:pPr>
        <w:jc w:val="both"/>
        <w:rPr>
          <w:rFonts w:ascii="Arial" w:hAnsi="Arial" w:cs="Arial"/>
          <w:b/>
          <w:sz w:val="24"/>
          <w:szCs w:val="24"/>
          <w:lang w:val="sr-Latn-ME"/>
        </w:rPr>
      </w:pPr>
    </w:p>
    <w:p w:rsidR="00EB5D54" w:rsidRDefault="00EB5D54" w:rsidP="006944B5">
      <w:pPr>
        <w:jc w:val="both"/>
        <w:rPr>
          <w:rFonts w:ascii="Arial" w:hAnsi="Arial" w:cs="Arial"/>
          <w:sz w:val="24"/>
          <w:szCs w:val="24"/>
          <w:lang w:val="sr-Latn-ME"/>
        </w:rPr>
      </w:pPr>
      <w:r>
        <w:rPr>
          <w:rFonts w:ascii="Arial" w:hAnsi="Arial" w:cs="Arial"/>
          <w:sz w:val="24"/>
          <w:szCs w:val="24"/>
          <w:lang w:val="sr-Latn-ME"/>
        </w:rPr>
        <w:tab/>
        <w:t>Centar za obuku u sudstvu i državnom tužilaštvu</w:t>
      </w:r>
      <w:r w:rsidR="009D1433">
        <w:rPr>
          <w:rFonts w:ascii="Arial" w:hAnsi="Arial" w:cs="Arial"/>
          <w:sz w:val="24"/>
          <w:szCs w:val="24"/>
          <w:lang w:val="sr-Latn-ME"/>
        </w:rPr>
        <w:t xml:space="preserve"> je u svom dopisu obavijestio Ministarstvo pravde da u navedenom periodu nije sprovodio obuke na navedenu temu.</w:t>
      </w:r>
      <w:r w:rsidR="00472A12">
        <w:rPr>
          <w:rFonts w:ascii="Arial" w:hAnsi="Arial" w:cs="Arial"/>
          <w:sz w:val="24"/>
          <w:szCs w:val="24"/>
          <w:lang w:val="sr-Latn-ME"/>
        </w:rPr>
        <w:t xml:space="preserve"> </w:t>
      </w:r>
      <w:r w:rsidR="009D1433">
        <w:rPr>
          <w:rFonts w:ascii="Arial" w:hAnsi="Arial" w:cs="Arial"/>
          <w:sz w:val="24"/>
          <w:szCs w:val="24"/>
          <w:lang w:val="sr-Latn-ME"/>
        </w:rPr>
        <w:t>Takođe su istakli da Centar, shodno članu 3 Zakona o Centru za obuku u sudstvu i državnom tužilaštvu („Službeni list Crne Gore“, br.58/15) organizuje i sprovodi obuke sudija, državnih tužilaca, kandidata za sudije i kandidata za državne tužioce, te da može organizovati i sprovoditi obuke advokata, notara, javnih izvršitelja, savjetnika, službenika i pripravnika u sudovima i državnim tužilaštvima.</w:t>
      </w:r>
    </w:p>
    <w:p w:rsidR="00B5195A" w:rsidRDefault="00B5195A" w:rsidP="00B5195A">
      <w:pPr>
        <w:ind w:firstLine="720"/>
        <w:jc w:val="both"/>
        <w:rPr>
          <w:rFonts w:ascii="Arial" w:hAnsi="Arial" w:cs="Arial"/>
          <w:sz w:val="24"/>
          <w:szCs w:val="24"/>
          <w:lang w:val="sr-Latn-ME"/>
        </w:rPr>
      </w:pPr>
      <w:r>
        <w:rPr>
          <w:rFonts w:ascii="Arial" w:hAnsi="Arial" w:cs="Arial"/>
          <w:sz w:val="24"/>
          <w:szCs w:val="24"/>
          <w:lang w:val="sr-Latn-ME"/>
        </w:rPr>
        <w:t>Ministarstvo pravde je kod Centra za obuku u sudstvu i državnom tužilaštvu iniciralo da se u program za kontinuiranu obuku sudija i državnih tužilaca za 2022. godinu uvrste obuke Lica za podršku, koja online obuka je održana 05. i 06.decembra 2022. godine na temu „Porodično-pravni odnosi i najbolji interes djeteta“ sa akcentom na ulogu Lica za podršku i položaj djeteta u visokokonfiltnom razvodu i otuđenje djeteta, a koju je u konačnom pohađalo 11 Lica za podršku.</w:t>
      </w:r>
    </w:p>
    <w:p w:rsidR="009D1433" w:rsidRDefault="009D1433" w:rsidP="006944B5">
      <w:pPr>
        <w:jc w:val="both"/>
        <w:rPr>
          <w:rFonts w:ascii="Arial" w:hAnsi="Arial" w:cs="Arial"/>
          <w:sz w:val="24"/>
          <w:szCs w:val="24"/>
          <w:lang w:val="sr-Latn-ME"/>
        </w:rPr>
      </w:pPr>
    </w:p>
    <w:p w:rsidR="009D1433" w:rsidRPr="00EB5D54" w:rsidRDefault="009D1433" w:rsidP="006944B5">
      <w:pPr>
        <w:jc w:val="both"/>
        <w:rPr>
          <w:rFonts w:ascii="Arial" w:hAnsi="Arial" w:cs="Arial"/>
          <w:sz w:val="24"/>
          <w:szCs w:val="24"/>
          <w:lang w:val="sr-Latn-ME"/>
        </w:rPr>
      </w:pPr>
    </w:p>
    <w:p w:rsidR="009E31AB" w:rsidRDefault="009E31AB" w:rsidP="006944B5">
      <w:pPr>
        <w:jc w:val="both"/>
        <w:rPr>
          <w:rFonts w:ascii="Arial" w:hAnsi="Arial" w:cs="Arial"/>
          <w:sz w:val="24"/>
          <w:szCs w:val="24"/>
          <w:lang w:val="sr-Latn-ME"/>
        </w:rPr>
      </w:pPr>
      <w:r>
        <w:rPr>
          <w:rFonts w:ascii="Arial" w:hAnsi="Arial" w:cs="Arial"/>
          <w:sz w:val="24"/>
          <w:szCs w:val="24"/>
          <w:lang w:val="sr-Latn-ME"/>
        </w:rPr>
        <w:tab/>
      </w:r>
    </w:p>
    <w:p w:rsidR="009D1433" w:rsidRDefault="009D1433" w:rsidP="006944B5">
      <w:pPr>
        <w:jc w:val="both"/>
        <w:rPr>
          <w:rFonts w:ascii="Arial" w:hAnsi="Arial" w:cs="Arial"/>
          <w:sz w:val="24"/>
          <w:szCs w:val="24"/>
          <w:lang w:val="sr-Latn-ME"/>
        </w:rPr>
      </w:pPr>
    </w:p>
    <w:p w:rsidR="00417FFE" w:rsidRDefault="00417FFE" w:rsidP="006944B5">
      <w:pPr>
        <w:jc w:val="both"/>
        <w:rPr>
          <w:rFonts w:ascii="Arial" w:hAnsi="Arial" w:cs="Arial"/>
          <w:sz w:val="24"/>
          <w:szCs w:val="24"/>
          <w:lang w:val="sr-Latn-ME"/>
        </w:rPr>
      </w:pPr>
    </w:p>
    <w:p w:rsidR="00417FFE" w:rsidRDefault="00417FFE" w:rsidP="006944B5">
      <w:pPr>
        <w:jc w:val="both"/>
        <w:rPr>
          <w:rFonts w:ascii="Arial" w:hAnsi="Arial" w:cs="Arial"/>
          <w:sz w:val="24"/>
          <w:szCs w:val="24"/>
          <w:lang w:val="sr-Latn-ME"/>
        </w:rPr>
      </w:pPr>
    </w:p>
    <w:p w:rsidR="00417FFE" w:rsidRDefault="00417FFE" w:rsidP="006944B5">
      <w:pPr>
        <w:jc w:val="both"/>
        <w:rPr>
          <w:rFonts w:ascii="Arial" w:hAnsi="Arial" w:cs="Arial"/>
          <w:sz w:val="24"/>
          <w:szCs w:val="24"/>
          <w:lang w:val="sr-Latn-ME"/>
        </w:rPr>
      </w:pPr>
    </w:p>
    <w:p w:rsidR="00417FFE" w:rsidRDefault="00417FFE" w:rsidP="006944B5">
      <w:pPr>
        <w:jc w:val="both"/>
        <w:rPr>
          <w:rFonts w:ascii="Arial" w:hAnsi="Arial" w:cs="Arial"/>
          <w:sz w:val="24"/>
          <w:szCs w:val="24"/>
          <w:lang w:val="sr-Latn-ME"/>
        </w:rPr>
      </w:pPr>
    </w:p>
    <w:p w:rsidR="00417FFE" w:rsidRDefault="00417FFE" w:rsidP="006944B5">
      <w:pPr>
        <w:jc w:val="both"/>
        <w:rPr>
          <w:rFonts w:ascii="Arial" w:hAnsi="Arial" w:cs="Arial"/>
          <w:sz w:val="24"/>
          <w:szCs w:val="24"/>
          <w:lang w:val="sr-Latn-ME"/>
        </w:rPr>
      </w:pPr>
    </w:p>
    <w:p w:rsidR="00417FFE" w:rsidRDefault="00417FFE" w:rsidP="006944B5">
      <w:pPr>
        <w:jc w:val="both"/>
        <w:rPr>
          <w:rFonts w:ascii="Arial" w:hAnsi="Arial" w:cs="Arial"/>
          <w:sz w:val="24"/>
          <w:szCs w:val="24"/>
          <w:lang w:val="sr-Latn-ME"/>
        </w:rPr>
      </w:pPr>
    </w:p>
    <w:p w:rsidR="00417FFE" w:rsidRDefault="00417FFE" w:rsidP="006944B5">
      <w:pPr>
        <w:jc w:val="both"/>
        <w:rPr>
          <w:rFonts w:ascii="Arial" w:hAnsi="Arial" w:cs="Arial"/>
          <w:sz w:val="24"/>
          <w:szCs w:val="24"/>
          <w:lang w:val="sr-Latn-ME"/>
        </w:rPr>
      </w:pPr>
    </w:p>
    <w:p w:rsidR="00FE7831" w:rsidRDefault="00FE7831" w:rsidP="006944B5">
      <w:pPr>
        <w:jc w:val="both"/>
        <w:rPr>
          <w:rFonts w:ascii="Arial" w:hAnsi="Arial" w:cs="Arial"/>
          <w:sz w:val="24"/>
          <w:szCs w:val="24"/>
          <w:lang w:val="sr-Latn-ME"/>
        </w:rPr>
      </w:pPr>
    </w:p>
    <w:p w:rsidR="00FE7831" w:rsidRDefault="00FE7831" w:rsidP="006944B5">
      <w:pPr>
        <w:jc w:val="both"/>
        <w:rPr>
          <w:rFonts w:ascii="Arial" w:hAnsi="Arial" w:cs="Arial"/>
          <w:sz w:val="24"/>
          <w:szCs w:val="24"/>
          <w:lang w:val="sr-Latn-ME"/>
        </w:rPr>
      </w:pPr>
    </w:p>
    <w:p w:rsidR="00FE7831" w:rsidRDefault="00FE7831" w:rsidP="006944B5">
      <w:pPr>
        <w:jc w:val="both"/>
        <w:rPr>
          <w:rFonts w:ascii="Arial" w:hAnsi="Arial" w:cs="Arial"/>
          <w:sz w:val="24"/>
          <w:szCs w:val="24"/>
          <w:lang w:val="sr-Latn-ME"/>
        </w:rPr>
      </w:pPr>
    </w:p>
    <w:p w:rsidR="0013573C" w:rsidRDefault="0013573C" w:rsidP="006944B5">
      <w:pPr>
        <w:jc w:val="both"/>
        <w:rPr>
          <w:rFonts w:ascii="Arial" w:hAnsi="Arial" w:cs="Arial"/>
          <w:sz w:val="24"/>
          <w:szCs w:val="24"/>
          <w:lang w:val="sr-Latn-ME"/>
        </w:rPr>
      </w:pPr>
    </w:p>
    <w:p w:rsidR="00FE7831" w:rsidRDefault="00FE7831" w:rsidP="006944B5">
      <w:pPr>
        <w:jc w:val="both"/>
        <w:rPr>
          <w:rFonts w:ascii="Arial" w:hAnsi="Arial" w:cs="Arial"/>
          <w:sz w:val="24"/>
          <w:szCs w:val="24"/>
          <w:lang w:val="sr-Latn-ME"/>
        </w:rPr>
      </w:pPr>
    </w:p>
    <w:p w:rsidR="009D1433" w:rsidRDefault="009D1433" w:rsidP="009D1433">
      <w:pPr>
        <w:ind w:firstLine="720"/>
        <w:jc w:val="both"/>
        <w:rPr>
          <w:rFonts w:ascii="Arial" w:hAnsi="Arial" w:cs="Arial"/>
          <w:b/>
          <w:sz w:val="24"/>
          <w:szCs w:val="24"/>
          <w:lang w:val="sr-Latn-ME"/>
        </w:rPr>
      </w:pPr>
      <w:r>
        <w:rPr>
          <w:rFonts w:ascii="Arial" w:hAnsi="Arial" w:cs="Arial"/>
          <w:b/>
          <w:sz w:val="24"/>
          <w:szCs w:val="24"/>
          <w:lang w:val="sr-Latn-ME"/>
        </w:rPr>
        <w:lastRenderedPageBreak/>
        <w:t>IV OCJENA STANJA</w:t>
      </w:r>
    </w:p>
    <w:p w:rsidR="009D1433" w:rsidRDefault="009D1433" w:rsidP="009D1433">
      <w:pPr>
        <w:jc w:val="both"/>
        <w:rPr>
          <w:rFonts w:ascii="Arial" w:hAnsi="Arial" w:cs="Arial"/>
          <w:b/>
          <w:sz w:val="24"/>
          <w:szCs w:val="24"/>
          <w:lang w:val="sr-Latn-ME"/>
        </w:rPr>
      </w:pPr>
    </w:p>
    <w:p w:rsidR="009D1433" w:rsidRDefault="009D1433" w:rsidP="009D1433">
      <w:pPr>
        <w:ind w:firstLine="720"/>
        <w:jc w:val="both"/>
        <w:rPr>
          <w:rFonts w:ascii="Arial" w:hAnsi="Arial" w:cs="Arial"/>
          <w:sz w:val="24"/>
          <w:szCs w:val="24"/>
          <w:lang w:val="sr-Latn-ME"/>
        </w:rPr>
      </w:pPr>
      <w:r>
        <w:rPr>
          <w:rFonts w:ascii="Arial" w:hAnsi="Arial" w:cs="Arial"/>
          <w:sz w:val="24"/>
          <w:szCs w:val="24"/>
          <w:lang w:val="sr-Latn-ME"/>
        </w:rPr>
        <w:t>Imajući u vidu vremenski okvir od gotovo pet godina primjene instituta Lice za podršku u pravnoj praksi crnogorskih sudova, kao i rezultate dobijene prilikom sačinjavanja godišnjih izvještaja, može se izvesti zaključak o nespornoj opravdanosti uvođenja ovog instituta i već ostvarenim benefitima na polju zaštite najboljeg interesa djeteta.</w:t>
      </w:r>
    </w:p>
    <w:p w:rsidR="009D1433" w:rsidRDefault="009D1433" w:rsidP="009D1433">
      <w:pPr>
        <w:ind w:firstLine="720"/>
        <w:jc w:val="both"/>
        <w:rPr>
          <w:rFonts w:ascii="Arial" w:hAnsi="Arial" w:cs="Arial"/>
          <w:sz w:val="24"/>
          <w:szCs w:val="24"/>
          <w:lang w:val="sr-Latn-ME"/>
        </w:rPr>
      </w:pPr>
      <w:r>
        <w:rPr>
          <w:rFonts w:ascii="Arial" w:hAnsi="Arial" w:cs="Arial"/>
          <w:sz w:val="24"/>
          <w:szCs w:val="24"/>
          <w:lang w:val="sr-Latn-ME"/>
        </w:rPr>
        <w:t xml:space="preserve">Navedeni zaključak, prije svega, </w:t>
      </w:r>
      <w:r w:rsidR="005F601C">
        <w:rPr>
          <w:rFonts w:ascii="Arial" w:hAnsi="Arial" w:cs="Arial"/>
          <w:sz w:val="24"/>
          <w:szCs w:val="24"/>
          <w:lang w:val="sr-Latn-ME"/>
        </w:rPr>
        <w:t xml:space="preserve">proizilazi iz činjenice da su sudovi u izvještajnom periodu angažovali Lice za podršku u 37 predmeta, te činjenice da su svi učesnici sa kojima je obavljen razgovor ili su kontaktirani za potrebe izrade ovog izvještaja – </w:t>
      </w:r>
      <w:r w:rsidR="006B7EB4">
        <w:rPr>
          <w:rFonts w:ascii="Arial" w:hAnsi="Arial" w:cs="Arial"/>
          <w:sz w:val="24"/>
          <w:szCs w:val="24"/>
          <w:lang w:val="sr-Latn-ME"/>
        </w:rPr>
        <w:t>L</w:t>
      </w:r>
      <w:r w:rsidR="005F601C">
        <w:rPr>
          <w:rFonts w:ascii="Arial" w:hAnsi="Arial" w:cs="Arial"/>
          <w:sz w:val="24"/>
          <w:szCs w:val="24"/>
          <w:lang w:val="sr-Latn-ME"/>
        </w:rPr>
        <w:t>ica za podršku, sudije, advokati, istakli njegov nesumnjiv značaj za pružanje stručne pomoći i podrške djeci u visokokonfliktnim sudskim sporovima iz porodično – pravnih odnosa.</w:t>
      </w:r>
    </w:p>
    <w:p w:rsidR="005F601C" w:rsidRDefault="005F601C" w:rsidP="009D1433">
      <w:pPr>
        <w:ind w:firstLine="720"/>
        <w:jc w:val="both"/>
        <w:rPr>
          <w:rFonts w:ascii="Arial" w:hAnsi="Arial" w:cs="Arial"/>
          <w:sz w:val="24"/>
          <w:szCs w:val="24"/>
          <w:lang w:val="sr-Latn-ME"/>
        </w:rPr>
      </w:pPr>
      <w:r>
        <w:rPr>
          <w:rFonts w:ascii="Arial" w:hAnsi="Arial" w:cs="Arial"/>
          <w:sz w:val="24"/>
          <w:szCs w:val="24"/>
          <w:lang w:val="sr-Latn-ME"/>
        </w:rPr>
        <w:t>Kada se ima u vidu da je riječ o relativno novom pravnom institutu, čiji značaj i doprinos se postiže u svakom konkretnom slučaju u kojem je djetetu obezbijeđena ova vrsta pomoći i podrške, to se i njihovo angažovanje od strane sudova u Crnoj Gori u 37 postupaka, posebno kada se ima u vidu da jedan postupak može, a često i jeste, podrazumijevao uključenost dvoje i više djece, ima cijeniti kao značajno dostignuće. Jer, kao što je rečeno, najbolji interes djeteta, kao zaštićeno dobro u konkretnom slučaju, ne može imati svoj brojčani ekvivalent i opravdanost njegovog uvođenja se postiže u svakom pojedinačnom sudskom postupku u kojem je sud obezbijedio da dijete kao učesnik u postupku dobije podršku koja je primjerena i adekvatna.</w:t>
      </w:r>
    </w:p>
    <w:p w:rsidR="005F601C" w:rsidRDefault="005F601C" w:rsidP="009D1433">
      <w:pPr>
        <w:ind w:firstLine="720"/>
        <w:jc w:val="both"/>
        <w:rPr>
          <w:rFonts w:ascii="Arial" w:hAnsi="Arial" w:cs="Arial"/>
          <w:sz w:val="24"/>
          <w:szCs w:val="24"/>
          <w:lang w:val="sr-Latn-ME"/>
        </w:rPr>
      </w:pPr>
      <w:r>
        <w:rPr>
          <w:rFonts w:ascii="Arial" w:hAnsi="Arial" w:cs="Arial"/>
          <w:sz w:val="24"/>
          <w:szCs w:val="24"/>
          <w:lang w:val="sr-Latn-ME"/>
        </w:rPr>
        <w:t>Svojevrsnu potvrdu opravdanosti ovog instituta predstavlja i usaglašenost intervjuisanih lica za podršku, sudija i advokata, koji su imali neposredno iskustvo u njegovoj praktičnoj primjeni, u pogledu njegovog značaja na polju zaštite prava djeteta i njegovog najboljeg interesa.</w:t>
      </w:r>
    </w:p>
    <w:p w:rsidR="00204429" w:rsidRDefault="00CE39C0" w:rsidP="00204429">
      <w:pPr>
        <w:ind w:firstLine="720"/>
        <w:jc w:val="both"/>
        <w:rPr>
          <w:rFonts w:ascii="Arial" w:hAnsi="Arial" w:cs="Arial"/>
          <w:sz w:val="24"/>
          <w:szCs w:val="24"/>
          <w:lang w:val="sr-Latn-ME"/>
        </w:rPr>
      </w:pPr>
      <w:r>
        <w:rPr>
          <w:rFonts w:ascii="Arial" w:hAnsi="Arial" w:cs="Arial"/>
          <w:sz w:val="24"/>
          <w:szCs w:val="24"/>
          <w:lang w:val="sr-Latn-ME"/>
        </w:rPr>
        <w:t xml:space="preserve">Na predlog </w:t>
      </w:r>
      <w:r w:rsidR="00204429">
        <w:rPr>
          <w:rFonts w:ascii="Arial" w:hAnsi="Arial" w:cs="Arial"/>
          <w:sz w:val="24"/>
          <w:szCs w:val="24"/>
          <w:lang w:val="sr-Latn-ME"/>
        </w:rPr>
        <w:t>Ministarstv</w:t>
      </w:r>
      <w:r>
        <w:rPr>
          <w:rFonts w:ascii="Arial" w:hAnsi="Arial" w:cs="Arial"/>
          <w:sz w:val="24"/>
          <w:szCs w:val="24"/>
          <w:lang w:val="sr-Latn-ME"/>
        </w:rPr>
        <w:t>a</w:t>
      </w:r>
      <w:r w:rsidR="00204429">
        <w:rPr>
          <w:rFonts w:ascii="Arial" w:hAnsi="Arial" w:cs="Arial"/>
          <w:sz w:val="24"/>
          <w:szCs w:val="24"/>
          <w:lang w:val="sr-Latn-ME"/>
        </w:rPr>
        <w:t xml:space="preserve"> pravde</w:t>
      </w:r>
      <w:r>
        <w:rPr>
          <w:rFonts w:ascii="Arial" w:hAnsi="Arial" w:cs="Arial"/>
          <w:sz w:val="24"/>
          <w:szCs w:val="24"/>
          <w:lang w:val="sr-Latn-ME"/>
        </w:rPr>
        <w:t xml:space="preserve"> </w:t>
      </w:r>
      <w:r w:rsidR="00204429">
        <w:rPr>
          <w:rFonts w:ascii="Arial" w:hAnsi="Arial" w:cs="Arial"/>
          <w:sz w:val="24"/>
          <w:szCs w:val="24"/>
          <w:lang w:val="sr-Latn-ME"/>
        </w:rPr>
        <w:t>Cent</w:t>
      </w:r>
      <w:r>
        <w:rPr>
          <w:rFonts w:ascii="Arial" w:hAnsi="Arial" w:cs="Arial"/>
          <w:sz w:val="24"/>
          <w:szCs w:val="24"/>
          <w:lang w:val="sr-Latn-ME"/>
        </w:rPr>
        <w:t>ar</w:t>
      </w:r>
      <w:r w:rsidR="00204429">
        <w:rPr>
          <w:rFonts w:ascii="Arial" w:hAnsi="Arial" w:cs="Arial"/>
          <w:sz w:val="24"/>
          <w:szCs w:val="24"/>
          <w:lang w:val="sr-Latn-ME"/>
        </w:rPr>
        <w:t xml:space="preserve"> za obuku u sudstvu i državnom tužilaštvu </w:t>
      </w:r>
      <w:r>
        <w:rPr>
          <w:rFonts w:ascii="Arial" w:hAnsi="Arial" w:cs="Arial"/>
          <w:sz w:val="24"/>
          <w:szCs w:val="24"/>
          <w:lang w:val="sr-Latn-ME"/>
        </w:rPr>
        <w:t>uvrstio je</w:t>
      </w:r>
      <w:r w:rsidR="00204429">
        <w:rPr>
          <w:rFonts w:ascii="Arial" w:hAnsi="Arial" w:cs="Arial"/>
          <w:sz w:val="24"/>
          <w:szCs w:val="24"/>
          <w:lang w:val="sr-Latn-ME"/>
        </w:rPr>
        <w:t xml:space="preserve"> u program za kontinuiranu obuku sudija i državnih tužilaca za 2022. godinu obuk</w:t>
      </w:r>
      <w:r>
        <w:rPr>
          <w:rFonts w:ascii="Arial" w:hAnsi="Arial" w:cs="Arial"/>
          <w:sz w:val="24"/>
          <w:szCs w:val="24"/>
          <w:lang w:val="sr-Latn-ME"/>
        </w:rPr>
        <w:t>u</w:t>
      </w:r>
      <w:r w:rsidR="00204429">
        <w:rPr>
          <w:rFonts w:ascii="Arial" w:hAnsi="Arial" w:cs="Arial"/>
          <w:sz w:val="24"/>
          <w:szCs w:val="24"/>
          <w:lang w:val="sr-Latn-ME"/>
        </w:rPr>
        <w:t xml:space="preserve"> Lica za podršku, koja online obuka je održana 05. i 06.decembra 2022. godine na temu „Porodično-pravni odnosi i najbolji interes djeteta“ sa akcentom na ulogu Lica za podršku i položaj djeteta u visokokonfiltnom razvodu i otuđenje djeteta, </w:t>
      </w:r>
      <w:r>
        <w:rPr>
          <w:rFonts w:ascii="Arial" w:hAnsi="Arial" w:cs="Arial"/>
          <w:sz w:val="24"/>
          <w:szCs w:val="24"/>
          <w:lang w:val="sr-Latn-ME"/>
        </w:rPr>
        <w:t>i</w:t>
      </w:r>
      <w:r w:rsidR="00204429">
        <w:rPr>
          <w:rFonts w:ascii="Arial" w:hAnsi="Arial" w:cs="Arial"/>
          <w:sz w:val="24"/>
          <w:szCs w:val="24"/>
          <w:lang w:val="sr-Latn-ME"/>
        </w:rPr>
        <w:t xml:space="preserve"> koju je </w:t>
      </w:r>
      <w:bookmarkStart w:id="0" w:name="_GoBack"/>
      <w:bookmarkEnd w:id="0"/>
      <w:r w:rsidR="00204429">
        <w:rPr>
          <w:rFonts w:ascii="Arial" w:hAnsi="Arial" w:cs="Arial"/>
          <w:sz w:val="24"/>
          <w:szCs w:val="24"/>
          <w:lang w:val="sr-Latn-ME"/>
        </w:rPr>
        <w:t>pohađalo 11 Lica za podršku.</w:t>
      </w:r>
    </w:p>
    <w:p w:rsidR="005F601C" w:rsidRDefault="005F601C" w:rsidP="009D1433">
      <w:pPr>
        <w:ind w:firstLine="720"/>
        <w:jc w:val="both"/>
        <w:rPr>
          <w:rFonts w:ascii="Arial" w:hAnsi="Arial" w:cs="Arial"/>
          <w:sz w:val="24"/>
          <w:szCs w:val="24"/>
          <w:lang w:val="sr-Latn-ME"/>
        </w:rPr>
      </w:pPr>
      <w:r>
        <w:rPr>
          <w:rFonts w:ascii="Arial" w:hAnsi="Arial" w:cs="Arial"/>
          <w:sz w:val="24"/>
          <w:szCs w:val="24"/>
          <w:lang w:val="sr-Latn-ME"/>
        </w:rPr>
        <w:t>Angažovanjem Lica za podršku omogućava se utvrđivanje autentičnog mišljenja djeteta, što je od velikog značaja u postupcima u kojima se odlučuje o vršenju roditeljskog prava, naročito u situacijama kada ima indicija da je dijete instruirano i da je predmet manipulacije roditelja. Ocijenili su da u takvim slučajevima izvještaj Lica za podršku omogućava sudiji da sazna mišljenje djeteta, što je od značaja za pravilnu procjenu i utvrđivanje najboljeg interesa djeteta i donošenje pravilne odluke.</w:t>
      </w:r>
    </w:p>
    <w:p w:rsidR="005F601C" w:rsidRDefault="005F601C" w:rsidP="009D1433">
      <w:pPr>
        <w:ind w:firstLine="720"/>
        <w:jc w:val="both"/>
        <w:rPr>
          <w:rFonts w:ascii="Arial" w:hAnsi="Arial" w:cs="Arial"/>
          <w:sz w:val="24"/>
          <w:szCs w:val="24"/>
          <w:lang w:val="sr-Latn-ME"/>
        </w:rPr>
      </w:pPr>
      <w:r>
        <w:rPr>
          <w:rFonts w:ascii="Arial" w:hAnsi="Arial" w:cs="Arial"/>
          <w:sz w:val="24"/>
          <w:szCs w:val="24"/>
          <w:lang w:val="sr-Latn-ME"/>
        </w:rPr>
        <w:t xml:space="preserve">Dakle, iz svega navedenog proizilazi da je potrebna ravnomjerna zastupljenost kod angažovanja </w:t>
      </w:r>
      <w:r w:rsidR="00FE781C">
        <w:rPr>
          <w:rFonts w:ascii="Arial" w:hAnsi="Arial" w:cs="Arial"/>
          <w:sz w:val="24"/>
          <w:szCs w:val="24"/>
          <w:lang w:val="sr-Latn-ME"/>
        </w:rPr>
        <w:t>L</w:t>
      </w:r>
      <w:r>
        <w:rPr>
          <w:rFonts w:ascii="Arial" w:hAnsi="Arial" w:cs="Arial"/>
          <w:sz w:val="24"/>
          <w:szCs w:val="24"/>
          <w:lang w:val="sr-Latn-ME"/>
        </w:rPr>
        <w:t xml:space="preserve">ica za podršku djetetu u sudskim postupcima u vezi sa porodičnim </w:t>
      </w:r>
      <w:r>
        <w:rPr>
          <w:rFonts w:ascii="Arial" w:hAnsi="Arial" w:cs="Arial"/>
          <w:sz w:val="24"/>
          <w:szCs w:val="24"/>
          <w:lang w:val="sr-Latn-ME"/>
        </w:rPr>
        <w:lastRenderedPageBreak/>
        <w:t xml:space="preserve">odnosima, veća učestalost </w:t>
      </w:r>
      <w:r w:rsidR="00EB44FA">
        <w:rPr>
          <w:rFonts w:ascii="Arial" w:hAnsi="Arial" w:cs="Arial"/>
          <w:sz w:val="24"/>
          <w:szCs w:val="24"/>
          <w:lang w:val="sr-Latn-ME"/>
        </w:rPr>
        <w:t>korišćenja ovog instituta, kao i obezbjeđenje diversifikacije prilikom dodjele predmeta licima za podršku.</w:t>
      </w:r>
    </w:p>
    <w:p w:rsidR="00EB44FA" w:rsidRDefault="00EB44FA" w:rsidP="009D1433">
      <w:pPr>
        <w:ind w:firstLine="720"/>
        <w:jc w:val="both"/>
        <w:rPr>
          <w:rFonts w:ascii="Arial" w:hAnsi="Arial" w:cs="Arial"/>
          <w:sz w:val="24"/>
          <w:szCs w:val="24"/>
          <w:lang w:val="sr-Latn-ME"/>
        </w:rPr>
      </w:pPr>
      <w:r>
        <w:rPr>
          <w:rFonts w:ascii="Arial" w:hAnsi="Arial" w:cs="Arial"/>
          <w:sz w:val="24"/>
          <w:szCs w:val="24"/>
          <w:lang w:val="sr-Latn-ME"/>
        </w:rPr>
        <w:t>Kada je u pitanju praćenje praktične primjene ovog instituta, novi Informacioni sistem pravosuđa, koji je u finalnoj fazi izrade, sadržaće sve relevantne podatke o predmetima iz porodično – pravnih odnosa, pa i podatke o angažovanju Lica za podršku, što će omogućiti cjelovito praćenje njegove primjene.</w:t>
      </w:r>
    </w:p>
    <w:p w:rsidR="00EB44FA" w:rsidRDefault="00EB44FA" w:rsidP="009D1433">
      <w:pPr>
        <w:ind w:firstLine="720"/>
        <w:jc w:val="both"/>
        <w:rPr>
          <w:rFonts w:ascii="Arial" w:hAnsi="Arial" w:cs="Arial"/>
          <w:sz w:val="24"/>
          <w:szCs w:val="24"/>
          <w:lang w:val="sr-Latn-ME"/>
        </w:rPr>
      </w:pPr>
      <w:r>
        <w:rPr>
          <w:rFonts w:ascii="Arial" w:hAnsi="Arial" w:cs="Arial"/>
          <w:sz w:val="24"/>
          <w:szCs w:val="24"/>
          <w:lang w:val="sr-Latn-ME"/>
        </w:rPr>
        <w:t>Cilj je u narednom periodu obezbijediti veći broj angažovanih lica za podršku djetetu, u svim predmetima pred sudom gdje se štite njegova prava i najbolji interes djeteta, kao i organizovati obuke o ulozi Lica za podršku djetetu, radi dodatnog sticanja znanja i vještina potrebnih za pravilno tumačenje i pravilnu primjenu ovog instituta.</w:t>
      </w:r>
    </w:p>
    <w:p w:rsidR="00EB44FA" w:rsidRDefault="00EB44FA" w:rsidP="009D1433">
      <w:pPr>
        <w:ind w:firstLine="720"/>
        <w:jc w:val="both"/>
        <w:rPr>
          <w:rFonts w:ascii="Arial" w:hAnsi="Arial" w:cs="Arial"/>
          <w:sz w:val="24"/>
          <w:szCs w:val="24"/>
          <w:lang w:val="sr-Latn-ME"/>
        </w:rPr>
      </w:pPr>
    </w:p>
    <w:p w:rsidR="00EB44FA" w:rsidRDefault="00EB44FA" w:rsidP="009D1433">
      <w:pPr>
        <w:ind w:firstLine="720"/>
        <w:jc w:val="both"/>
        <w:rPr>
          <w:rFonts w:ascii="Arial" w:hAnsi="Arial" w:cs="Arial"/>
          <w:b/>
          <w:sz w:val="24"/>
          <w:szCs w:val="24"/>
          <w:lang w:val="sr-Latn-ME"/>
        </w:rPr>
      </w:pPr>
      <w:r>
        <w:rPr>
          <w:rFonts w:ascii="Arial" w:hAnsi="Arial" w:cs="Arial"/>
          <w:b/>
          <w:sz w:val="24"/>
          <w:szCs w:val="24"/>
          <w:lang w:val="sr-Latn-ME"/>
        </w:rPr>
        <w:t>V PREPORUKE ZA NAREDNI PERIOD</w:t>
      </w:r>
    </w:p>
    <w:p w:rsidR="00EB44FA" w:rsidRDefault="00EB44FA" w:rsidP="009D1433">
      <w:pPr>
        <w:ind w:firstLine="720"/>
        <w:jc w:val="both"/>
        <w:rPr>
          <w:rFonts w:ascii="Arial" w:hAnsi="Arial" w:cs="Arial"/>
          <w:b/>
          <w:sz w:val="24"/>
          <w:szCs w:val="24"/>
          <w:lang w:val="sr-Latn-ME"/>
        </w:rPr>
      </w:pPr>
    </w:p>
    <w:p w:rsidR="00EB44FA" w:rsidRDefault="00EB44FA" w:rsidP="009D1433">
      <w:pPr>
        <w:ind w:firstLine="720"/>
        <w:jc w:val="both"/>
        <w:rPr>
          <w:rFonts w:ascii="Arial" w:hAnsi="Arial" w:cs="Arial"/>
          <w:sz w:val="24"/>
          <w:szCs w:val="24"/>
          <w:lang w:val="sr-Latn-ME"/>
        </w:rPr>
      </w:pPr>
      <w:r>
        <w:rPr>
          <w:rFonts w:ascii="Arial" w:hAnsi="Arial" w:cs="Arial"/>
          <w:sz w:val="24"/>
          <w:szCs w:val="24"/>
          <w:lang w:val="sr-Latn-ME"/>
        </w:rPr>
        <w:t>U narednom periodu potrebno je:</w:t>
      </w:r>
    </w:p>
    <w:p w:rsidR="00EB44FA" w:rsidRDefault="00EB44FA" w:rsidP="00EB44FA">
      <w:pPr>
        <w:pStyle w:val="ListParagraph"/>
        <w:numPr>
          <w:ilvl w:val="0"/>
          <w:numId w:val="6"/>
        </w:numPr>
        <w:jc w:val="both"/>
        <w:rPr>
          <w:rFonts w:ascii="Arial" w:hAnsi="Arial" w:cs="Arial"/>
          <w:sz w:val="24"/>
          <w:szCs w:val="24"/>
          <w:lang w:val="sr-Latn-ME"/>
        </w:rPr>
      </w:pPr>
      <w:r>
        <w:rPr>
          <w:rFonts w:ascii="Arial" w:hAnsi="Arial" w:cs="Arial"/>
          <w:sz w:val="24"/>
          <w:szCs w:val="24"/>
          <w:lang w:val="sr-Latn-ME"/>
        </w:rPr>
        <w:t>kontinuirano pratiti praktičnu primjenu instituta Lice za podršku djetetu kroz izradu godišnjih izvještaja o njegovoj primjeni</w:t>
      </w:r>
    </w:p>
    <w:p w:rsidR="00EB44FA" w:rsidRDefault="00EB44FA" w:rsidP="00EB44FA">
      <w:pPr>
        <w:pStyle w:val="ListParagraph"/>
        <w:numPr>
          <w:ilvl w:val="0"/>
          <w:numId w:val="6"/>
        </w:numPr>
        <w:jc w:val="both"/>
        <w:rPr>
          <w:rFonts w:ascii="Arial" w:hAnsi="Arial" w:cs="Arial"/>
          <w:sz w:val="24"/>
          <w:szCs w:val="24"/>
          <w:lang w:val="sr-Latn-ME"/>
        </w:rPr>
      </w:pPr>
      <w:r>
        <w:rPr>
          <w:rFonts w:ascii="Arial" w:hAnsi="Arial" w:cs="Arial"/>
          <w:sz w:val="24"/>
          <w:szCs w:val="24"/>
          <w:lang w:val="sr-Latn-ME"/>
        </w:rPr>
        <w:t>sugerisati sudovima na potrebu ravnomjerne zastupljenosti svih Lica za podršku djetetu u sudskim postupcima, njihovo češće angažovanje, uz obezbjeđivanje diversifikacije prilikom dodjele predmeta</w:t>
      </w:r>
    </w:p>
    <w:p w:rsidR="00EB44FA" w:rsidRDefault="00EB44FA" w:rsidP="00EB44FA">
      <w:pPr>
        <w:pStyle w:val="ListParagraph"/>
        <w:numPr>
          <w:ilvl w:val="0"/>
          <w:numId w:val="6"/>
        </w:numPr>
        <w:jc w:val="both"/>
        <w:rPr>
          <w:rFonts w:ascii="Arial" w:hAnsi="Arial" w:cs="Arial"/>
          <w:sz w:val="24"/>
          <w:szCs w:val="24"/>
          <w:lang w:val="sr-Latn-ME"/>
        </w:rPr>
      </w:pPr>
      <w:r>
        <w:rPr>
          <w:rFonts w:ascii="Arial" w:hAnsi="Arial" w:cs="Arial"/>
          <w:sz w:val="24"/>
          <w:szCs w:val="24"/>
          <w:lang w:val="sr-Latn-ME"/>
        </w:rPr>
        <w:t>organizovati edukacije za sudije (osnovnih i viših sudova) i Lica za podršku djetetu, a po potrebi organizovati i nove bazične obuke</w:t>
      </w:r>
    </w:p>
    <w:p w:rsidR="00EB44FA" w:rsidRDefault="00EB44FA" w:rsidP="00EB44FA">
      <w:pPr>
        <w:pStyle w:val="ListParagraph"/>
        <w:numPr>
          <w:ilvl w:val="0"/>
          <w:numId w:val="6"/>
        </w:numPr>
        <w:jc w:val="both"/>
        <w:rPr>
          <w:rFonts w:ascii="Arial" w:hAnsi="Arial" w:cs="Arial"/>
          <w:sz w:val="24"/>
          <w:szCs w:val="24"/>
          <w:lang w:val="sr-Latn-ME"/>
        </w:rPr>
      </w:pPr>
      <w:r>
        <w:rPr>
          <w:rFonts w:ascii="Arial" w:hAnsi="Arial" w:cs="Arial"/>
          <w:sz w:val="24"/>
          <w:szCs w:val="24"/>
          <w:lang w:val="sr-Latn-ME"/>
        </w:rPr>
        <w:t>nastaviti sa kontinuiranim obukama socijalnih radnika i advokata u vezi sa primjenom instituta Lice za podršku djetetu</w:t>
      </w:r>
    </w:p>
    <w:p w:rsidR="00EB44FA" w:rsidRPr="00EB44FA" w:rsidRDefault="00EB44FA" w:rsidP="00EB44FA">
      <w:pPr>
        <w:pStyle w:val="ListParagraph"/>
        <w:numPr>
          <w:ilvl w:val="0"/>
          <w:numId w:val="6"/>
        </w:numPr>
        <w:jc w:val="both"/>
        <w:rPr>
          <w:rFonts w:ascii="Arial" w:hAnsi="Arial" w:cs="Arial"/>
          <w:sz w:val="24"/>
          <w:szCs w:val="24"/>
          <w:lang w:val="sr-Latn-ME"/>
        </w:rPr>
      </w:pPr>
      <w:r>
        <w:rPr>
          <w:rFonts w:ascii="Arial" w:hAnsi="Arial" w:cs="Arial"/>
          <w:sz w:val="24"/>
          <w:szCs w:val="24"/>
          <w:lang w:val="sr-Latn-ME"/>
        </w:rPr>
        <w:t>nastaviti sa informaisanjem stručne i šire javnosti o ulozi i značaju Lica za podršku</w:t>
      </w:r>
    </w:p>
    <w:sectPr w:rsidR="00EB44FA" w:rsidRPr="00EB44FA" w:rsidSect="004A213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67B" w:rsidRDefault="0001067B" w:rsidP="004A2137">
      <w:pPr>
        <w:spacing w:after="0" w:line="240" w:lineRule="auto"/>
      </w:pPr>
      <w:r>
        <w:separator/>
      </w:r>
    </w:p>
  </w:endnote>
  <w:endnote w:type="continuationSeparator" w:id="0">
    <w:p w:rsidR="0001067B" w:rsidRDefault="0001067B" w:rsidP="004A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643341"/>
      <w:docPartObj>
        <w:docPartGallery w:val="Page Numbers (Bottom of Page)"/>
        <w:docPartUnique/>
      </w:docPartObj>
    </w:sdtPr>
    <w:sdtEndPr>
      <w:rPr>
        <w:noProof/>
      </w:rPr>
    </w:sdtEndPr>
    <w:sdtContent>
      <w:p w:rsidR="004A2137" w:rsidRDefault="004A2137">
        <w:pPr>
          <w:pStyle w:val="Footer"/>
          <w:jc w:val="center"/>
        </w:pPr>
        <w:r>
          <w:fldChar w:fldCharType="begin"/>
        </w:r>
        <w:r>
          <w:instrText xml:space="preserve"> PAGE   \* MERGEFORMAT </w:instrText>
        </w:r>
        <w:r>
          <w:fldChar w:fldCharType="separate"/>
        </w:r>
        <w:r w:rsidR="006944B5">
          <w:rPr>
            <w:noProof/>
          </w:rPr>
          <w:t>5</w:t>
        </w:r>
        <w:r>
          <w:rPr>
            <w:noProof/>
          </w:rPr>
          <w:fldChar w:fldCharType="end"/>
        </w:r>
      </w:p>
    </w:sdtContent>
  </w:sdt>
  <w:p w:rsidR="004A2137" w:rsidRDefault="004A2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67B" w:rsidRDefault="0001067B" w:rsidP="004A2137">
      <w:pPr>
        <w:spacing w:after="0" w:line="240" w:lineRule="auto"/>
      </w:pPr>
      <w:r>
        <w:separator/>
      </w:r>
    </w:p>
  </w:footnote>
  <w:footnote w:type="continuationSeparator" w:id="0">
    <w:p w:rsidR="0001067B" w:rsidRDefault="0001067B" w:rsidP="004A2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796"/>
    <w:multiLevelType w:val="hybridMultilevel"/>
    <w:tmpl w:val="5038E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92F80"/>
    <w:multiLevelType w:val="hybridMultilevel"/>
    <w:tmpl w:val="447A5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97236"/>
    <w:multiLevelType w:val="hybridMultilevel"/>
    <w:tmpl w:val="2B6C3948"/>
    <w:lvl w:ilvl="0" w:tplc="C37AD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2564A"/>
    <w:multiLevelType w:val="hybridMultilevel"/>
    <w:tmpl w:val="0E36A53E"/>
    <w:lvl w:ilvl="0" w:tplc="618EE5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D29E6"/>
    <w:multiLevelType w:val="hybridMultilevel"/>
    <w:tmpl w:val="6074CA36"/>
    <w:lvl w:ilvl="0" w:tplc="D3B69060">
      <w:numFmt w:val="bullet"/>
      <w:lvlText w:val="-"/>
      <w:lvlJc w:val="left"/>
      <w:pPr>
        <w:ind w:left="1080" w:hanging="360"/>
      </w:pPr>
      <w:rPr>
        <w:rFonts w:ascii="Arial" w:eastAsiaTheme="minorHAnsi" w:hAnsi="Arial"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5" w15:restartNumberingAfterBreak="0">
    <w:nsid w:val="75102BA7"/>
    <w:multiLevelType w:val="hybridMultilevel"/>
    <w:tmpl w:val="692E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16"/>
    <w:rsid w:val="0001067B"/>
    <w:rsid w:val="00022CFF"/>
    <w:rsid w:val="0013573C"/>
    <w:rsid w:val="00157810"/>
    <w:rsid w:val="001837D7"/>
    <w:rsid w:val="00204429"/>
    <w:rsid w:val="00246C1D"/>
    <w:rsid w:val="002B129F"/>
    <w:rsid w:val="00317EBE"/>
    <w:rsid w:val="00326F04"/>
    <w:rsid w:val="003B60EE"/>
    <w:rsid w:val="003E6AD2"/>
    <w:rsid w:val="003E7F14"/>
    <w:rsid w:val="00410248"/>
    <w:rsid w:val="00417FFE"/>
    <w:rsid w:val="00426D46"/>
    <w:rsid w:val="00435111"/>
    <w:rsid w:val="00472A12"/>
    <w:rsid w:val="004A2137"/>
    <w:rsid w:val="004B04A1"/>
    <w:rsid w:val="004E6A31"/>
    <w:rsid w:val="004F0B04"/>
    <w:rsid w:val="00517668"/>
    <w:rsid w:val="00530CAC"/>
    <w:rsid w:val="005334B2"/>
    <w:rsid w:val="00546BFC"/>
    <w:rsid w:val="005E6ED8"/>
    <w:rsid w:val="005F601C"/>
    <w:rsid w:val="005F637B"/>
    <w:rsid w:val="006944B5"/>
    <w:rsid w:val="006B7EB4"/>
    <w:rsid w:val="006E652A"/>
    <w:rsid w:val="00783292"/>
    <w:rsid w:val="0078681A"/>
    <w:rsid w:val="00883B1A"/>
    <w:rsid w:val="00905FEE"/>
    <w:rsid w:val="00952788"/>
    <w:rsid w:val="00955EBB"/>
    <w:rsid w:val="009610FB"/>
    <w:rsid w:val="00962FC5"/>
    <w:rsid w:val="009C4B5C"/>
    <w:rsid w:val="009D1433"/>
    <w:rsid w:val="009E0016"/>
    <w:rsid w:val="009E1995"/>
    <w:rsid w:val="009E31AB"/>
    <w:rsid w:val="00A37DE0"/>
    <w:rsid w:val="00A55660"/>
    <w:rsid w:val="00AE02BE"/>
    <w:rsid w:val="00B425CD"/>
    <w:rsid w:val="00B5195A"/>
    <w:rsid w:val="00BF2C3D"/>
    <w:rsid w:val="00BF53F0"/>
    <w:rsid w:val="00C66D16"/>
    <w:rsid w:val="00C751C6"/>
    <w:rsid w:val="00C86309"/>
    <w:rsid w:val="00CA2619"/>
    <w:rsid w:val="00CC2E22"/>
    <w:rsid w:val="00CD6E94"/>
    <w:rsid w:val="00CE39C0"/>
    <w:rsid w:val="00D06F75"/>
    <w:rsid w:val="00D23460"/>
    <w:rsid w:val="00D712D1"/>
    <w:rsid w:val="00DA43C5"/>
    <w:rsid w:val="00E00831"/>
    <w:rsid w:val="00EB44FA"/>
    <w:rsid w:val="00EB5D54"/>
    <w:rsid w:val="00EB6B31"/>
    <w:rsid w:val="00F36159"/>
    <w:rsid w:val="00F90810"/>
    <w:rsid w:val="00FA1143"/>
    <w:rsid w:val="00FD18E7"/>
    <w:rsid w:val="00FE781C"/>
    <w:rsid w:val="00FE7831"/>
    <w:rsid w:val="00FF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2823"/>
  <w15:chartTrackingRefBased/>
  <w15:docId w15:val="{43B3B301-E970-407D-ABA6-40DBC3D1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B1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odnas">
    <w:name w:val="_7podnas"/>
    <w:basedOn w:val="Normal"/>
    <w:rsid w:val="005334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lan">
    <w:name w:val="_4clan"/>
    <w:basedOn w:val="Normal"/>
    <w:rsid w:val="005334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5334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
    <w:name w:val="ball"/>
    <w:basedOn w:val="DefaultParagraphFont"/>
    <w:rsid w:val="005334B2"/>
  </w:style>
  <w:style w:type="character" w:customStyle="1" w:styleId="vidividi">
    <w:name w:val="vidi_vidi"/>
    <w:basedOn w:val="DefaultParagraphFont"/>
    <w:rsid w:val="005334B2"/>
  </w:style>
  <w:style w:type="character" w:styleId="Hyperlink">
    <w:name w:val="Hyperlink"/>
    <w:basedOn w:val="DefaultParagraphFont"/>
    <w:uiPriority w:val="99"/>
    <w:semiHidden/>
    <w:unhideWhenUsed/>
    <w:rsid w:val="005334B2"/>
    <w:rPr>
      <w:color w:val="0000FF"/>
      <w:u w:val="single"/>
    </w:rPr>
  </w:style>
  <w:style w:type="paragraph" w:styleId="BalloonText">
    <w:name w:val="Balloon Text"/>
    <w:basedOn w:val="Normal"/>
    <w:link w:val="BalloonTextChar"/>
    <w:uiPriority w:val="99"/>
    <w:semiHidden/>
    <w:unhideWhenUsed/>
    <w:rsid w:val="00533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4B2"/>
    <w:rPr>
      <w:rFonts w:ascii="Segoe UI" w:hAnsi="Segoe UI" w:cs="Segoe UI"/>
      <w:sz w:val="18"/>
      <w:szCs w:val="18"/>
    </w:rPr>
  </w:style>
  <w:style w:type="paragraph" w:styleId="ListParagraph">
    <w:name w:val="List Paragraph"/>
    <w:basedOn w:val="Normal"/>
    <w:uiPriority w:val="34"/>
    <w:qFormat/>
    <w:rsid w:val="00BF53F0"/>
    <w:pPr>
      <w:ind w:left="720"/>
      <w:contextualSpacing/>
    </w:pPr>
  </w:style>
  <w:style w:type="paragraph" w:styleId="Header">
    <w:name w:val="header"/>
    <w:basedOn w:val="Normal"/>
    <w:link w:val="HeaderChar"/>
    <w:uiPriority w:val="99"/>
    <w:unhideWhenUsed/>
    <w:rsid w:val="004A2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137"/>
  </w:style>
  <w:style w:type="paragraph" w:styleId="Footer">
    <w:name w:val="footer"/>
    <w:basedOn w:val="Normal"/>
    <w:link w:val="FooterChar"/>
    <w:uiPriority w:val="99"/>
    <w:unhideWhenUsed/>
    <w:rsid w:val="004A2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37"/>
  </w:style>
  <w:style w:type="table" w:styleId="TableGrid">
    <w:name w:val="Table Grid"/>
    <w:basedOn w:val="TableNormal"/>
    <w:uiPriority w:val="39"/>
    <w:rsid w:val="0096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937979">
      <w:bodyDiv w:val="1"/>
      <w:marLeft w:val="0"/>
      <w:marRight w:val="0"/>
      <w:marTop w:val="0"/>
      <w:marBottom w:val="0"/>
      <w:divBdr>
        <w:top w:val="none" w:sz="0" w:space="0" w:color="auto"/>
        <w:left w:val="none" w:sz="0" w:space="0" w:color="auto"/>
        <w:bottom w:val="none" w:sz="0" w:space="0" w:color="auto"/>
        <w:right w:val="none" w:sz="0" w:space="0" w:color="auto"/>
      </w:divBdr>
    </w:div>
    <w:div w:id="443500778">
      <w:bodyDiv w:val="1"/>
      <w:marLeft w:val="0"/>
      <w:marRight w:val="0"/>
      <w:marTop w:val="0"/>
      <w:marBottom w:val="0"/>
      <w:divBdr>
        <w:top w:val="none" w:sz="0" w:space="0" w:color="auto"/>
        <w:left w:val="none" w:sz="0" w:space="0" w:color="auto"/>
        <w:bottom w:val="none" w:sz="0" w:space="0" w:color="auto"/>
        <w:right w:val="none" w:sz="0" w:space="0" w:color="auto"/>
      </w:divBdr>
    </w:div>
    <w:div w:id="924412841">
      <w:bodyDiv w:val="1"/>
      <w:marLeft w:val="0"/>
      <w:marRight w:val="0"/>
      <w:marTop w:val="0"/>
      <w:marBottom w:val="0"/>
      <w:divBdr>
        <w:top w:val="none" w:sz="0" w:space="0" w:color="auto"/>
        <w:left w:val="none" w:sz="0" w:space="0" w:color="auto"/>
        <w:bottom w:val="none" w:sz="0" w:space="0" w:color="auto"/>
        <w:right w:val="none" w:sz="0" w:space="0" w:color="auto"/>
      </w:divBdr>
    </w:div>
    <w:div w:id="160426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vlada.cg.yu/img/1095339371.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10</Pages>
  <Words>3416</Words>
  <Characters>19473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Kajevic</dc:creator>
  <cp:keywords/>
  <dc:description/>
  <cp:lastModifiedBy>Dzana Kajevic</cp:lastModifiedBy>
  <cp:revision>33</cp:revision>
  <cp:lastPrinted>2022-12-09T08:41:00Z</cp:lastPrinted>
  <dcterms:created xsi:type="dcterms:W3CDTF">2022-11-11T06:34:00Z</dcterms:created>
  <dcterms:modified xsi:type="dcterms:W3CDTF">2022-12-09T11:31:00Z</dcterms:modified>
</cp:coreProperties>
</file>