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Na osnovu člana 53 Zakona o penzijskom i invalidskom osiguranju ("Sl. list RCG", br. 54/03 i 39/04), Ministarstvo rada i socijalnog staranja donosi</w:t>
      </w:r>
    </w:p>
    <w:p w:rsidR="00CF1584" w:rsidRPr="00CF1584" w:rsidRDefault="00CF1584" w:rsidP="00CF15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CF1584">
        <w:rPr>
          <w:rFonts w:ascii="Arial" w:eastAsia="Times New Roman" w:hAnsi="Arial" w:cs="Arial"/>
          <w:color w:val="0033CC"/>
          <w:sz w:val="36"/>
          <w:szCs w:val="36"/>
        </w:rPr>
        <w:t>Pravilnik o utvrđivanju tjelesnih oštećenja</w:t>
      </w:r>
    </w:p>
    <w:p w:rsidR="00CF1584" w:rsidRPr="00CF1584" w:rsidRDefault="00CF1584" w:rsidP="00CF1584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bookmarkStart w:id="0" w:name="SADRZAJ_001"/>
      <w:proofErr w:type="gramStart"/>
      <w:r w:rsidRPr="00CF1584">
        <w:rPr>
          <w:rFonts w:ascii="Arial" w:eastAsia="Times New Roman" w:hAnsi="Arial" w:cs="Arial"/>
          <w:i/>
          <w:iCs/>
          <w:sz w:val="24"/>
          <w:szCs w:val="24"/>
        </w:rPr>
        <w:t>Pravilnik je objavljen u "Službenom listu RCG", br. 45/2004 i</w:t>
      </w:r>
      <w:bookmarkStart w:id="1" w:name="SADRZAJ_002"/>
      <w:bookmarkEnd w:id="0"/>
      <w:r w:rsidRPr="00CF158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End w:id="1"/>
      <w:r w:rsidRPr="00CF1584">
        <w:rPr>
          <w:rFonts w:ascii="Arial" w:eastAsia="Times New Roman" w:hAnsi="Arial" w:cs="Arial"/>
          <w:i/>
          <w:iCs/>
          <w:sz w:val="24"/>
          <w:szCs w:val="24"/>
        </w:rPr>
        <w:fldChar w:fldCharType="begin"/>
      </w:r>
      <w:r w:rsidRPr="00CF1584">
        <w:rPr>
          <w:rFonts w:ascii="Arial" w:eastAsia="Times New Roman" w:hAnsi="Arial" w:cs="Arial"/>
          <w:i/>
          <w:iCs/>
          <w:sz w:val="24"/>
          <w:szCs w:val="24"/>
        </w:rPr>
        <w:instrText xml:space="preserve"> HYPERLINK "file:///C:\\Documents%20and%20Settings\\darka.dzabasan\\Local%20Settings\\Application%20Data\\Ing-Pro\\IngProPaket5P\\l10986.htm" \l "ZK50/04" </w:instrText>
      </w:r>
      <w:r w:rsidRPr="00CF1584">
        <w:rPr>
          <w:rFonts w:ascii="Arial" w:eastAsia="Times New Roman" w:hAnsi="Arial" w:cs="Arial"/>
          <w:i/>
          <w:iCs/>
          <w:sz w:val="24"/>
          <w:szCs w:val="24"/>
        </w:rPr>
        <w:fldChar w:fldCharType="separate"/>
      </w:r>
      <w:r w:rsidRPr="00CF1584">
        <w:rPr>
          <w:rFonts w:ascii="Arial" w:eastAsia="Times New Roman" w:hAnsi="Arial" w:cs="Arial"/>
          <w:i/>
          <w:iCs/>
          <w:color w:val="000080"/>
          <w:sz w:val="24"/>
          <w:szCs w:val="24"/>
          <w:u w:val="single"/>
        </w:rPr>
        <w:t>50/2004</w:t>
      </w:r>
      <w:r w:rsidRPr="00CF1584">
        <w:rPr>
          <w:rFonts w:ascii="Arial" w:eastAsia="Times New Roman" w:hAnsi="Arial" w:cs="Arial"/>
          <w:i/>
          <w:iCs/>
          <w:sz w:val="24"/>
          <w:szCs w:val="24"/>
        </w:rPr>
        <w:fldChar w:fldCharType="end"/>
      </w:r>
      <w:r w:rsidRPr="00CF1584">
        <w:rPr>
          <w:rFonts w:ascii="Arial" w:eastAsia="Times New Roman" w:hAnsi="Arial" w:cs="Arial"/>
          <w:i/>
          <w:iCs/>
          <w:sz w:val="24"/>
          <w:szCs w:val="24"/>
        </w:rPr>
        <w:t>.</w:t>
      </w:r>
      <w:proofErr w:type="gramEnd"/>
    </w:p>
    <w:p w:rsidR="00CF1584" w:rsidRPr="00CF1584" w:rsidRDefault="00CF1584" w:rsidP="00CF1584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F1584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" w:name="SADRZAJ_003"/>
      <w:r w:rsidRPr="00CF1584">
        <w:rPr>
          <w:rFonts w:ascii="Arial" w:eastAsia="Times New Roman" w:hAnsi="Arial" w:cs="Arial"/>
          <w:sz w:val="20"/>
          <w:szCs w:val="20"/>
        </w:rPr>
        <w:t xml:space="preserve">Ovim pravilnikom se utvrđuje lista tjelesnih oštećenja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najmanje 50% kao i procenti tih oštećenja, koja su osnov za sticanje prava na novčanu naknadu i za računanje staža osiguranja sa uvećanim trajanjem, u smislu člana 52 stav 2 i člana 74 Zakona o penzijskom i invalidskom osiguranju.</w:t>
      </w:r>
    </w:p>
    <w:p w:rsidR="00CF1584" w:rsidRPr="00CF1584" w:rsidRDefault="00CF1584" w:rsidP="00CF1584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F1584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4"/>
      <w:bookmarkEnd w:id="2"/>
      <w:r w:rsidRPr="00CF1584">
        <w:rPr>
          <w:rFonts w:ascii="Arial" w:eastAsia="Times New Roman" w:hAnsi="Arial" w:cs="Arial"/>
          <w:sz w:val="20"/>
          <w:szCs w:val="20"/>
        </w:rPr>
        <w:t xml:space="preserve">Tjelesna oštećenja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najmanje 50% i procenti tih oštećenja su: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I GLAVA, USNA DUPLJA I VRAT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4" w:name="SADRZAJ_005"/>
      <w:bookmarkEnd w:id="3"/>
      <w:r w:rsidRPr="00CF1584">
        <w:rPr>
          <w:rFonts w:ascii="Arial" w:eastAsia="Times New Roman" w:hAnsi="Arial" w:cs="Arial"/>
          <w:b/>
          <w:bCs/>
          <w:sz w:val="27"/>
          <w:szCs w:val="27"/>
        </w:rPr>
        <w:t>A. Lobanja i lice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5" w:name="SADRZAJ_006"/>
      <w:bookmarkEnd w:id="4"/>
      <w:r w:rsidRPr="00CF1584">
        <w:rPr>
          <w:rFonts w:ascii="Arial" w:eastAsia="Times New Roman" w:hAnsi="Arial" w:cs="Arial"/>
          <w:sz w:val="20"/>
          <w:szCs w:val="20"/>
        </w:rPr>
        <w:t>1. Unakaženost lica većeg stepena 50%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B. </w:t>
      </w:r>
      <w:proofErr w:type="gramStart"/>
      <w:r w:rsidRPr="00CF1584">
        <w:rPr>
          <w:rFonts w:ascii="Arial" w:eastAsia="Times New Roman" w:hAnsi="Arial" w:cs="Arial"/>
          <w:b/>
          <w:bCs/>
          <w:sz w:val="27"/>
          <w:szCs w:val="27"/>
        </w:rPr>
        <w:t>Usna</w:t>
      </w:r>
      <w:proofErr w:type="gramEnd"/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 duplja i vrat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6" w:name="SADRZAJ_007"/>
      <w:bookmarkEnd w:id="5"/>
      <w:r w:rsidRPr="00CF1584">
        <w:rPr>
          <w:rFonts w:ascii="Arial" w:eastAsia="Times New Roman" w:hAnsi="Arial" w:cs="Arial"/>
          <w:sz w:val="20"/>
          <w:szCs w:val="20"/>
        </w:rPr>
        <w:t>2. Nemogućnost otvaranja usta (rastojanje između gornjih i donjih zuba do 1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,5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cm zbog čega je potrebna upotreba tečne hrane) 50%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3. Poremećaji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vilici, jeziku, nepcima, farinksu i larinksu (defekti, gubici ili funkcionalne smetnje) sa: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1)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gubitkom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govora 70%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2)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otežanom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ishranom 50%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3)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otežanom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ishranom i poremećenim govorom 50 do 60%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4)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otežanom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ishranom i gubitkom govora 80%.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4. Trajno nošenje kanile posle traheotomije 60%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5. Laringotomije: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1)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djelimična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60%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    2)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totalna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80%.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II KRANIJALNI NERVI, ČULO VIDA I ČULO SLUHA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7" w:name="SADRZAJ_008"/>
      <w:bookmarkEnd w:id="6"/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A. Kranijalni </w:t>
      </w:r>
      <w:proofErr w:type="gramStart"/>
      <w:r w:rsidRPr="00CF1584">
        <w:rPr>
          <w:rFonts w:ascii="Arial" w:eastAsia="Times New Roman" w:hAnsi="Arial" w:cs="Arial"/>
          <w:b/>
          <w:bCs/>
          <w:sz w:val="27"/>
          <w:szCs w:val="27"/>
        </w:rPr>
        <w:t>nervi</w:t>
      </w:r>
      <w:proofErr w:type="gramEnd"/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92"/>
        <w:gridCol w:w="1483"/>
      </w:tblGrid>
      <w:tr w:rsidR="00CF1584" w:rsidRPr="00CF1584" w:rsidTr="00CF1584">
        <w:trPr>
          <w:trHeight w:val="540"/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SADRZAJ_009"/>
            <w:bookmarkEnd w:id="7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Uzetost - ptoza oba očna kapka koja se hirurškim putem nije mogla korigovati - ako su zenice potpuno prekrivene  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Potpuna uzetost ili lezija bulbomotora (područje inervacije okulomotorijusa trohlearisa i abducensa), sa diplopijama koje su objektivno dokazane - obostrana  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Potpuna obostrana uzetost facijalisa  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50%.</w:t>
            </w:r>
          </w:p>
        </w:tc>
      </w:tr>
      <w:tr w:rsidR="00CF1584" w:rsidRPr="00CF1584" w:rsidTr="00CF1584">
        <w:trPr>
          <w:trHeight w:val="930"/>
          <w:jc w:val="center"/>
        </w:trPr>
        <w:tc>
          <w:tcPr>
            <w:tcW w:w="9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CF158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B. Čulo vida</w:t>
            </w:r>
            <w:bookmarkStart w:id="9" w:name="SADRZAJ_010"/>
            <w:bookmarkEnd w:id="8"/>
            <w:bookmarkEnd w:id="9"/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Gubitak oba oka, potpuni gubitak vida oba oka ili veoma veliko smanjenje vida (oštrina vida boljeg oka manja od 0.05%)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100%</w:t>
            </w:r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Veliko smanjenje vida oba oka, ako je oštrina vida boljeg oka 0,3 ili manja, prema ukupnom smanjenju vida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90%</w:t>
            </w:r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Gubitak jednog oka ili potpuni gubitak vida jednog oka, uz smanjenu oštrinu vida drugog oka (ako je oštrina vida drugog oka 0,5 ili manja)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90%</w:t>
            </w:r>
          </w:p>
        </w:tc>
      </w:tr>
      <w:tr w:rsidR="00CF1584" w:rsidRPr="00CF1584" w:rsidTr="00CF1584">
        <w:trPr>
          <w:trHeight w:val="15"/>
          <w:jc w:val="center"/>
        </w:trPr>
        <w:tc>
          <w:tcPr>
            <w:tcW w:w="9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Izolovane hemianopsije trajnog karaktera (osim kvadratnih, binazalnih i gornjih horizontalnih hemianopsija):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homonimne hemianopsije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trHeight w:val="330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donje horizontalne hemianopsije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50%.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Koncetrično suženje vidnog polja oba oka organskog karaktera: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30° do 21°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20° do 11°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10° i ispod  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90%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Pod oštrinom vida, u smislu ove glave, podrazumijeva se oštrina vida koja se dobija korekcijom naočarima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kontaktnim sočivima.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Određivanje procenta tjelesnog oštećenja pri umanjenju vida u smislu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>. 5 i 6 ove glave vrši se prema sljedećoj tabeli: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pacing w:val="30"/>
          <w:sz w:val="20"/>
          <w:szCs w:val="20"/>
        </w:rPr>
        <w:t>SLABIJE OKO</w:t>
      </w:r>
      <w:r w:rsidRPr="00CF1584">
        <w:rPr>
          <w:rFonts w:ascii="Arial" w:eastAsia="Times New Roman" w:hAnsi="Arial" w:cs="Arial"/>
          <w:spacing w:val="30"/>
          <w:sz w:val="20"/>
          <w:szCs w:val="20"/>
        </w:rPr>
        <w:br/>
        <w:t> </w:t>
      </w: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118"/>
        <w:gridCol w:w="1118"/>
        <w:gridCol w:w="1204"/>
        <w:gridCol w:w="1032"/>
        <w:gridCol w:w="1032"/>
        <w:gridCol w:w="1032"/>
      </w:tblGrid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Oštrina vida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CF1584" w:rsidRPr="00CF1584" w:rsidTr="00CF1584">
        <w:trPr>
          <w:jc w:val="center"/>
        </w:trPr>
        <w:tc>
          <w:tcPr>
            <w:tcW w:w="5100" w:type="pct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t.o. u procentima</w:t>
            </w: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LJ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CF1584" w:rsidRPr="00CF1584" w:rsidTr="00CF1584">
        <w:trPr>
          <w:jc w:val="center"/>
        </w:trPr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Ako je oštrina vida izražena sa dva decimala, drugi decimal se zanemaruje, osim za oštrinu vida od 0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,05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ili 0,00. Oštrina vida manja od 0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,1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a veća od 0,05 ocjenjuje se kao oštrina vida od 0,05.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C. Čulo sluha i </w:t>
      </w:r>
      <w:bookmarkStart w:id="10" w:name="SADRZAJ_011"/>
      <w:r w:rsidRPr="00CF1584">
        <w:rPr>
          <w:rFonts w:ascii="Arial" w:eastAsia="Times New Roman" w:hAnsi="Arial" w:cs="Arial"/>
          <w:b/>
          <w:bCs/>
          <w:sz w:val="27"/>
          <w:szCs w:val="27"/>
        </w:rPr>
        <w:t>vestibularni aparat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lastRenderedPageBreak/>
        <w:t>9. Potpuni gubitak sluha oba uha 70%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Kao potpuni gubitak sluha smatra se gubitak sluha preko 95% po Fowler Sabine-u (FS).</w:t>
      </w:r>
      <w:proofErr w:type="gramEnd"/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10. Obostrano teško oštećenje sluha preko 90% po FS 60%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11. Obostrana teška nagluvost pri ukupnom gubitku sluha preko 70 a do 90% po FS 50%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Izuzimaju se vestibularni sindromi koji su udruženi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sa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poremećajima centralnog nervnog sistema ugled povrede ili oboljenja mozga i moždanog stabla, pa se takvi slučajevi ocjenjuju u smislu tačke 9 glave III ovog pravilnika.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III MOZAK, MOŽDANO STABLO I KIČMENA MOŽDINA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3"/>
        <w:gridCol w:w="1522"/>
      </w:tblGrid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SADRZAJ_012"/>
            <w:bookmarkEnd w:id="10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1. Djelimična motorna uzetost jedne ruke ili noge 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2. Potpuna motorna uzetost: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jedne ruke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dominantne ruke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80%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nedominantne ruke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Potpuna motorna uzetost jedne noge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80%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Djelimična motorna uzetost jedne strane tijela 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Ne uzimaju se u obzir diskretni piramidni deficiti.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4. Potpuna motorna uzetost jedne strane tijela, paraplegije, triplegije i kvadriplegije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100%</w:t>
            </w:r>
          </w:p>
        </w:tc>
      </w:tr>
      <w:tr w:rsidR="00CF1584" w:rsidRPr="00CF1584" w:rsidTr="00CF1584">
        <w:trPr>
          <w:jc w:val="center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Motorne, senzorične ili kombinovane afazije, djelimične ili potpune, prema stepenu: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bez poremećaja čitanja i pisanja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do 70%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poremećajem čitanja i pisanja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 do 90%.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Ekstrapiramidalni sindromi (sa jasnim kliničkim znacima):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jednostrani, prema stepenu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do 60%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obostrani, prema stepenu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10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Epilepsije (klinički i elektroencefalografski dokazane, zavisno od oblika, učestalosti kriza i psihičkih promjena) sa: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lakšim psihičkim promjenama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 do 60%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težim psihičkim promjenama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70 do 90%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Organski trajni poremećaj (prema težini neuroloških i psihičkih ispada) 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100%</w:t>
            </w:r>
          </w:p>
        </w:tc>
      </w:tr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9. Posljedice oboljenja ili povrede centralnog nervnog sistema (mozga, moždanog stabla i kičmene moždine) koje nijesu navedene ni u jednoj tački ove glave, prema težini neuroloških i psihičkih poremećaja 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Odredbe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. 8 i 9 ove glave odnose se i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bulbame i pseudobulbarne paralize, difuzne i ostale lezije i poremećaje centralnog nervnog sistema, kao i na sve ostale poremećaje tog sistema koji nijesu navedeni u odredbama tač. 1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do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7 ove glave.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Odredbe tačke 9 ove glave odnose se i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posljedice oboljenja ili posljedice povreda kičmene moždine koje nijesu obuhvaćene odredbama tač. 1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do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8 ove glave. Pri određivanju procenta tjelesnog oštećenja za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te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slučajeve uzima se u obzir i funkcija sfinktera.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lastRenderedPageBreak/>
        <w:t xml:space="preserve">Procenat tjelesnog oštećenja, u smislu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. 8 i 9 ove glave, s obzirom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veliki raspon, određuje se analogijom prema stepenu oštećenja funkcija iz tač. 1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do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7 ove glave.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IV SPINALNI NERVI, NEUROMUSKULARNI SISTEM I KOŽA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12" w:name="SADRZAJ_013"/>
      <w:bookmarkEnd w:id="11"/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A. Spinalni </w:t>
      </w:r>
      <w:proofErr w:type="gramStart"/>
      <w:r w:rsidRPr="00CF1584">
        <w:rPr>
          <w:rFonts w:ascii="Arial" w:eastAsia="Times New Roman" w:hAnsi="Arial" w:cs="Arial"/>
          <w:b/>
          <w:bCs/>
          <w:sz w:val="27"/>
          <w:szCs w:val="27"/>
        </w:rPr>
        <w:t>nervi</w:t>
      </w:r>
      <w:proofErr w:type="gramEnd"/>
    </w:p>
    <w:tbl>
      <w:tblPr>
        <w:tblW w:w="1000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13"/>
        <w:gridCol w:w="1392"/>
      </w:tblGrid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SADRZAJ_014"/>
            <w:bookmarkEnd w:id="12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1. Oštećenje brahijalnog pleksusa: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potpuna uzetost brahijalnog pleksusa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80%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djelimična uzetost brahijalnog pleksusa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do 70%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2. Oštećenje lumbosakralnog pleksusa - uzetost išijadikusa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</w:tbl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B. Mišići i neuromuskularni sistem</w:t>
      </w:r>
    </w:p>
    <w:tbl>
      <w:tblPr>
        <w:tblW w:w="1000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13"/>
        <w:gridCol w:w="1392"/>
      </w:tblGrid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SADRZAJ_015"/>
            <w:bookmarkEnd w:id="13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Mišićne distrofije, spinalne mišićne atrofije, polomioziti i dermatomioziti, kao i druga pretežno mišićna oboljenja, zavisno od stepena umanjenja ili gubitka funkcije 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Procenat tjelesnog oštećenja za poremećaj mišićnih funkcija, s obzirom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veliki raspon, određuje se analogno oštećenju funkcija nervnog sistema.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C. Koža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5" w:name="SADRZAJ_016"/>
      <w:bookmarkEnd w:id="14"/>
      <w:r w:rsidRPr="00CF1584">
        <w:rPr>
          <w:rFonts w:ascii="Arial" w:eastAsia="Times New Roman" w:hAnsi="Arial" w:cs="Arial"/>
          <w:sz w:val="20"/>
          <w:szCs w:val="20"/>
        </w:rPr>
        <w:t xml:space="preserve">Posljedice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opekotina kože preko 25% zahvaćene površine vrata i trupa koje dovode do unakaženosti i funkcionalnih smetnji do 70%.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V PLUĆA I SRCE 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16" w:name="SADRZAJ_017"/>
      <w:bookmarkEnd w:id="15"/>
      <w:r w:rsidRPr="00CF1584">
        <w:rPr>
          <w:rFonts w:ascii="Arial" w:eastAsia="Times New Roman" w:hAnsi="Arial" w:cs="Arial"/>
          <w:b/>
          <w:bCs/>
          <w:sz w:val="27"/>
          <w:szCs w:val="27"/>
        </w:rPr>
        <w:t>A. Pluća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7" w:name="SADRZAJ_018"/>
      <w:bookmarkEnd w:id="16"/>
      <w:r w:rsidRPr="00CF1584">
        <w:rPr>
          <w:rFonts w:ascii="Arial" w:eastAsia="Times New Roman" w:hAnsi="Arial" w:cs="Arial"/>
          <w:sz w:val="20"/>
          <w:szCs w:val="20"/>
        </w:rPr>
        <w:t>1. Trajno smanjenje funkcije pluća pri oštećenju respiratorne funkcije teškog stepena i postojanju hronične respiratorne insuficijencije:</w:t>
      </w:r>
    </w:p>
    <w:tbl>
      <w:tblPr>
        <w:tblW w:w="1002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13"/>
        <w:gridCol w:w="1407"/>
      </w:tblGrid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bez znakova opterećenja desnog srca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60%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znacima opterećenja desnog srca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2. Gubitak jednog plućnog krila: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bez promjena na suprotnom hemitoraksu i bez znakova opterećenja desnog srca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promjenama na suprotnom hemitoraksu ili oštećenjem respiratorne funkcije teškog stepena i sa izraženim znacima opterećenja desnog srca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70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Oštećenje plućne ventilacije (bilo koji uzrok):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oštećenje ventilacione funkcije teškog stepena sa kliničkom slikom manifestne parcijalne hronične plućne insuficijencije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oštećenje ventilacione funkcije teškog stepena sa kliničkom slikom manifestne globalne hronične plućne insuficijencije i znacima hroničnog plućnog srca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 do 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Pri procjeni stepena oštećenja plućne funkcije koriste se norme Evropske zajednice za ugalj i čelik (ECCS), kriterijumi Evropskog respiratornog društva (ERS).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U nedovoljno jasnim slučajevima pored spirometrijskih testova i mjerenja parcijalnih pritisaka respiratornih gasova u arterijskoj krvi, treba koristiti i transfer test za ugljen-monoksid. Za dokaz trajnog opterećenja desnog srca neophodni su klinički, elektrokardiografski, ultrazvučni i rendgenski parametri.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B. Srce</w:t>
      </w:r>
    </w:p>
    <w:tbl>
      <w:tblPr>
        <w:tblW w:w="99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21"/>
        <w:gridCol w:w="1454"/>
      </w:tblGrid>
      <w:tr w:rsidR="00CF1584" w:rsidRPr="00CF1584" w:rsidTr="00CF1584">
        <w:trPr>
          <w:jc w:val="center"/>
        </w:trPr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SADRZAJ_019"/>
            <w:bookmarkEnd w:id="17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4. Teža stanja posle preležanog infarkta miokarda, prema stepenu oštećenja srčane funkcije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lastRenderedPageBreak/>
        <w:t xml:space="preserve">Navedeni raspon u procentima primjenjuje se ako poslije preležanog infarkta postoji hronična koronarna insuficijencija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aneurizma srca, ili organski poremećaj ritma ili sprovođenja, što se mora dokazati elektrokardiografskim, rendgenskim, ehokardiografskim ili drugim metodama.</w:t>
      </w:r>
    </w:p>
    <w:tbl>
      <w:tblPr>
        <w:tblW w:w="1012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49"/>
        <w:gridCol w:w="1376"/>
      </w:tblGrid>
      <w:tr w:rsidR="00CF1584" w:rsidRPr="00CF1584" w:rsidTr="00CF1584">
        <w:trPr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Oštećenja srca usljed traume, ili izvršene operacije prema stepenu oštećenja srčane funkcije, što se mora dokazati elektrokardiografskim, rendgenskim, ehokardiografskim ili drugim metodama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Srčane mane (prema stepenu oštećenja srčane funkcije, što se mora dokazati elektrokardiografskim, rendgenskim, ehokardiografskim ili drugim metodama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90%</w:t>
            </w:r>
          </w:p>
        </w:tc>
      </w:tr>
      <w:tr w:rsidR="00CF1584" w:rsidRPr="00CF1584" w:rsidTr="00CF1584">
        <w:trPr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Oštećenje funkcije srca usljed miokarditisa i drugih uzroka sa ejekcionom frakcijom od 30 do 39%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Poremećaj ritma sa ugrađenim pejsmekerom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50% 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Visina tjelesnog oštećenja iz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4, 5 i 6 ove glave određuje se prema stepenu oštećenja srčane funkcije po tački 7 ove glave.</w:t>
      </w:r>
      <w:proofErr w:type="gramEnd"/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Kod teškog oštećenja funkcije, odnosno dekompenzacije, tjelesno oštećenje se određuje u predviđenom rasponu: kod oštećenja srčane funkcije srednjeg stepena - sa 60 do 80%, kod oštećenja srčane funkcije teškog stepena, odnosno dekompenzacije - preko 80%, a kod transplantacije srca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-  sa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100%.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Za procjenu stepena oštećenja funkcije srca pored elektrokardiografskog, ergometrijskog i rendgenološkog nalaza treba koristiti ejekcionu frakciju lijeve komore dobijenu ehokardiografskim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drugim pregledom srca.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VI GORNJI EKSTREMITETI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19" w:name="SADRZAJ_020"/>
      <w:bookmarkEnd w:id="18"/>
      <w:r w:rsidRPr="00CF1584">
        <w:rPr>
          <w:rFonts w:ascii="Arial" w:eastAsia="Times New Roman" w:hAnsi="Arial" w:cs="Arial"/>
          <w:b/>
          <w:bCs/>
          <w:sz w:val="27"/>
          <w:szCs w:val="27"/>
        </w:rPr>
        <w:t>A. Gubici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0" w:name="SADRZAJ_021"/>
      <w:bookmarkEnd w:id="19"/>
      <w:r w:rsidRPr="00CF1584">
        <w:rPr>
          <w:rFonts w:ascii="Arial" w:eastAsia="Times New Roman" w:hAnsi="Arial" w:cs="Arial"/>
          <w:sz w:val="20"/>
          <w:szCs w:val="20"/>
        </w:rPr>
        <w:t>1. Potpuni gubitnik ruke u ramenu, ili gubitak ruke u nivou nadlaktice, sa patrljkom kraćim od 14 cm, mjereno od akromiona ili sa nepodesnim patrljkom za protezu, ili gubitak ruke u nivou nadlaktice ili lakta sa ukočenošću ili sa kontrakturom ramenog zgloba u nepovoljnom položaju:</w:t>
      </w:r>
    </w:p>
    <w:tbl>
      <w:tblPr>
        <w:tblW w:w="1008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98"/>
        <w:gridCol w:w="1082"/>
      </w:tblGrid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dominantne ruke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80%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nedominantne ruke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Nepodesnim patrljkom za protezu nadlaktice smatra se patrljak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kome postoje trofične promjene, stalni otoci, grizlice, fistule, bolni neurinomi, deformiteti patrljka, opsežni ožiljci i ekstremna atrofija mišića.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Nepovoljan položaj ramenog zgloba je abdukcija iznad 80 stepeni, abdukcija ispod 60 stepeni, antefleksija iznad 20 stepeni ili retrofleksija.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2. Gubitak ruke u nivou nadlaktice ili lakta, sa dobrim patrljkom i funkcionalno ispravnim ramenim zglobom, ili gubitak ruke u nivou podlaktice sa patrljkom kraćim od 10 cm (mjereno od olekranona) ili sa nepodesnim patrljkom za protezu, ili gubitak ruke u nivou podlaktice sa ukočenošću ili kontrakturom ramenog ili lakatnog zgloba u nepovoljnom položaju: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93"/>
        <w:gridCol w:w="1282"/>
      </w:tblGrid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nedominantne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Nepovoljni je položaj lakatnog zgloba kad se lakat nalazi u ispruženom položaju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pod uglom od 120 stepeni ili manjim od 90 stepeni.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3. Gubitak ruke u nivou podlaktice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sa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dobrim patrljkom i funkcionalno ispravnim ramenim i lakatnim zglobom: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93"/>
        <w:gridCol w:w="1282"/>
      </w:tblGrid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nedominantne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4. Gubitak šake ili svih prstiju šake: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nedominantne ruke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Gubitak prstiju šake: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gubitak četiri prsta šake, osim palca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gubitak palca, kažiprsta i jednog prsta šake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50%.</w:t>
            </w:r>
          </w:p>
        </w:tc>
      </w:tr>
      <w:tr w:rsidR="00CF1584" w:rsidRPr="00CF1584" w:rsidTr="00CF1584">
        <w:trPr>
          <w:jc w:val="center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CF158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B. Funkcionalni poremećaji</w:t>
            </w:r>
            <w:bookmarkStart w:id="21" w:name="SADRZAJ_022"/>
            <w:bookmarkEnd w:id="20"/>
            <w:bookmarkEnd w:id="21"/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Poremećaji ramenog zgloba: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labav rameni zglob u vezi sa lezijom mišića ramenog pojasa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Pseudoartroza humerusa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Pseudoatroze se ocjenjuju bez obzira na mogućnost nošenja aparata.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Ukočenost svih metakarpofalangealnih i interfalagenalnih zglobova od drugog do petog prsta - u nepovoljnom položaju obje šake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Nepovoljan položaj šake postoji ako se palcem ne može doticati jagodica ukočenih prstiju.</w:t>
            </w:r>
          </w:p>
        </w:tc>
      </w:tr>
      <w:tr w:rsidR="00CF1584" w:rsidRPr="00CF1584" w:rsidTr="00CF1584">
        <w:trPr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Teže kontrakture četiri prsta ili pet prstiju, eventualno komplikovane sa ankilozom pojedinih zglobova, prema težini, odnosno očuvanosti globalne funkcije šake - obje šake  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 do 70%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Težim kontrakturama prstiju smatraju se kontrakture koje onemogućavaju hvatanje predmeta prstima.</w:t>
      </w:r>
      <w:proofErr w:type="gramEnd"/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10. Potpuna neupotrebljivost cijele ruke 80% 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Odredba tačke 10.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ove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glave primjenjuje se samo u slučajevima koji nijesu obuhvaćeni tač. 1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do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9 ove glave.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Kao ukočenost zgloba smatra se potpuna ukočenost,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ako su pokreti mogući samo do 15 stepeni. Ako pri tjelesnim oštećenjima gornjih ekstremiteta iz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. 6 do 10 ove glave postoje istovremeno i znatnije trofičke promjene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stalni otoci, fistule, grizlice ili bolni neurinomi, procenat tjelesnog oštećenja povećava se za 10%.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Kao nedostatak prsta smatra se teža kontraktura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ankiloza prsta ako istovremeno postoji i nedostatak nekog prsta na istoj ruci.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Ako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jednoj ruci postoji više tjelesnih oštećenja u smislu ove glave, ukupan procenat ne može biti veći od procenta koji se primjenjuje za amputaciju.</w:t>
      </w:r>
      <w:r w:rsidRPr="00CF1584">
        <w:rPr>
          <w:rFonts w:ascii="Arial" w:eastAsia="Times New Roman" w:hAnsi="Arial" w:cs="Arial"/>
          <w:sz w:val="20"/>
          <w:szCs w:val="20"/>
        </w:rPr>
        <w:br/>
      </w:r>
      <w:r w:rsidRPr="00CF1584">
        <w:rPr>
          <w:rFonts w:ascii="CommonBullets" w:eastAsia="Times New Roman" w:hAnsi="CommonBullets" w:cs="Arial"/>
          <w:b/>
          <w:bCs/>
          <w:sz w:val="15"/>
          <w:szCs w:val="15"/>
        </w:rPr>
        <w:t>+</w:t>
      </w:r>
      <w:r w:rsidRPr="00CF158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</w:t>
      </w:r>
      <w:proofErr w:type="gramStart"/>
      <w:r w:rsidRPr="00CF158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>:</w:t>
      </w:r>
      <w:proofErr w:type="gramEnd"/>
      <w:r w:rsidRPr="00CF158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br/>
      </w:r>
      <w:hyperlink r:id="rId5" w:anchor="ZK50/04" w:history="1">
        <w:r w:rsidRPr="00CF1584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shd w:val="clear" w:color="auto" w:fill="FFFFFF"/>
          </w:rPr>
          <w:t>Ispravku</w:t>
        </w:r>
      </w:hyperlink>
      <w:r w:rsidRPr="00CF158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- 50/2004-9.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VII DONJI EKSTREMITETI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22" w:name="SADRZAJ_023"/>
      <w:r w:rsidRPr="00CF1584">
        <w:rPr>
          <w:rFonts w:ascii="Arial" w:eastAsia="Times New Roman" w:hAnsi="Arial" w:cs="Arial"/>
          <w:b/>
          <w:bCs/>
          <w:sz w:val="27"/>
          <w:szCs w:val="27"/>
        </w:rPr>
        <w:t>A. Gubici</w:t>
      </w:r>
    </w:p>
    <w:tbl>
      <w:tblPr>
        <w:tblW w:w="1002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06"/>
        <w:gridCol w:w="1314"/>
      </w:tblGrid>
      <w:tr w:rsidR="00CF1584" w:rsidRPr="00CF1584" w:rsidTr="00CF1584">
        <w:trPr>
          <w:trHeight w:val="1110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SADRZAJ_024"/>
            <w:bookmarkEnd w:id="22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1. Gubitak noge u kuku, ili gubitak noge u nivou natkoljenice, sa patrljkom kraćim 12 cm mjereno od velikog trohantera, ili gubitak noge u nivou natkoljenice, sa ukočenošću ili sa kontrakturom zgloba kuka u nepovoljnom položaju, ili gubitak noge u nivou natkoljenice, sa nepodesnim patrljkom za protezu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80%</w:t>
            </w:r>
          </w:p>
        </w:tc>
      </w:tr>
      <w:tr w:rsidR="00CF1584" w:rsidRPr="00CF1584" w:rsidTr="00CF1584">
        <w:trPr>
          <w:trHeight w:val="825"/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Nepovoljan položaj zgloba kuka je ispod 160 stepeni fleksije, iznad 10 stepeni abdukcije i adukcije, u spoljašnjoj ili unutrašnjoj rotaciji.</w:t>
            </w:r>
          </w:p>
        </w:tc>
      </w:tr>
      <w:tr w:rsidR="00CF1584" w:rsidRPr="00CF1584" w:rsidTr="00CF1584">
        <w:trPr>
          <w:trHeight w:val="825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Gubitak noge u nivou natkoljenice, sa funkcionalno ispravnim patrljkom i zglobom kuka, ili gubitak noge u koljenu sa nepodesnim patrljkom za protezu ili sa funkcionalno neispravnim zglobom kuka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70%</w:t>
            </w:r>
          </w:p>
        </w:tc>
      </w:tr>
      <w:tr w:rsidR="00CF1584" w:rsidRPr="00CF1584" w:rsidTr="00CF1584">
        <w:trPr>
          <w:trHeight w:val="825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Gubitak noge u koljenu, sa funkcionalno ispravnim patrljkom i zglobom kuka, ili gubitak noge u nivou potkoljenice, sa ukočenošću ili sa kontrakturom zgloba koljena ili kuka u nepovoljnom položaju, sa nepodesnim patrljkom ili sa patrljkom kraćim od 8 cm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trHeight w:val="15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Gubitak obje potkoljenice, sa nepodesnim patrljcima za proteze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100%. </w:t>
            </w:r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Nepodesnim patrljkom za protezu natkoljenice i potkoljenice smatra se patrljak na kome postoje trofične promjene, stalni otoci, grizlice, fistule, bolni neourinomi, deformitet patrljka, opsežni ožiljci i ekstremna atrofija mišića.</w:t>
            </w:r>
          </w:p>
        </w:tc>
      </w:tr>
      <w:tr w:rsidR="00CF1584" w:rsidRPr="00CF1584" w:rsidTr="00CF1584">
        <w:trPr>
          <w:trHeight w:val="540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Gubitak noge u nivou potkoljenice, sa funkcionalno ispravnim patrljkom, zglobovima koljena i kuka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trHeight w:val="255"/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Gubitak noge u nivou stopala (Pirogoff ili Shopart ili Syme) sa nepodesnim patrljkom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Nepodesnim patrljkom stopala smatraju se trofičke promjene, stalni otoci, grizlice, fistule, bolni neurinomi i ožiljci.</w:t>
      </w:r>
      <w:proofErr w:type="gramEnd"/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B. Funkcionalni poremećaji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4" w:name="SADRZAJ_025"/>
      <w:bookmarkEnd w:id="23"/>
      <w:r w:rsidRPr="00CF1584">
        <w:rPr>
          <w:rFonts w:ascii="Arial" w:eastAsia="Times New Roman" w:hAnsi="Arial" w:cs="Arial"/>
          <w:sz w:val="20"/>
          <w:szCs w:val="20"/>
        </w:rPr>
        <w:t>7. Poremećaj u kuku:</w:t>
      </w:r>
    </w:p>
    <w:tbl>
      <w:tblPr>
        <w:tblW w:w="1009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65"/>
        <w:gridCol w:w="1530"/>
      </w:tblGrid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Ukočenost zgloba kuka u nepovoljnom položaju 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50 do 70%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Nepovoljan položaj zgloba kuka je položaj ispod 160 stepeni fleksije, iznad 10 stepeni abdukcije ili adukcije, u spoljašnjoj ili unutrašnjoj rotaciji.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Veći procenat u okviru navedenog raspona primjenjivaće se ako je ukočenost zgloba kuka u izrazitijem uglu koji više ometa funkciju noge.</w:t>
      </w:r>
      <w:proofErr w:type="gramEnd"/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2) Ograničena pokretljivost zgloba kuka do 50%. Procenat u okviru navedenog raspona primjenjuje se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teže kontrakture raznih etiologija, kao i na stanje poslije artroplastike (endoproteza).</w:t>
      </w:r>
    </w:p>
    <w:tbl>
      <w:tblPr>
        <w:tblW w:w="1008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12"/>
        <w:gridCol w:w="1268"/>
      </w:tblGrid>
      <w:tr w:rsidR="00CF1584" w:rsidRPr="00CF1584" w:rsidTr="00CF1584">
        <w:trPr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Kod smanjenja pokretljivosti zgloba kuka u svim smjerovima preko jedne polovine normalne pokretljivosti, tjelesno oštećenje iznosi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50%.</w:t>
            </w:r>
          </w:p>
        </w:tc>
      </w:tr>
      <w:tr w:rsidR="00CF1584" w:rsidRPr="00CF1584" w:rsidTr="00CF1584">
        <w:trPr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Pseudoartroza femura: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vrat femura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femur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Pseudoartroza se ocjenjuje bez obzira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mogućnost nošenja aparata.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9. Ukočenost zgloba koljena u nepovoljnom položaju do 60%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Procenat od 50% primjenjuje se na ukočenost koljena pod uglom od 120 do 90 stepeni, a 60% na ukočenost koljena pod uglom manjim od 90 stepeni.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10. Pseudoartroza potkoljenice (tibije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obje kosti) 50%. Pseudoartroza se ocjenjuje bez obzira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mogućnost nošenja aparata.</w:t>
      </w:r>
    </w:p>
    <w:tbl>
      <w:tblPr>
        <w:tblW w:w="99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15"/>
        <w:gridCol w:w="1160"/>
      </w:tblGrid>
      <w:tr w:rsidR="00CF1584" w:rsidRPr="00CF1584" w:rsidTr="00CF1584">
        <w:trPr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Skraćenje noge (apsolutno) - preko 12 cm 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Apsolutno skraćenje noge mjeri se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spine iliake ventralis, odnosno od velikog trohantera (ako postoje promjene na karlici) do donjeg ruba unutrašnjeg maleola.</w:t>
      </w:r>
    </w:p>
    <w:tbl>
      <w:tblPr>
        <w:tblW w:w="1000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07"/>
        <w:gridCol w:w="1098"/>
      </w:tblGrid>
      <w:tr w:rsidR="00CF1584" w:rsidRPr="00CF1584" w:rsidTr="00CF1584">
        <w:trPr>
          <w:jc w:val="center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12. Potpuna neupotrebljivost noge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80% 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Odredba ove tačke primjenjuje se ako utvrđeni poremećaj funkcije noge nije predviđen u nekoj drugoj tački ovog člana.</w:t>
      </w:r>
      <w:proofErr w:type="gramEnd"/>
    </w:p>
    <w:tbl>
      <w:tblPr>
        <w:tblW w:w="1002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64"/>
        <w:gridCol w:w="1056"/>
      </w:tblGrid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Ako pri funkcionalnim poremećajima tjelesnih oštećenja donjih ekstremiteta, od tač. 1 do 12 ove glave postoje istovremeno i znatnije trofičke promjene, stalni otoci, fistule, grizlice ili bolni neurinomi, procenat tjelesnog oštećenja povećava se od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20%.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Ako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jednoj nozi postoji više tjelesnih oštećenja u smislu ovog pravilnika, ukupan procenat ne može biti veći od procenta koji se primjenjuje na amputaciju.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Pseudoartroze se ocjenjuju bez obzira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nošenje aparata.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Ukočenošću zgloba smatra se potpuna ukočenost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ako su pokreti zgloba mogući samo do 15 stepeni ukupno.</w:t>
      </w:r>
    </w:p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VIII ORGANI ZA VARENJE</w:t>
      </w:r>
    </w:p>
    <w:tbl>
      <w:tblPr>
        <w:tblW w:w="1002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91"/>
        <w:gridCol w:w="1129"/>
      </w:tblGrid>
      <w:tr w:rsidR="00CF1584" w:rsidRPr="00CF1584" w:rsidTr="00CF1584"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SADRZAJ_026"/>
            <w:bookmarkEnd w:id="24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1. Jače suženje jednjaka, prema stepenu do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50% 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Jačim suženjem jednjaka smatra se takvo suženje gdje pri ezofagoskopskom pregledu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nema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prolaznosti bužije preko broja 20.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Stepen tjelesnog oštećenja određuje se prema obimu suženja i funkcionalnim poremećajima.</w:t>
      </w:r>
      <w:proofErr w:type="gramEnd"/>
    </w:p>
    <w:tbl>
      <w:tblPr>
        <w:tblW w:w="1005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29"/>
        <w:gridCol w:w="1221"/>
      </w:tblGrid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2. Stanje poslije plastične operacije jednjaka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Nekompenzovano stanje poslije plastične operacije jednjaka (prema funkcionalnim smetnjama i stepenu pothranjenosti preko 20% od standardne tjelesne težine)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 do 80%</w:t>
            </w:r>
          </w:p>
        </w:tc>
      </w:tr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4. Trajna gastrostoma: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bez poremećaja opšteg stanja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poremećajem opšteg stanja, loša funkcija želuca i pothranjenost preko 20% od standardne tjelesne težine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 do 80%</w:t>
            </w:r>
          </w:p>
        </w:tc>
      </w:tr>
      <w:tr w:rsidR="00CF1584" w:rsidRPr="00CF1584" w:rsidTr="00CF1584"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Nekompenzovano stanje poslije resekcije želuca zavisno od funkcionalnih smetnji i pothranjenosti preko 20% od standardne tjelesne težine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 do 80%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Visina tjelesnog oštećenja kod nekompenzovanog stanja poslije resekcije želuca određuje se prema vrsti i intezitetu funkcionalnih smetnji, poremećaju opšteg stanja i prema stepenu pothranjenosti.</w:t>
      </w:r>
      <w:proofErr w:type="gramEnd"/>
    </w:p>
    <w:tbl>
      <w:tblPr>
        <w:tblW w:w="1005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74"/>
        <w:gridCol w:w="1376"/>
      </w:tblGrid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Stanje poslije totalne gastrektomije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80%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Nekompenzovano stanje poslije obilnih crijevnih resekcija, sa znatnim reperkusijama na opšte tjelesno stanje i pothranjenost preko 20% od standardne tjelesne težine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60 do 80%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8. Stalni anus pretematuralis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80%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9. Gubitak analnog sfinktera: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bez prolapsa crijeva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prolapsom crijeva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60%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10. Trajno oštećenje funkcije jetre teškog stepena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70 do 100%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Teškim oštećenjem funkcije jetre smatra se stanje jetre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sa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trajno promijenjenim i patološkim nalazima u kliničkom, laboratorijskom i funkcionalnom smislu (portaina hipertenzija, portaina encefalopatija, ascites, varices ezofagi.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Sva oštećenja jetre koja traju duže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tri godine smatraju se trajnim.</w:t>
      </w:r>
    </w:p>
    <w:tbl>
      <w:tblPr>
        <w:tblW w:w="1005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74"/>
        <w:gridCol w:w="1376"/>
      </w:tblGrid>
      <w:tr w:rsidR="00CF1584" w:rsidRPr="00CF1584" w:rsidTr="00CF1584">
        <w:trPr>
          <w:gridAfter w:val="1"/>
          <w:wAfter w:w="1335" w:type="dxa"/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11. Stanje poslije transplatacije jetre: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sa kompenzovanom funkcijom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sa nekompenzovanom funkcijom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70 do 100%</w:t>
            </w:r>
          </w:p>
        </w:tc>
      </w:tr>
    </w:tbl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IX UROGENITALNI ORGANI 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bookmarkStart w:id="26" w:name="SADRZAJ_027"/>
      <w:bookmarkEnd w:id="25"/>
      <w:r w:rsidRPr="00CF1584">
        <w:rPr>
          <w:rFonts w:ascii="Arial" w:eastAsia="Times New Roman" w:hAnsi="Arial" w:cs="Arial"/>
          <w:b/>
          <w:bCs/>
          <w:sz w:val="27"/>
          <w:szCs w:val="27"/>
        </w:rPr>
        <w:t>A. Mokraćni kanali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7" w:name="SADRZAJ_028"/>
      <w:bookmarkEnd w:id="26"/>
      <w:r w:rsidRPr="00CF1584">
        <w:rPr>
          <w:rFonts w:ascii="Arial" w:eastAsia="Times New Roman" w:hAnsi="Arial" w:cs="Arial"/>
          <w:sz w:val="20"/>
          <w:szCs w:val="20"/>
        </w:rPr>
        <w:t>1. Funkcionalno oštećenje preostalog bubrega:</w:t>
      </w:r>
    </w:p>
    <w:tbl>
      <w:tblPr>
        <w:tblW w:w="99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68"/>
        <w:gridCol w:w="1407"/>
      </w:tblGrid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lakšeg stepena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do 60%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težeg stepena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Procenat tjelesnog oštećenja određuje se prema nalazu kreatinin klirensa, i to ako je vrijednost kk: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0.67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0.50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60%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0.33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0.25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80%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0.17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90%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ispod 0.17 ml/s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100%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2. Funkcionalno oštećenje oba bubrega težeg stepena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 do 100%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Procenat tjelesnog oštećenja određuje se prema mogućnostima terapije: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moguća medikamentna terapija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 do 80%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neophodna trajna dijaliza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100%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3) neophodna transplantacija, poslije koje je stanje transplatornog bubrega: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sa kompenzovanom funkcijom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sa dekompenzovanom funkcijom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100%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3. Potpuna ili stalna inkontinencija urina ili cistostomija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4. Trajno skvrčenje mokraćne bešike kapaciteta do 50 cm</w:t>
            </w: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5. Stanje poslije plastične operacije mokraćne bešike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6. Trajno suženje uretre, sa otežanim mokrenjem (zbog promjena isključivo na uretri)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7. Trajne i inoperabilne mokraćne fistule sa stalnim curenjem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Ako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osnovu ostalih kliničkih i drugih ispitivanja postoje nesumnjivi dokazi za funkcionalno oštećenje preostalog ili oba bubrega, a kreatinin klirens još nije promijenjen, visinu tjelesnog oštećenja treba odrediti analogno odredbama tačke 1.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pod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1) ove glave), odnosno početnom stepenu tačke 2 ove glave.</w:t>
      </w:r>
    </w:p>
    <w:p w:rsidR="00CF1584" w:rsidRPr="00CF1584" w:rsidRDefault="00CF1584" w:rsidP="00CF158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>B. Genitalni organi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15"/>
        <w:gridCol w:w="1360"/>
      </w:tblGrid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SADRZAJ_029"/>
            <w:bookmarkEnd w:id="27"/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Gubitak većeg dijela ili čitavog penisa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50%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9. Gubitak oba testisa kod muškarca do 50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Gubitkom oba testisa smatra se odstranjenje oba testisa hiruškim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drugim putem ili potpuno uništenje funkcije oba testisa zračenjem.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15"/>
        <w:gridCol w:w="1360"/>
      </w:tblGrid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10. Gubitak oba jajnika kod žene do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Gubitkom oba jajnika smatra se hiruško odstranjenje oba jajnika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gubitak funkcije oba jajnika zračenjem.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15"/>
        <w:gridCol w:w="1360"/>
      </w:tblGrid>
      <w:tr w:rsidR="00CF1584" w:rsidRPr="00CF1584" w:rsidTr="00CF1584">
        <w:trPr>
          <w:gridAfter w:val="1"/>
          <w:wAfter w:w="1320" w:type="dxa"/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11. Gubitak oba jajnika i materice: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kod žene do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radikalna histerektomija:</w:t>
            </w:r>
          </w:p>
        </w:tc>
        <w:tc>
          <w:tcPr>
            <w:tcW w:w="0" w:type="auto"/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kod žene preko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60%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- kod žene do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70%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Gubitkom jajnika i materice smatra se hiruško odstranjivanje oba jajnika i materice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gubitak funkcije jajnika i materice, kao posljedice zračenja.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Gubitkom materice smatra se i nepotpuni gubitak materice, odnosno subtotalna histerektomija.</w:t>
      </w:r>
      <w:proofErr w:type="gramEnd"/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15"/>
        <w:gridCol w:w="1360"/>
      </w:tblGrid>
      <w:tr w:rsidR="00CF1584" w:rsidRPr="00CF1584" w:rsidTr="00CF1584">
        <w:trPr>
          <w:gridAfter w:val="1"/>
          <w:wAfter w:w="1320" w:type="dxa"/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12. Obostrana amputacija dojke: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1) kod žene preko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50%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2) kod žene do 45 godina života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60%</w:t>
            </w:r>
          </w:p>
        </w:tc>
      </w:tr>
      <w:tr w:rsidR="00CF1584" w:rsidRPr="00CF1584" w:rsidTr="00CF1584">
        <w:trPr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Amputacija dojke, obostrano radikalno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60%.</w:t>
            </w:r>
          </w:p>
        </w:tc>
      </w:tr>
    </w:tbl>
    <w:p w:rsidR="00CF1584" w:rsidRPr="00CF1584" w:rsidRDefault="00CF1584" w:rsidP="00CF1584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sz w:val="27"/>
          <w:szCs w:val="27"/>
        </w:rPr>
        <w:t xml:space="preserve">X ODREĐIVANJE PROCENTA, AKO POSTOJE DVA TJELESNA OŠTEĆENJA ILI VIŠE TJELESNIH </w:t>
      </w:r>
      <w:bookmarkStart w:id="29" w:name="SADRZAJ_030"/>
      <w:bookmarkEnd w:id="28"/>
      <w:r w:rsidRPr="00CF1584">
        <w:rPr>
          <w:rFonts w:ascii="Arial" w:eastAsia="Times New Roman" w:hAnsi="Arial" w:cs="Arial"/>
          <w:b/>
          <w:bCs/>
          <w:sz w:val="27"/>
          <w:szCs w:val="27"/>
        </w:rPr>
        <w:t>OŠTEĆENJA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1. Ako postoje dva tjelesna oštećenja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više tjelesnih oštećenja utvrđenih ovim članom, ukupan procenat tjelesnih oštećenja određuje se povećanjem najvećeg procenta pojedinačnog tjelesnog oštećenja, i to: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1)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po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20% za svako dalje tjelesno oštećenje koje iznosi 60% ili više;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2)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po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10% za svako dalje tjelesno oštećenje koje iznosi 50%.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2. Procenat tjelesnih oštećenja parnih organa iz glava I do IX ovog člana može se povećati za 10% ako za pojedina oštećenja tih organa utvrđena ovim članom nije predviđen poseban procenat.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3. Ukupan procenat tjelesnog oštećenja određen po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tač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1 i 2 ove glave ne može preći 100%.</w:t>
      </w:r>
      <w:proofErr w:type="gramEnd"/>
    </w:p>
    <w:p w:rsidR="00CF1584" w:rsidRPr="00CF1584" w:rsidRDefault="00CF1584" w:rsidP="00CF1584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F1584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0" w:name="SADRZAJ_031"/>
      <w:bookmarkEnd w:id="29"/>
      <w:r w:rsidRPr="00CF1584">
        <w:rPr>
          <w:rFonts w:ascii="Arial" w:eastAsia="Times New Roman" w:hAnsi="Arial" w:cs="Arial"/>
          <w:sz w:val="20"/>
          <w:szCs w:val="20"/>
        </w:rPr>
        <w:t xml:space="preserve">Ovaj pravilnik stupa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snagu osmog dana od dana objavljivanja u "Službenom listu Republike Crne Gore".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Broj: 0201-4169 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1584">
        <w:rPr>
          <w:rFonts w:ascii="Arial" w:eastAsia="Times New Roman" w:hAnsi="Arial" w:cs="Arial"/>
          <w:sz w:val="20"/>
          <w:szCs w:val="20"/>
        </w:rPr>
        <w:t>Podgorica, 29.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jun</w:t>
      </w:r>
      <w:proofErr w:type="gramEnd"/>
      <w:r w:rsidRPr="00CF1584">
        <w:rPr>
          <w:rFonts w:ascii="Arial" w:eastAsia="Times New Roman" w:hAnsi="Arial" w:cs="Arial"/>
          <w:sz w:val="20"/>
          <w:szCs w:val="20"/>
        </w:rPr>
        <w:t xml:space="preserve"> 2004. </w:t>
      </w:r>
      <w:proofErr w:type="gramStart"/>
      <w:r w:rsidRPr="00CF1584">
        <w:rPr>
          <w:rFonts w:ascii="Arial" w:eastAsia="Times New Roman" w:hAnsi="Arial" w:cs="Arial"/>
          <w:sz w:val="20"/>
          <w:szCs w:val="20"/>
        </w:rPr>
        <w:t>godine</w:t>
      </w:r>
      <w:proofErr w:type="gramEnd"/>
    </w:p>
    <w:p w:rsidR="00CF1584" w:rsidRPr="00CF1584" w:rsidRDefault="00CF1584" w:rsidP="00CF1584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b/>
          <w:bCs/>
          <w:sz w:val="20"/>
          <w:szCs w:val="20"/>
        </w:rPr>
        <w:t>Ministarstvo rada i socijalnog staranja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 xml:space="preserve">Ministar, 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b/>
          <w:bCs/>
          <w:sz w:val="20"/>
          <w:szCs w:val="20"/>
        </w:rPr>
        <w:t>Slavoljub Stijepović</w:t>
      </w:r>
      <w:r w:rsidRPr="00CF1584">
        <w:rPr>
          <w:rFonts w:ascii="Arial" w:eastAsia="Times New Roman" w:hAnsi="Arial" w:cs="Arial"/>
          <w:sz w:val="20"/>
          <w:szCs w:val="20"/>
        </w:rPr>
        <w:t>, s.r.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 </w:t>
      </w:r>
    </w:p>
    <w:p w:rsidR="00CF1584" w:rsidRPr="00CF1584" w:rsidRDefault="00CF1584" w:rsidP="00CF1584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CF1584">
        <w:rPr>
          <w:rFonts w:ascii="Arial" w:eastAsia="Times New Roman" w:hAnsi="Arial" w:cs="Arial"/>
          <w:b/>
          <w:bCs/>
          <w:color w:val="FF0000"/>
          <w:sz w:val="27"/>
          <w:szCs w:val="27"/>
        </w:rPr>
        <w:t>IZMENE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1" w:name="SADRZAJ_032"/>
      <w:bookmarkEnd w:id="30"/>
      <w:r w:rsidRPr="00CF1584">
        <w:rPr>
          <w:rFonts w:ascii="Arial" w:eastAsia="Times New Roman" w:hAnsi="Arial" w:cs="Arial"/>
          <w:sz w:val="20"/>
          <w:szCs w:val="20"/>
        </w:rPr>
        <w:t> 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2" w:name="ZK50/04"/>
      <w:bookmarkEnd w:id="31"/>
      <w:bookmarkEnd w:id="32"/>
      <w:r w:rsidRPr="00CF1584">
        <w:rPr>
          <w:rFonts w:ascii="Arial" w:eastAsia="Times New Roman" w:hAnsi="Arial" w:cs="Arial"/>
          <w:sz w:val="20"/>
          <w:szCs w:val="20"/>
        </w:rPr>
        <w:lastRenderedPageBreak/>
        <w:t>Na osnovu sravnjenja sa izvornim tekstom utvrđeno je da su se u tekstu Pravilnika o utvrđivanju tjelesnih oštećenja, objavljenog u "Sl. listu RCG", broj 45/04 potkrale greške, te se daje</w:t>
      </w:r>
    </w:p>
    <w:p w:rsidR="00CF1584" w:rsidRPr="00CF1584" w:rsidRDefault="00CF1584" w:rsidP="00CF15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CF1584">
        <w:rPr>
          <w:rFonts w:ascii="Arial" w:eastAsia="Times New Roman" w:hAnsi="Arial" w:cs="Arial"/>
          <w:color w:val="0033CC"/>
          <w:sz w:val="36"/>
          <w:szCs w:val="36"/>
        </w:rPr>
        <w:t>Ispravka Pravilnika o utvrđivanju tjelesnih oštećenja</w:t>
      </w:r>
    </w:p>
    <w:p w:rsidR="00CF1584" w:rsidRPr="00CF1584" w:rsidRDefault="00CF1584" w:rsidP="00CF1584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bookmarkStart w:id="33" w:name="SADRZAJ_033"/>
      <w:r w:rsidRPr="00CF1584">
        <w:rPr>
          <w:rFonts w:ascii="Arial" w:eastAsia="Times New Roman" w:hAnsi="Arial" w:cs="Arial"/>
          <w:i/>
          <w:iCs/>
          <w:sz w:val="24"/>
          <w:szCs w:val="24"/>
        </w:rPr>
        <w:t xml:space="preserve">Ispravka je objavljena u "Službenom listu RCG", br. 50/2004 </w:t>
      </w:r>
      <w:proofErr w:type="gramStart"/>
      <w:r w:rsidRPr="00CF1584">
        <w:rPr>
          <w:rFonts w:ascii="Arial" w:eastAsia="Times New Roman" w:hAnsi="Arial" w:cs="Arial"/>
          <w:i/>
          <w:iCs/>
          <w:sz w:val="24"/>
          <w:szCs w:val="24"/>
        </w:rPr>
        <w:t>od</w:t>
      </w:r>
      <w:proofErr w:type="gramEnd"/>
      <w:r w:rsidRPr="00CF158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34" w:name="SADRZAJ_034"/>
      <w:bookmarkEnd w:id="33"/>
      <w:r w:rsidRPr="00CF1584">
        <w:rPr>
          <w:rFonts w:ascii="Arial" w:eastAsia="Times New Roman" w:hAnsi="Arial" w:cs="Arial"/>
          <w:i/>
          <w:iCs/>
          <w:sz w:val="24"/>
          <w:szCs w:val="24"/>
        </w:rPr>
        <w:t xml:space="preserve">26.7.2004. </w:t>
      </w:r>
      <w:proofErr w:type="gramStart"/>
      <w:r w:rsidRPr="00CF1584">
        <w:rPr>
          <w:rFonts w:ascii="Arial" w:eastAsia="Times New Roman" w:hAnsi="Arial" w:cs="Arial"/>
          <w:i/>
          <w:iCs/>
          <w:sz w:val="24"/>
          <w:szCs w:val="24"/>
        </w:rPr>
        <w:t>godine</w:t>
      </w:r>
      <w:proofErr w:type="gramEnd"/>
      <w:r w:rsidRPr="00CF1584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U članu 2 u glavi VI, tačka b) podtačka 9 u objavljenom tekstu glasi: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68"/>
        <w:gridCol w:w="1607"/>
      </w:tblGrid>
      <w:tr w:rsidR="00CF1584" w:rsidRPr="00CF1584" w:rsidTr="00CF1584">
        <w:trPr>
          <w:jc w:val="center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"Teže kontrakture četiri prsta ili pet prstiju, eventualno komplikovane sa ankilozom pojedinih zglobova, prema težini, odnosno očuvanosti globalne funkcije šake  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  50 do 70%".</w:t>
            </w:r>
          </w:p>
        </w:tc>
      </w:tr>
    </w:tbl>
    <w:p w:rsidR="00CF1584" w:rsidRPr="00CF1584" w:rsidRDefault="00CF1584" w:rsidP="00CF1584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CF1584">
        <w:rPr>
          <w:rFonts w:ascii="Arial" w:eastAsia="Times New Roman" w:hAnsi="Arial" w:cs="Arial"/>
          <w:sz w:val="20"/>
          <w:szCs w:val="20"/>
        </w:rPr>
        <w:t>Tačku 9 ispraviti tako da glasi:</w:t>
      </w:r>
    </w:p>
    <w:tbl>
      <w:tblPr>
        <w:tblW w:w="1027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38"/>
        <w:gridCol w:w="1537"/>
      </w:tblGrid>
      <w:tr w:rsidR="00CF1584" w:rsidRPr="00CF1584" w:rsidTr="00CF1584">
        <w:trPr>
          <w:jc w:val="center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F1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Teže kontrakture četiri prsta ili pet prstiju, eventualno komplikovane sa ankilozom pojedinih zglobova, prema težini, odnosno očuvanosti globalne funkcije šake - obje šake  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584" w:rsidRPr="00CF1584" w:rsidRDefault="00CF1584" w:rsidP="00CF15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CF1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do 70%</w:t>
            </w:r>
            <w:r w:rsidRPr="00CF158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423B60" w:rsidRDefault="00CF1584">
      <w:bookmarkStart w:id="35" w:name="_GoBack"/>
      <w:bookmarkEnd w:id="34"/>
      <w:bookmarkEnd w:id="35"/>
    </w:p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monBulle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84"/>
    <w:rsid w:val="00684A3A"/>
    <w:rsid w:val="00AA4741"/>
    <w:rsid w:val="00C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darka.dzabasan\Local%20Settings\Application%20Data\Ing-Pro\IngProPaket5P\l1098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2</cp:revision>
  <cp:lastPrinted>2013-03-05T12:12:00Z</cp:lastPrinted>
  <dcterms:created xsi:type="dcterms:W3CDTF">2013-03-05T12:11:00Z</dcterms:created>
  <dcterms:modified xsi:type="dcterms:W3CDTF">2013-03-05T12:18:00Z</dcterms:modified>
</cp:coreProperties>
</file>