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6618A3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Jul</w:t>
      </w:r>
      <w:r w:rsidR="005612C5">
        <w:rPr>
          <w:rFonts w:cs="Calibri"/>
          <w:b/>
          <w:bCs/>
          <w:noProof/>
          <w:sz w:val="32"/>
          <w:szCs w:val="32"/>
        </w:rPr>
        <w:t xml:space="preserve">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8056A0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 w:rsidRPr="008056A0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3.9pt;margin-top:354pt;width:252.6pt;height:388.65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909090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996CE0" w:rsidRDefault="00996CE0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996CE0" w:rsidRDefault="00996CE0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996CE0" w:rsidRDefault="00996CE0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996CE0" w:rsidRPr="00123460" w:rsidRDefault="00123460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b/>
                      <w:sz w:val="20"/>
                      <w:szCs w:val="20"/>
                    </w:rPr>
                    <w:t>Industrijska proizvodnja u junu 2015. bilježi visoke godišnje stope rasta u svim sektorima</w:t>
                  </w:r>
                </w:p>
                <w:p w:rsidR="00123460" w:rsidRPr="00123460" w:rsidRDefault="00123460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Kretanje potrošačkih cijena u junu 2015. pokazuje da rast cijena hrane i dalje dominantno opredjeljuje godišnju stopu inflacije</w:t>
                  </w:r>
                </w:p>
                <w:p w:rsidR="00123460" w:rsidRPr="00123460" w:rsidRDefault="00123460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 w:rsidRPr="00C034D6">
                    <w:rPr>
                      <w:b/>
                      <w:bCs/>
                      <w:sz w:val="20"/>
                      <w:szCs w:val="20"/>
                      <w:lang w:val="sr-Latn-CS"/>
                    </w:rPr>
                    <w:t>Izvorni prihodi budžeta Crne Gore u junu 2015. godine iznosili su 118,2 mil. € i viši su za 7,5 % u odnosu na jun 2014. godine</w:t>
                  </w:r>
                </w:p>
                <w:p w:rsidR="00123460" w:rsidRPr="00123460" w:rsidRDefault="00123460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>Kretanja u monetarnoj sferi obilježio je nastavak tendencije rasta ukupnih depozita i blago povećanje kreditnih aktivnosti na godišnjem nivou</w:t>
                  </w:r>
                </w:p>
                <w:p w:rsidR="00123460" w:rsidRDefault="00C66367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 w:rsidRPr="005F21AB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Kvartalna 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struktura </w:t>
                  </w:r>
                  <w:r w:rsidRPr="005F21AB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spoljnotrgovinske razmjene u</w:t>
                  </w:r>
                  <w:r>
                    <w:rPr>
                      <w:b/>
                      <w:noProof/>
                      <w:color w:val="000000"/>
                      <w:szCs w:val="20"/>
                    </w:rPr>
                    <w:t xml:space="preserve"> </w:t>
                  </w:r>
                  <w:r w:rsidRPr="00052FD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period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u </w:t>
                  </w:r>
                  <w:r w:rsidRPr="00052FD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januar 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–</w:t>
                  </w:r>
                  <w:r w:rsidRPr="00052FD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jun </w:t>
                  </w:r>
                  <w:r w:rsidRPr="00052FD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201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5</w:t>
                  </w:r>
                  <w:r w:rsidRPr="00052FD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noProof/>
                      <w:color w:val="000000"/>
                      <w:sz w:val="20"/>
                      <w:szCs w:val="20"/>
                    </w:rPr>
                    <w:t xml:space="preserve"> ukazuje na pad vrijednosti izvoza i intenzivan rast uvoza u drugom kvartalu, kao rezultat pojačane investicione aktivnosti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153685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horzAnchor="margin" w:tblpX="108" w:tblpY="420"/>
        <w:tblW w:w="4936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6428"/>
        <w:gridCol w:w="4979"/>
      </w:tblGrid>
      <w:tr w:rsidR="00C45B95" w:rsidRPr="00D05BDB" w:rsidTr="00996CE0">
        <w:trPr>
          <w:trHeight w:hRule="exact" w:val="4176"/>
        </w:trPr>
        <w:tc>
          <w:tcPr>
            <w:tcW w:w="3104" w:type="pct"/>
          </w:tcPr>
          <w:p w:rsidR="001B7C2A" w:rsidRPr="007917BF" w:rsidRDefault="001B7C2A" w:rsidP="00464A12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7B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Međunarodno okruženje</w:t>
            </w:r>
          </w:p>
          <w:p w:rsidR="006A2258" w:rsidRPr="009439FD" w:rsidRDefault="006A2258" w:rsidP="009439FD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123460">
              <w:rPr>
                <w:b/>
                <w:sz w:val="20"/>
                <w:szCs w:val="20"/>
              </w:rPr>
              <w:t>Na tržištu rada u svijetu dešavaju se značajne strukturne promjene</w:t>
            </w:r>
            <w:r w:rsidRPr="009439FD">
              <w:rPr>
                <w:sz w:val="20"/>
                <w:szCs w:val="20"/>
              </w:rPr>
              <w:t xml:space="preserve">. Blagi oporavak ekonomske aktivnosti u EU, praćen je blagim padom nezaposlenosti, ali raste procenat ugovora na određeno vrijeme i ugovora o povremenim poslovima (tzv. minijob). Samo 16% novih ugovora o radu u Francuskoj  su za stalno, dok je taj procenat u Španiji oko 30%. Rastući broj amerikanaca je angažovan na takozvanim GIG poslovima, nema stalne ugovore s određenom kompanijom, već je zaposlen za obavljanje određenog posla na određeno vrijeme , s vrlo malo veza s poslodavcem. Riječ </w:t>
            </w:r>
            <w:r w:rsidRPr="009439FD">
              <w:rPr>
                <w:i/>
                <w:sz w:val="20"/>
                <w:szCs w:val="20"/>
              </w:rPr>
              <w:t xml:space="preserve">gig </w:t>
            </w:r>
            <w:r w:rsidRPr="009439FD">
              <w:rPr>
                <w:sz w:val="20"/>
                <w:szCs w:val="20"/>
              </w:rPr>
              <w:t xml:space="preserve">je pozajmljena iz muzičke industrije, a odnosi se na fleksibilnu zaposlenost. Na ovakvim fleksibilnim poslovima u USA je, prema posljednjim istraživanjima, zaposleno oko 30% zaposlenih. Iako fleksibilni poslovi, po mišljenju nekih ekonomsta nisu dobri za dugoročan rast ekonomije, nisu povoljni ni za zaposlenog zbog nesigurnosti, oni imaju rastući trend, a zemlje koje imaju ovakve trendove, imaju vrlo niske stope </w:t>
            </w:r>
            <w:r w:rsidR="00123460">
              <w:rPr>
                <w:sz w:val="20"/>
                <w:szCs w:val="20"/>
              </w:rPr>
              <w:t>nezaposlenosti. (u Americi oko 6</w:t>
            </w:r>
            <w:r w:rsidRPr="009439FD">
              <w:rPr>
                <w:sz w:val="20"/>
                <w:szCs w:val="20"/>
              </w:rPr>
              <w:t xml:space="preserve">% u Njemačkoj </w:t>
            </w:r>
            <w:r w:rsidR="00123460">
              <w:rPr>
                <w:sz w:val="20"/>
                <w:szCs w:val="20"/>
              </w:rPr>
              <w:t>5</w:t>
            </w:r>
            <w:r w:rsidRPr="009439FD">
              <w:rPr>
                <w:sz w:val="20"/>
                <w:szCs w:val="20"/>
              </w:rPr>
              <w:t>%).</w:t>
            </w:r>
          </w:p>
          <w:p w:rsidR="00C45B95" w:rsidRPr="007917BF" w:rsidRDefault="00C45B95" w:rsidP="005F3F2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6" w:type="pct"/>
            <w:vAlign w:val="center"/>
          </w:tcPr>
          <w:p w:rsidR="00C45B95" w:rsidRPr="00400626" w:rsidRDefault="00AC5EB6" w:rsidP="00400626">
            <w:r w:rsidRPr="00AC5EB6">
              <w:rPr>
                <w:noProof/>
              </w:rPr>
              <w:drawing>
                <wp:inline distT="0" distB="0" distL="0" distR="0">
                  <wp:extent cx="2761729" cy="2446847"/>
                  <wp:effectExtent l="19050" t="0" r="19571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RPr="00D05BDB" w:rsidTr="00FF1E9B">
        <w:trPr>
          <w:trHeight w:hRule="exact" w:val="4303"/>
        </w:trPr>
        <w:tc>
          <w:tcPr>
            <w:tcW w:w="3104" w:type="pct"/>
          </w:tcPr>
          <w:p w:rsidR="00E752D0" w:rsidRPr="00882417" w:rsidRDefault="003D49BD" w:rsidP="00E752D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Realni sek</w:t>
            </w:r>
            <w:r w:rsidR="00000106" w:rsidRPr="00D05BDB">
              <w:rPr>
                <w:rFonts w:asciiTheme="minorHAnsi" w:hAnsiTheme="minorHAnsi" w:cstheme="minorHAnsi"/>
                <w:b/>
                <w:sz w:val="20"/>
              </w:rPr>
              <w:t>tor</w:t>
            </w:r>
          </w:p>
          <w:p w:rsidR="00EB20E3" w:rsidRPr="00475B52" w:rsidRDefault="00EB20E3" w:rsidP="003771DA">
            <w:pPr>
              <w:pBdr>
                <w:top w:val="single" w:sz="4" w:space="1" w:color="auto"/>
              </w:pBd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Industrijska proizvodnja u junu 2015. bilježi visoke godišnje stope rasta u svim sektorima. </w:t>
            </w:r>
            <w:r w:rsidRPr="00B829A3">
              <w:rPr>
                <w:sz w:val="20"/>
                <w:szCs w:val="20"/>
              </w:rPr>
              <w:t>Sektor „vađenje rude i kamena“ bilježi rast od 29,8%</w:t>
            </w:r>
            <w:r>
              <w:rPr>
                <w:sz w:val="20"/>
                <w:szCs w:val="20"/>
              </w:rPr>
              <w:t xml:space="preserve"> (u oblasti vađenje uglja obračunati indeks iznosio je preko 300,0), </w:t>
            </w:r>
            <w:r w:rsidRPr="00B829A3">
              <w:rPr>
                <w:sz w:val="20"/>
                <w:szCs w:val="20"/>
              </w:rPr>
              <w:t>„ prerađivačka industrija“ 27,6%</w:t>
            </w:r>
            <w:r>
              <w:rPr>
                <w:sz w:val="20"/>
                <w:szCs w:val="20"/>
              </w:rPr>
              <w:t xml:space="preserve"> ( osnovni metali rast 22,2%; farmaceutski proizvodi rast 70,4%, proizvodnja pića  rast 26,4%)</w:t>
            </w:r>
            <w:r w:rsidRPr="00B829A3">
              <w:rPr>
                <w:sz w:val="20"/>
                <w:szCs w:val="20"/>
              </w:rPr>
              <w:t xml:space="preserve"> i „snabdijevanje električnom energijom, gaso</w:t>
            </w:r>
            <w:r>
              <w:rPr>
                <w:sz w:val="20"/>
                <w:szCs w:val="20"/>
              </w:rPr>
              <w:t>m i parom“ 36,9%.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6202">
              <w:rPr>
                <w:sz w:val="20"/>
                <w:szCs w:val="20"/>
              </w:rPr>
              <w:t xml:space="preserve">Crnu Goru je u </w:t>
            </w:r>
            <w:r>
              <w:rPr>
                <w:sz w:val="20"/>
                <w:szCs w:val="20"/>
              </w:rPr>
              <w:t>junu</w:t>
            </w:r>
            <w:r w:rsidRPr="006A6202">
              <w:rPr>
                <w:sz w:val="20"/>
                <w:szCs w:val="20"/>
              </w:rPr>
              <w:t xml:space="preserve"> posjetilo </w:t>
            </w:r>
            <w:r>
              <w:rPr>
                <w:sz w:val="20"/>
                <w:szCs w:val="20"/>
              </w:rPr>
              <w:t>19,6 hilj.turista i</w:t>
            </w:r>
            <w:r w:rsidRPr="006A6202">
              <w:rPr>
                <w:sz w:val="20"/>
                <w:szCs w:val="20"/>
              </w:rPr>
              <w:t xml:space="preserve"> ostvareno</w:t>
            </w:r>
            <w:r>
              <w:rPr>
                <w:sz w:val="20"/>
                <w:szCs w:val="20"/>
              </w:rPr>
              <w:t xml:space="preserve"> 76,6 hilj.noćenja, što je rast od 12,8 i 15,6%, respektivno. Strani gosti su ostvarili 92,2% noćenja, dok su noćenja domaćih turista iznosila 7,8% ukupnih noćenja. U strukturi noćenja stranih turista najviše noćenja su ostvarili turisti iz Rusije (39,8%) </w:t>
            </w:r>
            <w:r w:rsidR="009439F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rast od 10,5% </w:t>
            </w:r>
            <w:r w:rsidR="009439FD">
              <w:rPr>
                <w:sz w:val="20"/>
                <w:szCs w:val="20"/>
              </w:rPr>
              <w:t>g-n-g</w:t>
            </w:r>
            <w:r>
              <w:rPr>
                <w:sz w:val="20"/>
                <w:szCs w:val="20"/>
              </w:rPr>
              <w:t xml:space="preserve"> i Srbije (20,8%), što je rast od 32,7% </w:t>
            </w:r>
            <w:r w:rsidR="009439FD">
              <w:rPr>
                <w:sz w:val="20"/>
                <w:szCs w:val="20"/>
              </w:rPr>
              <w:t>g-n-g</w:t>
            </w:r>
            <w:r>
              <w:rPr>
                <w:sz w:val="20"/>
                <w:szCs w:val="20"/>
              </w:rPr>
              <w:t>. Za šest mjeseci 2015. rast dolazaka i noćenja turista iznosio je 13,8 i 13,7%, respektivno. Značajan rast turističkog prometa podstakao je i rast u sektoru trgovine na malo, koji je u junu 2015. iznosio je 4,7% g-n-g i 10,5% m-n-m.</w:t>
            </w:r>
          </w:p>
          <w:p w:rsidR="00C45B95" w:rsidRPr="00D05BDB" w:rsidRDefault="00C45B95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000106" w:rsidRPr="00D05BDB" w:rsidRDefault="006E0F2F" w:rsidP="00464A1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E0F2F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780779" cy="2229633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D05BDB" w:rsidTr="00FF1E9B">
        <w:trPr>
          <w:trHeight w:hRule="exact" w:val="3699"/>
        </w:trPr>
        <w:tc>
          <w:tcPr>
            <w:tcW w:w="3104" w:type="pct"/>
          </w:tcPr>
          <w:p w:rsidR="00A76B8B" w:rsidRPr="00997CAD" w:rsidRDefault="00000106" w:rsidP="00A76B8B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Inflacij</w:t>
            </w:r>
            <w:r w:rsidR="00997CAD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  <w:p w:rsidR="00875948" w:rsidRPr="00CF4446" w:rsidRDefault="00875948" w:rsidP="009439FD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Kretanje potrošačkih cijena u junu 2015. pokazuje da rast cijena hrane i dalje dominantno opredjeljuje godišnju stopu inflacije. </w:t>
            </w:r>
            <w:r w:rsidRPr="00317517">
              <w:rPr>
                <w:rFonts w:asciiTheme="minorHAnsi" w:hAnsiTheme="minorHAnsi"/>
                <w:sz w:val="20"/>
                <w:szCs w:val="20"/>
              </w:rPr>
              <w:t xml:space="preserve">U junu je godišnja stopa inflacije (CPI) iznosila 1,9%, mjesečna 0,1%, dok je </w:t>
            </w:r>
            <w:r>
              <w:rPr>
                <w:rFonts w:asciiTheme="minorHAnsi" w:hAnsiTheme="minorHAnsi"/>
                <w:sz w:val="20"/>
                <w:szCs w:val="20"/>
              </w:rPr>
              <w:t>u periodu januar-jun</w:t>
            </w:r>
            <w:r w:rsidRPr="00317517">
              <w:rPr>
                <w:rFonts w:asciiTheme="minorHAnsi" w:hAnsiTheme="minorHAnsi"/>
                <w:sz w:val="20"/>
                <w:szCs w:val="20"/>
              </w:rPr>
              <w:t xml:space="preserve"> stopa inflacije iznosila 1,5% g-n-g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317517">
              <w:rPr>
                <w:rFonts w:asciiTheme="minorHAnsi" w:hAnsiTheme="minorHAnsi"/>
                <w:sz w:val="20"/>
                <w:szCs w:val="20"/>
              </w:rPr>
              <w:t>Najveći uticaj na zabilježenu godišnju s</w:t>
            </w:r>
            <w:r>
              <w:rPr>
                <w:rFonts w:asciiTheme="minorHAnsi" w:hAnsiTheme="minorHAnsi"/>
                <w:sz w:val="20"/>
                <w:szCs w:val="20"/>
              </w:rPr>
              <w:t>topu imale su cijene iz oblasti „</w:t>
            </w:r>
            <w:r w:rsidRPr="00317517">
              <w:rPr>
                <w:rFonts w:asciiTheme="minorHAnsi" w:hAnsiTheme="minorHAnsi"/>
                <w:sz w:val="20"/>
                <w:szCs w:val="20"/>
              </w:rPr>
              <w:t>hrana i bezalkoholna pića“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(rast 2,4% i uticaj 0,94 p.p). i „stanovanje, voda, struja i gas“ (rast 2,3% i uticaj 0,36 p.p). Cijene iz oblasti „prevoz“ i dalje bilježe negativne godišnje stope rasta, ali nešto niže nego prethodnih mjeseci (godišnji rast -0,7% i uticaj -0,07 p.p). Inflacija mjerena HICP-om u junu bilježi godišnji rast od 2,0%, pri čemu je najveći godišnji rast zabilježen kod cijena iz oblasti „alkoholna pića i duvan“ (3,5%) i „hrana i bezalkoholna pića“ (2,4%). Cijene proizvođača industrijskih proizvoda u junu bilježe rast 0,4% g-n-g, i rast od 0,5% u periodu januar-jun g-n-g. Inflacija u EU i Euzoni u junu bilježi pozi</w:t>
            </w:r>
            <w:r w:rsidR="003771DA">
              <w:rPr>
                <w:rFonts w:asciiTheme="minorHAnsi" w:hAnsiTheme="minorHAnsi"/>
                <w:sz w:val="20"/>
                <w:szCs w:val="20"/>
              </w:rPr>
              <w:t>tivne stope rasta od 0,1 i 0,2%.</w:t>
            </w:r>
          </w:p>
          <w:p w:rsidR="00C45B95" w:rsidRPr="00D05BDB" w:rsidRDefault="00C45B95" w:rsidP="00464A1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875948" w:rsidP="00464A12">
            <w:pPr>
              <w:rPr>
                <w:rFonts w:asciiTheme="minorHAnsi" w:hAnsiTheme="minorHAnsi" w:cstheme="minorHAnsi"/>
              </w:rPr>
            </w:pPr>
            <w:r w:rsidRPr="00875948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874724" cy="2229633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D05BDB" w:rsidTr="00FF1E9B">
        <w:trPr>
          <w:trHeight w:hRule="exact" w:val="3540"/>
        </w:trPr>
        <w:tc>
          <w:tcPr>
            <w:tcW w:w="3104" w:type="pct"/>
          </w:tcPr>
          <w:p w:rsidR="00306ADD" w:rsidRPr="00693043" w:rsidRDefault="00000106" w:rsidP="00C80E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sz w:val="20"/>
              </w:rPr>
              <w:t>Zaposlenost i zarade</w:t>
            </w:r>
          </w:p>
          <w:p w:rsidR="007F5F68" w:rsidRPr="00D05BDB" w:rsidRDefault="00925AC9" w:rsidP="00330C4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B377C4">
              <w:rPr>
                <w:b/>
                <w:sz w:val="20"/>
                <w:szCs w:val="20"/>
                <w:lang w:val="sr-Latn-CS"/>
              </w:rPr>
              <w:t xml:space="preserve">Uticaj sezone na tržištu rada je i dalje prisutan, tako da je u junu u odnosu na </w:t>
            </w:r>
            <w:r>
              <w:rPr>
                <w:b/>
                <w:sz w:val="20"/>
                <w:szCs w:val="20"/>
                <w:lang w:val="sr-Latn-CS"/>
              </w:rPr>
              <w:t xml:space="preserve">maj </w:t>
            </w:r>
            <w:r w:rsidRPr="00B377C4">
              <w:rPr>
                <w:b/>
                <w:sz w:val="20"/>
                <w:szCs w:val="20"/>
                <w:lang w:val="sr-Latn-CS"/>
              </w:rPr>
              <w:t xml:space="preserve">2015. došlo </w:t>
            </w:r>
            <w:r>
              <w:rPr>
                <w:b/>
                <w:sz w:val="20"/>
                <w:szCs w:val="20"/>
                <w:lang w:val="sr-Latn-CS"/>
              </w:rPr>
              <w:t>do povećanja zaposlenosti (1,7</w:t>
            </w:r>
            <w:r w:rsidRPr="00B377C4">
              <w:rPr>
                <w:b/>
                <w:sz w:val="20"/>
                <w:szCs w:val="20"/>
                <w:lang w:val="sr-Latn-CS"/>
              </w:rPr>
              <w:t>%) i smanjenja nezaposlenosti (</w:t>
            </w:r>
            <w:r>
              <w:rPr>
                <w:b/>
                <w:sz w:val="20"/>
                <w:szCs w:val="20"/>
                <w:lang w:val="sr-Latn-CS"/>
              </w:rPr>
              <w:t>-3,9</w:t>
            </w:r>
            <w:r w:rsidRPr="00B377C4">
              <w:rPr>
                <w:b/>
                <w:sz w:val="20"/>
                <w:szCs w:val="20"/>
                <w:lang w:val="sr-Latn-CS"/>
              </w:rPr>
              <w:t>%).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B377C4">
              <w:rPr>
                <w:sz w:val="20"/>
                <w:szCs w:val="20"/>
                <w:lang w:val="sr-Latn-CS"/>
              </w:rPr>
              <w:t xml:space="preserve">U junu 2015. </w:t>
            </w:r>
            <w:r>
              <w:rPr>
                <w:sz w:val="20"/>
                <w:szCs w:val="20"/>
                <w:lang w:val="sr-Latn-CS"/>
              </w:rPr>
              <w:t>b</w:t>
            </w:r>
            <w:r w:rsidRPr="00B377C4">
              <w:rPr>
                <w:sz w:val="20"/>
                <w:szCs w:val="20"/>
                <w:lang w:val="sr-Latn-CS"/>
              </w:rPr>
              <w:t>roj zaposlenih je iznosio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B377C4">
              <w:rPr>
                <w:sz w:val="20"/>
                <w:szCs w:val="20"/>
                <w:lang w:val="sr-Latn-CS"/>
              </w:rPr>
              <w:t>180.884</w:t>
            </w:r>
            <w:r w:rsidR="009439FD">
              <w:rPr>
                <w:sz w:val="20"/>
                <w:szCs w:val="20"/>
                <w:lang w:val="sr-Latn-CS"/>
              </w:rPr>
              <w:t xml:space="preserve"> i</w:t>
            </w:r>
            <w:r>
              <w:rPr>
                <w:sz w:val="20"/>
                <w:szCs w:val="20"/>
                <w:lang w:val="sr-Latn-CS"/>
              </w:rPr>
              <w:t xml:space="preserve"> povećan je 0,6%</w:t>
            </w:r>
            <w:r w:rsidR="009439FD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, dok je u prvom polugođu 2015. povećan 1,1%</w:t>
            </w:r>
            <w:r w:rsidR="00330C4A">
              <w:rPr>
                <w:sz w:val="20"/>
                <w:szCs w:val="20"/>
                <w:lang w:val="sr-Latn-CS"/>
              </w:rPr>
              <w:t xml:space="preserve">  g-n-g</w:t>
            </w:r>
            <w:r>
              <w:rPr>
                <w:sz w:val="20"/>
                <w:szCs w:val="20"/>
                <w:lang w:val="sr-Latn-CS"/>
              </w:rPr>
              <w:t>. U junu 2015. broj</w:t>
            </w:r>
            <w:r w:rsidR="00330C4A">
              <w:rPr>
                <w:sz w:val="20"/>
                <w:szCs w:val="20"/>
                <w:lang w:val="sr-Latn-CS"/>
              </w:rPr>
              <w:t xml:space="preserve"> nezaposlenih je iznosio 31.092 i </w:t>
            </w:r>
            <w:r>
              <w:rPr>
                <w:sz w:val="20"/>
                <w:szCs w:val="20"/>
                <w:lang w:val="sr-Latn-CS"/>
              </w:rPr>
              <w:t xml:space="preserve"> smanjen je za 1,5%</w:t>
            </w:r>
            <w:r w:rsidR="00330C4A">
              <w:rPr>
                <w:sz w:val="20"/>
                <w:szCs w:val="20"/>
                <w:lang w:val="sr-Latn-CS"/>
              </w:rPr>
              <w:t xml:space="preserve"> g-n-g</w:t>
            </w:r>
            <w:r>
              <w:rPr>
                <w:sz w:val="20"/>
                <w:szCs w:val="20"/>
                <w:lang w:val="sr-Latn-CS"/>
              </w:rPr>
              <w:t>, dok je u prvom polugođu 2015. povećan svega 0,1%. Broj lica koja prvi put traže zaposlenje u junu je iznosio 9.794 i smanjen je u odnosu na maj 1,6%, u odnosu na jun 2014. povećan za 6,0%, a p. na p. povećan 5,7%. U prvom polugođu 2015. bilo je oglašeno 22.289 slobodnih radnih mjesta ili 2,0% više nego u prvom polugođu 2014. U junu prosječna zarada je iznosila 727€ ili 0,1% više nego u maju, dok je p. na p. povećana 0,3%. Neto zarada je iznosila 481€ ili0,2% više nego u maju, a p. na p. povećana je 0,6%. U junu, realne neto zarade su povećane u odnosu na maj 0,1%.</w:t>
            </w:r>
          </w:p>
        </w:tc>
        <w:tc>
          <w:tcPr>
            <w:tcW w:w="1896" w:type="pct"/>
            <w:vAlign w:val="center"/>
          </w:tcPr>
          <w:p w:rsidR="00C45B95" w:rsidRPr="00D05BDB" w:rsidRDefault="003E3953" w:rsidP="00464A12">
            <w:pPr>
              <w:jc w:val="center"/>
              <w:rPr>
                <w:rFonts w:asciiTheme="minorHAnsi" w:hAnsiTheme="minorHAnsi" w:cstheme="minorHAnsi"/>
              </w:rPr>
            </w:pPr>
            <w:r w:rsidRPr="003E3953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649254" cy="2079320"/>
                  <wp:effectExtent l="1905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  <w:r w:rsidR="008056A0" w:rsidRPr="008056A0">
              <w:rPr>
                <w:rFonts w:asciiTheme="minorHAnsi" w:hAnsiTheme="minorHAnsi" w:cstheme="minorHAnsi"/>
                <w:noProof/>
                <w:lang w:val="sr-Latn-CS" w:eastAsia="sr-Latn-C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7.8pt;margin-top:8.6pt;width:73.85pt;height:13.65pt;z-index:251659264;mso-position-horizontal-relative:text;mso-position-vertical-relative:text;v-text-anchor:middle" strokecolor="white [3212]">
                  <v:textbox style="mso-next-textbox:#_x0000_s1027" inset="1mm,.3mm,1mm,.3mm">
                    <w:txbxContent>
                      <w:p w:rsidR="00996CE0" w:rsidRPr="003E3953" w:rsidRDefault="00996CE0" w:rsidP="00306ADD">
                        <w:pPr>
                          <w:rPr>
                            <w:lang w:val="sr-Latn-CS"/>
                          </w:rPr>
                        </w:pPr>
                        <w:r w:rsidRPr="00330C4A">
                          <w:rPr>
                            <w:sz w:val="14"/>
                            <w:szCs w:val="14"/>
                            <w:lang w:val="sr-Latn-CS"/>
                          </w:rPr>
                          <w:t>broj zaposlenih</w:t>
                        </w:r>
                        <w:r>
                          <w:rPr>
                            <w:lang w:val="sr-Latn-CS"/>
                          </w:rPr>
                          <w:t xml:space="preserve"> zaposlenih zaposlenih</w:t>
                        </w:r>
                      </w:p>
                    </w:txbxContent>
                  </v:textbox>
                </v:shape>
              </w:pict>
            </w:r>
          </w:p>
        </w:tc>
      </w:tr>
      <w:tr w:rsidR="00C45B95" w:rsidRPr="00D05BDB" w:rsidTr="00A13BBB">
        <w:trPr>
          <w:trHeight w:hRule="exact" w:val="3183"/>
        </w:trPr>
        <w:tc>
          <w:tcPr>
            <w:tcW w:w="3104" w:type="pct"/>
          </w:tcPr>
          <w:p w:rsidR="00FF2790" w:rsidRPr="00F17D5B" w:rsidRDefault="00FF2790" w:rsidP="00464A12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F17D5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Javne finansije</w:t>
            </w:r>
          </w:p>
          <w:p w:rsidR="00730F7E" w:rsidRPr="00C034D6" w:rsidRDefault="00730F7E" w:rsidP="00C034D6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 w:hanging="11"/>
              <w:jc w:val="both"/>
              <w:rPr>
                <w:sz w:val="20"/>
                <w:szCs w:val="20"/>
              </w:rPr>
            </w:pPr>
            <w:r w:rsidRPr="00C034D6">
              <w:rPr>
                <w:b/>
                <w:bCs/>
                <w:sz w:val="20"/>
                <w:szCs w:val="20"/>
                <w:lang w:val="sr-Latn-CS"/>
              </w:rPr>
              <w:t>Izvorni prihodi budžeta Crne Gore u junu 2015. godine iznosili su 118,2 mil. € i viši su za 7,5 % u odnosu na jun 2014. godine</w:t>
            </w:r>
            <w:r w:rsidRPr="00C034D6">
              <w:rPr>
                <w:sz w:val="20"/>
                <w:szCs w:val="20"/>
              </w:rPr>
              <w:t xml:space="preserve">. U periodu januar-jun 2015.g. imamo bolju naplatu akciza  za 7,1%, poreza na dobit pravnih lica 6,0% </w:t>
            </w:r>
            <w:r w:rsidR="002F1BFF" w:rsidRPr="00C034D6">
              <w:rPr>
                <w:sz w:val="20"/>
                <w:szCs w:val="20"/>
              </w:rPr>
              <w:t xml:space="preserve"> i</w:t>
            </w:r>
            <w:r w:rsidRPr="00C034D6">
              <w:rPr>
                <w:sz w:val="20"/>
                <w:szCs w:val="20"/>
              </w:rPr>
              <w:t xml:space="preserve"> </w:t>
            </w:r>
            <w:r w:rsidR="002F1BFF" w:rsidRPr="00C034D6">
              <w:rPr>
                <w:sz w:val="20"/>
                <w:szCs w:val="20"/>
              </w:rPr>
              <w:t>carina</w:t>
            </w:r>
            <w:r w:rsidRPr="00C034D6">
              <w:rPr>
                <w:sz w:val="20"/>
                <w:szCs w:val="20"/>
              </w:rPr>
              <w:t xml:space="preserve">  4,5% </w:t>
            </w:r>
            <w:r w:rsidR="002F1BFF" w:rsidRPr="00C034D6">
              <w:rPr>
                <w:sz w:val="20"/>
                <w:szCs w:val="20"/>
              </w:rPr>
              <w:t xml:space="preserve">u odnosu na isti period prošle godine, </w:t>
            </w:r>
            <w:r w:rsidRPr="00C034D6">
              <w:rPr>
                <w:sz w:val="20"/>
                <w:szCs w:val="20"/>
              </w:rPr>
              <w:t>što je rezultat intenzivne borbe protiv sive ekonomije posebno na tržištu akciznih proizvoda, a samim tim porasta poreske discipline.</w:t>
            </w:r>
            <w:r w:rsidR="002F1BFF" w:rsidRPr="00C034D6">
              <w:rPr>
                <w:sz w:val="20"/>
                <w:szCs w:val="20"/>
              </w:rPr>
              <w:t xml:space="preserve"> </w:t>
            </w:r>
            <w:r w:rsidRPr="00C034D6">
              <w:rPr>
                <w:b/>
                <w:sz w:val="20"/>
                <w:szCs w:val="20"/>
              </w:rPr>
              <w:t>Izdaci budžeta</w:t>
            </w:r>
            <w:r w:rsidRPr="00C034D6">
              <w:rPr>
                <w:sz w:val="20"/>
                <w:szCs w:val="20"/>
              </w:rPr>
              <w:t xml:space="preserve"> u junu 2015.  iznosili su 139,2 mil. € i povećani su u odnosu na isti mjesec 2014.godine za 20,8%.</w:t>
            </w:r>
            <w:r w:rsidR="00A13BBB">
              <w:rPr>
                <w:sz w:val="20"/>
                <w:szCs w:val="20"/>
              </w:rPr>
              <w:t xml:space="preserve"> </w:t>
            </w:r>
            <w:r w:rsidRPr="00C034D6">
              <w:rPr>
                <w:sz w:val="20"/>
                <w:szCs w:val="20"/>
              </w:rPr>
              <w:t>Deficit budžeta u junu 2015. iznosio je 21,0 mil €. Državni dug na kraju marta 2015. iznosio je 1.961,9 mil.€, što predstavlja 57,8 % procijenjenog BDP-a, od čega se na spoljni dug odnosi oko 80% ukupnog državnog duga.</w:t>
            </w:r>
          </w:p>
          <w:p w:rsidR="00F17D5B" w:rsidRDefault="00F17D5B" w:rsidP="0028074A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  <w:p w:rsidR="00C45B95" w:rsidRPr="00354656" w:rsidRDefault="00C45B95" w:rsidP="00693043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3A372A" w:rsidP="00464A12">
            <w:pPr>
              <w:rPr>
                <w:rFonts w:asciiTheme="minorHAnsi" w:hAnsiTheme="minorHAnsi" w:cstheme="minorHAnsi"/>
              </w:rPr>
            </w:pPr>
            <w:r w:rsidRPr="003A372A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48578" cy="1941534"/>
                  <wp:effectExtent l="19050" t="0" r="0" b="0"/>
                  <wp:docPr id="7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RPr="00D05BDB" w:rsidTr="00FF1E9B">
        <w:trPr>
          <w:trHeight w:hRule="exact" w:val="4541"/>
        </w:trPr>
        <w:tc>
          <w:tcPr>
            <w:tcW w:w="3104" w:type="pct"/>
          </w:tcPr>
          <w:p w:rsidR="006E7A12" w:rsidRPr="00D05BDB" w:rsidRDefault="006E7A12" w:rsidP="00464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D05BDB">
              <w:rPr>
                <w:rFonts w:asciiTheme="minorHAnsi" w:hAnsiTheme="minorHAnsi" w:cstheme="minorHAnsi"/>
                <w:b/>
                <w:noProof/>
                <w:sz w:val="20"/>
              </w:rPr>
              <w:t>Monetarni sektor</w:t>
            </w:r>
          </w:p>
          <w:p w:rsidR="00E76F6C" w:rsidRDefault="00654F62" w:rsidP="00C034D6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Kretanja u monetarnoj sferi obilježio je nastavak tendencije rasta ukupnih depozita i blago povećanje kreditnih aktivnosti na godišnjem nivou. </w:t>
            </w:r>
            <w:r w:rsidRPr="002B3A25">
              <w:rPr>
                <w:noProof/>
                <w:sz w:val="20"/>
                <w:szCs w:val="20"/>
              </w:rPr>
              <w:t>U</w:t>
            </w:r>
            <w:r>
              <w:rPr>
                <w:noProof/>
                <w:sz w:val="20"/>
                <w:szCs w:val="20"/>
              </w:rPr>
              <w:t xml:space="preserve">kupan </w:t>
            </w:r>
            <w:r w:rsidRPr="00F153FE">
              <w:rPr>
                <w:b/>
                <w:noProof/>
                <w:sz w:val="20"/>
                <w:szCs w:val="20"/>
              </w:rPr>
              <w:t>kapital</w:t>
            </w:r>
            <w:r>
              <w:rPr>
                <w:noProof/>
                <w:sz w:val="20"/>
                <w:szCs w:val="20"/>
              </w:rPr>
              <w:t xml:space="preserve"> banaka u junu je iznosio 455,9 mil.€, što je za 2,7% više u odnosu na kraj prethodne godine i 6,5% na godišnjem nivou.</w:t>
            </w:r>
            <w:r w:rsidR="00DF6D45">
              <w:rPr>
                <w:noProof/>
                <w:sz w:val="20"/>
                <w:szCs w:val="20"/>
              </w:rPr>
              <w:t xml:space="preserve"> </w:t>
            </w:r>
            <w:r w:rsidRPr="00344093">
              <w:rPr>
                <w:noProof/>
                <w:sz w:val="20"/>
                <w:szCs w:val="20"/>
              </w:rPr>
              <w:t>Ukup</w:t>
            </w:r>
            <w:r>
              <w:rPr>
                <w:noProof/>
                <w:sz w:val="20"/>
                <w:szCs w:val="20"/>
              </w:rPr>
              <w:t xml:space="preserve">no odobreni </w:t>
            </w:r>
            <w:r w:rsidRPr="00A858D1">
              <w:rPr>
                <w:b/>
                <w:noProof/>
                <w:sz w:val="20"/>
                <w:szCs w:val="20"/>
              </w:rPr>
              <w:t>krediti</w:t>
            </w:r>
            <w:r>
              <w:rPr>
                <w:noProof/>
                <w:sz w:val="20"/>
                <w:szCs w:val="20"/>
              </w:rPr>
              <w:t xml:space="preserve"> banaka su ostvarili rast od 0,2%</w:t>
            </w:r>
            <w:r w:rsidR="00A13BBB">
              <w:rPr>
                <w:noProof/>
                <w:sz w:val="20"/>
                <w:szCs w:val="20"/>
              </w:rPr>
              <w:t xml:space="preserve"> m-n-m</w:t>
            </w:r>
            <w:r>
              <w:rPr>
                <w:noProof/>
                <w:sz w:val="20"/>
                <w:szCs w:val="20"/>
              </w:rPr>
              <w:t>, ili 5,1 mil.€ u odnosu na isti mjesec prethodne godine, pri čemu su najveći korisnici kredita bili privreda i stanovništvo (78,7%).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C2A3B">
              <w:rPr>
                <w:noProof/>
                <w:sz w:val="20"/>
                <w:szCs w:val="20"/>
              </w:rPr>
              <w:t>K</w:t>
            </w:r>
            <w:r>
              <w:rPr>
                <w:noProof/>
                <w:sz w:val="20"/>
                <w:szCs w:val="20"/>
              </w:rPr>
              <w:t>rediti privrede su za šest mjeseci ove godine povećani za 4,4%,</w:t>
            </w:r>
            <w:r w:rsidR="00A13BB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a krediti stanovništva za 2,6%, što predstavlja pozitivan nagovještaj oživljavanja kreditnih aktivnosti u ovoj godini.</w:t>
            </w:r>
            <w:r w:rsidR="00A13BB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Rast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ukupnih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>
              <w:rPr>
                <w:b/>
                <w:noProof/>
                <w:sz w:val="20"/>
                <w:szCs w:val="20"/>
              </w:rPr>
              <w:t xml:space="preserve">a </w:t>
            </w:r>
            <w:r>
              <w:rPr>
                <w:noProof/>
                <w:sz w:val="20"/>
                <w:szCs w:val="20"/>
              </w:rPr>
              <w:t>je nastavljen</w:t>
            </w:r>
            <w:r w:rsidRPr="00545DBC">
              <w:rPr>
                <w:noProof/>
                <w:sz w:val="20"/>
                <w:szCs w:val="20"/>
              </w:rPr>
              <w:t xml:space="preserve"> u </w:t>
            </w:r>
            <w:r>
              <w:rPr>
                <w:noProof/>
                <w:sz w:val="20"/>
                <w:szCs w:val="20"/>
              </w:rPr>
              <w:t>junu</w:t>
            </w:r>
            <w:r w:rsidRPr="00545DBC">
              <w:rPr>
                <w:noProof/>
                <w:sz w:val="20"/>
                <w:szCs w:val="20"/>
              </w:rPr>
              <w:t>, tako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da su na mjesečnom nivou  povećani za 1,1% i na godišnjem 12,0%. Na de</w:t>
            </w:r>
            <w:r w:rsidR="00DF6D45">
              <w:rPr>
                <w:noProof/>
                <w:sz w:val="20"/>
                <w:szCs w:val="20"/>
              </w:rPr>
              <w:t>pozite stanovništva se odnosilo</w:t>
            </w:r>
            <w:r>
              <w:rPr>
                <w:noProof/>
                <w:sz w:val="20"/>
                <w:szCs w:val="20"/>
              </w:rPr>
              <w:t xml:space="preserve"> 1.370,4 mil.€ ili 57,0%, dok su depoziti privrede sa iznosom od 681,2 mil.€</w:t>
            </w:r>
            <w:r w:rsidR="00A13BBB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 xml:space="preserve"> činili 28,3% ukupnih depozita.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687F99">
              <w:rPr>
                <w:noProof/>
                <w:sz w:val="20"/>
                <w:szCs w:val="20"/>
              </w:rPr>
              <w:t>Realni sektor je</w:t>
            </w:r>
            <w:r>
              <w:rPr>
                <w:noProof/>
                <w:sz w:val="20"/>
                <w:szCs w:val="20"/>
              </w:rPr>
              <w:t xml:space="preserve"> i dalje</w:t>
            </w:r>
            <w:r w:rsidRPr="00687F99">
              <w:rPr>
                <w:noProof/>
                <w:sz w:val="20"/>
                <w:szCs w:val="20"/>
              </w:rPr>
              <w:t xml:space="preserve"> opte</w:t>
            </w:r>
            <w:r w:rsidR="003C6A99">
              <w:rPr>
                <w:noProof/>
                <w:sz w:val="20"/>
                <w:szCs w:val="20"/>
              </w:rPr>
              <w:t>r</w:t>
            </w:r>
            <w:r>
              <w:rPr>
                <w:noProof/>
                <w:sz w:val="20"/>
                <w:szCs w:val="20"/>
              </w:rPr>
              <w:t xml:space="preserve">ećen visokom </w:t>
            </w:r>
            <w:r w:rsidRPr="00687F99">
              <w:rPr>
                <w:b/>
                <w:noProof/>
                <w:sz w:val="20"/>
                <w:szCs w:val="20"/>
              </w:rPr>
              <w:t>nelikvidnošću</w:t>
            </w:r>
            <w:r>
              <w:rPr>
                <w:noProof/>
                <w:sz w:val="20"/>
                <w:szCs w:val="20"/>
              </w:rPr>
              <w:t>. Od 74.223 pravna lica i preduzetnika, u blokadi je bilo 14.332 ili 19,3%, što u poređenju sa prethodnim mjesecom predstavlja smanjenje od 0,71%.</w:t>
            </w:r>
            <w:r w:rsidR="00153685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Ukupan dug po osnovu koga je izvršena blokada</w:t>
            </w:r>
          </w:p>
          <w:p w:rsidR="00654F62" w:rsidRPr="003C543D" w:rsidRDefault="00654F62" w:rsidP="00D24C4B">
            <w:pPr>
              <w:pBdr>
                <w:top w:val="single" w:sz="4" w:space="1" w:color="auto"/>
              </w:pBdr>
              <w:spacing w:after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računa je iznosio 525,3 mil. €, što je za 1,73% više </w:t>
            </w:r>
            <w:r w:rsidR="00C034D6">
              <w:rPr>
                <w:noProof/>
                <w:sz w:val="20"/>
                <w:szCs w:val="20"/>
              </w:rPr>
              <w:t>m-n-m.</w:t>
            </w:r>
          </w:p>
          <w:p w:rsidR="00C45B95" w:rsidRPr="00D05BDB" w:rsidRDefault="00C45B95" w:rsidP="0038086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6" w:type="pct"/>
            <w:vAlign w:val="center"/>
          </w:tcPr>
          <w:p w:rsidR="00C45B95" w:rsidRPr="00D05BDB" w:rsidRDefault="00DD174F" w:rsidP="00464A12">
            <w:pPr>
              <w:rPr>
                <w:rFonts w:asciiTheme="minorHAnsi" w:hAnsiTheme="minorHAnsi" w:cstheme="minorHAnsi"/>
              </w:rPr>
            </w:pPr>
            <w:r w:rsidRPr="00DD174F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38400" cy="2076450"/>
                  <wp:effectExtent l="0" t="0" r="0" b="0"/>
                  <wp:docPr id="8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013C2" w:rsidRPr="00D05BDB" w:rsidTr="00FF1E9B">
        <w:trPr>
          <w:trHeight w:hRule="exact" w:val="7802"/>
        </w:trPr>
        <w:tc>
          <w:tcPr>
            <w:tcW w:w="3104" w:type="pct"/>
          </w:tcPr>
          <w:p w:rsidR="00E013C2" w:rsidRPr="00E013C2" w:rsidRDefault="00E013C2" w:rsidP="00E013C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E013C2">
              <w:rPr>
                <w:rFonts w:asciiTheme="minorHAnsi" w:hAnsiTheme="minorHAnsi" w:cstheme="minorHAnsi"/>
                <w:b/>
                <w:noProof/>
                <w:sz w:val="20"/>
              </w:rPr>
              <w:t>Spoljnotrgovinska razmjena</w:t>
            </w:r>
          </w:p>
          <w:p w:rsidR="00007FAD" w:rsidRPr="00D42FE8" w:rsidRDefault="00007FAD" w:rsidP="00C034D6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F21AB">
              <w:rPr>
                <w:b/>
                <w:noProof/>
                <w:color w:val="000000"/>
                <w:sz w:val="20"/>
                <w:szCs w:val="20"/>
              </w:rPr>
              <w:t xml:space="preserve">Kvartalna </w:t>
            </w:r>
            <w:r w:rsidR="00C034D6">
              <w:rPr>
                <w:b/>
                <w:noProof/>
                <w:color w:val="000000"/>
                <w:sz w:val="20"/>
                <w:szCs w:val="20"/>
              </w:rPr>
              <w:t>struktura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5F21AB">
              <w:rPr>
                <w:b/>
                <w:noProof/>
                <w:color w:val="000000"/>
                <w:sz w:val="20"/>
                <w:szCs w:val="20"/>
              </w:rPr>
              <w:t>spoljnotrgovinske razmjene u</w:t>
            </w:r>
            <w:r>
              <w:rPr>
                <w:b/>
                <w:noProof/>
                <w:color w:val="000000"/>
                <w:szCs w:val="20"/>
              </w:rPr>
              <w:t xml:space="preserve"> 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>period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u 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 xml:space="preserve">januar </w:t>
            </w:r>
            <w:r>
              <w:rPr>
                <w:b/>
                <w:noProof/>
                <w:color w:val="000000"/>
                <w:sz w:val="20"/>
                <w:szCs w:val="20"/>
              </w:rPr>
              <w:t>–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jun 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>201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  <w:r w:rsidRPr="00052FD9">
              <w:rPr>
                <w:b/>
                <w:noProof/>
                <w:color w:val="000000"/>
                <w:sz w:val="20"/>
                <w:szCs w:val="20"/>
              </w:rPr>
              <w:t>.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ukazuje na pad vrijednosti izvoza</w:t>
            </w:r>
            <w:r w:rsidR="00E76F6C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i intenzivan rast uvoza u drugom kvartalu,</w:t>
            </w:r>
            <w:r w:rsidR="00E76F6C">
              <w:rPr>
                <w:b/>
                <w:noProof/>
                <w:color w:val="000000"/>
                <w:sz w:val="20"/>
                <w:szCs w:val="20"/>
              </w:rPr>
              <w:t xml:space="preserve"> kao 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rezultat pojačane investicione aktivnosti. </w:t>
            </w:r>
            <w:r w:rsidRPr="00B63A41">
              <w:rPr>
                <w:noProof/>
                <w:color w:val="000000"/>
                <w:sz w:val="20"/>
                <w:szCs w:val="20"/>
              </w:rPr>
              <w:t xml:space="preserve">Spoljnotrgovinska </w:t>
            </w:r>
            <w:r w:rsidRPr="00B63A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razmjena</w:t>
            </w:r>
            <w:r w:rsidRPr="003E51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E51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iznosila je 1.003,2 mil.€, što je za 2,8%više g-n-g.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9026C6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B63A41">
              <w:rPr>
                <w:sz w:val="20"/>
                <w:szCs w:val="20"/>
              </w:rPr>
              <w:t>Robni deficit</w:t>
            </w:r>
            <w:r>
              <w:rPr>
                <w:sz w:val="20"/>
                <w:szCs w:val="20"/>
              </w:rPr>
              <w:t xml:space="preserve">  je iznosio 715,8 mil.€ i povećan je za </w:t>
            </w:r>
            <w:r w:rsidR="006243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,7%,</w:t>
            </w:r>
            <w:r w:rsidR="006243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 je  pokrivenost  uvoza izvozom smanjen</w:t>
            </w:r>
            <w:r w:rsidR="00D247C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 za 0,9 procentna poena g-n-g. </w:t>
            </w:r>
            <w:r w:rsidRPr="009026C6">
              <w:rPr>
                <w:b/>
                <w:noProof/>
                <w:color w:val="000000"/>
                <w:sz w:val="20"/>
                <w:szCs w:val="20"/>
              </w:rPr>
              <w:t>I</w:t>
            </w:r>
            <w:r w:rsidRPr="009026C6">
              <w:rPr>
                <w:b/>
                <w:sz w:val="20"/>
                <w:szCs w:val="20"/>
              </w:rPr>
              <w:t xml:space="preserve">zvoz </w:t>
            </w:r>
            <w:r w:rsidRPr="00DC4AD1">
              <w:rPr>
                <w:sz w:val="20"/>
                <w:szCs w:val="20"/>
              </w:rPr>
              <w:t xml:space="preserve">roba </w:t>
            </w:r>
            <w:r>
              <w:rPr>
                <w:sz w:val="20"/>
                <w:szCs w:val="20"/>
              </w:rPr>
              <w:t xml:space="preserve"> vrijedio </w:t>
            </w:r>
            <w:r w:rsidRPr="00DC4AD1">
              <w:rPr>
                <w:sz w:val="20"/>
                <w:szCs w:val="20"/>
              </w:rPr>
              <w:t xml:space="preserve"> je </w:t>
            </w:r>
            <w:r>
              <w:rPr>
                <w:sz w:val="20"/>
                <w:szCs w:val="20"/>
              </w:rPr>
              <w:t>143,7</w:t>
            </w:r>
            <w:r w:rsidRPr="00DC4AD1">
              <w:rPr>
                <w:sz w:val="20"/>
                <w:szCs w:val="20"/>
              </w:rPr>
              <w:t>mil.</w:t>
            </w:r>
            <w:r>
              <w:rPr>
                <w:sz w:val="20"/>
                <w:szCs w:val="20"/>
              </w:rPr>
              <w:t xml:space="preserve"> </w:t>
            </w:r>
            <w:r w:rsidRPr="00DC4AD1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, što je 1,9% manje g-n-g.</w:t>
            </w:r>
            <w:r w:rsidR="00412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Kvartalna upoređenja tekuće u odnosu na prethodnu godinu ukazuju na rast izvoza u</w:t>
            </w:r>
            <w:r w:rsidRPr="00F523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prvom kvartalu </w:t>
            </w:r>
            <w:r w:rsidRPr="00F523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7,3</w:t>
            </w:r>
            <w:r w:rsidRPr="00F523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1B44E4">
              <w:rPr>
                <w:rFonts w:asciiTheme="minorHAnsi" w:hAnsiTheme="minorHAnsi" w:cstheme="minorHAnsi"/>
                <w:b/>
                <w:sz w:val="18"/>
                <w:szCs w:val="18"/>
                <w:lang w:val="sr-Latn-CS"/>
              </w:rPr>
              <w:t xml:space="preserve"> </w:t>
            </w:r>
            <w:r w:rsidRPr="00624389">
              <w:rPr>
                <w:rFonts w:asciiTheme="minorHAnsi" w:hAnsiTheme="minorHAnsi" w:cstheme="minorHAnsi"/>
                <w:sz w:val="20"/>
                <w:szCs w:val="20"/>
                <w:lang w:val="sr-Latn-CS"/>
              </w:rPr>
              <w:t>generisan povećanjem izvoza aluminijuma (21,0%) i gvožđa i čelika</w:t>
            </w:r>
            <w:r w:rsidRPr="00624389">
              <w:rPr>
                <w:rFonts w:asciiTheme="minorHAnsi" w:hAnsiTheme="minorHAnsi" w:cstheme="minorHAnsi"/>
                <w:sz w:val="20"/>
                <w:szCs w:val="20"/>
              </w:rPr>
              <w:t xml:space="preserve"> (četiri ipo puta).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drugom kvartalu izvoz bilježi pad od 10,2%, kao posljedica smanjenja vrijednosti  izvoza hrane za 9,5 mil.€. ili 64,0% u odnosu na drugi kvartal 2014,</w:t>
            </w:r>
            <w:r w:rsidR="00D247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opredijeljen visokom bazom iz prethodne godine. Na drugoj strani, u drugom kvartalu izvoz gvožđa i čelika porastao je jedanaest puta ili 6,0 mil.€.(niska baza iz prethodne godine zbog prekida proizvodnje tokom 2014.). </w:t>
            </w:r>
            <w:r w:rsidRPr="00D42FE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Uvoz </w:t>
            </w:r>
            <w:r w:rsidRPr="00B40EE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roba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vrijedio je 859,5 mil.€, što je 3,6% više g-n-g. </w:t>
            </w:r>
            <w:r w:rsidRPr="00D42F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Upoređenja po kvartalima t</w:t>
            </w:r>
            <w:r w:rsidR="00E76F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.g. </w:t>
            </w:r>
            <w:r w:rsidRPr="00D42FE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 odnosu na 2014, ukazuju na ujednačene stope rasta uvoza za prvi i drugi kvartal od 4,5 i 2,9%, respektivno. U </w:t>
            </w:r>
            <w:r w:rsidRPr="00D42FE8">
              <w:rPr>
                <w:rFonts w:cstheme="minorHAnsi"/>
                <w:sz w:val="20"/>
                <w:szCs w:val="20"/>
              </w:rPr>
              <w:t xml:space="preserve">strukturi uvoza najviše su zastupljeni </w:t>
            </w:r>
            <w:r w:rsidR="00A13BBB">
              <w:rPr>
                <w:rFonts w:cstheme="minorHAnsi"/>
                <w:sz w:val="20"/>
                <w:szCs w:val="20"/>
              </w:rPr>
              <w:t>m</w:t>
            </w:r>
            <w:r w:rsidRPr="00D42FE8">
              <w:rPr>
                <w:rFonts w:cstheme="minorHAnsi"/>
                <w:sz w:val="20"/>
                <w:szCs w:val="20"/>
              </w:rPr>
              <w:t xml:space="preserve">ašine i transportni uređaji </w:t>
            </w:r>
            <w:r w:rsidR="00E76F6C">
              <w:rPr>
                <w:rFonts w:cstheme="minorHAnsi"/>
                <w:sz w:val="20"/>
                <w:szCs w:val="20"/>
              </w:rPr>
              <w:t xml:space="preserve">u iznosu od </w:t>
            </w:r>
            <w:r w:rsidRPr="00D42FE8">
              <w:rPr>
                <w:rFonts w:cstheme="minorHAnsi"/>
                <w:sz w:val="20"/>
                <w:szCs w:val="20"/>
              </w:rPr>
              <w:t>194,9 mil.€</w:t>
            </w:r>
            <w:r w:rsidR="00554E10">
              <w:rPr>
                <w:rFonts w:cstheme="minorHAnsi"/>
                <w:sz w:val="20"/>
                <w:szCs w:val="20"/>
              </w:rPr>
              <w:t>. i</w:t>
            </w:r>
            <w:r w:rsidR="00A13BBB">
              <w:rPr>
                <w:rFonts w:cstheme="minorHAnsi"/>
                <w:sz w:val="20"/>
                <w:szCs w:val="20"/>
              </w:rPr>
              <w:t xml:space="preserve"> h</w:t>
            </w:r>
            <w:r w:rsidRPr="00D42FE8">
              <w:rPr>
                <w:rFonts w:cstheme="minorHAnsi"/>
                <w:sz w:val="20"/>
                <w:szCs w:val="20"/>
              </w:rPr>
              <w:t>rana i žive životinje 170,4 mil.€.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2FE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7F3EC2" w:rsidRPr="00970F03" w:rsidRDefault="007F3EC2" w:rsidP="00C034D6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970F03">
              <w:rPr>
                <w:b/>
                <w:noProof/>
                <w:sz w:val="20"/>
                <w:szCs w:val="20"/>
              </w:rPr>
              <w:t xml:space="preserve">U periodu januar- maj 2015. evidentan je </w:t>
            </w:r>
            <w:r w:rsidRPr="00970F03">
              <w:rPr>
                <w:b/>
                <w:noProof/>
                <w:sz w:val="20"/>
                <w:szCs w:val="20"/>
                <w:lang w:val="sr-Latn-CS"/>
              </w:rPr>
              <w:t xml:space="preserve">rast </w:t>
            </w:r>
            <w:r w:rsidR="00FB2A28">
              <w:rPr>
                <w:b/>
                <w:noProof/>
                <w:sz w:val="20"/>
                <w:szCs w:val="20"/>
              </w:rPr>
              <w:t>neto SDI u odnosu na pret</w:t>
            </w:r>
            <w:r w:rsidRPr="00970F03">
              <w:rPr>
                <w:b/>
                <w:noProof/>
                <w:sz w:val="20"/>
                <w:szCs w:val="20"/>
              </w:rPr>
              <w:t>hodnu godinu</w:t>
            </w:r>
            <w:r w:rsidRPr="00970F03">
              <w:rPr>
                <w:noProof/>
                <w:sz w:val="20"/>
                <w:szCs w:val="20"/>
              </w:rPr>
              <w:t xml:space="preserve">. Za prvih pet mjeseci, neto SDI </w:t>
            </w:r>
            <w:r w:rsidR="001E56F1">
              <w:rPr>
                <w:noProof/>
                <w:sz w:val="20"/>
                <w:szCs w:val="20"/>
              </w:rPr>
              <w:t xml:space="preserve">su iznosile 142,5 mil.€, što </w:t>
            </w:r>
            <w:r w:rsidRPr="00970F03">
              <w:rPr>
                <w:noProof/>
                <w:sz w:val="20"/>
                <w:szCs w:val="20"/>
              </w:rPr>
              <w:t xml:space="preserve">je za 23,5% više </w:t>
            </w:r>
            <w:r w:rsidR="00FB2A28">
              <w:rPr>
                <w:noProof/>
                <w:sz w:val="20"/>
                <w:szCs w:val="20"/>
              </w:rPr>
              <w:t xml:space="preserve">g-n-g, dok je ukupan priliv SDI iznosio </w:t>
            </w:r>
            <w:r w:rsidRPr="00970F03">
              <w:rPr>
                <w:noProof/>
                <w:sz w:val="20"/>
                <w:szCs w:val="20"/>
              </w:rPr>
              <w:t xml:space="preserve">170,2 mil.€, </w:t>
            </w:r>
            <w:r w:rsidRPr="00970F03">
              <w:rPr>
                <w:noProof/>
                <w:sz w:val="20"/>
                <w:szCs w:val="20"/>
                <w:lang w:val="sr-Latn-CS"/>
              </w:rPr>
              <w:t xml:space="preserve">što je za </w:t>
            </w:r>
            <w:r w:rsidRPr="00970F03">
              <w:rPr>
                <w:noProof/>
                <w:sz w:val="20"/>
                <w:szCs w:val="20"/>
              </w:rPr>
              <w:t xml:space="preserve">0,6% više </w:t>
            </w:r>
            <w:r w:rsidR="00FB2A28">
              <w:rPr>
                <w:noProof/>
                <w:sz w:val="20"/>
                <w:szCs w:val="20"/>
              </w:rPr>
              <w:t>g-n-g</w:t>
            </w:r>
            <w:r w:rsidRPr="00970F03">
              <w:rPr>
                <w:noProof/>
                <w:sz w:val="20"/>
                <w:szCs w:val="20"/>
                <w:lang w:val="sr-Latn-CS"/>
              </w:rPr>
              <w:t xml:space="preserve">. </w:t>
            </w:r>
            <w:r w:rsidRPr="00970F03">
              <w:rPr>
                <w:noProof/>
                <w:sz w:val="20"/>
                <w:szCs w:val="20"/>
              </w:rPr>
              <w:t>Priliv po osnovu vlasničkih ula</w:t>
            </w:r>
            <w:r w:rsidR="00344204">
              <w:rPr>
                <w:noProof/>
                <w:sz w:val="20"/>
                <w:szCs w:val="20"/>
              </w:rPr>
              <w:t xml:space="preserve">ganja u periodu januar-maj 2015. </w:t>
            </w:r>
            <w:r w:rsidR="002C6879">
              <w:rPr>
                <w:noProof/>
                <w:sz w:val="20"/>
                <w:szCs w:val="20"/>
              </w:rPr>
              <w:t>(</w:t>
            </w:r>
            <w:r w:rsidRPr="00970F03">
              <w:rPr>
                <w:noProof/>
                <w:sz w:val="20"/>
                <w:szCs w:val="20"/>
              </w:rPr>
              <w:t>53,5% ukupnog priliva</w:t>
            </w:r>
            <w:r w:rsidR="002C6879">
              <w:rPr>
                <w:noProof/>
                <w:sz w:val="20"/>
                <w:szCs w:val="20"/>
              </w:rPr>
              <w:t>)</w:t>
            </w:r>
            <w:r w:rsidRPr="00970F03">
              <w:rPr>
                <w:noProof/>
                <w:sz w:val="20"/>
                <w:szCs w:val="20"/>
              </w:rPr>
              <w:t xml:space="preserve"> iznosio </w:t>
            </w:r>
            <w:r w:rsidR="002C6879">
              <w:rPr>
                <w:noProof/>
                <w:sz w:val="20"/>
                <w:szCs w:val="20"/>
              </w:rPr>
              <w:t xml:space="preserve">je </w:t>
            </w:r>
            <w:r w:rsidRPr="00970F03">
              <w:rPr>
                <w:noProof/>
                <w:sz w:val="20"/>
                <w:szCs w:val="20"/>
              </w:rPr>
              <w:t xml:space="preserve">91,0 mil.€, ili 18,4 % više </w:t>
            </w:r>
            <w:r w:rsidR="00FB2A28">
              <w:rPr>
                <w:noProof/>
                <w:sz w:val="20"/>
                <w:szCs w:val="20"/>
              </w:rPr>
              <w:t>g-n-g</w:t>
            </w:r>
            <w:r w:rsidRPr="00970F03">
              <w:rPr>
                <w:noProof/>
                <w:sz w:val="20"/>
                <w:szCs w:val="20"/>
              </w:rPr>
              <w:t>. Struktura ukupnog priliva SDI: investi</w:t>
            </w:r>
            <w:r w:rsidR="00EC2858">
              <w:rPr>
                <w:noProof/>
                <w:sz w:val="20"/>
                <w:szCs w:val="20"/>
              </w:rPr>
              <w:t xml:space="preserve">cije u preduzeća i banke 20,8% </w:t>
            </w:r>
            <w:r w:rsidRPr="00970F03">
              <w:rPr>
                <w:noProof/>
                <w:sz w:val="20"/>
                <w:szCs w:val="20"/>
              </w:rPr>
              <w:t>(102,8% više)</w:t>
            </w:r>
            <w:r w:rsidR="00EC2858">
              <w:rPr>
                <w:noProof/>
                <w:sz w:val="20"/>
                <w:szCs w:val="20"/>
              </w:rPr>
              <w:t xml:space="preserve">, </w:t>
            </w:r>
            <w:r w:rsidR="001E56F1">
              <w:rPr>
                <w:noProof/>
                <w:sz w:val="20"/>
                <w:szCs w:val="20"/>
              </w:rPr>
              <w:t xml:space="preserve">investicije u </w:t>
            </w:r>
            <w:r w:rsidRPr="00970F03">
              <w:rPr>
                <w:noProof/>
                <w:sz w:val="20"/>
                <w:szCs w:val="20"/>
              </w:rPr>
              <w:t>nekretnine 32,6% (6,4</w:t>
            </w:r>
            <w:r w:rsidR="001E56F1">
              <w:rPr>
                <w:noProof/>
                <w:sz w:val="20"/>
                <w:szCs w:val="20"/>
              </w:rPr>
              <w:t xml:space="preserve">% </w:t>
            </w:r>
            <w:r w:rsidR="00EC2858">
              <w:rPr>
                <w:noProof/>
                <w:sz w:val="20"/>
                <w:szCs w:val="20"/>
              </w:rPr>
              <w:t xml:space="preserve">manje), interkompanijski dug 45,2% (13,2% manje) </w:t>
            </w:r>
            <w:r w:rsidR="00344204">
              <w:rPr>
                <w:noProof/>
                <w:sz w:val="20"/>
                <w:szCs w:val="20"/>
              </w:rPr>
              <w:t>i</w:t>
            </w:r>
            <w:r w:rsidR="00EC2858">
              <w:rPr>
                <w:noProof/>
                <w:sz w:val="20"/>
                <w:szCs w:val="20"/>
              </w:rPr>
              <w:t xml:space="preserve"> ostale investicije 1,4% (36,9% manje).</w:t>
            </w:r>
            <w:r w:rsidRPr="00970F03">
              <w:rPr>
                <w:noProof/>
                <w:sz w:val="20"/>
                <w:szCs w:val="20"/>
              </w:rPr>
              <w:t xml:space="preserve"> Ukupan odliv SDI iznosio je oko 27,7 mil.€, što je za 48,5% manje nego u 2014. Odliv po osnovu ulaganja rezidenata u inostranstvu iznosio je 8,1 mil.€ (29,2%), dok je povlačenje sredstava nerezidenata u našu zemlju iznosilo 19,6mil.€ </w:t>
            </w:r>
            <w:r w:rsidR="00C034D6">
              <w:rPr>
                <w:noProof/>
                <w:sz w:val="20"/>
                <w:szCs w:val="20"/>
              </w:rPr>
              <w:t>.</w:t>
            </w: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b/>
                <w:noProof/>
                <w:sz w:val="20"/>
                <w:szCs w:val="20"/>
              </w:rPr>
            </w:pPr>
          </w:p>
          <w:p w:rsidR="00693043" w:rsidRDefault="00693043" w:rsidP="00053B0C">
            <w:pPr>
              <w:spacing w:after="0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  <w:p w:rsidR="00043BF6" w:rsidRPr="00E013C2" w:rsidRDefault="00043BF6" w:rsidP="003001BB">
            <w:pPr>
              <w:pBdr>
                <w:top w:val="single" w:sz="4" w:space="1" w:color="auto"/>
              </w:pBdr>
              <w:spacing w:after="0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1896" w:type="pct"/>
            <w:vAlign w:val="center"/>
          </w:tcPr>
          <w:p w:rsidR="00E013C2" w:rsidRPr="00132E99" w:rsidRDefault="00421A12" w:rsidP="00464A12">
            <w:pPr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421A12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024000" cy="2232000"/>
                  <wp:effectExtent l="0" t="0" r="0" b="0"/>
                  <wp:docPr id="6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053B0C" w:rsidRDefault="00053B0C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D247C2" w:rsidRDefault="00D247C2" w:rsidP="00C45B95">
      <w:pPr>
        <w:spacing w:after="0"/>
        <w:jc w:val="center"/>
        <w:outlineLvl w:val="0"/>
        <w:rPr>
          <w:noProof/>
          <w:sz w:val="17"/>
          <w:szCs w:val="16"/>
        </w:rPr>
        <w:sectPr w:rsidR="00D247C2" w:rsidSect="00053B0C">
          <w:pgSz w:w="11907" w:h="16839" w:code="9"/>
          <w:pgMar w:top="426" w:right="284" w:bottom="254" w:left="284" w:header="720" w:footer="720" w:gutter="0"/>
          <w:cols w:space="720"/>
          <w:docGrid w:linePitch="360"/>
        </w:sect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FC187B">
        <w:rPr>
          <w:noProof/>
          <w:sz w:val="17"/>
          <w:szCs w:val="16"/>
        </w:rPr>
        <w:t xml:space="preserve"> jun</w:t>
      </w:r>
      <w:r w:rsidR="003001BB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0" w:type="pct"/>
        <w:tblLook w:val="04A0"/>
      </w:tblPr>
      <w:tblGrid>
        <w:gridCol w:w="3689"/>
        <w:gridCol w:w="814"/>
        <w:gridCol w:w="814"/>
        <w:gridCol w:w="814"/>
        <w:gridCol w:w="814"/>
        <w:gridCol w:w="815"/>
        <w:gridCol w:w="815"/>
        <w:gridCol w:w="815"/>
        <w:gridCol w:w="815"/>
        <w:gridCol w:w="815"/>
        <w:gridCol w:w="847"/>
        <w:gridCol w:w="847"/>
        <w:gridCol w:w="847"/>
        <w:gridCol w:w="815"/>
        <w:gridCol w:w="1030"/>
        <w:gridCol w:w="969"/>
      </w:tblGrid>
      <w:tr w:rsidR="00C31E19" w:rsidRPr="00996CE0" w:rsidTr="00C31E19">
        <w:trPr>
          <w:trHeight w:hRule="exact" w:val="567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Pr="00996CE0" w:rsidRDefault="00C31E19" w:rsidP="00996CE0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Default="00C31E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M-n-M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Pr="00C31E19" w:rsidRDefault="00C31E19">
            <w:pPr>
              <w:jc w:val="center"/>
              <w:rPr>
                <w:b/>
                <w:bCs/>
                <w:sz w:val="14"/>
                <w:szCs w:val="16"/>
              </w:rPr>
            </w:pPr>
            <w:r w:rsidRPr="00C31E19">
              <w:rPr>
                <w:b/>
                <w:bCs/>
                <w:sz w:val="14"/>
                <w:szCs w:val="16"/>
              </w:rPr>
              <w:t>jun 2015/jun2014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31E19" w:rsidRPr="00C31E19" w:rsidRDefault="00C31E19">
            <w:pPr>
              <w:jc w:val="center"/>
              <w:rPr>
                <w:b/>
                <w:bCs/>
                <w:sz w:val="14"/>
                <w:szCs w:val="16"/>
              </w:rPr>
            </w:pPr>
            <w:r w:rsidRPr="00C31E19">
              <w:rPr>
                <w:b/>
                <w:bCs/>
                <w:sz w:val="14"/>
                <w:szCs w:val="16"/>
              </w:rPr>
              <w:t>jan-jun2015/jan-jun2014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REALNI SEKTOR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C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C31E19" w:rsidRDefault="00996CE0" w:rsidP="00996CE0">
            <w:pPr>
              <w:spacing w:after="0" w:line="240" w:lineRule="auto"/>
              <w:rPr>
                <w:b/>
                <w:bCs/>
                <w:sz w:val="14"/>
                <w:szCs w:val="18"/>
              </w:rPr>
            </w:pPr>
            <w:r w:rsidRPr="00C31E19">
              <w:rPr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C31E19" w:rsidRDefault="00996CE0" w:rsidP="00996CE0">
            <w:pPr>
              <w:spacing w:after="0" w:line="240" w:lineRule="auto"/>
              <w:rPr>
                <w:b/>
                <w:bCs/>
                <w:sz w:val="14"/>
                <w:szCs w:val="18"/>
              </w:rPr>
            </w:pPr>
            <w:r w:rsidRPr="00C31E19">
              <w:rPr>
                <w:b/>
                <w:bCs/>
                <w:sz w:val="14"/>
                <w:szCs w:val="18"/>
              </w:rPr>
              <w:t> 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Industrijska proizvodnja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-16.30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-12.70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7.50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8.20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-19.80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-7.00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-3.40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5.90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11.40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29.70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8.9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29.7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9.6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Prerađivačka industrija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-24.60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-19.70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-3.20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-18.10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-20.50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-13.20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40.50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15.9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Noćenja u turizmu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4.20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28.30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21.00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5.10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11.10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8.30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13.8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Promet u maloprodaji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3.50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3.50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4.70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2.4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Vrijednost radova u gradjevinarstvu (stopa rasta)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-5.5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-6.9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</w:rPr>
            </w:pPr>
            <w:r w:rsidRPr="00996CE0">
              <w:rPr>
                <w:color w:val="993300"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</w:rPr>
            </w:pPr>
            <w:r w:rsidRPr="00996CE0">
              <w:rPr>
                <w:color w:val="993300"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</w:rPr>
            </w:pPr>
            <w:r w:rsidRPr="00996CE0">
              <w:rPr>
                <w:color w:val="993300"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INFLACIJA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Indeks potrošačkih cijena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1.5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 xml:space="preserve">Harmonizovani indeks potrošačkih cijena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n/p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Indeks proizvodjačkih cijena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0.5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ZAPOSLENOST I ZARADE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Zaposlenost (broj, kraj perioda)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181,408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178,558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173,942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172,306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172,273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171,158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169,719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170,486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171,855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174,208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177,865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174,208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-3.1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0.5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Broj nezaposlenih (broj, kraj perioda)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31,115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31,163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31,548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33,744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34,733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34,687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35,152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35,172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34,903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33,975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32,347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31,092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-3.9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Stopa nezaposlenosti (%)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14.5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14.9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14.6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0.5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Stopa nezaposlenosti (ARS) (%)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16.4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18.1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18.2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Oglašena radna mjesta (broj)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3,616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2,605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2,563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2,098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3,735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4,946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4,529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3,414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3,322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-2.7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22.8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Prosječna mjesečna bruto zarada (u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Prosječna mjesečna neto zarada (u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0.6</w:t>
            </w:r>
          </w:p>
        </w:tc>
      </w:tr>
      <w:tr w:rsidR="00996CE0" w:rsidRPr="00996CE0" w:rsidTr="00C31E19">
        <w:trPr>
          <w:trHeight w:val="207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MONETARNI SEKTOR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Ukupni krediti (kumulativ,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2,402.7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2,453.0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2,443.2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2,424.1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2,426.5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2,367.2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2,355.3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2,375.2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2,340.8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2,366.7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2,408.1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2,381.3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 xml:space="preserve">Ukupni krediti (stopa rasta)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-4.1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-3.4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-2.7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 xml:space="preserve">Krediti u kašnjenju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533.1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524.8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469.1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489.2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464.3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444.9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481.1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458.4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492.2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453.6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530.9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Udio kredita u</w:t>
            </w:r>
            <w:r w:rsidR="00C31E19">
              <w:rPr>
                <w:b/>
                <w:bCs/>
                <w:sz w:val="16"/>
                <w:szCs w:val="16"/>
              </w:rPr>
              <w:t xml:space="preserve"> kašnjenju u ukupnim kreditima </w:t>
            </w:r>
            <w:r w:rsidRPr="00996CE0">
              <w:rPr>
                <w:b/>
                <w:bCs/>
                <w:sz w:val="16"/>
                <w:szCs w:val="16"/>
              </w:rPr>
              <w:t>%)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22.2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21.4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21.0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22.0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Nekvalitetni krediti (kumulativ,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417.2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422.4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400.2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398.9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391.8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375.6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389.7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388.4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369.4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385.5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389.6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C31E19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 xml:space="preserve">Udio nekvalitetnih kredita u ukupnim kreditima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Ukupni depoziti (kumulativ,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2,188.2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2,254.5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2,268.0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2,251.5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2,274.9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2,308.1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2,311.3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2,295.4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2,314.6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2,337.5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2,376.6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2,403.1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Ukupni depoziti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11.6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75.7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Krediti privredi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932.3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911.3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900.9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898.1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917.9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917.7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925.6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938.3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953.7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967.7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957.9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Krediti domaćinstvima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893.6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893.0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892.7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893.0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895.4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893.8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897.5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899.2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904.6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907.9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913.0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916.7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Depoziti privrede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596.1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639.4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633.5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634.2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647.5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640.7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635.0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624.6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635.1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644.1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667.8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681.2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Lična štednja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1,270.1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1,288.5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1,300.0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1,299.3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1,305.9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1,331.7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1,334.5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1,335.9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1,352.7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1,363.6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1,361.4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1,370.4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Kamatna stopa na kredite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Kamatna stopa na depozite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2.01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1.66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EKSTERNI SEKTOR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Izvoz roba (u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33.9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28.1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26.0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23.2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25.3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35.1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110.8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24.5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-1.9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Uvoz roba (u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184.3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164.4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154.7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158.5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132.7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159.7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86.0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121.5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149.5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154.3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153.1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195.2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13.5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3.6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Spoljnotrgovinski bilans (u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-152.8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-137.3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-120.4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-126.7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-98.8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-131.6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-60.0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-98.2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-124.2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-136.8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-136.4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-160.2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17.4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11.4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4.7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Strane direktne investicije (mil.€)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27.2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50.8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31.4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26.5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26.2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34.4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25.6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30.6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19.6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3.0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23.5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MEĐUNARODNO OKRUŽENJE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</w:rPr>
            </w:pPr>
            <w:r w:rsidRPr="00996CE0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Brent crude oil (USD/barel)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103.0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94.8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85.9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70.2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58.0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55.0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60.0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56.7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66.3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64.9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61.7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-4.8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-45.1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-44.4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Aluminijum (USD/T)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1,948.3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2,030.5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1,990.4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1,946.2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2,055.6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1,909.5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1,814.7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1,817.8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1,773.9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1,819.2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1,804.0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1,687.7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-6.4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-8.2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1.7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Euribor (12 mjeseci)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-0.4</w:t>
            </w:r>
          </w:p>
        </w:tc>
      </w:tr>
      <w:tr w:rsidR="00996CE0" w:rsidRPr="00996CE0" w:rsidTr="00C31E19">
        <w:trPr>
          <w:trHeight w:hRule="exact" w:val="198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96CE0">
              <w:rPr>
                <w:b/>
                <w:bCs/>
                <w:sz w:val="16"/>
                <w:szCs w:val="16"/>
              </w:rPr>
              <w:t>Inflacija u Eurozoni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0.2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E0" w:rsidRPr="00996CE0" w:rsidRDefault="00996CE0" w:rsidP="00996CE0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</w:rPr>
            </w:pPr>
            <w:r w:rsidRPr="00996CE0">
              <w:rPr>
                <w:sz w:val="14"/>
                <w:szCs w:val="14"/>
              </w:rPr>
              <w:t>-0.7</w:t>
            </w:r>
          </w:p>
        </w:tc>
      </w:tr>
    </w:tbl>
    <w:p w:rsidR="00C31E19" w:rsidRDefault="00C31E19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C31E19" w:rsidRDefault="00C31E19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8056A0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8056A0" w:rsidRPr="00355F01">
        <w:rPr>
          <w:noProof/>
          <w:sz w:val="17"/>
          <w:szCs w:val="16"/>
        </w:rPr>
        <w:fldChar w:fldCharType="separate"/>
      </w:r>
      <w:r w:rsidR="006A112F">
        <w:rPr>
          <w:noProof/>
          <w:sz w:val="17"/>
          <w:szCs w:val="16"/>
        </w:rPr>
        <w:t>1</w:t>
      </w:r>
      <w:r w:rsidR="008056A0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FC187B">
        <w:rPr>
          <w:b/>
          <w:noProof/>
          <w:sz w:val="20"/>
          <w:szCs w:val="16"/>
        </w:rPr>
        <w:t xml:space="preserve"> </w:t>
      </w:r>
      <w:r w:rsidR="006D6A98" w:rsidRPr="00355F01">
        <w:rPr>
          <w:noProof/>
          <w:sz w:val="17"/>
          <w:szCs w:val="16"/>
        </w:rPr>
        <w:t>–</w:t>
      </w:r>
      <w:r w:rsidR="00FC187B">
        <w:rPr>
          <w:noProof/>
          <w:sz w:val="17"/>
          <w:szCs w:val="16"/>
        </w:rPr>
        <w:t xml:space="preserve"> jun</w:t>
      </w:r>
      <w:r w:rsidR="004C4C0D">
        <w:rPr>
          <w:noProof/>
          <w:sz w:val="17"/>
          <w:szCs w:val="16"/>
        </w:rPr>
        <w:t xml:space="preserve">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782553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ab/>
      </w:r>
    </w:p>
    <w:p w:rsidR="004C4C0D" w:rsidRDefault="004C4C0D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D42CF" w:rsidRDefault="004D42CF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tbl>
      <w:tblPr>
        <w:tblW w:w="16551" w:type="dxa"/>
        <w:tblInd w:w="-176" w:type="dxa"/>
        <w:tblLook w:val="04A0"/>
      </w:tblPr>
      <w:tblGrid>
        <w:gridCol w:w="3522"/>
        <w:gridCol w:w="786"/>
        <w:gridCol w:w="786"/>
        <w:gridCol w:w="786"/>
        <w:gridCol w:w="786"/>
        <w:gridCol w:w="787"/>
        <w:gridCol w:w="787"/>
        <w:gridCol w:w="787"/>
        <w:gridCol w:w="706"/>
        <w:gridCol w:w="760"/>
        <w:gridCol w:w="744"/>
        <w:gridCol w:w="733"/>
        <w:gridCol w:w="733"/>
        <w:gridCol w:w="733"/>
        <w:gridCol w:w="812"/>
        <w:gridCol w:w="744"/>
        <w:gridCol w:w="812"/>
        <w:gridCol w:w="747"/>
      </w:tblGrid>
      <w:tr w:rsidR="008E0928" w:rsidRPr="008E0928" w:rsidTr="008E0928">
        <w:trPr>
          <w:trHeight w:val="315"/>
        </w:trPr>
        <w:tc>
          <w:tcPr>
            <w:tcW w:w="352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5505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2014</w:t>
            </w:r>
          </w:p>
        </w:tc>
        <w:tc>
          <w:tcPr>
            <w:tcW w:w="146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2015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</w:rPr>
            </w:pPr>
            <w:r w:rsidRPr="008E0928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</w:rPr>
            </w:pPr>
            <w:r w:rsidRPr="008E0928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</w:rPr>
            </w:pPr>
            <w:r w:rsidRPr="008E0928"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</w:rPr>
            </w:pPr>
            <w:r w:rsidRPr="008E0928">
              <w:rPr>
                <w:color w:val="000000"/>
              </w:rPr>
              <w:t> </w:t>
            </w:r>
          </w:p>
        </w:tc>
        <w:tc>
          <w:tcPr>
            <w:tcW w:w="8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plan 2015</w:t>
            </w:r>
          </w:p>
        </w:tc>
        <w:tc>
          <w:tcPr>
            <w:tcW w:w="23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Analitika-jun</w:t>
            </w:r>
          </w:p>
        </w:tc>
      </w:tr>
      <w:tr w:rsidR="008E0928" w:rsidRPr="008E0928" w:rsidTr="008E0928">
        <w:trPr>
          <w:trHeight w:val="735"/>
        </w:trPr>
        <w:tc>
          <w:tcPr>
            <w:tcW w:w="352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VIII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IX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X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XI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XII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I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II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III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IV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VI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VI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jun2015/ jun 2014 (%)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jan-jun 2015 / jan-jun 2014(%)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8E0928">
              <w:rPr>
                <w:sz w:val="14"/>
                <w:szCs w:val="14"/>
              </w:rPr>
              <w:t>jun 2015/jun 2015plan (%)</w:t>
            </w:r>
          </w:p>
        </w:tc>
      </w:tr>
      <w:tr w:rsidR="008E0928" w:rsidRPr="008E0928" w:rsidTr="001419A9">
        <w:trPr>
          <w:trHeight w:val="330"/>
        </w:trPr>
        <w:tc>
          <w:tcPr>
            <w:tcW w:w="35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70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100,28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111,55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99,80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118,18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112,40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7,51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5,15</w:t>
            </w:r>
          </w:p>
        </w:tc>
      </w:tr>
      <w:tr w:rsidR="008E0928" w:rsidRPr="008E0928" w:rsidTr="001419A9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37,81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44,71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44,51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-2,18</w:t>
            </w: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74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0,45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3,18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71,88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6,03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28,77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38,31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44,76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39,88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20,78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12,26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Akcize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14,05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15,16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-3,44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-7,30</w:t>
            </w:r>
          </w:p>
        </w:tc>
      </w:tr>
      <w:tr w:rsidR="008E0928" w:rsidRPr="008E0928" w:rsidTr="008E0928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2,21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-11,28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-14,02</w:t>
            </w:r>
          </w:p>
        </w:tc>
      </w:tr>
      <w:tr w:rsidR="008E0928" w:rsidRPr="008E0928" w:rsidTr="001419A9">
        <w:trPr>
          <w:trHeight w:val="330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113,30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139,23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20,76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8,07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6,76</w:t>
            </w:r>
          </w:p>
        </w:tc>
      </w:tr>
      <w:tr w:rsidR="008E0928" w:rsidRPr="008E0928" w:rsidTr="001419A9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29,75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30,72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31,55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31,61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8,21</w:t>
            </w: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-1,58</w:t>
            </w:r>
          </w:p>
        </w:tc>
        <w:tc>
          <w:tcPr>
            <w:tcW w:w="74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-0,19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4,65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5,91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-29,77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-6,21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-21,38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Kamate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6,31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-21,02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-29,79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40,97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40,99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42,07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1,49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-2,57</w:t>
            </w:r>
          </w:p>
        </w:tc>
      </w:tr>
      <w:tr w:rsidR="008E0928" w:rsidRPr="008E0928" w:rsidTr="001419A9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7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10,69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-3,19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-21,14</w:t>
            </w:r>
          </w:p>
        </w:tc>
      </w:tr>
      <w:tr w:rsidR="008E0928" w:rsidRPr="008E0928" w:rsidTr="008E0928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Kapitalni izdaci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16,63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13,38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24,88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98,33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95,60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-46,21</w:t>
            </w:r>
          </w:p>
        </w:tc>
      </w:tr>
      <w:tr w:rsidR="008E0928" w:rsidRPr="008E0928" w:rsidTr="001419A9">
        <w:trPr>
          <w:trHeight w:val="330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-10,98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-29,19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-13,49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-21,05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-18,02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292,42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16,85</w:t>
            </w:r>
          </w:p>
        </w:tc>
      </w:tr>
      <w:tr w:rsidR="008E0928" w:rsidRPr="008E0928" w:rsidTr="001419A9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Primarni bilans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-19,73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-10,11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-16,62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-11,70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-6792,80</w:t>
            </w: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93,49</w:t>
            </w:r>
          </w:p>
        </w:tc>
        <w:tc>
          <w:tcPr>
            <w:tcW w:w="74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42,02</w:t>
            </w:r>
          </w:p>
        </w:tc>
      </w:tr>
      <w:tr w:rsidR="008E0928" w:rsidRPr="008E0928" w:rsidTr="008E0928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Otplata dugova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39,72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33,19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-31,68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15,30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5,15</w:t>
            </w:r>
          </w:p>
        </w:tc>
      </w:tr>
      <w:tr w:rsidR="008E0928" w:rsidRPr="008E0928" w:rsidTr="008E0928">
        <w:trPr>
          <w:trHeight w:val="330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092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E0928" w:rsidRPr="008E0928" w:rsidTr="008E0928">
        <w:trPr>
          <w:trHeight w:val="315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Domaći dug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</w:tr>
      <w:tr w:rsidR="008E0928" w:rsidRPr="008E0928" w:rsidTr="008E0928">
        <w:trPr>
          <w:trHeight w:val="300"/>
        </w:trPr>
        <w:tc>
          <w:tcPr>
            <w:tcW w:w="352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Inostrani dug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928">
              <w:rPr>
                <w:sz w:val="16"/>
                <w:szCs w:val="16"/>
              </w:rPr>
              <w:t>-</w:t>
            </w:r>
          </w:p>
        </w:tc>
      </w:tr>
      <w:tr w:rsidR="008E0928" w:rsidRPr="008E0928" w:rsidTr="008E0928">
        <w:trPr>
          <w:trHeight w:val="480"/>
        </w:trPr>
        <w:tc>
          <w:tcPr>
            <w:tcW w:w="35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E0928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-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7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 -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928" w:rsidRPr="008E0928" w:rsidRDefault="008E0928" w:rsidP="008E0928">
            <w:pPr>
              <w:spacing w:after="0" w:line="240" w:lineRule="auto"/>
              <w:rPr>
                <w:color w:val="000000"/>
              </w:rPr>
            </w:pPr>
            <w:r w:rsidRPr="008E0928">
              <w:rPr>
                <w:color w:val="000000"/>
              </w:rPr>
              <w:t xml:space="preserve">       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0928" w:rsidRPr="008E0928" w:rsidRDefault="008E0928" w:rsidP="008E0928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092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4D42CF" w:rsidRDefault="004D42CF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D42CF" w:rsidRDefault="004D42CF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830962" w:rsidRPr="006A50FA" w:rsidRDefault="00830962" w:rsidP="00830962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sectPr w:rsidR="00830962" w:rsidRPr="006A50FA" w:rsidSect="00053B0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3E" w:rsidRDefault="00FF783E" w:rsidP="00965FCD">
      <w:pPr>
        <w:spacing w:after="0" w:line="240" w:lineRule="auto"/>
      </w:pPr>
      <w:r>
        <w:separator/>
      </w:r>
    </w:p>
  </w:endnote>
  <w:endnote w:type="continuationSeparator" w:id="1">
    <w:p w:rsidR="00FF783E" w:rsidRDefault="00FF783E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3E" w:rsidRDefault="00FF783E" w:rsidP="00965FCD">
      <w:pPr>
        <w:spacing w:after="0" w:line="240" w:lineRule="auto"/>
      </w:pPr>
      <w:r>
        <w:separator/>
      </w:r>
    </w:p>
  </w:footnote>
  <w:footnote w:type="continuationSeparator" w:id="1">
    <w:p w:rsidR="00FF783E" w:rsidRDefault="00FF783E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8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8"/>
  </w:num>
  <w:num w:numId="8">
    <w:abstractNumId w:val="3"/>
  </w:num>
  <w:num w:numId="9">
    <w:abstractNumId w:val="0"/>
  </w:num>
  <w:num w:numId="10">
    <w:abstractNumId w:val="36"/>
  </w:num>
  <w:num w:numId="11">
    <w:abstractNumId w:val="2"/>
  </w:num>
  <w:num w:numId="12">
    <w:abstractNumId w:val="34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5"/>
  </w:num>
  <w:num w:numId="19">
    <w:abstractNumId w:val="11"/>
  </w:num>
  <w:num w:numId="20">
    <w:abstractNumId w:val="22"/>
  </w:num>
  <w:num w:numId="21">
    <w:abstractNumId w:val="24"/>
  </w:num>
  <w:num w:numId="22">
    <w:abstractNumId w:val="17"/>
  </w:num>
  <w:num w:numId="23">
    <w:abstractNumId w:val="16"/>
  </w:num>
  <w:num w:numId="24">
    <w:abstractNumId w:val="32"/>
  </w:num>
  <w:num w:numId="25">
    <w:abstractNumId w:val="6"/>
  </w:num>
  <w:num w:numId="26">
    <w:abstractNumId w:val="13"/>
  </w:num>
  <w:num w:numId="27">
    <w:abstractNumId w:val="29"/>
  </w:num>
  <w:num w:numId="28">
    <w:abstractNumId w:val="5"/>
  </w:num>
  <w:num w:numId="29">
    <w:abstractNumId w:val="7"/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4"/>
  </w:num>
  <w:num w:numId="37">
    <w:abstractNumId w:val="27"/>
  </w:num>
  <w:num w:numId="38">
    <w:abstractNumId w:val="18"/>
  </w:num>
  <w:num w:numId="39">
    <w:abstractNumId w:val="4"/>
  </w:num>
  <w:num w:numId="40">
    <w:abstractNumId w:val="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9D6"/>
    <w:rsid w:val="00004B56"/>
    <w:rsid w:val="00005AD2"/>
    <w:rsid w:val="00005D5A"/>
    <w:rsid w:val="00005E41"/>
    <w:rsid w:val="00007424"/>
    <w:rsid w:val="00007FAD"/>
    <w:rsid w:val="00012F84"/>
    <w:rsid w:val="0001302D"/>
    <w:rsid w:val="000130FF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13B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42"/>
    <w:rsid w:val="00034F07"/>
    <w:rsid w:val="0003544A"/>
    <w:rsid w:val="0003620F"/>
    <w:rsid w:val="00036822"/>
    <w:rsid w:val="000369E1"/>
    <w:rsid w:val="000370CF"/>
    <w:rsid w:val="00037558"/>
    <w:rsid w:val="00037B58"/>
    <w:rsid w:val="0004205C"/>
    <w:rsid w:val="000421A3"/>
    <w:rsid w:val="00042CE6"/>
    <w:rsid w:val="00043BF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3B0C"/>
    <w:rsid w:val="00054068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6C17"/>
    <w:rsid w:val="00067726"/>
    <w:rsid w:val="00067FD6"/>
    <w:rsid w:val="00070965"/>
    <w:rsid w:val="000712B9"/>
    <w:rsid w:val="0007229B"/>
    <w:rsid w:val="00072932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3D05"/>
    <w:rsid w:val="00084C03"/>
    <w:rsid w:val="00085B67"/>
    <w:rsid w:val="0008654B"/>
    <w:rsid w:val="00087B90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3D69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1EE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CD4"/>
    <w:rsid w:val="000D6DF1"/>
    <w:rsid w:val="000D75EE"/>
    <w:rsid w:val="000D765B"/>
    <w:rsid w:val="000D7A66"/>
    <w:rsid w:val="000E13EB"/>
    <w:rsid w:val="000E2251"/>
    <w:rsid w:val="000E2351"/>
    <w:rsid w:val="000E294A"/>
    <w:rsid w:val="000E3987"/>
    <w:rsid w:val="000E3AEE"/>
    <w:rsid w:val="000E40CC"/>
    <w:rsid w:val="000E4DD4"/>
    <w:rsid w:val="000E5336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4D73"/>
    <w:rsid w:val="000F595D"/>
    <w:rsid w:val="000F5B09"/>
    <w:rsid w:val="000F6577"/>
    <w:rsid w:val="000F6B64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3FF0"/>
    <w:rsid w:val="001040F3"/>
    <w:rsid w:val="0010452C"/>
    <w:rsid w:val="00105AEF"/>
    <w:rsid w:val="00106446"/>
    <w:rsid w:val="0010656B"/>
    <w:rsid w:val="00106632"/>
    <w:rsid w:val="00107128"/>
    <w:rsid w:val="00107647"/>
    <w:rsid w:val="00107A07"/>
    <w:rsid w:val="00110756"/>
    <w:rsid w:val="001119DE"/>
    <w:rsid w:val="00111A0E"/>
    <w:rsid w:val="00111C8A"/>
    <w:rsid w:val="001124C4"/>
    <w:rsid w:val="001124FF"/>
    <w:rsid w:val="00112853"/>
    <w:rsid w:val="00112E23"/>
    <w:rsid w:val="001137C1"/>
    <w:rsid w:val="00114109"/>
    <w:rsid w:val="001141E2"/>
    <w:rsid w:val="00114378"/>
    <w:rsid w:val="00115519"/>
    <w:rsid w:val="00115C83"/>
    <w:rsid w:val="00116365"/>
    <w:rsid w:val="001164A1"/>
    <w:rsid w:val="00116545"/>
    <w:rsid w:val="00116A8F"/>
    <w:rsid w:val="00117393"/>
    <w:rsid w:val="00117AB0"/>
    <w:rsid w:val="001209D0"/>
    <w:rsid w:val="00120A3A"/>
    <w:rsid w:val="0012343E"/>
    <w:rsid w:val="00123460"/>
    <w:rsid w:val="00123850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2999"/>
    <w:rsid w:val="00132A0C"/>
    <w:rsid w:val="00132E99"/>
    <w:rsid w:val="00133348"/>
    <w:rsid w:val="00134645"/>
    <w:rsid w:val="00134816"/>
    <w:rsid w:val="00134A21"/>
    <w:rsid w:val="00134C6C"/>
    <w:rsid w:val="00136C72"/>
    <w:rsid w:val="00136E70"/>
    <w:rsid w:val="001419A9"/>
    <w:rsid w:val="00141D67"/>
    <w:rsid w:val="00141FDD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3685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7AD9"/>
    <w:rsid w:val="00181309"/>
    <w:rsid w:val="0018179A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2DD"/>
    <w:rsid w:val="001A0A6C"/>
    <w:rsid w:val="001A2829"/>
    <w:rsid w:val="001A2F7A"/>
    <w:rsid w:val="001A392F"/>
    <w:rsid w:val="001A4F8D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7D"/>
    <w:rsid w:val="001C23DD"/>
    <w:rsid w:val="001C264C"/>
    <w:rsid w:val="001C2751"/>
    <w:rsid w:val="001C2855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6F1"/>
    <w:rsid w:val="001E5BE3"/>
    <w:rsid w:val="001E5E69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23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269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2FA0"/>
    <w:rsid w:val="002330B6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660E"/>
    <w:rsid w:val="0025713F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445"/>
    <w:rsid w:val="0027775D"/>
    <w:rsid w:val="00277D24"/>
    <w:rsid w:val="00280105"/>
    <w:rsid w:val="0028074A"/>
    <w:rsid w:val="00281E75"/>
    <w:rsid w:val="0028233F"/>
    <w:rsid w:val="002823F9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6127"/>
    <w:rsid w:val="002961DB"/>
    <w:rsid w:val="00296B08"/>
    <w:rsid w:val="002977E4"/>
    <w:rsid w:val="00297AC4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A8C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79"/>
    <w:rsid w:val="002C6888"/>
    <w:rsid w:val="002C75B9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1BFF"/>
    <w:rsid w:val="002F2166"/>
    <w:rsid w:val="002F323A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1BB"/>
    <w:rsid w:val="003004B8"/>
    <w:rsid w:val="00301CC0"/>
    <w:rsid w:val="003022A7"/>
    <w:rsid w:val="0030254B"/>
    <w:rsid w:val="00303173"/>
    <w:rsid w:val="00303D85"/>
    <w:rsid w:val="00303F02"/>
    <w:rsid w:val="0030680B"/>
    <w:rsid w:val="00306ADD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EC3"/>
    <w:rsid w:val="0031558E"/>
    <w:rsid w:val="00315780"/>
    <w:rsid w:val="00315B94"/>
    <w:rsid w:val="003165E5"/>
    <w:rsid w:val="003201BC"/>
    <w:rsid w:val="00320293"/>
    <w:rsid w:val="0032080D"/>
    <w:rsid w:val="003212E4"/>
    <w:rsid w:val="003217C9"/>
    <w:rsid w:val="00321CA6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0C4A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6033"/>
    <w:rsid w:val="0033636B"/>
    <w:rsid w:val="00337362"/>
    <w:rsid w:val="00337648"/>
    <w:rsid w:val="00340752"/>
    <w:rsid w:val="00340909"/>
    <w:rsid w:val="003409C9"/>
    <w:rsid w:val="00341583"/>
    <w:rsid w:val="00341F7C"/>
    <w:rsid w:val="00344204"/>
    <w:rsid w:val="00344581"/>
    <w:rsid w:val="00344DF2"/>
    <w:rsid w:val="003454A9"/>
    <w:rsid w:val="00345ADD"/>
    <w:rsid w:val="0034655C"/>
    <w:rsid w:val="00346A8A"/>
    <w:rsid w:val="00346FFA"/>
    <w:rsid w:val="00347594"/>
    <w:rsid w:val="00350496"/>
    <w:rsid w:val="00350CFE"/>
    <w:rsid w:val="00350FA3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0F21"/>
    <w:rsid w:val="00361309"/>
    <w:rsid w:val="003616DB"/>
    <w:rsid w:val="00361C27"/>
    <w:rsid w:val="003625F1"/>
    <w:rsid w:val="00362CC0"/>
    <w:rsid w:val="003634DC"/>
    <w:rsid w:val="003638CF"/>
    <w:rsid w:val="00363A53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4BE"/>
    <w:rsid w:val="00376523"/>
    <w:rsid w:val="003771DA"/>
    <w:rsid w:val="0037726C"/>
    <w:rsid w:val="00377697"/>
    <w:rsid w:val="00377A53"/>
    <w:rsid w:val="003804E7"/>
    <w:rsid w:val="00380869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372A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1EF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670"/>
    <w:rsid w:val="003C3A57"/>
    <w:rsid w:val="003C42D1"/>
    <w:rsid w:val="003C4817"/>
    <w:rsid w:val="003C5E7B"/>
    <w:rsid w:val="003C6787"/>
    <w:rsid w:val="003C6A22"/>
    <w:rsid w:val="003C6A99"/>
    <w:rsid w:val="003C7870"/>
    <w:rsid w:val="003C7961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46"/>
    <w:rsid w:val="003D75A1"/>
    <w:rsid w:val="003D78F3"/>
    <w:rsid w:val="003D7D58"/>
    <w:rsid w:val="003E0266"/>
    <w:rsid w:val="003E0C4A"/>
    <w:rsid w:val="003E151E"/>
    <w:rsid w:val="003E221F"/>
    <w:rsid w:val="003E3296"/>
    <w:rsid w:val="003E3953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626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727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A12"/>
    <w:rsid w:val="00421CD5"/>
    <w:rsid w:val="00421E9D"/>
    <w:rsid w:val="00422784"/>
    <w:rsid w:val="00423A12"/>
    <w:rsid w:val="00423EE9"/>
    <w:rsid w:val="00423EFC"/>
    <w:rsid w:val="004258FE"/>
    <w:rsid w:val="00425998"/>
    <w:rsid w:val="00425EC2"/>
    <w:rsid w:val="00427187"/>
    <w:rsid w:val="00427696"/>
    <w:rsid w:val="00427FB8"/>
    <w:rsid w:val="004306A4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3CD4"/>
    <w:rsid w:val="00475763"/>
    <w:rsid w:val="00475BE2"/>
    <w:rsid w:val="00480082"/>
    <w:rsid w:val="004807ED"/>
    <w:rsid w:val="00483B9D"/>
    <w:rsid w:val="0048470D"/>
    <w:rsid w:val="004848E8"/>
    <w:rsid w:val="00484EA7"/>
    <w:rsid w:val="004861C6"/>
    <w:rsid w:val="004864AA"/>
    <w:rsid w:val="004865CE"/>
    <w:rsid w:val="004868F5"/>
    <w:rsid w:val="0048699B"/>
    <w:rsid w:val="00487296"/>
    <w:rsid w:val="0049070F"/>
    <w:rsid w:val="00491368"/>
    <w:rsid w:val="0049250B"/>
    <w:rsid w:val="00492B70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0052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4C0D"/>
    <w:rsid w:val="004C659C"/>
    <w:rsid w:val="004C721B"/>
    <w:rsid w:val="004D1FE9"/>
    <w:rsid w:val="004D40C6"/>
    <w:rsid w:val="004D42CF"/>
    <w:rsid w:val="004D49A0"/>
    <w:rsid w:val="004D4E0F"/>
    <w:rsid w:val="004D6472"/>
    <w:rsid w:val="004D7775"/>
    <w:rsid w:val="004E02D3"/>
    <w:rsid w:val="004E0DE7"/>
    <w:rsid w:val="004E12DB"/>
    <w:rsid w:val="004E277A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5CF2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590"/>
    <w:rsid w:val="00517B19"/>
    <w:rsid w:val="00521DE6"/>
    <w:rsid w:val="005221F4"/>
    <w:rsid w:val="00522282"/>
    <w:rsid w:val="00522A1E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314"/>
    <w:rsid w:val="00541453"/>
    <w:rsid w:val="00541D70"/>
    <w:rsid w:val="005426C0"/>
    <w:rsid w:val="005429A2"/>
    <w:rsid w:val="005436E2"/>
    <w:rsid w:val="00543A1F"/>
    <w:rsid w:val="00543F14"/>
    <w:rsid w:val="00543F2D"/>
    <w:rsid w:val="00544E2A"/>
    <w:rsid w:val="00544EC8"/>
    <w:rsid w:val="00545372"/>
    <w:rsid w:val="005468F5"/>
    <w:rsid w:val="00546967"/>
    <w:rsid w:val="00547212"/>
    <w:rsid w:val="0054739E"/>
    <w:rsid w:val="005479C8"/>
    <w:rsid w:val="00547B34"/>
    <w:rsid w:val="00547C53"/>
    <w:rsid w:val="005511AD"/>
    <w:rsid w:val="005523CF"/>
    <w:rsid w:val="00552402"/>
    <w:rsid w:val="00552F77"/>
    <w:rsid w:val="0055364A"/>
    <w:rsid w:val="00553E61"/>
    <w:rsid w:val="0055409D"/>
    <w:rsid w:val="0055411D"/>
    <w:rsid w:val="00554387"/>
    <w:rsid w:val="00554E10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26A9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2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1D48"/>
    <w:rsid w:val="00592A7D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F38"/>
    <w:rsid w:val="005C7637"/>
    <w:rsid w:val="005C7786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84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3F2A"/>
    <w:rsid w:val="005F50EA"/>
    <w:rsid w:val="005F568D"/>
    <w:rsid w:val="005F599A"/>
    <w:rsid w:val="005F6253"/>
    <w:rsid w:val="005F66B5"/>
    <w:rsid w:val="005F7479"/>
    <w:rsid w:val="005F7FD7"/>
    <w:rsid w:val="006006C6"/>
    <w:rsid w:val="0060487F"/>
    <w:rsid w:val="0060509D"/>
    <w:rsid w:val="006050EA"/>
    <w:rsid w:val="0060546E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389"/>
    <w:rsid w:val="00624C12"/>
    <w:rsid w:val="00625243"/>
    <w:rsid w:val="00630010"/>
    <w:rsid w:val="006304FD"/>
    <w:rsid w:val="00632692"/>
    <w:rsid w:val="006332DD"/>
    <w:rsid w:val="00634B74"/>
    <w:rsid w:val="006357BA"/>
    <w:rsid w:val="0063610A"/>
    <w:rsid w:val="006364A1"/>
    <w:rsid w:val="006422F7"/>
    <w:rsid w:val="00642A13"/>
    <w:rsid w:val="00642F40"/>
    <w:rsid w:val="006435D8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1454"/>
    <w:rsid w:val="006526F3"/>
    <w:rsid w:val="006534C5"/>
    <w:rsid w:val="0065398C"/>
    <w:rsid w:val="00653CF3"/>
    <w:rsid w:val="0065416C"/>
    <w:rsid w:val="00654A8A"/>
    <w:rsid w:val="00654F62"/>
    <w:rsid w:val="0065518C"/>
    <w:rsid w:val="0065597E"/>
    <w:rsid w:val="00655E97"/>
    <w:rsid w:val="0065608E"/>
    <w:rsid w:val="0065775B"/>
    <w:rsid w:val="00657F58"/>
    <w:rsid w:val="00661339"/>
    <w:rsid w:val="006618A3"/>
    <w:rsid w:val="00661C7E"/>
    <w:rsid w:val="00661E40"/>
    <w:rsid w:val="00662030"/>
    <w:rsid w:val="00663690"/>
    <w:rsid w:val="00663FF0"/>
    <w:rsid w:val="00664211"/>
    <w:rsid w:val="00664DEB"/>
    <w:rsid w:val="00665DCB"/>
    <w:rsid w:val="00666EFC"/>
    <w:rsid w:val="0066756D"/>
    <w:rsid w:val="00670040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23F0"/>
    <w:rsid w:val="00672DCB"/>
    <w:rsid w:val="00673787"/>
    <w:rsid w:val="00674A73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0F03"/>
    <w:rsid w:val="00681351"/>
    <w:rsid w:val="006817D4"/>
    <w:rsid w:val="00681A9E"/>
    <w:rsid w:val="00682718"/>
    <w:rsid w:val="00684818"/>
    <w:rsid w:val="00684902"/>
    <w:rsid w:val="00685393"/>
    <w:rsid w:val="006900D2"/>
    <w:rsid w:val="0069084F"/>
    <w:rsid w:val="0069095E"/>
    <w:rsid w:val="00690A2B"/>
    <w:rsid w:val="00690D87"/>
    <w:rsid w:val="00690EA9"/>
    <w:rsid w:val="006910F4"/>
    <w:rsid w:val="00691EB2"/>
    <w:rsid w:val="00692810"/>
    <w:rsid w:val="00693043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12F"/>
    <w:rsid w:val="006A144B"/>
    <w:rsid w:val="006A174E"/>
    <w:rsid w:val="006A1C8D"/>
    <w:rsid w:val="006A2258"/>
    <w:rsid w:val="006A2893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656"/>
    <w:rsid w:val="006B4777"/>
    <w:rsid w:val="006B48BD"/>
    <w:rsid w:val="006B5211"/>
    <w:rsid w:val="006B5863"/>
    <w:rsid w:val="006B5B1D"/>
    <w:rsid w:val="006B6B81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0F2F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162"/>
    <w:rsid w:val="006F7C03"/>
    <w:rsid w:val="0070085D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13F"/>
    <w:rsid w:val="0071757A"/>
    <w:rsid w:val="00717FE8"/>
    <w:rsid w:val="0072060F"/>
    <w:rsid w:val="00720A33"/>
    <w:rsid w:val="00721947"/>
    <w:rsid w:val="00721DCD"/>
    <w:rsid w:val="007227E1"/>
    <w:rsid w:val="00722A4C"/>
    <w:rsid w:val="007234B4"/>
    <w:rsid w:val="007249F7"/>
    <w:rsid w:val="00725D07"/>
    <w:rsid w:val="00725E16"/>
    <w:rsid w:val="00727967"/>
    <w:rsid w:val="00727BED"/>
    <w:rsid w:val="00730275"/>
    <w:rsid w:val="007307C9"/>
    <w:rsid w:val="0073095F"/>
    <w:rsid w:val="00730F7E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58B7"/>
    <w:rsid w:val="00736A98"/>
    <w:rsid w:val="00736C15"/>
    <w:rsid w:val="00736E76"/>
    <w:rsid w:val="0073706D"/>
    <w:rsid w:val="00737297"/>
    <w:rsid w:val="0073734C"/>
    <w:rsid w:val="007375FD"/>
    <w:rsid w:val="00737DB4"/>
    <w:rsid w:val="007406F2"/>
    <w:rsid w:val="007409AF"/>
    <w:rsid w:val="00742C04"/>
    <w:rsid w:val="00742D3D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16B8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6605"/>
    <w:rsid w:val="007675AF"/>
    <w:rsid w:val="00767AC1"/>
    <w:rsid w:val="00770772"/>
    <w:rsid w:val="00770DAB"/>
    <w:rsid w:val="00771538"/>
    <w:rsid w:val="00771892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65"/>
    <w:rsid w:val="00776DE5"/>
    <w:rsid w:val="00777134"/>
    <w:rsid w:val="0077741A"/>
    <w:rsid w:val="00781377"/>
    <w:rsid w:val="00781FAF"/>
    <w:rsid w:val="00782553"/>
    <w:rsid w:val="00783810"/>
    <w:rsid w:val="00783A9F"/>
    <w:rsid w:val="00783F4F"/>
    <w:rsid w:val="00784166"/>
    <w:rsid w:val="0078476D"/>
    <w:rsid w:val="007847FB"/>
    <w:rsid w:val="007849EE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7BF"/>
    <w:rsid w:val="00791DC2"/>
    <w:rsid w:val="007922B1"/>
    <w:rsid w:val="00793784"/>
    <w:rsid w:val="00793A27"/>
    <w:rsid w:val="00793F4D"/>
    <w:rsid w:val="007941BB"/>
    <w:rsid w:val="007946DB"/>
    <w:rsid w:val="00794B8C"/>
    <w:rsid w:val="00796ED1"/>
    <w:rsid w:val="00797420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6A8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39CF"/>
    <w:rsid w:val="007B41C4"/>
    <w:rsid w:val="007B5A1B"/>
    <w:rsid w:val="007B5C2E"/>
    <w:rsid w:val="007B66B6"/>
    <w:rsid w:val="007B6FB1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5D5E"/>
    <w:rsid w:val="007E6DFA"/>
    <w:rsid w:val="007E7DDD"/>
    <w:rsid w:val="007E7F7C"/>
    <w:rsid w:val="007F182C"/>
    <w:rsid w:val="007F2376"/>
    <w:rsid w:val="007F2783"/>
    <w:rsid w:val="007F33E9"/>
    <w:rsid w:val="007F388B"/>
    <w:rsid w:val="007F3EC2"/>
    <w:rsid w:val="007F4571"/>
    <w:rsid w:val="007F4D55"/>
    <w:rsid w:val="007F589D"/>
    <w:rsid w:val="007F5F68"/>
    <w:rsid w:val="007F5FD8"/>
    <w:rsid w:val="007F61AF"/>
    <w:rsid w:val="007F775F"/>
    <w:rsid w:val="007F7F34"/>
    <w:rsid w:val="0080031F"/>
    <w:rsid w:val="00800967"/>
    <w:rsid w:val="00801411"/>
    <w:rsid w:val="00801C17"/>
    <w:rsid w:val="00801DB8"/>
    <w:rsid w:val="0080291E"/>
    <w:rsid w:val="00802B7F"/>
    <w:rsid w:val="00804F0B"/>
    <w:rsid w:val="008056A0"/>
    <w:rsid w:val="00805844"/>
    <w:rsid w:val="00805AF2"/>
    <w:rsid w:val="00805F78"/>
    <w:rsid w:val="00806B4B"/>
    <w:rsid w:val="00807AE7"/>
    <w:rsid w:val="00810837"/>
    <w:rsid w:val="0081095D"/>
    <w:rsid w:val="00810B6B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0962"/>
    <w:rsid w:val="00830A88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587D"/>
    <w:rsid w:val="0084680E"/>
    <w:rsid w:val="0084696A"/>
    <w:rsid w:val="00846DA4"/>
    <w:rsid w:val="00847B5B"/>
    <w:rsid w:val="00847C9F"/>
    <w:rsid w:val="00847EBF"/>
    <w:rsid w:val="0085098F"/>
    <w:rsid w:val="0085138D"/>
    <w:rsid w:val="00854098"/>
    <w:rsid w:val="0085497E"/>
    <w:rsid w:val="00854FBC"/>
    <w:rsid w:val="00855ED0"/>
    <w:rsid w:val="00856102"/>
    <w:rsid w:val="0085673A"/>
    <w:rsid w:val="00856B6A"/>
    <w:rsid w:val="00856DE2"/>
    <w:rsid w:val="008573C7"/>
    <w:rsid w:val="00857B59"/>
    <w:rsid w:val="00860423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B7A"/>
    <w:rsid w:val="00864D7E"/>
    <w:rsid w:val="008654E2"/>
    <w:rsid w:val="008656F4"/>
    <w:rsid w:val="00865ABB"/>
    <w:rsid w:val="00865DAA"/>
    <w:rsid w:val="00866008"/>
    <w:rsid w:val="00866364"/>
    <w:rsid w:val="00870795"/>
    <w:rsid w:val="00871B65"/>
    <w:rsid w:val="00871ED5"/>
    <w:rsid w:val="008722E4"/>
    <w:rsid w:val="00873808"/>
    <w:rsid w:val="00873FD5"/>
    <w:rsid w:val="00874F31"/>
    <w:rsid w:val="0087527E"/>
    <w:rsid w:val="00875948"/>
    <w:rsid w:val="00875C4F"/>
    <w:rsid w:val="00876420"/>
    <w:rsid w:val="008770B1"/>
    <w:rsid w:val="00877642"/>
    <w:rsid w:val="00877FE9"/>
    <w:rsid w:val="00880646"/>
    <w:rsid w:val="00881C0B"/>
    <w:rsid w:val="00881E8E"/>
    <w:rsid w:val="00882417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1D49"/>
    <w:rsid w:val="0089243B"/>
    <w:rsid w:val="00892AFB"/>
    <w:rsid w:val="0089368B"/>
    <w:rsid w:val="00893A0A"/>
    <w:rsid w:val="0089561D"/>
    <w:rsid w:val="0089702D"/>
    <w:rsid w:val="00897403"/>
    <w:rsid w:val="00897789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E4C"/>
    <w:rsid w:val="008A5F69"/>
    <w:rsid w:val="008A68EC"/>
    <w:rsid w:val="008A73B0"/>
    <w:rsid w:val="008B0F37"/>
    <w:rsid w:val="008B24DD"/>
    <w:rsid w:val="008B285E"/>
    <w:rsid w:val="008B2B3C"/>
    <w:rsid w:val="008B4A2E"/>
    <w:rsid w:val="008B58DE"/>
    <w:rsid w:val="008B599F"/>
    <w:rsid w:val="008B6202"/>
    <w:rsid w:val="008B649D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928"/>
    <w:rsid w:val="008E0E90"/>
    <w:rsid w:val="008E10D6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986"/>
    <w:rsid w:val="008F4F59"/>
    <w:rsid w:val="008F5461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1BA5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6F67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AC9"/>
    <w:rsid w:val="00925FF2"/>
    <w:rsid w:val="00926009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39FD"/>
    <w:rsid w:val="00944E9D"/>
    <w:rsid w:val="00946247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0F03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030"/>
    <w:rsid w:val="00992420"/>
    <w:rsid w:val="00992B90"/>
    <w:rsid w:val="00993C8B"/>
    <w:rsid w:val="00993E5A"/>
    <w:rsid w:val="00994161"/>
    <w:rsid w:val="0099417D"/>
    <w:rsid w:val="00994D96"/>
    <w:rsid w:val="009960CD"/>
    <w:rsid w:val="00996CE0"/>
    <w:rsid w:val="00997454"/>
    <w:rsid w:val="00997BAB"/>
    <w:rsid w:val="00997CAD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15B"/>
    <w:rsid w:val="009B2EE8"/>
    <w:rsid w:val="009B320B"/>
    <w:rsid w:val="009B37AE"/>
    <w:rsid w:val="009B43DB"/>
    <w:rsid w:val="009B5779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C4A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D04AF"/>
    <w:rsid w:val="009D1048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2609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3BBB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54F"/>
    <w:rsid w:val="00A3689A"/>
    <w:rsid w:val="00A36D77"/>
    <w:rsid w:val="00A36F39"/>
    <w:rsid w:val="00A37526"/>
    <w:rsid w:val="00A3777A"/>
    <w:rsid w:val="00A40D24"/>
    <w:rsid w:val="00A41278"/>
    <w:rsid w:val="00A4133A"/>
    <w:rsid w:val="00A419CE"/>
    <w:rsid w:val="00A423C3"/>
    <w:rsid w:val="00A423CC"/>
    <w:rsid w:val="00A428FF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57F2F"/>
    <w:rsid w:val="00A60C49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222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078"/>
    <w:rsid w:val="00A76B8B"/>
    <w:rsid w:val="00A76BD3"/>
    <w:rsid w:val="00A80523"/>
    <w:rsid w:val="00A8105B"/>
    <w:rsid w:val="00A8196A"/>
    <w:rsid w:val="00A81A72"/>
    <w:rsid w:val="00A81DD8"/>
    <w:rsid w:val="00A81F5E"/>
    <w:rsid w:val="00A82E03"/>
    <w:rsid w:val="00A84EF6"/>
    <w:rsid w:val="00A85168"/>
    <w:rsid w:val="00A85320"/>
    <w:rsid w:val="00A85322"/>
    <w:rsid w:val="00A85C1D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97769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0D58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773"/>
    <w:rsid w:val="00AC4D78"/>
    <w:rsid w:val="00AC4E44"/>
    <w:rsid w:val="00AC5EB6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0A3"/>
    <w:rsid w:val="00AD2612"/>
    <w:rsid w:val="00AD2C28"/>
    <w:rsid w:val="00AD308A"/>
    <w:rsid w:val="00AD314C"/>
    <w:rsid w:val="00AD45B8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4C36"/>
    <w:rsid w:val="00AE5A83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4AA6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D66"/>
    <w:rsid w:val="00B0313B"/>
    <w:rsid w:val="00B03435"/>
    <w:rsid w:val="00B039A4"/>
    <w:rsid w:val="00B0449D"/>
    <w:rsid w:val="00B056E1"/>
    <w:rsid w:val="00B063C0"/>
    <w:rsid w:val="00B06824"/>
    <w:rsid w:val="00B07EB9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B7B"/>
    <w:rsid w:val="00B16191"/>
    <w:rsid w:val="00B16764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6E5B"/>
    <w:rsid w:val="00B271CF"/>
    <w:rsid w:val="00B27D61"/>
    <w:rsid w:val="00B27F43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1E7A"/>
    <w:rsid w:val="00B421ED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2C56"/>
    <w:rsid w:val="00B5329A"/>
    <w:rsid w:val="00B53433"/>
    <w:rsid w:val="00B5542E"/>
    <w:rsid w:val="00B554D3"/>
    <w:rsid w:val="00B5629A"/>
    <w:rsid w:val="00B57358"/>
    <w:rsid w:val="00B57E89"/>
    <w:rsid w:val="00B600D9"/>
    <w:rsid w:val="00B603E6"/>
    <w:rsid w:val="00B604B2"/>
    <w:rsid w:val="00B62D9E"/>
    <w:rsid w:val="00B6394D"/>
    <w:rsid w:val="00B63A41"/>
    <w:rsid w:val="00B63FBA"/>
    <w:rsid w:val="00B64606"/>
    <w:rsid w:val="00B6467B"/>
    <w:rsid w:val="00B6519A"/>
    <w:rsid w:val="00B663B8"/>
    <w:rsid w:val="00B669C4"/>
    <w:rsid w:val="00B66E0F"/>
    <w:rsid w:val="00B67014"/>
    <w:rsid w:val="00B70E56"/>
    <w:rsid w:val="00B7138A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3048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720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AE7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34D6"/>
    <w:rsid w:val="00C06AB7"/>
    <w:rsid w:val="00C07170"/>
    <w:rsid w:val="00C077DA"/>
    <w:rsid w:val="00C0788A"/>
    <w:rsid w:val="00C07EBB"/>
    <w:rsid w:val="00C11266"/>
    <w:rsid w:val="00C123A0"/>
    <w:rsid w:val="00C12B00"/>
    <w:rsid w:val="00C12BC9"/>
    <w:rsid w:val="00C131FA"/>
    <w:rsid w:val="00C13BB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D61"/>
    <w:rsid w:val="00C20E5A"/>
    <w:rsid w:val="00C22E55"/>
    <w:rsid w:val="00C23729"/>
    <w:rsid w:val="00C237D7"/>
    <w:rsid w:val="00C25367"/>
    <w:rsid w:val="00C2679E"/>
    <w:rsid w:val="00C26844"/>
    <w:rsid w:val="00C26B0A"/>
    <w:rsid w:val="00C2734A"/>
    <w:rsid w:val="00C278F8"/>
    <w:rsid w:val="00C309B8"/>
    <w:rsid w:val="00C31ABA"/>
    <w:rsid w:val="00C31D0E"/>
    <w:rsid w:val="00C31E19"/>
    <w:rsid w:val="00C321B7"/>
    <w:rsid w:val="00C32335"/>
    <w:rsid w:val="00C32B54"/>
    <w:rsid w:val="00C32DED"/>
    <w:rsid w:val="00C32ECA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67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94"/>
    <w:rsid w:val="00C80EF3"/>
    <w:rsid w:val="00C81007"/>
    <w:rsid w:val="00C810AD"/>
    <w:rsid w:val="00C83BDD"/>
    <w:rsid w:val="00C83E8F"/>
    <w:rsid w:val="00C84035"/>
    <w:rsid w:val="00C84A12"/>
    <w:rsid w:val="00C84D6D"/>
    <w:rsid w:val="00C84E32"/>
    <w:rsid w:val="00C85EA2"/>
    <w:rsid w:val="00C86D66"/>
    <w:rsid w:val="00C878C9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61DD"/>
    <w:rsid w:val="00C9626E"/>
    <w:rsid w:val="00C97975"/>
    <w:rsid w:val="00C97DB9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0F31"/>
    <w:rsid w:val="00CC16C7"/>
    <w:rsid w:val="00CC199B"/>
    <w:rsid w:val="00CC2AAE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4CE6"/>
    <w:rsid w:val="00CD5943"/>
    <w:rsid w:val="00CD68CA"/>
    <w:rsid w:val="00CD699F"/>
    <w:rsid w:val="00CD707C"/>
    <w:rsid w:val="00CD769F"/>
    <w:rsid w:val="00CE0770"/>
    <w:rsid w:val="00CE0D08"/>
    <w:rsid w:val="00CE1254"/>
    <w:rsid w:val="00CE3C0D"/>
    <w:rsid w:val="00CE4165"/>
    <w:rsid w:val="00CE518B"/>
    <w:rsid w:val="00CE69B5"/>
    <w:rsid w:val="00CE6CFC"/>
    <w:rsid w:val="00CE7444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3ED3"/>
    <w:rsid w:val="00D0409E"/>
    <w:rsid w:val="00D04EE0"/>
    <w:rsid w:val="00D050C1"/>
    <w:rsid w:val="00D05BDB"/>
    <w:rsid w:val="00D0655B"/>
    <w:rsid w:val="00D06D66"/>
    <w:rsid w:val="00D0711F"/>
    <w:rsid w:val="00D079F8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444D"/>
    <w:rsid w:val="00D247C2"/>
    <w:rsid w:val="00D24813"/>
    <w:rsid w:val="00D24C4B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280E"/>
    <w:rsid w:val="00D4336D"/>
    <w:rsid w:val="00D44469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34E8"/>
    <w:rsid w:val="00D83936"/>
    <w:rsid w:val="00D848EE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4FC9"/>
    <w:rsid w:val="00DA6330"/>
    <w:rsid w:val="00DB00DC"/>
    <w:rsid w:val="00DB0D61"/>
    <w:rsid w:val="00DB2D7B"/>
    <w:rsid w:val="00DB2EE2"/>
    <w:rsid w:val="00DB3124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74F"/>
    <w:rsid w:val="00DD1A3B"/>
    <w:rsid w:val="00DD230D"/>
    <w:rsid w:val="00DD2817"/>
    <w:rsid w:val="00DD2925"/>
    <w:rsid w:val="00DD2C83"/>
    <w:rsid w:val="00DD351E"/>
    <w:rsid w:val="00DD3C0D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7609"/>
    <w:rsid w:val="00DF0A5E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F9D"/>
    <w:rsid w:val="00DF5B2A"/>
    <w:rsid w:val="00DF698C"/>
    <w:rsid w:val="00DF6B9D"/>
    <w:rsid w:val="00DF6D45"/>
    <w:rsid w:val="00DF7783"/>
    <w:rsid w:val="00E00EA3"/>
    <w:rsid w:val="00E00EAA"/>
    <w:rsid w:val="00E00F3A"/>
    <w:rsid w:val="00E013C2"/>
    <w:rsid w:val="00E01B04"/>
    <w:rsid w:val="00E01F45"/>
    <w:rsid w:val="00E0269D"/>
    <w:rsid w:val="00E0276A"/>
    <w:rsid w:val="00E02E82"/>
    <w:rsid w:val="00E03367"/>
    <w:rsid w:val="00E03F48"/>
    <w:rsid w:val="00E04E50"/>
    <w:rsid w:val="00E052EE"/>
    <w:rsid w:val="00E05647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1D9"/>
    <w:rsid w:val="00E16763"/>
    <w:rsid w:val="00E17454"/>
    <w:rsid w:val="00E20800"/>
    <w:rsid w:val="00E2133B"/>
    <w:rsid w:val="00E21DD8"/>
    <w:rsid w:val="00E22571"/>
    <w:rsid w:val="00E2307A"/>
    <w:rsid w:val="00E2362B"/>
    <w:rsid w:val="00E237D9"/>
    <w:rsid w:val="00E24884"/>
    <w:rsid w:val="00E249A9"/>
    <w:rsid w:val="00E25472"/>
    <w:rsid w:val="00E27740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3A62"/>
    <w:rsid w:val="00E34692"/>
    <w:rsid w:val="00E34A15"/>
    <w:rsid w:val="00E35767"/>
    <w:rsid w:val="00E35972"/>
    <w:rsid w:val="00E35BCC"/>
    <w:rsid w:val="00E35C9E"/>
    <w:rsid w:val="00E36E18"/>
    <w:rsid w:val="00E37149"/>
    <w:rsid w:val="00E37A47"/>
    <w:rsid w:val="00E40915"/>
    <w:rsid w:val="00E41355"/>
    <w:rsid w:val="00E42290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11CD"/>
    <w:rsid w:val="00E72541"/>
    <w:rsid w:val="00E72808"/>
    <w:rsid w:val="00E72ABE"/>
    <w:rsid w:val="00E72F93"/>
    <w:rsid w:val="00E734B7"/>
    <w:rsid w:val="00E73E27"/>
    <w:rsid w:val="00E740C2"/>
    <w:rsid w:val="00E752D0"/>
    <w:rsid w:val="00E75796"/>
    <w:rsid w:val="00E75F1B"/>
    <w:rsid w:val="00E76F6C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7A9"/>
    <w:rsid w:val="00E86C6C"/>
    <w:rsid w:val="00E86FF2"/>
    <w:rsid w:val="00E8761C"/>
    <w:rsid w:val="00E876BD"/>
    <w:rsid w:val="00E87BA7"/>
    <w:rsid w:val="00E87BC6"/>
    <w:rsid w:val="00E901F6"/>
    <w:rsid w:val="00E9031B"/>
    <w:rsid w:val="00E9050A"/>
    <w:rsid w:val="00E90903"/>
    <w:rsid w:val="00E90B13"/>
    <w:rsid w:val="00E9108B"/>
    <w:rsid w:val="00E91311"/>
    <w:rsid w:val="00E91ED3"/>
    <w:rsid w:val="00E92380"/>
    <w:rsid w:val="00E955E1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0E3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2858"/>
    <w:rsid w:val="00EC2A70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D7BD7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4E73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50AE"/>
    <w:rsid w:val="00F16281"/>
    <w:rsid w:val="00F166B1"/>
    <w:rsid w:val="00F16D4D"/>
    <w:rsid w:val="00F16DB0"/>
    <w:rsid w:val="00F176FB"/>
    <w:rsid w:val="00F17D5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B8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A739B"/>
    <w:rsid w:val="00FB0150"/>
    <w:rsid w:val="00FB03D2"/>
    <w:rsid w:val="00FB0828"/>
    <w:rsid w:val="00FB2A28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87B"/>
    <w:rsid w:val="00FC1EDA"/>
    <w:rsid w:val="00FC1FCF"/>
    <w:rsid w:val="00FC29EE"/>
    <w:rsid w:val="00FC2E1D"/>
    <w:rsid w:val="00FC39C8"/>
    <w:rsid w:val="00FC3AFD"/>
    <w:rsid w:val="00FC4259"/>
    <w:rsid w:val="00FC4C8A"/>
    <w:rsid w:val="00FC6E75"/>
    <w:rsid w:val="00FD004E"/>
    <w:rsid w:val="00FD0116"/>
    <w:rsid w:val="00FD0297"/>
    <w:rsid w:val="00FD06B2"/>
    <w:rsid w:val="00FD0AB9"/>
    <w:rsid w:val="00FD1B17"/>
    <w:rsid w:val="00FD1CBA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1E9B"/>
    <w:rsid w:val="00FF2790"/>
    <w:rsid w:val="00FF2BA5"/>
    <w:rsid w:val="00FF2D0B"/>
    <w:rsid w:val="00FF390E"/>
    <w:rsid w:val="00FF3DED"/>
    <w:rsid w:val="00FF4558"/>
    <w:rsid w:val="00FF5BDC"/>
    <w:rsid w:val="00FF5D0A"/>
    <w:rsid w:val="00FF614F"/>
    <w:rsid w:val="00FF6A0C"/>
    <w:rsid w:val="00FF783E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21798E" w:themeColor="accent1" w:themeShade="BF"/>
    </w:rPr>
    <w:tblPr>
      <w:tblStyleRowBandSize w:val="1"/>
      <w:tblStyleColBandSize w:val="1"/>
      <w:tblInd w:w="0" w:type="dxa"/>
      <w:tblBorders>
        <w:top w:val="single" w:sz="8" w:space="0" w:color="2DA2BF" w:themeColor="accent1"/>
        <w:bottom w:val="single" w:sz="8" w:space="0" w:color="2DA2B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Extra_tables_Statistics_explained_June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Desktop\mmi%202015.0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07\mmi%202015-07%20(Vesna%20Obradovi&#263;'s%20conflicted%20copy%202015-07-30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0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ME" sz="1050"/>
              <a:t>Stopa nezaposlenosti mladih ispod 25 godina</a:t>
            </a:r>
            <a:endParaRPr lang="en-US" sz="1050"/>
          </a:p>
        </c:rich>
      </c:tx>
      <c:layout>
        <c:manualLayout>
          <c:xMode val="edge"/>
          <c:yMode val="edge"/>
          <c:x val="0.19877815165357793"/>
          <c:y val="3.111678636284378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cat>
            <c:strRef>
              <c:f>Sheet2!$A$20:$A$29</c:f>
              <c:strCache>
                <c:ptCount val="10"/>
                <c:pt idx="0">
                  <c:v>Eurozona19</c:v>
                </c:pt>
                <c:pt idx="1">
                  <c:v>EU28</c:v>
                </c:pt>
                <c:pt idx="2">
                  <c:v>Njemačka</c:v>
                </c:pt>
                <c:pt idx="3">
                  <c:v>Grčka</c:v>
                </c:pt>
                <c:pt idx="4">
                  <c:v>Španija</c:v>
                </c:pt>
                <c:pt idx="5">
                  <c:v>Francuska</c:v>
                </c:pt>
                <c:pt idx="6">
                  <c:v>Hrvatska</c:v>
                </c:pt>
                <c:pt idx="7">
                  <c:v>Italija</c:v>
                </c:pt>
                <c:pt idx="8">
                  <c:v>Kipar</c:v>
                </c:pt>
                <c:pt idx="9">
                  <c:v>Sloveniija</c:v>
                </c:pt>
              </c:strCache>
            </c:strRef>
          </c:cat>
          <c:val>
            <c:numRef>
              <c:f>Sheet2!$B$20:$B$29</c:f>
              <c:numCache>
                <c:formatCode>General</c:formatCode>
                <c:ptCount val="10"/>
                <c:pt idx="0">
                  <c:v>23.6</c:v>
                </c:pt>
                <c:pt idx="1">
                  <c:v>22.1</c:v>
                </c:pt>
                <c:pt idx="2">
                  <c:v>7.8</c:v>
                </c:pt>
                <c:pt idx="3">
                  <c:v>49.4</c:v>
                </c:pt>
                <c:pt idx="4">
                  <c:v>53.4</c:v>
                </c:pt>
                <c:pt idx="5">
                  <c:v>24</c:v>
                </c:pt>
                <c:pt idx="6">
                  <c:v>45</c:v>
                </c:pt>
                <c:pt idx="7">
                  <c:v>42.3</c:v>
                </c:pt>
                <c:pt idx="8">
                  <c:v>37</c:v>
                </c:pt>
                <c:pt idx="9">
                  <c:v>20.399999999999999</c:v>
                </c:pt>
              </c:numCache>
            </c:numRef>
          </c:val>
        </c:ser>
        <c:gapWidth val="50"/>
        <c:axId val="48577152"/>
        <c:axId val="48578944"/>
      </c:barChart>
      <c:catAx>
        <c:axId val="4857715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48578944"/>
        <c:crosses val="autoZero"/>
        <c:auto val="1"/>
        <c:lblAlgn val="ctr"/>
        <c:lblOffset val="100"/>
      </c:catAx>
      <c:valAx>
        <c:axId val="48578944"/>
        <c:scaling>
          <c:orientation val="minMax"/>
        </c:scaling>
        <c:axPos val="l"/>
        <c:majorGridlines>
          <c:spPr>
            <a:ln w="6350">
              <a:solidFill>
                <a:schemeClr val="accent3">
                  <a:lumMod val="60000"/>
                  <a:lumOff val="40000"/>
                </a:schemeClr>
              </a:solidFill>
              <a:prstDash val="sysDot"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85771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7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Industrija</a:t>
            </a:r>
          </a:p>
        </c:rich>
      </c:tx>
      <c:layout>
        <c:manualLayout>
          <c:xMode val="edge"/>
          <c:yMode val="edge"/>
          <c:x val="0.36994175627240306"/>
          <c:y val="1.1379928315412303E-2"/>
        </c:manualLayout>
      </c:layout>
    </c:title>
    <c:plotArea>
      <c:layout>
        <c:manualLayout>
          <c:layoutTarget val="inner"/>
          <c:xMode val="edge"/>
          <c:yMode val="edge"/>
          <c:x val="0.16197446236559171"/>
          <c:y val="0.11496594982078862"/>
          <c:w val="0.77543593189964088"/>
          <c:h val="0.58984811827957384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Vađenje rude i kamena</c:v>
                </c:pt>
              </c:strCache>
            </c:strRef>
          </c:tx>
          <c:cat>
            <c:strRef>
              <c:f>'Makroekonomski indikatori'!$AT$36:$BF$36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indikatori'!$AT$13:$BF$13</c:f>
              <c:numCache>
                <c:formatCode>General</c:formatCode>
                <c:ptCount val="13"/>
                <c:pt idx="0">
                  <c:v>-29.8</c:v>
                </c:pt>
                <c:pt idx="1">
                  <c:v>3.3</c:v>
                </c:pt>
                <c:pt idx="2">
                  <c:v>12.1</c:v>
                </c:pt>
                <c:pt idx="3">
                  <c:v>-45.6</c:v>
                </c:pt>
                <c:pt idx="4">
                  <c:v>25.5</c:v>
                </c:pt>
                <c:pt idx="5">
                  <c:v>57.3</c:v>
                </c:pt>
                <c:pt idx="6">
                  <c:v>30.4</c:v>
                </c:pt>
                <c:pt idx="7">
                  <c:v>-2.9</c:v>
                </c:pt>
                <c:pt idx="8">
                  <c:v>15.2</c:v>
                </c:pt>
                <c:pt idx="9">
                  <c:v>38.9</c:v>
                </c:pt>
                <c:pt idx="10">
                  <c:v>-33.1</c:v>
                </c:pt>
                <c:pt idx="11">
                  <c:v>-35.4</c:v>
                </c:pt>
                <c:pt idx="12">
                  <c:v>29.8</c:v>
                </c:pt>
              </c:numCache>
            </c:numRef>
          </c:val>
        </c:ser>
        <c:ser>
          <c:idx val="1"/>
          <c:order val="1"/>
          <c:tx>
            <c:strRef>
              <c:f>'Makroekonomski indikatori'!$C$14</c:f>
              <c:strCache>
                <c:ptCount val="1"/>
                <c:pt idx="0">
                  <c:v>Prerađivačka industrija</c:v>
                </c:pt>
              </c:strCache>
            </c:strRef>
          </c:tx>
          <c:cat>
            <c:strRef>
              <c:f>'Makroekonomski indikatori'!$AT$36:$BF$36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indikatori'!$AT$14:$BF$14</c:f>
              <c:numCache>
                <c:formatCode>General</c:formatCode>
                <c:ptCount val="13"/>
                <c:pt idx="0">
                  <c:v>-5</c:v>
                </c:pt>
                <c:pt idx="1">
                  <c:v>-24.6</c:v>
                </c:pt>
                <c:pt idx="2">
                  <c:v>-19.7</c:v>
                </c:pt>
                <c:pt idx="3">
                  <c:v>-3.2</c:v>
                </c:pt>
                <c:pt idx="4">
                  <c:v>0.30000000000000032</c:v>
                </c:pt>
                <c:pt idx="5">
                  <c:v>-18.100000000000001</c:v>
                </c:pt>
                <c:pt idx="6">
                  <c:v>-20.5</c:v>
                </c:pt>
                <c:pt idx="7">
                  <c:v>-13.2</c:v>
                </c:pt>
                <c:pt idx="8">
                  <c:v>13.8</c:v>
                </c:pt>
                <c:pt idx="9">
                  <c:v>9.2000000000000011</c:v>
                </c:pt>
                <c:pt idx="10">
                  <c:v>40.5</c:v>
                </c:pt>
                <c:pt idx="11">
                  <c:v>16.7</c:v>
                </c:pt>
                <c:pt idx="12">
                  <c:v>27.6</c:v>
                </c:pt>
              </c:numCache>
            </c:numRef>
          </c:val>
        </c:ser>
        <c:ser>
          <c:idx val="2"/>
          <c:order val="2"/>
          <c:tx>
            <c:strRef>
              <c:f>'Makroekonomski indikatori'!$C$16</c:f>
              <c:strCache>
                <c:ptCount val="1"/>
                <c:pt idx="0">
                  <c:v>Proizvodnja električne energije</c:v>
                </c:pt>
              </c:strCache>
            </c:strRef>
          </c:tx>
          <c:cat>
            <c:strRef>
              <c:f>'Makroekonomski indikatori'!$AT$36:$BF$36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indikatori'!$AT$16:$BF$16</c:f>
              <c:numCache>
                <c:formatCode>General</c:formatCode>
                <c:ptCount val="13"/>
                <c:pt idx="0">
                  <c:v>-56.5</c:v>
                </c:pt>
                <c:pt idx="1">
                  <c:v>-3.7</c:v>
                </c:pt>
                <c:pt idx="2">
                  <c:v>-3.7</c:v>
                </c:pt>
                <c:pt idx="3">
                  <c:v>51.9</c:v>
                </c:pt>
                <c:pt idx="4">
                  <c:v>16.3</c:v>
                </c:pt>
                <c:pt idx="5">
                  <c:v>-28.8</c:v>
                </c:pt>
                <c:pt idx="6">
                  <c:v>8.7000000000000011</c:v>
                </c:pt>
                <c:pt idx="7">
                  <c:v>5.8</c:v>
                </c:pt>
                <c:pt idx="8" formatCode="0.0">
                  <c:v>-2</c:v>
                </c:pt>
                <c:pt idx="9">
                  <c:v>31.7</c:v>
                </c:pt>
                <c:pt idx="10">
                  <c:v>-15.3</c:v>
                </c:pt>
                <c:pt idx="11">
                  <c:v>-29</c:v>
                </c:pt>
                <c:pt idx="12">
                  <c:v>36.9</c:v>
                </c:pt>
              </c:numCache>
            </c:numRef>
          </c:val>
        </c:ser>
        <c:gapWidth val="4"/>
        <c:axId val="48587904"/>
        <c:axId val="48589440"/>
      </c:barChart>
      <c:catAx>
        <c:axId val="4858790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 b="1"/>
            </a:pPr>
            <a:endParaRPr lang="en-US"/>
          </a:p>
        </c:txPr>
        <c:crossAx val="48589440"/>
        <c:crosses val="autoZero"/>
        <c:auto val="1"/>
        <c:lblAlgn val="ctr"/>
        <c:lblOffset val="100"/>
      </c:catAx>
      <c:valAx>
        <c:axId val="4858944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587904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6621326164874553"/>
          <c:y val="0.16617562724014193"/>
          <c:w val="0.76550716845878164"/>
          <c:h val="0.63775134408602163"/>
        </c:manualLayout>
      </c:layout>
      <c:lineChart>
        <c:grouping val="standard"/>
        <c:ser>
          <c:idx val="0"/>
          <c:order val="0"/>
          <c:tx>
            <c:v>CPI-ukupno</c:v>
          </c:tx>
          <c:spPr>
            <a:ln w="38100">
              <a:solidFill>
                <a:srgbClr val="1621F6"/>
              </a:solidFill>
            </a:ln>
          </c:spPr>
          <c:marker>
            <c:symbol val="none"/>
          </c:marker>
          <c:cat>
            <c:strRef>
              <c:f>'Makroekonomski indikatori'!$AT$36:$BF$36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indikatori'!$AT$24:$BF$24</c:f>
              <c:numCache>
                <c:formatCode>0.0</c:formatCode>
                <c:ptCount val="13"/>
                <c:pt idx="0">
                  <c:v>-0.1</c:v>
                </c:pt>
                <c:pt idx="1">
                  <c:v>-1.2</c:v>
                </c:pt>
                <c:pt idx="2">
                  <c:v>-1.1000000000000001</c:v>
                </c:pt>
                <c:pt idx="3">
                  <c:v>-0.70000000000000062</c:v>
                </c:pt>
                <c:pt idx="4">
                  <c:v>-0.5</c:v>
                </c:pt>
                <c:pt idx="5">
                  <c:v>0</c:v>
                </c:pt>
                <c:pt idx="6">
                  <c:v>-0.30000000000000032</c:v>
                </c:pt>
                <c:pt idx="7">
                  <c:v>0.2</c:v>
                </c:pt>
                <c:pt idx="8">
                  <c:v>0.60000000000000064</c:v>
                </c:pt>
                <c:pt idx="9" formatCode="General">
                  <c:v>1.6</c:v>
                </c:pt>
                <c:pt idx="10" formatCode="General">
                  <c:v>2.1</c:v>
                </c:pt>
                <c:pt idx="11" formatCode="General">
                  <c:v>2.2999999999999998</c:v>
                </c:pt>
                <c:pt idx="12" formatCode="General">
                  <c:v>1.9000000000000001</c:v>
                </c:pt>
              </c:numCache>
            </c:numRef>
          </c:val>
          <c:smooth val="1"/>
        </c:ser>
        <c:ser>
          <c:idx val="1"/>
          <c:order val="1"/>
          <c:tx>
            <c:v>cijene hrane</c:v>
          </c:tx>
          <c:spPr>
            <a:ln>
              <a:solidFill>
                <a:srgbClr val="22EA22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indikatori'!$AT$36:$BF$36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indikatori'!$AT$26:$BF$26</c:f>
              <c:numCache>
                <c:formatCode>0.0</c:formatCode>
                <c:ptCount val="13"/>
                <c:pt idx="0">
                  <c:v>-1.6</c:v>
                </c:pt>
                <c:pt idx="1">
                  <c:v>-3.2</c:v>
                </c:pt>
                <c:pt idx="2">
                  <c:v>-2.2999999999999998</c:v>
                </c:pt>
                <c:pt idx="3">
                  <c:v>-1</c:v>
                </c:pt>
                <c:pt idx="4">
                  <c:v>-0.2</c:v>
                </c:pt>
                <c:pt idx="5">
                  <c:v>1</c:v>
                </c:pt>
                <c:pt idx="6">
                  <c:v>0.8</c:v>
                </c:pt>
                <c:pt idx="7">
                  <c:v>1.8</c:v>
                </c:pt>
                <c:pt idx="8">
                  <c:v>2.1</c:v>
                </c:pt>
                <c:pt idx="9" formatCode="General">
                  <c:v>3.3</c:v>
                </c:pt>
                <c:pt idx="10" formatCode="General">
                  <c:v>4.0999999999999996</c:v>
                </c:pt>
                <c:pt idx="11" formatCode="General">
                  <c:v>3.8</c:v>
                </c:pt>
                <c:pt idx="12" formatCode="General">
                  <c:v>2.4</c:v>
                </c:pt>
              </c:numCache>
            </c:numRef>
          </c:val>
          <c:smooth val="1"/>
        </c:ser>
        <c:marker val="1"/>
        <c:axId val="48606208"/>
        <c:axId val="48694016"/>
      </c:lineChart>
      <c:catAx>
        <c:axId val="486062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694016"/>
        <c:crosses val="autoZero"/>
        <c:auto val="1"/>
        <c:lblAlgn val="ctr"/>
        <c:lblOffset val="100"/>
      </c:catAx>
      <c:valAx>
        <c:axId val="48694016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60620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619211532559738"/>
          <c:y val="7.5757452510597664E-2"/>
          <c:w val="0.68350986621102661"/>
          <c:h val="0.70512943570190001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indikatori'!$AS$10:$BE$10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indikatori'!$AS$22:$BE$22</c:f>
              <c:numCache>
                <c:formatCode>#,##0</c:formatCode>
                <c:ptCount val="13"/>
                <c:pt idx="0">
                  <c:v>179774</c:v>
                </c:pt>
                <c:pt idx="1">
                  <c:v>181408</c:v>
                </c:pt>
                <c:pt idx="2">
                  <c:v>178558</c:v>
                </c:pt>
                <c:pt idx="3">
                  <c:v>173942</c:v>
                </c:pt>
                <c:pt idx="4">
                  <c:v>172306</c:v>
                </c:pt>
                <c:pt idx="5">
                  <c:v>172273</c:v>
                </c:pt>
                <c:pt idx="6">
                  <c:v>171158</c:v>
                </c:pt>
                <c:pt idx="7">
                  <c:v>169719</c:v>
                </c:pt>
                <c:pt idx="8">
                  <c:v>170486</c:v>
                </c:pt>
                <c:pt idx="9">
                  <c:v>171855</c:v>
                </c:pt>
                <c:pt idx="10">
                  <c:v>174208</c:v>
                </c:pt>
                <c:pt idx="11">
                  <c:v>177865</c:v>
                </c:pt>
                <c:pt idx="12">
                  <c:v>174208</c:v>
                </c:pt>
              </c:numCache>
            </c:numRef>
          </c:val>
        </c:ser>
        <c:marker val="1"/>
        <c:axId val="48703744"/>
        <c:axId val="48717824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indikatori'!$AS$10:$BE$10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'Makroekonomski indikatori'!$AS$23:$BE$23</c:f>
              <c:numCache>
                <c:formatCode>#,##0</c:formatCode>
                <c:ptCount val="13"/>
                <c:pt idx="0">
                  <c:v>31548</c:v>
                </c:pt>
                <c:pt idx="1">
                  <c:v>31115</c:v>
                </c:pt>
                <c:pt idx="2">
                  <c:v>31163</c:v>
                </c:pt>
                <c:pt idx="3">
                  <c:v>31548</c:v>
                </c:pt>
                <c:pt idx="4">
                  <c:v>33744</c:v>
                </c:pt>
                <c:pt idx="5">
                  <c:v>34733</c:v>
                </c:pt>
                <c:pt idx="6">
                  <c:v>34687</c:v>
                </c:pt>
                <c:pt idx="7">
                  <c:v>35152</c:v>
                </c:pt>
                <c:pt idx="8">
                  <c:v>35172</c:v>
                </c:pt>
                <c:pt idx="9">
                  <c:v>34903</c:v>
                </c:pt>
                <c:pt idx="10">
                  <c:v>33975</c:v>
                </c:pt>
                <c:pt idx="11">
                  <c:v>32347</c:v>
                </c:pt>
                <c:pt idx="12">
                  <c:v>31092</c:v>
                </c:pt>
              </c:numCache>
            </c:numRef>
          </c:val>
        </c:ser>
        <c:marker val="1"/>
        <c:axId val="48726016"/>
        <c:axId val="48719744"/>
      </c:lineChart>
      <c:catAx>
        <c:axId val="4870374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717824"/>
        <c:crosses val="autoZero"/>
        <c:auto val="1"/>
        <c:lblAlgn val="ctr"/>
        <c:lblOffset val="100"/>
      </c:catAx>
      <c:valAx>
        <c:axId val="48717824"/>
        <c:scaling>
          <c:orientation val="minMax"/>
          <c:min val="164000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703744"/>
        <c:crosses val="autoZero"/>
        <c:crossBetween val="between"/>
        <c:dispUnits>
          <c:builtInUnit val="thousands"/>
        </c:dispUnits>
      </c:valAx>
      <c:valAx>
        <c:axId val="48719744"/>
        <c:scaling>
          <c:orientation val="maxMin"/>
          <c:max val="36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48726016"/>
        <c:crosses val="max"/>
        <c:crossBetween val="between"/>
        <c:dispUnits>
          <c:builtInUnit val="thousands"/>
        </c:dispUnits>
      </c:valAx>
      <c:catAx>
        <c:axId val="48726016"/>
        <c:scaling>
          <c:orientation val="minMax"/>
        </c:scaling>
        <c:delete val="1"/>
        <c:axPos val="t"/>
        <c:tickLblPos val="none"/>
        <c:crossAx val="4871974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83"/>
          <c:h val="0.68233483635060665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indikatori'!$AD$3:$AP$3</c:f>
              <c:strCache>
                <c:ptCount val="10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</c:strCache>
            </c:strRef>
          </c:cat>
          <c:val>
            <c:numRef>
              <c:f>'Fiskalni indikatori'!$AG$17:$AS$17</c:f>
              <c:numCache>
                <c:formatCode>0.00,,</c:formatCode>
                <c:ptCount val="13"/>
                <c:pt idx="0">
                  <c:v>-5364283.7200000435</c:v>
                </c:pt>
                <c:pt idx="1">
                  <c:v>2502365.0199999809</c:v>
                </c:pt>
                <c:pt idx="2">
                  <c:v>10463853.719999975</c:v>
                </c:pt>
                <c:pt idx="3">
                  <c:v>-4187715.1499999911</c:v>
                </c:pt>
                <c:pt idx="4">
                  <c:v>-1436809.9499999583</c:v>
                </c:pt>
                <c:pt idx="5">
                  <c:v>-12887782.269999981</c:v>
                </c:pt>
                <c:pt idx="6">
                  <c:v>-18669590.289999932</c:v>
                </c:pt>
                <c:pt idx="7">
                  <c:v>-21938190.850000039</c:v>
                </c:pt>
                <c:pt idx="8">
                  <c:v>-21306460.860000044</c:v>
                </c:pt>
                <c:pt idx="9">
                  <c:v>-10982931.670000045</c:v>
                </c:pt>
                <c:pt idx="10">
                  <c:v>-29188750.890000001</c:v>
                </c:pt>
                <c:pt idx="11">
                  <c:v>-13492772.620000005</c:v>
                </c:pt>
                <c:pt idx="12">
                  <c:v>-21050762.370000005</c:v>
                </c:pt>
              </c:numCache>
            </c:numRef>
          </c:val>
        </c:ser>
        <c:axId val="48778240"/>
        <c:axId val="48776704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indikatori'!$AG$3:$AS$3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'Fiskalni indikatori'!$AG$4:$AS$4</c:f>
              <c:numCache>
                <c:formatCode>0.00,,</c:formatCode>
                <c:ptCount val="13"/>
                <c:pt idx="0">
                  <c:v>109931818.73999999</c:v>
                </c:pt>
                <c:pt idx="1">
                  <c:v>120720236.03</c:v>
                </c:pt>
                <c:pt idx="2">
                  <c:v>126556297.33</c:v>
                </c:pt>
                <c:pt idx="3">
                  <c:v>117901924.08</c:v>
                </c:pt>
                <c:pt idx="4">
                  <c:v>158210534.23999998</c:v>
                </c:pt>
                <c:pt idx="5">
                  <c:v>98496460.13000001</c:v>
                </c:pt>
                <c:pt idx="6">
                  <c:v>155249038.93000001</c:v>
                </c:pt>
                <c:pt idx="7">
                  <c:v>71181389.560000002</c:v>
                </c:pt>
                <c:pt idx="8">
                  <c:v>86772014.340000033</c:v>
                </c:pt>
                <c:pt idx="9">
                  <c:v>100279648.52</c:v>
                </c:pt>
                <c:pt idx="10">
                  <c:v>111553145.60000001</c:v>
                </c:pt>
                <c:pt idx="11">
                  <c:v>99802277.800000012</c:v>
                </c:pt>
                <c:pt idx="12">
                  <c:v>118183612.84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indikatori'!$AG$3:$AS$3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'Fiskalni indikatori'!$AG$10:$AS$10</c:f>
              <c:numCache>
                <c:formatCode>0.00,,</c:formatCode>
                <c:ptCount val="13"/>
                <c:pt idx="0">
                  <c:v>115296102.46000005</c:v>
                </c:pt>
                <c:pt idx="1">
                  <c:v>118217871.01000002</c:v>
                </c:pt>
                <c:pt idx="2">
                  <c:v>116092443.61000001</c:v>
                </c:pt>
                <c:pt idx="3">
                  <c:v>122089639.22999999</c:v>
                </c:pt>
                <c:pt idx="4">
                  <c:v>159647344.19</c:v>
                </c:pt>
                <c:pt idx="5">
                  <c:v>111384242.39999999</c:v>
                </c:pt>
                <c:pt idx="6">
                  <c:v>173918629.21999988</c:v>
                </c:pt>
                <c:pt idx="7">
                  <c:v>93119537.460000023</c:v>
                </c:pt>
                <c:pt idx="8">
                  <c:v>108057426.51000005</c:v>
                </c:pt>
                <c:pt idx="9">
                  <c:v>111313688.47000001</c:v>
                </c:pt>
                <c:pt idx="10">
                  <c:v>140741896.49000001</c:v>
                </c:pt>
                <c:pt idx="11">
                  <c:v>113295050.42000002</c:v>
                </c:pt>
                <c:pt idx="12">
                  <c:v>139234375.20999998</c:v>
                </c:pt>
              </c:numCache>
            </c:numRef>
          </c:val>
          <c:smooth val="1"/>
        </c:ser>
        <c:marker val="1"/>
        <c:axId val="48769280"/>
        <c:axId val="48775168"/>
      </c:lineChart>
      <c:catAx>
        <c:axId val="487692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48775168"/>
        <c:crosses val="autoZero"/>
        <c:auto val="1"/>
        <c:lblAlgn val="ctr"/>
        <c:lblOffset val="100"/>
        <c:tickLblSkip val="3"/>
      </c:catAx>
      <c:valAx>
        <c:axId val="48775168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48769280"/>
        <c:crosses val="autoZero"/>
        <c:crossBetween val="between"/>
        <c:majorUnit val="30000000"/>
      </c:valAx>
      <c:valAx>
        <c:axId val="48776704"/>
        <c:scaling>
          <c:orientation val="minMax"/>
          <c:max val="60000000"/>
          <c:min val="-3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48778240"/>
        <c:crosses val="max"/>
        <c:crossBetween val="between"/>
        <c:majorUnit val="20000000"/>
      </c:valAx>
      <c:catAx>
        <c:axId val="48778240"/>
        <c:scaling>
          <c:orientation val="minMax"/>
        </c:scaling>
        <c:delete val="1"/>
        <c:axPos val="b"/>
        <c:numFmt formatCode="General" sourceLinked="1"/>
        <c:tickLblPos val="none"/>
        <c:crossAx val="4877670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095"/>
          <c:h val="0.16721526006432919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1000"/>
            </a:pPr>
            <a:r>
              <a:rPr lang="x-none" sz="1000"/>
              <a:t> Ukupan kapital banaka</a:t>
            </a:r>
            <a:endParaRPr lang="en-US" sz="1000"/>
          </a:p>
        </c:rich>
      </c:tx>
      <c:layout>
        <c:manualLayout>
          <c:xMode val="edge"/>
          <c:yMode val="edge"/>
          <c:x val="0.25663888888888892"/>
          <c:y val="2.775510382485021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v>kapital banaka</c:v>
          </c:tx>
          <c:cat>
            <c:strRef>
              <c:f>'Database za makro'!$AV$53:$BH$53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2015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'Database za makro'!$AV$54:$BH$54</c:f>
              <c:numCache>
                <c:formatCode>#,##0</c:formatCode>
                <c:ptCount val="13"/>
                <c:pt idx="0">
                  <c:v>428102000</c:v>
                </c:pt>
                <c:pt idx="1">
                  <c:v>430402000</c:v>
                </c:pt>
                <c:pt idx="2">
                  <c:v>440279000</c:v>
                </c:pt>
                <c:pt idx="3">
                  <c:v>441961000</c:v>
                </c:pt>
                <c:pt idx="4">
                  <c:v>443811000</c:v>
                </c:pt>
                <c:pt idx="5">
                  <c:v>444352000</c:v>
                </c:pt>
                <c:pt idx="6">
                  <c:v>444035000</c:v>
                </c:pt>
                <c:pt idx="7">
                  <c:v>444925000</c:v>
                </c:pt>
                <c:pt idx="8">
                  <c:v>448056000</c:v>
                </c:pt>
                <c:pt idx="9">
                  <c:v>447125000</c:v>
                </c:pt>
                <c:pt idx="10">
                  <c:v>458501000</c:v>
                </c:pt>
                <c:pt idx="11">
                  <c:v>456314000</c:v>
                </c:pt>
                <c:pt idx="12">
                  <c:v>455890000</c:v>
                </c:pt>
              </c:numCache>
            </c:numRef>
          </c:val>
        </c:ser>
        <c:gapWidth val="79"/>
        <c:axId val="48793088"/>
        <c:axId val="48794624"/>
      </c:barChart>
      <c:catAx>
        <c:axId val="48793088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48794624"/>
        <c:crosses val="autoZero"/>
        <c:auto val="1"/>
        <c:lblAlgn val="ctr"/>
        <c:lblOffset val="100"/>
      </c:catAx>
      <c:valAx>
        <c:axId val="48794624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4879308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5.2083333333333433E-2"/>
                <c:y val="0.34987791663656731"/>
              </c:manualLayout>
            </c:layout>
            <c:tx>
              <c:rich>
                <a:bodyPr/>
                <a:lstStyle/>
                <a:p>
                  <a:pPr>
                    <a:defRPr lang="en-US" sz="700"/>
                  </a:pPr>
                  <a:r>
                    <a:rPr lang="sr-Latn-ME" sz="700" b="0"/>
                    <a:t>mil. eura</a:t>
                  </a:r>
                  <a:endParaRPr sz="700" b="0"/>
                </a:p>
              </c:rich>
            </c:tx>
          </c:dispUnitsLbl>
        </c:dispUnits>
      </c:valAx>
    </c:plotArea>
    <c:legend>
      <c:legendPos val="b"/>
      <c:txPr>
        <a:bodyPr/>
        <a:lstStyle/>
        <a:p>
          <a:pPr>
            <a:defRPr lang="en-US" sz="8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x-none" sz="1000" b="1">
                <a:solidFill>
                  <a:sysClr val="windowText" lastClr="000000"/>
                </a:solidFill>
              </a:rPr>
              <a:t>Spoljnotrgovinski bilans</a:t>
            </a:r>
            <a:r>
              <a:rPr lang="sr-Latn-CS" sz="1000" b="1">
                <a:solidFill>
                  <a:sysClr val="windowText" lastClr="000000"/>
                </a:solidFill>
              </a:rPr>
              <a:t> u mil.€</a:t>
            </a:r>
            <a:r>
              <a:rPr lang="sr-Latn-CS" sz="1000"/>
              <a:t>.</a:t>
            </a:r>
            <a:endParaRPr lang="x-none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stacked"/>
        <c:ser>
          <c:idx val="0"/>
          <c:order val="0"/>
          <c:tx>
            <c:strRef>
              <c:f>'Makroekonomski indikatori'!$BC$133</c:f>
              <c:strCache>
                <c:ptCount val="1"/>
                <c:pt idx="0">
                  <c:v>Izvoz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1"/>
              </a:solidFill>
            </a:ln>
            <a:effectLst/>
          </c:spPr>
          <c:dLbls>
            <c:dLbl>
              <c:idx val="0"/>
              <c:layout>
                <c:manualLayout>
                  <c:x val="0"/>
                  <c:y val="-7.39695340501792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0"/>
                  <c:y val="-7.39695340501793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8.3994708994709153E-3"/>
                  <c:y val="-5.68996415770608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0"/>
                  <c:y val="-6.82795698924731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indikatori'!$BD$132:$BG$132</c:f>
              <c:strCache>
                <c:ptCount val="4"/>
                <c:pt idx="0">
                  <c:v>Q1 2014</c:v>
                </c:pt>
                <c:pt idx="1">
                  <c:v>Q1 2015</c:v>
                </c:pt>
                <c:pt idx="2">
                  <c:v>Q2 2014</c:v>
                </c:pt>
                <c:pt idx="3">
                  <c:v>Q2 2015</c:v>
                </c:pt>
              </c:strCache>
            </c:strRef>
          </c:cat>
          <c:val>
            <c:numRef>
              <c:f>'Makroekonomski indikatori'!$BD$133:$BG$133</c:f>
              <c:numCache>
                <c:formatCode>#,##0.00</c:formatCode>
                <c:ptCount val="4"/>
                <c:pt idx="0">
                  <c:v>69.438999999999993</c:v>
                </c:pt>
                <c:pt idx="1">
                  <c:v>74.498999999999995</c:v>
                </c:pt>
                <c:pt idx="2">
                  <c:v>77.009</c:v>
                </c:pt>
                <c:pt idx="3">
                  <c:v>69.179999999999978</c:v>
                </c:pt>
              </c:numCache>
            </c:numRef>
          </c:val>
        </c:ser>
        <c:ser>
          <c:idx val="1"/>
          <c:order val="1"/>
          <c:tx>
            <c:strRef>
              <c:f>'Makroekonomski indikatori'!$BC$134</c:f>
              <c:strCache>
                <c:ptCount val="1"/>
                <c:pt idx="0">
                  <c:v>Uvoz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bg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indikatori'!$BD$132:$BG$132</c:f>
              <c:strCache>
                <c:ptCount val="4"/>
                <c:pt idx="0">
                  <c:v>Q1 2014</c:v>
                </c:pt>
                <c:pt idx="1">
                  <c:v>Q1 2015</c:v>
                </c:pt>
                <c:pt idx="2">
                  <c:v>Q2 2014</c:v>
                </c:pt>
                <c:pt idx="3">
                  <c:v>Q2 2015</c:v>
                </c:pt>
              </c:strCache>
            </c:strRef>
          </c:cat>
          <c:val>
            <c:numRef>
              <c:f>'Makroekonomski indikatori'!$BD$134:$BG$134</c:f>
              <c:numCache>
                <c:formatCode>#,##0.00</c:formatCode>
                <c:ptCount val="4"/>
                <c:pt idx="0">
                  <c:v>341.60199999999969</c:v>
                </c:pt>
                <c:pt idx="1">
                  <c:v>356.96499999999969</c:v>
                </c:pt>
                <c:pt idx="2">
                  <c:v>488.36</c:v>
                </c:pt>
                <c:pt idx="3">
                  <c:v>502.55399999999969</c:v>
                </c:pt>
              </c:numCache>
            </c:numRef>
          </c:val>
        </c:ser>
        <c:ser>
          <c:idx val="2"/>
          <c:order val="2"/>
          <c:tx>
            <c:strRef>
              <c:f>'Makroekonomski indikatori'!$BC$135</c:f>
              <c:strCache>
                <c:ptCount val="1"/>
                <c:pt idx="0">
                  <c:v>Trgovinski bilans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dLbls>
            <c:dLbl>
              <c:idx val="0"/>
              <c:layout>
                <c:manualLayout>
                  <c:x val="-9.2261904761905111E-3"/>
                  <c:y val="4.4802867383512634E-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601851851851873E-2"/>
                  <c:y val="4.4802867383512634E-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3181216931217014E-2"/>
                  <c:y val="8.9605734767025267E-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7070105820105659E-2"/>
                  <c:y val="4.4802867383512634E-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indikatori'!$BD$132:$BG$132</c:f>
              <c:strCache>
                <c:ptCount val="4"/>
                <c:pt idx="0">
                  <c:v>Q1 2014</c:v>
                </c:pt>
                <c:pt idx="1">
                  <c:v>Q1 2015</c:v>
                </c:pt>
                <c:pt idx="2">
                  <c:v>Q2 2014</c:v>
                </c:pt>
                <c:pt idx="3">
                  <c:v>Q2 2015</c:v>
                </c:pt>
              </c:strCache>
            </c:strRef>
          </c:cat>
          <c:val>
            <c:numRef>
              <c:f>'Makroekonomski indikatori'!$BD$135:$BG$135</c:f>
              <c:numCache>
                <c:formatCode>#,##0.00</c:formatCode>
                <c:ptCount val="4"/>
                <c:pt idx="0">
                  <c:v>-272.16300000000001</c:v>
                </c:pt>
                <c:pt idx="1">
                  <c:v>-282.46599999999927</c:v>
                </c:pt>
                <c:pt idx="2">
                  <c:v>-411.351</c:v>
                </c:pt>
                <c:pt idx="3">
                  <c:v>-433.37399999999963</c:v>
                </c:pt>
              </c:numCache>
            </c:numRef>
          </c:val>
        </c:ser>
        <c:overlap val="100"/>
        <c:axId val="83262848"/>
        <c:axId val="92157056"/>
      </c:barChart>
      <c:catAx>
        <c:axId val="832628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vert="horz" wrap="square" anchor="b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157056"/>
        <c:crosses val="autoZero"/>
        <c:auto val="1"/>
        <c:lblAlgn val="ctr"/>
        <c:lblOffset val="100"/>
      </c:catAx>
      <c:valAx>
        <c:axId val="92157056"/>
        <c:scaling>
          <c:orientation val="minMax"/>
          <c:max val="580"/>
          <c:min val="-45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262848"/>
        <c:crosses val="autoZero"/>
        <c:crossBetween val="between"/>
        <c:majorUnit val="225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0.2381</cdr:x>
      <cdr:y>0.7005</cdr:y>
    </cdr:from>
    <cdr:to>
      <cdr:x>0.6909</cdr:x>
      <cdr:y>0.78959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29865" y="1455758"/>
          <a:ext cx="1007654" cy="1851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1F6F-F3EF-4FAA-AE74-332D15D8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marija.goranovic</cp:lastModifiedBy>
  <cp:revision>2</cp:revision>
  <cp:lastPrinted>2015-07-08T09:21:00Z</cp:lastPrinted>
  <dcterms:created xsi:type="dcterms:W3CDTF">2015-08-10T13:09:00Z</dcterms:created>
  <dcterms:modified xsi:type="dcterms:W3CDTF">2015-08-10T13:09:00Z</dcterms:modified>
</cp:coreProperties>
</file>