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DCA8" w14:textId="77777777" w:rsidR="00C864C1" w:rsidRDefault="00C864C1" w:rsidP="00C864C1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A07773">
        <w:rPr>
          <w:rFonts w:ascii="Arial" w:hAnsi="Arial" w:cs="Arial"/>
          <w:b/>
          <w:color w:val="2E74B5" w:themeColor="accent1" w:themeShade="BF"/>
          <w:szCs w:val="24"/>
        </w:rPr>
        <w:t>OBRAZAC</w:t>
      </w:r>
    </w:p>
    <w:p w14:paraId="7ECCDA6C" w14:textId="77777777" w:rsidR="00155612" w:rsidRDefault="00155612" w:rsidP="00155612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14:paraId="13E468A2" w14:textId="77777777" w:rsidR="00155612" w:rsidRPr="000511F0" w:rsidRDefault="00155612" w:rsidP="00155612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tbl>
      <w:tblPr>
        <w:tblStyle w:val="LightGrid-Accent5"/>
        <w:tblW w:w="9648" w:type="dxa"/>
        <w:tblLook w:val="04A0" w:firstRow="1" w:lastRow="0" w:firstColumn="1" w:lastColumn="0" w:noHBand="0" w:noVBand="1"/>
      </w:tblPr>
      <w:tblGrid>
        <w:gridCol w:w="3978"/>
        <w:gridCol w:w="5670"/>
      </w:tblGrid>
      <w:tr w:rsidR="00155612" w:rsidRPr="00C864C1" w14:paraId="4D0F532F" w14:textId="77777777" w:rsidTr="00A0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3C8ECB05" w14:textId="77777777" w:rsidR="00155612" w:rsidRPr="00C864C1" w:rsidRDefault="00155612" w:rsidP="00A01E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E74B5" w:themeColor="accent1" w:themeShade="BF"/>
                <w:sz w:val="28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Cs w:val="24"/>
                <w:lang w:val="pl-PL"/>
              </w:rPr>
              <w:t>IZVJEŠTAJ O SPROVEDENOJ ANALIZI PROCJENE UTICAJA PROPISA</w:t>
            </w:r>
          </w:p>
        </w:tc>
      </w:tr>
      <w:tr w:rsidR="00155612" w:rsidRPr="000511F0" w14:paraId="56725814" w14:textId="77777777" w:rsidTr="00A0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5FF72024" w14:textId="77777777" w:rsidR="00155612" w:rsidRPr="006A1B2C" w:rsidRDefault="00155612" w:rsidP="00A01E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PREDLAGA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Č PROPISA</w:t>
            </w:r>
          </w:p>
        </w:tc>
        <w:tc>
          <w:tcPr>
            <w:tcW w:w="5670" w:type="dxa"/>
          </w:tcPr>
          <w:p w14:paraId="2698FEC3" w14:textId="1235DE96" w:rsidR="00155612" w:rsidRPr="000511F0" w:rsidRDefault="00155612" w:rsidP="00A01E66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Ministarstvo </w:t>
            </w:r>
            <w:r w:rsidR="00C864C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kulture i medija</w:t>
            </w:r>
          </w:p>
        </w:tc>
      </w:tr>
      <w:tr w:rsidR="00155612" w:rsidRPr="00C864C1" w14:paraId="00B86575" w14:textId="77777777" w:rsidTr="00A01E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BA9DDEA" w14:textId="77777777" w:rsidR="00155612" w:rsidRPr="000511F0" w:rsidRDefault="00155612" w:rsidP="00A01E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ZIV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670" w:type="dxa"/>
          </w:tcPr>
          <w:p w14:paraId="3EB3545E" w14:textId="0F04592C" w:rsidR="00155612" w:rsidRPr="00155612" w:rsidRDefault="00E53DC9" w:rsidP="00A01E66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  <w:lang w:val="pl-PL"/>
              </w:rPr>
              <w:t xml:space="preserve">Nacrt </w:t>
            </w:r>
            <w:r w:rsidR="00A247B6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  <w:lang w:val="pl-PL"/>
              </w:rPr>
              <w:t>Z</w:t>
            </w:r>
            <w:r w:rsidR="00C9002F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  <w:lang w:val="pl-PL"/>
              </w:rPr>
              <w:t>akona o medijima</w:t>
            </w:r>
          </w:p>
        </w:tc>
      </w:tr>
      <w:tr w:rsidR="00155612" w:rsidRPr="00C864C1" w14:paraId="6FE8C0BC" w14:textId="77777777" w:rsidTr="00A0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3D18DBAC" w14:textId="77777777" w:rsidR="00155612" w:rsidRPr="000511F0" w:rsidRDefault="00155612" w:rsidP="00A01E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Definisanje problema</w:t>
            </w:r>
          </w:p>
          <w:p w14:paraId="7DB028BA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Koje probleme  treba da riješi predloženi akt?</w:t>
            </w:r>
          </w:p>
          <w:p w14:paraId="6A176BAB" w14:textId="77777777" w:rsidR="00155612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Koji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su uzroci problema?</w:t>
            </w:r>
          </w:p>
          <w:p w14:paraId="1F8A61F4" w14:textId="77777777" w:rsidR="00155612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067FCF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oje su posljedice problema?</w:t>
            </w:r>
          </w:p>
          <w:p w14:paraId="1ADC9786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Koji su subjekti oštećeni, na koji način i u kojoj mjeri?</w:t>
            </w:r>
          </w:p>
          <w:p w14:paraId="1BADA6E8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Kako bi problem evoluirao bez promjene propisa (“status quo” opcija)?</w:t>
            </w:r>
          </w:p>
        </w:tc>
      </w:tr>
      <w:tr w:rsidR="00155612" w:rsidRPr="00C864C1" w14:paraId="1F32D9FF" w14:textId="77777777" w:rsidTr="00A01E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3BB44528" w14:textId="49649996" w:rsidR="00F244E1" w:rsidRDefault="00A26AEB" w:rsidP="00C9002F">
            <w:pPr>
              <w:spacing w:before="120" w:after="120"/>
              <w:contextualSpacing/>
              <w:rPr>
                <w:rFonts w:ascii="Times New Roman" w:eastAsiaTheme="minorHAnsi" w:hAnsi="Times New Roman"/>
                <w:bCs/>
                <w:szCs w:val="24"/>
                <w:lang w:val="it-IT" w:eastAsia="en-US"/>
              </w:rPr>
            </w:pPr>
            <w:r w:rsidRPr="00A26AEB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Crna Gora je prvi Zakon o medijima, koji je bio na tragu standarda razvijenih demokratija za povoljno okruženje za rad slobodnih medija, donijela 2002. godine.</w:t>
            </w:r>
            <w:r w:rsidR="00E53DC9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</w:t>
            </w:r>
            <w:r w:rsidRPr="00A26AEB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Od tada su zakoni koji regulišu rad medija (Zakon o medijima, Zakon o nacionalnom javnom emiteru RTCG i Zakon o elektronskim medijima) mijenjani i dopunjavani sa obrazloženjem da je potrebno usklađivanje sa preporukama Evropske unije i Savjeta Evrope. </w:t>
            </w:r>
            <w:r w:rsidR="00E53DC9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Novi Zakon o medijima, usvojen u julu 2020. godine</w:t>
            </w:r>
            <w:r w:rsidR="00F244E1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je</w:t>
            </w:r>
            <w:r w:rsidR="00E53DC9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f</w:t>
            </w:r>
            <w:r w:rsidRPr="00A26AEB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ormalno, </w:t>
            </w:r>
            <w:r w:rsidR="00E53DC9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u značajnom dijelu</w:t>
            </w:r>
            <w:r w:rsidR="00F244E1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,</w:t>
            </w:r>
            <w:r w:rsidR="00E53DC9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bio usklađen sa </w:t>
            </w:r>
            <w:r w:rsidR="00F244E1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navedenim dokumentima, </w:t>
            </w:r>
            <w:r w:rsidR="00051B3C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ali su i pored svih novina, mnoga pitanja ostala nerazjašnjena, a neka od postojećih zakonskih rješenja nijesu pokazala dovoljan nivo djelotvornosti i efikasnosti u praksi. S toga se novim rješenjima nastoje otkloniti ti nedostaci.</w:t>
            </w:r>
          </w:p>
          <w:p w14:paraId="3364E91C" w14:textId="414F93F0" w:rsidR="00051B3C" w:rsidRDefault="00051B3C" w:rsidP="00C9002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</w:pPr>
          </w:p>
          <w:p w14:paraId="24EB43F1" w14:textId="5A2379A6" w:rsidR="00051B3C" w:rsidRDefault="00051B3C" w:rsidP="00C9002F">
            <w:pPr>
              <w:spacing w:before="120" w:after="120"/>
              <w:contextualSpacing/>
              <w:rPr>
                <w:rFonts w:ascii="Times New Roman" w:eastAsiaTheme="minorHAnsi" w:hAnsi="Times New Roman"/>
                <w:bCs/>
                <w:szCs w:val="24"/>
                <w:lang w:val="it-IT" w:eastAsia="en-US"/>
              </w:rPr>
            </w:pPr>
            <w:r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Dosadašnje zakonsko rješenje nije </w:t>
            </w:r>
            <w:r w:rsidR="00A928D9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uopšte predviđalo definiciju novinara, što je uz medije primarni subjekt ovog zakona, tim prije što su zakonom predviđena prava, obaveze i odgovornost novinara. </w:t>
            </w:r>
            <w:r w:rsidR="00264BE1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Takođe, medijima nije ostavljena mogućnost da mogu biti odvojeno pravno lice</w:t>
            </w:r>
            <w:r w:rsidR="000057A6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od osnivača, niti je omogućeno vlasnicima medija da </w:t>
            </w:r>
            <w:r w:rsidR="000057A6" w:rsidRPr="000057A6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svoju djelatnost </w:t>
            </w:r>
            <w:r w:rsidR="000057A6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mogu </w:t>
            </w:r>
            <w:r w:rsidR="000057A6" w:rsidRPr="000057A6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obavljati preko jednog pravnog lica koje je osnivač više medija</w:t>
            </w:r>
            <w:r w:rsidR="000057A6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. </w:t>
            </w:r>
            <w:r w:rsidR="00E5537E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Izostavljeno je takođe određenje Evidencije </w:t>
            </w:r>
            <w:r w:rsidR="00401105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medija, ali je ostao i nepotpun njen sadržaj. Nacrtom zakona se uvodi obaveza označa</w:t>
            </w:r>
            <w:r w:rsidR="00D239F2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vanja medija koji nijesu više aktivni, a upisani su u Evidenciju, što je ranije dovodilo do toga da se nije mogao utvrditi tačan broj aktivnih medija u Crnoj Gori, a imajući u vidu veliku koncentraciju učesnika na malom tržištu medija u Crnoj Gori. </w:t>
            </w:r>
          </w:p>
          <w:p w14:paraId="1DFECE8B" w14:textId="53466564" w:rsidR="00D239F2" w:rsidRDefault="00D239F2" w:rsidP="00C9002F">
            <w:pPr>
              <w:spacing w:before="120" w:after="120"/>
              <w:contextualSpacing/>
              <w:rPr>
                <w:rFonts w:ascii="Times New Roman" w:eastAsiaTheme="minorHAnsi" w:hAnsi="Times New Roman"/>
                <w:bCs/>
                <w:szCs w:val="24"/>
                <w:lang w:val="it-IT" w:eastAsia="en-US"/>
              </w:rPr>
            </w:pPr>
          </w:p>
          <w:p w14:paraId="6597E958" w14:textId="5C99D1B4" w:rsidR="001C3F9E" w:rsidRDefault="00D239F2" w:rsidP="00D239F2">
            <w:pPr>
              <w:spacing w:before="120" w:after="120"/>
              <w:contextualSpacing/>
              <w:rPr>
                <w:rFonts w:ascii="Times New Roman" w:eastAsiaTheme="minorHAnsi" w:hAnsi="Times New Roman"/>
                <w:bCs/>
                <w:szCs w:val="24"/>
                <w:lang w:val="it-IT" w:eastAsia="en-US"/>
              </w:rPr>
            </w:pPr>
            <w:r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Iako je važeći Zakon o medijima uveo</w:t>
            </w:r>
            <w:r w:rsidR="009F4DED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odredbe o</w:t>
            </w:r>
            <w:r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obavez</w:t>
            </w:r>
            <w:r w:rsidR="009F4DED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i</w:t>
            </w:r>
            <w:r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</w:t>
            </w:r>
            <w:r w:rsidRPr="00D239F2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transparentnosti</w:t>
            </w:r>
            <w:r w:rsidR="009F4DED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</w:t>
            </w:r>
            <w:r w:rsidRPr="00D239F2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finansiranja medija iz javnih prihoda</w:t>
            </w:r>
            <w:r w:rsidR="009F4DED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, one su mahom zbog nedovoljno dobro postavljene formulacije pokazale manjkavost u praksi, budući da je u prvoj godini njihove primjene, i uz sve napore Ministarstva, samo 37 % aktivnih medija i svega 9 % organa javnog sektora dostavilo podatke o transparnentnosti finansiranja. Tome je dijelom doprinijelo i </w:t>
            </w:r>
            <w:r w:rsidR="001C3F9E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neposredno neodređivanje pojma javnog sektora, te selektivno postavljena prekršajna odgovornost javnog sektora</w:t>
            </w:r>
            <w:r w:rsidR="009F4DED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</w:t>
            </w:r>
            <w:r w:rsidR="001C3F9E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za nepostupanje po navedenim odredbama. </w:t>
            </w:r>
            <w:r w:rsidR="00B10808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Takođe, dosadašnjim rješenjem nije postojalo ograničenje </w:t>
            </w:r>
            <w:r w:rsidR="003E20A0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oglašavanje javnog sektora u </w:t>
            </w:r>
            <w:r w:rsidR="00B10808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mediju</w:t>
            </w:r>
            <w:r w:rsidR="003E20A0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i finansiranje medija iz javnih prihoda, </w:t>
            </w:r>
            <w:r w:rsidR="00B10808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bez obzira li je medij upisan u Evidenciju i bez obzira na strukturu</w:t>
            </w:r>
            <w:r w:rsidR="00CE4DE4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 xml:space="preserve"> sredstava </w:t>
            </w:r>
            <w:r w:rsidR="003E20A0"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  <w:t>kojim mediji raspolažu.</w:t>
            </w:r>
          </w:p>
          <w:p w14:paraId="3ACCF2B4" w14:textId="1DD7B9F3" w:rsidR="0085704A" w:rsidRDefault="0085704A" w:rsidP="00D239F2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</w:pPr>
          </w:p>
          <w:p w14:paraId="78056D93" w14:textId="0F731EF6" w:rsidR="0085704A" w:rsidRDefault="0085704A" w:rsidP="00D239F2">
            <w:pPr>
              <w:spacing w:before="120" w:after="120"/>
              <w:contextualSpacing/>
              <w:rPr>
                <w:rFonts w:ascii="Times New Roman" w:eastAsiaTheme="minorHAnsi" w:hAnsi="Times New Roman"/>
                <w:szCs w:val="24"/>
                <w:lang w:val="it-IT" w:eastAsia="en-US"/>
              </w:rPr>
            </w:pPr>
            <w:r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Takođe, važeći Zakon o medijima nije regulisao za koju djelatnost samoregulatorna tijela mogu podnositi zahtjeve </w:t>
            </w:r>
            <w:r w:rsidR="00844474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za pokriće operativnih troškova, onemogućavao je samo nacionalnog javnog </w:t>
            </w:r>
            <w:r w:rsidR="00844474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lastRenderedPageBreak/>
              <w:t>emitera da se finansira iz sredstava Fonda</w:t>
            </w:r>
            <w:r w:rsidR="00BB67D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za podsticanje pluralizma </w:t>
            </w:r>
            <w:r w:rsidR="00202D7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i raznovrsnosti medija (u daljem tekstu: Fond)</w:t>
            </w:r>
            <w:r w:rsidR="00844474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; nije precizirao koje se teme imaju smatrati prioritetnim za dodjelu sredstava iz Fonda medijima, medije koji mogu konkurisati</w:t>
            </w:r>
            <w:r w:rsidR="00BB67D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,</w:t>
            </w:r>
            <w:r w:rsidR="00844474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rokove u kojima mogu konkurisati za dodjelu tih sredstava</w:t>
            </w:r>
            <w:r w:rsidR="00202D7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, rokove </w:t>
            </w:r>
            <w:r w:rsidR="00BB67D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za realizaciju izvještaja</w:t>
            </w:r>
            <w:r w:rsidR="00202D7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i</w:t>
            </w:r>
            <w:r w:rsidR="00844474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</w:t>
            </w:r>
            <w:r w:rsidR="00BB67DE" w:rsidRPr="00BB67D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vrst</w:t>
            </w:r>
            <w:r w:rsidR="00BB67D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u</w:t>
            </w:r>
            <w:r w:rsidR="00BB67DE" w:rsidRPr="00BB67D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izvještaja koje mediji dostavljaju o realizaciji projekta</w:t>
            </w:r>
            <w:r w:rsidR="00BB67D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. Iako je uvedena mogućnost finansiranja medija iz Fonda </w:t>
            </w:r>
            <w:r w:rsidR="00202D7E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na centralnom nivou, </w:t>
            </w:r>
            <w:r w:rsidR="00EC3E77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to nije učinjeno na lokalnom nivou gdje nijesu osnovani lokalni javni emiteri. </w:t>
            </w:r>
          </w:p>
          <w:p w14:paraId="4E77859A" w14:textId="5A4D54AA" w:rsidR="00EC3E77" w:rsidRDefault="00EC3E77" w:rsidP="00D239F2">
            <w:pPr>
              <w:spacing w:before="120" w:after="120"/>
              <w:contextualSpacing/>
              <w:rPr>
                <w:rFonts w:ascii="Times New Roman" w:eastAsiaTheme="minorHAnsi" w:hAnsi="Times New Roman"/>
                <w:szCs w:val="24"/>
                <w:lang w:val="it-IT" w:eastAsia="en-US"/>
              </w:rPr>
            </w:pPr>
          </w:p>
          <w:p w14:paraId="30FFC701" w14:textId="627CE9D5" w:rsidR="00155612" w:rsidRDefault="00AD2B21" w:rsidP="0058535F">
            <w:pPr>
              <w:spacing w:before="120" w:after="120"/>
              <w:contextualSpacing/>
              <w:rPr>
                <w:rFonts w:ascii="Times New Roman" w:eastAsiaTheme="minorHAnsi" w:hAnsi="Times New Roman"/>
                <w:b w:val="0"/>
                <w:szCs w:val="24"/>
                <w:lang w:val="it-IT" w:eastAsia="en-US"/>
              </w:rPr>
            </w:pPr>
            <w:r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U postojećem rješenju n</w:t>
            </w:r>
            <w:r w:rsidR="00EC3E77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ijesu precizirane visina i odgovornost medija za štetu, </w:t>
            </w:r>
            <w:r w:rsidR="004B73FC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te nijesu utvrđeni uslovi</w:t>
            </w:r>
            <w:r w:rsidR="00B44F5B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i postupak imenovanja i razriješenja glavnog urednika i urednika i njihova prava u slučaju ostavke</w:t>
            </w:r>
            <w:r w:rsidR="00510FCA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. Postojeće rješenje je ograničilo objavljivanje medijskog sadržaja samo za novinare, </w:t>
            </w:r>
            <w:r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te novinarima nije u potpunosti pružena zaštita, posebno u pogledu obaveze otkrivanja novinarskih izvora.</w:t>
            </w:r>
            <w:r w:rsidR="003A3DE1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</w:t>
            </w:r>
            <w:r w:rsidR="00484F02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Prethodno pogotovo što je zbog loše formulacije važećeg rješenja stvoren utisak da je novinar na zahtjev tužioca, a ne suda u obavezi da otkrije izvor informacije. Time se otvara prostor za široko tumačenje norme. </w:t>
            </w:r>
            <w:r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Konačno, </w:t>
            </w:r>
            <w:r w:rsidR="0058535F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nadzor nad </w:t>
            </w:r>
            <w:r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sprovođenje</w:t>
            </w:r>
            <w:r w:rsidR="0058535F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m</w:t>
            </w:r>
            <w:r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 xml:space="preserve"> pojedinih zakonskih odredbi je </w:t>
            </w:r>
            <w:r w:rsidR="00ED5DD0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krajnje ograničena u postojećem kapacitetu</w:t>
            </w:r>
            <w:r w:rsidR="0058535F">
              <w:rPr>
                <w:rFonts w:ascii="Times New Roman" w:eastAsiaTheme="minorHAnsi" w:hAnsi="Times New Roman"/>
                <w:b w:val="0"/>
                <w:bCs/>
                <w:szCs w:val="24"/>
                <w:lang w:val="it-IT" w:eastAsia="en-US"/>
              </w:rPr>
              <w:t>, što sve umnogome otežava njegovu djelotvorniju primjenu u praksi.</w:t>
            </w:r>
          </w:p>
          <w:p w14:paraId="1BB2389F" w14:textId="615C679C" w:rsidR="0058535F" w:rsidRPr="0058535F" w:rsidRDefault="0058535F" w:rsidP="0058535F">
            <w:pPr>
              <w:spacing w:before="120" w:after="120"/>
              <w:contextualSpacing/>
              <w:rPr>
                <w:rFonts w:ascii="Times New Roman" w:eastAsiaTheme="minorHAnsi" w:hAnsi="Times New Roman"/>
                <w:szCs w:val="24"/>
                <w:lang w:val="it-IT" w:eastAsia="en-US"/>
              </w:rPr>
            </w:pPr>
          </w:p>
        </w:tc>
      </w:tr>
      <w:tr w:rsidR="00155612" w:rsidRPr="00C864C1" w14:paraId="7ED6169C" w14:textId="77777777" w:rsidTr="00A0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7CE1C1E2" w14:textId="77777777" w:rsidR="00155612" w:rsidRPr="000511F0" w:rsidRDefault="00155612" w:rsidP="00A01E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</w:t>
            </w:r>
            <w:r w:rsidRPr="00A043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Ciljevi</w:t>
            </w:r>
          </w:p>
          <w:p w14:paraId="7BD7E86B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Koji ciljevi se postižu predloženim propisom?</w:t>
            </w:r>
          </w:p>
          <w:p w14:paraId="24FC51AD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Navesti usklađenost ovih ciljeva sa postojećim strategijama ili programima Vlade, ako je primjenljivo.</w:t>
            </w:r>
          </w:p>
        </w:tc>
      </w:tr>
      <w:tr w:rsidR="00155612" w:rsidRPr="00C864C1" w14:paraId="3DE2AA3B" w14:textId="77777777" w:rsidTr="00A01E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1E92B638" w14:textId="160E428B" w:rsidR="00CD0C19" w:rsidRDefault="00E16C5E" w:rsidP="00E16C5E">
            <w:pPr>
              <w:spacing w:line="276" w:lineRule="auto"/>
              <w:rPr>
                <w:rFonts w:ascii="Times New Roman" w:eastAsiaTheme="minorHAnsi" w:hAnsi="Times New Roman"/>
                <w:bCs/>
                <w:szCs w:val="24"/>
                <w:lang w:eastAsia="en-US"/>
              </w:rPr>
            </w:pPr>
            <w:r w:rsidRPr="00E16C5E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Ključni c</w:t>
            </w:r>
            <w:r w:rsidR="00A247B6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iljevi koji se postižu Nacrtom z</w:t>
            </w:r>
            <w:r w:rsidRPr="00E16C5E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akona podrazumijevaju </w:t>
            </w:r>
            <w:r w:rsidR="00E46B4F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jačanje zaštite</w:t>
            </w:r>
            <w:r w:rsidR="00CD0C19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, </w:t>
            </w:r>
            <w:r w:rsidR="00F9370A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nezavisnosti</w:t>
            </w:r>
            <w:r w:rsidR="00E46B4F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novinara</w:t>
            </w:r>
            <w:r w:rsidR="00F9370A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i medija</w:t>
            </w:r>
            <w:r w:rsidR="00CD0C19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i</w:t>
            </w:r>
            <w:r w:rsidR="00E46B4F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njihovog socio-ekonomskog pol</w:t>
            </w:r>
            <w:r w:rsidR="00CD0C19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o</w:t>
            </w:r>
            <w:r w:rsidR="00E46B4F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žaja</w:t>
            </w:r>
            <w:r w:rsidR="00351D95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, posebno s aspekta obaveze otkrivanja izvora informacija</w:t>
            </w:r>
            <w:r w:rsidR="00F9370A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samo </w:t>
            </w:r>
            <w:r w:rsidR="00B64971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uz </w:t>
            </w:r>
            <w:r w:rsidR="00351D95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odluk</w:t>
            </w:r>
            <w:r w:rsidR="00F9370A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u</w:t>
            </w:r>
            <w:r w:rsidR="00351D95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nadležnog suda</w:t>
            </w:r>
            <w:r w:rsidR="00ED5DD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, a</w:t>
            </w:r>
            <w:r w:rsidR="00F9370A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na osnovu zahtjeva </w:t>
            </w:r>
            <w:r w:rsidR="00ED5DD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nadležnog državnog </w:t>
            </w:r>
            <w:r w:rsidR="00F9370A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tužioca i visine štete do koje</w:t>
            </w:r>
            <w:r w:rsidR="00CD0C19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mediji mogu odgovorati</w:t>
            </w:r>
            <w:r w:rsidR="00351D95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.</w:t>
            </w:r>
            <w:r w:rsidR="00B64971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Sa novim rješenjima se omogućava jasnije i efikasnije vođenje Evidencije, te lakša razmjena podataka između nezavisnog regulatora</w:t>
            </w:r>
            <w:r w:rsidR="00ED5DD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za audiovizuelne medijske usluge (u daljem tekstu nezavisni regulator)</w:t>
            </w:r>
            <w:r w:rsidR="00B64971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i Ministarstva. </w:t>
            </w:r>
          </w:p>
          <w:p w14:paraId="31BFA914" w14:textId="77777777" w:rsidR="00CD0C19" w:rsidRDefault="00CD0C19" w:rsidP="00E16C5E">
            <w:pPr>
              <w:spacing w:line="276" w:lineRule="auto"/>
              <w:rPr>
                <w:rFonts w:ascii="Times New Roman" w:eastAsiaTheme="minorHAnsi" w:hAnsi="Times New Roman"/>
                <w:bCs/>
                <w:szCs w:val="24"/>
                <w:lang w:eastAsia="en-US"/>
              </w:rPr>
            </w:pPr>
          </w:p>
          <w:p w14:paraId="3C555802" w14:textId="1001A6FA" w:rsidR="00E46B4F" w:rsidRDefault="008E3E4E" w:rsidP="00E16C5E">
            <w:pPr>
              <w:spacing w:line="276" w:lineRule="auto"/>
              <w:rPr>
                <w:rFonts w:ascii="Times New Roman" w:eastAsiaTheme="minorHAnsi" w:hAnsi="Times New Roman"/>
                <w:bCs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Onemogućavanjem oglašavanja javnog sektora u medijima koji nijesu upisanu u Evidenciju, isključivanjem mogućnosti </w:t>
            </w:r>
            <w:r w:rsidRPr="008E3E4E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dodjel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e</w:t>
            </w:r>
            <w:r w:rsidRPr="008E3E4E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sredst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a</w:t>
            </w:r>
            <w:r w:rsidRPr="008E3E4E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va</w:t>
            </w:r>
            <w:r w:rsidR="0064583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iz</w:t>
            </w:r>
            <w:r w:rsidR="00ED5DD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Fonda</w:t>
            </w:r>
            <w:r w:rsidR="0064583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</w:t>
            </w:r>
            <w:r w:rsidRPr="008E3E4E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osnivaču medija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,</w:t>
            </w:r>
            <w:r w:rsidR="0064583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kod kog više </w:t>
            </w:r>
            <w:r w:rsidRPr="008E3E4E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od 49% ukupnog prihoda</w:t>
            </w:r>
            <w:r w:rsidR="0064583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,</w:t>
            </w:r>
            <w:r w:rsidR="00521292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</w:t>
            </w:r>
            <w:r w:rsidR="0064583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</w:t>
            </w:r>
            <w:r w:rsidRPr="008E3E4E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ostvarenog u prethodnoj godini, potiče od javnog sektora</w:t>
            </w:r>
            <w:r w:rsidR="0064583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, uvođenjem</w:t>
            </w:r>
            <w:r w:rsidR="00521292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obaveze dostavljanja podataka o uplaćenim donacijama u slopu transparentnosti finansiranja,</w:t>
            </w:r>
            <w:r w:rsidR="0064583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mogućnosti da se iz Fonda mogu finansirati i periodične štampane publikacije, te jasnije razrade kriterijuma, uslova, rokova konkurisanja i realizacije projekata koji se finansiraju iz Fonda</w:t>
            </w:r>
            <w:r w:rsidR="00F9370A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, stavljanjem znaka jed</w:t>
            </w:r>
            <w:r w:rsidR="0008328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n</w:t>
            </w:r>
            <w:r w:rsidR="00F9370A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akosti između samoregulatornih </w:t>
            </w:r>
            <w:r w:rsidR="00521292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tijela </w:t>
            </w:r>
            <w:r w:rsidR="00F9370A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svih javnih emitera</w:t>
            </w:r>
            <w:r w:rsidR="00CD0C19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u pogledu mogućnosti finansiranja iz </w:t>
            </w:r>
            <w:r w:rsidR="0008328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F</w:t>
            </w:r>
            <w:r w:rsidR="00CD0C19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onda, povećanjem sredstava iz tekućeg budžeta koja se izdvajaju za Fond, te </w:t>
            </w:r>
            <w:r w:rsidR="0008328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uvođenjem mogućnosti da Fond mogu formirati i one jedinice lokalne samouprave u kojima ne postoje lokalni javni emiteri, ima za cilj da suzbije nelojalnu konkurenciju i obezbjedi postojanije funkcionisanje tržišta medija u Crnoj Gori</w:t>
            </w:r>
            <w:r w:rsidR="00521292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i unaprijedi transparentost finansiranja medija iz javnih prihoda.</w:t>
            </w:r>
          </w:p>
          <w:p w14:paraId="14C76657" w14:textId="40ADDF03" w:rsidR="00350CF5" w:rsidRDefault="00350CF5" w:rsidP="00E16C5E">
            <w:pPr>
              <w:spacing w:line="276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</w:p>
          <w:p w14:paraId="695153E6" w14:textId="7D334FF9" w:rsidR="00350CF5" w:rsidRDefault="00350CF5" w:rsidP="00E16C5E">
            <w:pPr>
              <w:spacing w:line="276" w:lineRule="auto"/>
              <w:rPr>
                <w:rFonts w:ascii="Times New Roman" w:eastAsiaTheme="minorHAnsi" w:hAnsi="Times New Roman"/>
                <w:bCs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Uvođenjem mogućnosti da se internetska publikacija može djelimično smatrati </w:t>
            </w:r>
            <w:r w:rsidRPr="00350CF5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audiovizuelnom medijskom uslugom prema zakonu koji uređuje oblast audiovizuelnih medijskih usluga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lastRenderedPageBreak/>
              <w:t>produženjem roka za uklanjanje komentara trećih lica</w:t>
            </w:r>
            <w:r w:rsidR="00D236B3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i mogućnosti izjavljivanja žalbe na odluku suda o uklanjanju spornog sadržaja, nastoji se izvršiti usklađivanje ovog zakona sa Zakonom o audiovizuelnim medijskim uslugama, te postići načelo pravičnosti u odnosu na odgovornost internetskih publikacija. </w:t>
            </w:r>
          </w:p>
          <w:p w14:paraId="34901172" w14:textId="15FA2459" w:rsidR="00BA6C64" w:rsidRDefault="00BA6C64" w:rsidP="00E16C5E">
            <w:pPr>
              <w:spacing w:line="276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</w:p>
          <w:p w14:paraId="38512D52" w14:textId="14984695" w:rsidR="00BA6C64" w:rsidRPr="00BA6C64" w:rsidRDefault="00BA6C64" w:rsidP="00E16C5E">
            <w:pPr>
              <w:spacing w:line="276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  <w:r w:rsidRPr="00BA6C64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Sa uvođenjem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Inspektora za medije se nastoji zadovoljiti efikasnost nadzora nad sprovođenjem odgovarajućih zakonskih odredbi, budući na ingerencije koje</w:t>
            </w:r>
            <w:r w:rsidR="00ED5DD0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trenutno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pripadaju Direktoratu za medije, koji je taj koji </w:t>
            </w:r>
            <w:r w:rsidRPr="00BA6C64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predlaže normativni okvir za bolji položaj medija i novinara, sa ciljem da razvija odnose razumijevanja i saradnje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.</w:t>
            </w:r>
          </w:p>
          <w:p w14:paraId="67D8F863" w14:textId="09BDD359" w:rsidR="00D236B3" w:rsidRDefault="00D236B3" w:rsidP="00E16C5E">
            <w:pPr>
              <w:spacing w:line="276" w:lineRule="auto"/>
              <w:rPr>
                <w:rFonts w:ascii="Times New Roman" w:eastAsiaTheme="minorHAnsi" w:hAnsi="Times New Roman"/>
                <w:bCs/>
                <w:szCs w:val="24"/>
                <w:lang w:eastAsia="en-US"/>
              </w:rPr>
            </w:pPr>
          </w:p>
          <w:p w14:paraId="5261A797" w14:textId="42CC42F2" w:rsidR="00D236B3" w:rsidRPr="00350CF5" w:rsidRDefault="00D236B3" w:rsidP="00E16C5E">
            <w:pPr>
              <w:spacing w:line="276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U krajnjem je cilj pružiti adekvatnu zaštitu i trećim licima, na način da se </w:t>
            </w:r>
            <w:r w:rsidRPr="00D236B3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zabran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a</w:t>
            </w:r>
            <w:r w:rsidRPr="00D236B3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objavljivanj</w:t>
            </w:r>
            <w:r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a</w:t>
            </w:r>
            <w:r w:rsidRPr="00D236B3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informacija u medijima koji predstavljaju govor mržnje</w:t>
            </w:r>
            <w:r w:rsidR="007221A4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proširuje u odnosu na sve </w:t>
            </w:r>
            <w:r w:rsidR="007221A4" w:rsidRPr="007221A4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nacionalne i etničke zajednice, a ne samo manjinske narode i druge manjinske nacionalne zajednice</w:t>
            </w:r>
            <w:r w:rsidR="007221A4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, kako je to bilo u dosadašnjem zakonskom rješenju. Takođe, osim tužioca, omogućeno je i </w:t>
            </w:r>
            <w:r w:rsidR="007221A4" w:rsidRPr="007221A4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stranci koja traži zaštitu posebnih prava da predloži ograničenje daljeg širenja medijskog sadržaja, s razloga što upravo to lice može biti pogođeno širenjem medijskog sadržaja koje predstavlja direktno i namjerno podsticanje na činjenje krivičnih djela definisanih u KZCG u taksativno navedenim oblastima. </w:t>
            </w:r>
            <w:r w:rsidR="007221A4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 xml:space="preserve"> </w:t>
            </w:r>
          </w:p>
          <w:p w14:paraId="33308BEB" w14:textId="77777777" w:rsidR="00B64971" w:rsidRDefault="00B64971" w:rsidP="00E16C5E">
            <w:pPr>
              <w:spacing w:line="276" w:lineRule="auto"/>
              <w:rPr>
                <w:rFonts w:ascii="Times New Roman" w:eastAsiaTheme="minorHAnsi" w:hAnsi="Times New Roman"/>
                <w:bCs/>
                <w:szCs w:val="24"/>
                <w:lang w:eastAsia="en-US"/>
              </w:rPr>
            </w:pPr>
          </w:p>
          <w:p w14:paraId="43782A2B" w14:textId="3ED372A4" w:rsidR="007221A4" w:rsidRPr="00FD6B48" w:rsidRDefault="007221A4" w:rsidP="00FD6B48">
            <w:pPr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Ciljevi koji se na ovaj način postižu su usklađeni sa </w:t>
            </w:r>
            <w:r w:rsidR="00FD6B48">
              <w:rPr>
                <w:rFonts w:ascii="Times New Roman" w:hAnsi="Times New Roman"/>
                <w:b w:val="0"/>
                <w:szCs w:val="24"/>
              </w:rPr>
              <w:t>Programom rada Vlade za 2022. godinu, kojim je predviđeno u</w:t>
            </w:r>
            <w:r w:rsidR="00FD6B48" w:rsidRPr="00FD6B48">
              <w:rPr>
                <w:rFonts w:ascii="Times New Roman" w:hAnsi="Times New Roman"/>
                <w:b w:val="0"/>
                <w:szCs w:val="24"/>
              </w:rPr>
              <w:t>tvr</w:t>
            </w:r>
            <w:r w:rsidR="00FD6B48">
              <w:rPr>
                <w:rFonts w:ascii="Times New Roman" w:hAnsi="Times New Roman"/>
                <w:b w:val="0"/>
                <w:szCs w:val="24"/>
              </w:rPr>
              <w:t>đivanje</w:t>
            </w:r>
            <w:r w:rsidR="00FD6B48" w:rsidRPr="00FD6B4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8557DA">
              <w:rPr>
                <w:rFonts w:ascii="Times New Roman" w:hAnsi="Times New Roman"/>
                <w:b w:val="0"/>
                <w:szCs w:val="24"/>
              </w:rPr>
              <w:t xml:space="preserve">novog </w:t>
            </w:r>
            <w:r w:rsidR="00FD6B48" w:rsidRPr="00FD6B48">
              <w:rPr>
                <w:rFonts w:ascii="Times New Roman" w:hAnsi="Times New Roman"/>
                <w:b w:val="0"/>
                <w:szCs w:val="24"/>
              </w:rPr>
              <w:t>Predlog</w:t>
            </w:r>
            <w:r w:rsidR="00FD6B48">
              <w:rPr>
                <w:rFonts w:ascii="Times New Roman" w:hAnsi="Times New Roman"/>
                <w:b w:val="0"/>
                <w:szCs w:val="24"/>
              </w:rPr>
              <w:t>a</w:t>
            </w:r>
            <w:r w:rsidR="00FD6B48" w:rsidRPr="00FD6B48">
              <w:rPr>
                <w:rFonts w:ascii="Times New Roman" w:hAnsi="Times New Roman"/>
                <w:b w:val="0"/>
                <w:szCs w:val="24"/>
              </w:rPr>
              <w:t xml:space="preserve"> Zakona o medijima</w:t>
            </w:r>
            <w:r w:rsidR="00FD6B48">
              <w:rPr>
                <w:rFonts w:ascii="Times New Roman" w:hAnsi="Times New Roman"/>
                <w:b w:val="0"/>
                <w:szCs w:val="24"/>
              </w:rPr>
              <w:t xml:space="preserve">, izvještajima Evropske komisije za Crnu Goru i preporukama Savjeta Evrope, sa posebnim akcentom na </w:t>
            </w:r>
            <w:r w:rsidR="00FD6B48" w:rsidRPr="00FD6B48">
              <w:rPr>
                <w:rFonts w:ascii="Times New Roman" w:hAnsi="Times New Roman"/>
                <w:b w:val="0"/>
                <w:szCs w:val="24"/>
              </w:rPr>
              <w:t>,,Ekspertski pregled nacrta Zakona o audiovizuelnim medijskim uslugama (AVMU) i ocjene usklađenosti nacrta Zakona o AVMU i ocjena usklađenosti nacrta Zakona o AVMU, Zakona o medijima i Zakona o Nacionalnom javnom emiteru (RTCG)’’</w:t>
            </w:r>
            <w:r w:rsidR="00FD6B48">
              <w:rPr>
                <w:rFonts w:ascii="Times New Roman" w:hAnsi="Times New Roman"/>
                <w:b w:val="0"/>
                <w:szCs w:val="24"/>
              </w:rPr>
              <w:t>, (JUFREX 2).</w:t>
            </w:r>
          </w:p>
          <w:p w14:paraId="268E586A" w14:textId="77777777" w:rsidR="00A30F0D" w:rsidRPr="00C864C1" w:rsidRDefault="00A30F0D" w:rsidP="00FD6B48">
            <w:pPr>
              <w:rPr>
                <w:rFonts w:ascii="Times New Roman" w:hAnsi="Times New Roman"/>
                <w:szCs w:val="24"/>
              </w:rPr>
            </w:pPr>
          </w:p>
        </w:tc>
      </w:tr>
      <w:tr w:rsidR="00155612" w:rsidRPr="000511F0" w14:paraId="6DC7C79E" w14:textId="77777777" w:rsidTr="00A0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3BA97D77" w14:textId="77777777" w:rsidR="00155612" w:rsidRPr="005805F3" w:rsidRDefault="00155612" w:rsidP="00A01E6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5805F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lastRenderedPageBreak/>
              <w:t>3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  <w:r w:rsidRPr="005805F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Opcije</w:t>
            </w:r>
          </w:p>
          <w:p w14:paraId="703F0483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3C9CFDF7" w14:textId="77777777" w:rsidR="00155612" w:rsidRPr="00A07773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brazložiti preferiranu opciju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?</w:t>
            </w:r>
          </w:p>
        </w:tc>
      </w:tr>
      <w:tr w:rsidR="00155612" w:rsidRPr="005E243C" w14:paraId="72A88EAA" w14:textId="77777777" w:rsidTr="00A01E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33F5AADC" w14:textId="3194B13E" w:rsidR="00701B6F" w:rsidRPr="005E243C" w:rsidRDefault="005E243C" w:rsidP="005E243C">
            <w:pPr>
              <w:spacing w:line="276" w:lineRule="auto"/>
              <w:rPr>
                <w:rFonts w:ascii="Times New Roman" w:hAnsi="Times New Roman"/>
                <w:b w:val="0"/>
                <w:szCs w:val="24"/>
                <w:lang w:val="sr-Latn-ME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Status quo ne može </w:t>
            </w:r>
            <w:r w:rsidR="00531966">
              <w:rPr>
                <w:rFonts w:ascii="Times New Roman" w:hAnsi="Times New Roman"/>
                <w:b w:val="0"/>
                <w:szCs w:val="24"/>
              </w:rPr>
              <w:t xml:space="preserve">biti </w:t>
            </w:r>
            <w:r>
              <w:rPr>
                <w:rFonts w:ascii="Times New Roman" w:hAnsi="Times New Roman"/>
                <w:b w:val="0"/>
                <w:szCs w:val="24"/>
              </w:rPr>
              <w:t>preferirana opcija</w:t>
            </w:r>
            <w:r w:rsidR="00531966">
              <w:rPr>
                <w:rFonts w:ascii="Times New Roman" w:hAnsi="Times New Roman"/>
                <w:b w:val="0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jer je jedina relevantna opcija za ispunjavanje gore navedenih ciljeva donošenje </w:t>
            </w:r>
            <w:r w:rsidR="008557DA">
              <w:rPr>
                <w:rFonts w:ascii="Times New Roman" w:hAnsi="Times New Roman"/>
                <w:b w:val="0"/>
                <w:szCs w:val="24"/>
              </w:rPr>
              <w:t xml:space="preserve">novog </w:t>
            </w:r>
            <w:r>
              <w:rPr>
                <w:rFonts w:ascii="Times New Roman" w:hAnsi="Times New Roman"/>
                <w:b w:val="0"/>
                <w:szCs w:val="24"/>
              </w:rPr>
              <w:t xml:space="preserve">Zakona o o medijima, čime se uvažavaju preporuke date u izvještajima Evropske komisije i </w:t>
            </w:r>
            <w:r w:rsidR="00531966">
              <w:rPr>
                <w:rFonts w:ascii="Times New Roman" w:hAnsi="Times New Roman"/>
                <w:b w:val="0"/>
                <w:szCs w:val="24"/>
              </w:rPr>
              <w:t>Ekspertskom pregledu</w:t>
            </w:r>
            <w:r w:rsidR="003E20A0">
              <w:rPr>
                <w:rFonts w:ascii="Times New Roman" w:hAnsi="Times New Roman"/>
                <w:b w:val="0"/>
                <w:szCs w:val="24"/>
              </w:rPr>
              <w:t xml:space="preserve"> Savjeta Evrope</w:t>
            </w:r>
            <w:r w:rsidR="00531966">
              <w:rPr>
                <w:rFonts w:ascii="Times New Roman" w:hAnsi="Times New Roman"/>
                <w:b w:val="0"/>
                <w:szCs w:val="24"/>
              </w:rPr>
              <w:t xml:space="preserve"> (JUFREX 2).</w:t>
            </w:r>
          </w:p>
        </w:tc>
      </w:tr>
      <w:tr w:rsidR="00155612" w:rsidRPr="00C864C1" w14:paraId="4003B01E" w14:textId="77777777" w:rsidTr="00A0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4775FA4E" w14:textId="77777777" w:rsidR="00155612" w:rsidRPr="000511F0" w:rsidRDefault="00155612" w:rsidP="00A01E6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4</w:t>
            </w:r>
            <w:r w:rsidRPr="008D4A51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 Analiza uticaja</w:t>
            </w:r>
          </w:p>
          <w:p w14:paraId="14106791" w14:textId="77777777" w:rsidR="00155612" w:rsidRPr="00A07773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a koga će i kako će najvjerovatnije uticati rješenja u propisu -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abrojati pozitivne i negativne uticaje, direktne i indirektne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</w:p>
          <w:p w14:paraId="5461E85C" w14:textId="77777777" w:rsidR="00155612" w:rsidRPr="00A07773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Koje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troškove će primjena propisa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izazvati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</w:p>
          <w:p w14:paraId="4B1C0496" w14:textId="77777777" w:rsidR="00155612" w:rsidRPr="00A07773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 li pozitivne posljedice donošenja propisa opravdava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ju troškove koje će on stvoriti.</w:t>
            </w:r>
          </w:p>
          <w:p w14:paraId="0CE8CF4E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Da li se propisom podržava stvaranje novih privrednih subjekata na tržištu i tržišna konkurencija.</w:t>
            </w:r>
          </w:p>
          <w:p w14:paraId="5A658A86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Uključiti procjenu administrativnih opterećenja i biznis barijera.</w:t>
            </w:r>
          </w:p>
          <w:p w14:paraId="04801073" w14:textId="77777777" w:rsidR="00155612" w:rsidRPr="00C864C1" w:rsidRDefault="00155612" w:rsidP="00A01E66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</w:p>
        </w:tc>
      </w:tr>
      <w:tr w:rsidR="00155612" w:rsidRPr="00C864C1" w14:paraId="473DACA1" w14:textId="77777777" w:rsidTr="00A01E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68884C68" w14:textId="77777777" w:rsidR="00155612" w:rsidRPr="009A6141" w:rsidRDefault="00155612" w:rsidP="00A01E66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  <w:p w14:paraId="4FE825FF" w14:textId="306054AB" w:rsidR="000B0F40" w:rsidRPr="009A6141" w:rsidRDefault="00701B6F" w:rsidP="008D4A51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C864C1">
              <w:rPr>
                <w:rFonts w:ascii="Times New Roman" w:hAnsi="Times New Roman"/>
                <w:b w:val="0"/>
                <w:szCs w:val="24"/>
                <w:lang w:val="pl-PL"/>
              </w:rPr>
              <w:lastRenderedPageBreak/>
              <w:t>R</w:t>
            </w:r>
            <w:r w:rsidR="008D4A51" w:rsidRPr="00C864C1">
              <w:rPr>
                <w:rFonts w:ascii="Times New Roman" w:hAnsi="Times New Roman"/>
                <w:b w:val="0"/>
                <w:szCs w:val="24"/>
                <w:lang w:val="pl-PL"/>
              </w:rPr>
              <w:t xml:space="preserve">ješenja sadržana u propisu imaće </w:t>
            </w:r>
            <w:r w:rsidR="00531966">
              <w:rPr>
                <w:rFonts w:ascii="Times New Roman" w:hAnsi="Times New Roman"/>
                <w:b w:val="0"/>
                <w:szCs w:val="24"/>
                <w:lang w:val="pl-PL"/>
              </w:rPr>
              <w:t>najviše pozitivnog uticaja na medije, novinare i druga lica zaposlena u medijima, pogotovo sa aspekta osnaživanja njihovih prava, zaštite, ali i odgovornosti. Pospješiće se njihova finansijska izdašnost</w:t>
            </w:r>
            <w:r w:rsidR="00AF2819">
              <w:rPr>
                <w:rFonts w:ascii="Times New Roman" w:hAnsi="Times New Roman"/>
                <w:b w:val="0"/>
                <w:szCs w:val="24"/>
                <w:lang w:val="pl-PL"/>
              </w:rPr>
              <w:t xml:space="preserve"> i održivost,</w:t>
            </w:r>
            <w:r w:rsidR="00531966">
              <w:rPr>
                <w:rFonts w:ascii="Times New Roman" w:hAnsi="Times New Roman"/>
                <w:b w:val="0"/>
                <w:szCs w:val="24"/>
                <w:lang w:val="pl-PL"/>
              </w:rPr>
              <w:t xml:space="preserve"> </w:t>
            </w:r>
            <w:r w:rsidR="00D101E8">
              <w:rPr>
                <w:rFonts w:ascii="Times New Roman" w:hAnsi="Times New Roman"/>
                <w:b w:val="0"/>
                <w:szCs w:val="24"/>
                <w:lang w:val="pl-PL"/>
              </w:rPr>
              <w:t>radi</w:t>
            </w:r>
            <w:r w:rsidR="003E20A0">
              <w:rPr>
                <w:rFonts w:ascii="Times New Roman" w:hAnsi="Times New Roman"/>
                <w:b w:val="0"/>
                <w:szCs w:val="24"/>
                <w:lang w:val="pl-PL"/>
              </w:rPr>
              <w:t>će se</w:t>
            </w:r>
            <w:r w:rsidR="00D101E8">
              <w:rPr>
                <w:rFonts w:ascii="Times New Roman" w:hAnsi="Times New Roman"/>
                <w:b w:val="0"/>
                <w:szCs w:val="24"/>
                <w:lang w:val="pl-PL"/>
              </w:rPr>
              <w:t xml:space="preserve"> dodatno na zašititi ugleda novinara i novinarskih izvora, podsticati kreiranje medijskog sadržaja koji će zadovoljiti najširi javni interes</w:t>
            </w:r>
            <w:r w:rsidR="00AF2819">
              <w:rPr>
                <w:rFonts w:ascii="Times New Roman" w:hAnsi="Times New Roman"/>
                <w:b w:val="0"/>
                <w:szCs w:val="24"/>
                <w:lang w:val="pl-PL"/>
              </w:rPr>
              <w:t xml:space="preserve"> i dr.</w:t>
            </w:r>
          </w:p>
          <w:p w14:paraId="363F3D51" w14:textId="33201A5A" w:rsidR="00AF2819" w:rsidRPr="009A6141" w:rsidRDefault="00AF2819" w:rsidP="008D4A51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  <w:p w14:paraId="719FC4EF" w14:textId="28FEAA80" w:rsidR="00AF2819" w:rsidRPr="00C864C1" w:rsidRDefault="00AF2819" w:rsidP="008D4A51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>
              <w:rPr>
                <w:rFonts w:ascii="Times New Roman" w:hAnsi="Times New Roman"/>
                <w:b w:val="0"/>
                <w:szCs w:val="24"/>
                <w:lang w:val="pl-PL"/>
              </w:rPr>
              <w:t>Kao što je gore pomenuto, rješenja će imati pozitivan efekat i na treća lica koja mogu biti pogođena medijskim sadržajem, čime će im se omogućiti veći nivo zaštite u odnosu na predviđeni.</w:t>
            </w:r>
          </w:p>
          <w:p w14:paraId="180676EA" w14:textId="77777777" w:rsidR="008D4A51" w:rsidRPr="009A6141" w:rsidRDefault="008D4A51" w:rsidP="008D4A51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  <w:p w14:paraId="3FC4F514" w14:textId="35BCB29D" w:rsidR="008D4A51" w:rsidRPr="009A6141" w:rsidRDefault="00D64A58" w:rsidP="008D4A51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>
              <w:rPr>
                <w:rFonts w:ascii="Times New Roman" w:hAnsi="Times New Roman"/>
                <w:b w:val="0"/>
                <w:szCs w:val="24"/>
                <w:lang w:val="pl-PL"/>
              </w:rPr>
              <w:t xml:space="preserve">Povećanjem procenta finansiranja medija iz Fonda, te mogućnosti uvođenja takvog fonda na lokalnom nivou </w:t>
            </w:r>
            <w:r w:rsidR="009A6141">
              <w:rPr>
                <w:rFonts w:ascii="Times New Roman" w:hAnsi="Times New Roman"/>
                <w:b w:val="0"/>
                <w:szCs w:val="24"/>
                <w:lang w:val="pl-PL"/>
              </w:rPr>
              <w:t xml:space="preserve">u opštinama u kojima nije osnovan lokalni javni emiter, indirektno se utiče na povećanje broja medija, održivost postojećih, ali i jačanje uloge samoregulatora. </w:t>
            </w:r>
          </w:p>
          <w:p w14:paraId="231CFBAA" w14:textId="77777777" w:rsidR="009A6141" w:rsidRPr="009A6141" w:rsidRDefault="009A6141" w:rsidP="008D4A51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  <w:p w14:paraId="23BDF676" w14:textId="43A29102" w:rsidR="009A6141" w:rsidRPr="009A6141" w:rsidRDefault="009A6141" w:rsidP="009A6141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>
              <w:rPr>
                <w:rFonts w:ascii="Times New Roman" w:hAnsi="Times New Roman"/>
                <w:b w:val="0"/>
                <w:szCs w:val="24"/>
                <w:lang w:val="pl-PL"/>
              </w:rPr>
              <w:t xml:space="preserve">Predlaganjem navedenih </w:t>
            </w:r>
            <w:r w:rsidRPr="009A6141">
              <w:rPr>
                <w:rFonts w:ascii="Times New Roman" w:hAnsi="Times New Roman"/>
                <w:b w:val="0"/>
                <w:szCs w:val="24"/>
                <w:lang w:val="pl-PL"/>
              </w:rPr>
              <w:t>zakonskih odredbi, bi</w:t>
            </w:r>
            <w:r>
              <w:rPr>
                <w:rFonts w:ascii="Times New Roman" w:hAnsi="Times New Roman"/>
                <w:b w:val="0"/>
                <w:szCs w:val="24"/>
                <w:lang w:val="pl-PL"/>
              </w:rPr>
              <w:t>ć</w:t>
            </w:r>
            <w:r w:rsidRPr="009A6141">
              <w:rPr>
                <w:rFonts w:ascii="Times New Roman" w:hAnsi="Times New Roman"/>
                <w:b w:val="0"/>
                <w:szCs w:val="24"/>
                <w:lang w:val="pl-PL"/>
              </w:rPr>
              <w:t>e potrebno pro</w:t>
            </w:r>
            <w:r>
              <w:rPr>
                <w:rFonts w:ascii="Times New Roman" w:hAnsi="Times New Roman"/>
                <w:b w:val="0"/>
                <w:szCs w:val="24"/>
                <w:lang w:val="pl-PL"/>
              </w:rPr>
              <w:t>š</w:t>
            </w:r>
            <w:r w:rsidRPr="009A6141">
              <w:rPr>
                <w:rFonts w:ascii="Times New Roman" w:hAnsi="Times New Roman"/>
                <w:b w:val="0"/>
                <w:szCs w:val="24"/>
                <w:lang w:val="pl-PL"/>
              </w:rPr>
              <w:t xml:space="preserve">irivanje administrativnih kapaciteta </w:t>
            </w:r>
          </w:p>
          <w:p w14:paraId="49A4CBF5" w14:textId="004DBD2F" w:rsidR="009A6141" w:rsidRPr="009A6141" w:rsidRDefault="009A6141" w:rsidP="009A6141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9A6141">
              <w:rPr>
                <w:rFonts w:ascii="Times New Roman" w:hAnsi="Times New Roman"/>
                <w:b w:val="0"/>
                <w:szCs w:val="24"/>
                <w:lang w:val="pl-PL"/>
              </w:rPr>
              <w:t>i radnih zadu</w:t>
            </w:r>
            <w:r>
              <w:rPr>
                <w:rFonts w:ascii="Times New Roman" w:hAnsi="Times New Roman"/>
                <w:b w:val="0"/>
                <w:szCs w:val="24"/>
                <w:lang w:val="pl-PL"/>
              </w:rPr>
              <w:t>ž</w:t>
            </w:r>
            <w:r w:rsidRPr="009A6141">
              <w:rPr>
                <w:rFonts w:ascii="Times New Roman" w:hAnsi="Times New Roman"/>
                <w:b w:val="0"/>
                <w:szCs w:val="24"/>
                <w:lang w:val="pl-PL"/>
              </w:rPr>
              <w:t>enja organa nadle</w:t>
            </w:r>
            <w:r>
              <w:rPr>
                <w:rFonts w:ascii="Times New Roman" w:hAnsi="Times New Roman"/>
                <w:b w:val="0"/>
                <w:szCs w:val="24"/>
                <w:lang w:val="pl-PL"/>
              </w:rPr>
              <w:t>ž</w:t>
            </w:r>
            <w:r w:rsidRPr="009A6141">
              <w:rPr>
                <w:rFonts w:ascii="Times New Roman" w:hAnsi="Times New Roman"/>
                <w:b w:val="0"/>
                <w:szCs w:val="24"/>
                <w:lang w:val="pl-PL"/>
              </w:rPr>
              <w:t>n</w:t>
            </w:r>
            <w:r>
              <w:rPr>
                <w:rFonts w:ascii="Times New Roman" w:hAnsi="Times New Roman"/>
                <w:b w:val="0"/>
                <w:szCs w:val="24"/>
                <w:lang w:val="pl-PL"/>
              </w:rPr>
              <w:t>ih</w:t>
            </w:r>
            <w:r w:rsidRPr="009A6141">
              <w:rPr>
                <w:rFonts w:ascii="Times New Roman" w:hAnsi="Times New Roman"/>
                <w:b w:val="0"/>
                <w:szCs w:val="24"/>
                <w:lang w:val="pl-PL"/>
              </w:rPr>
              <w:t xml:space="preserve"> za poslove medija i regulatora za audiovizuelne medijske</w:t>
            </w:r>
            <w:r>
              <w:rPr>
                <w:rFonts w:ascii="Times New Roman" w:hAnsi="Times New Roman"/>
                <w:b w:val="0"/>
                <w:szCs w:val="24"/>
                <w:lang w:val="pl-PL"/>
              </w:rPr>
              <w:t xml:space="preserve"> usluge, posebno </w:t>
            </w:r>
            <w:r w:rsidR="003147D6">
              <w:rPr>
                <w:rFonts w:ascii="Times New Roman" w:hAnsi="Times New Roman"/>
                <w:b w:val="0"/>
                <w:szCs w:val="24"/>
                <w:lang w:val="pl-PL"/>
              </w:rPr>
              <w:t xml:space="preserve">uspostavljanjem </w:t>
            </w:r>
            <w:r w:rsidR="003E20A0">
              <w:rPr>
                <w:rFonts w:ascii="Times New Roman" w:hAnsi="Times New Roman"/>
                <w:b w:val="0"/>
                <w:szCs w:val="24"/>
                <w:lang w:val="pl-PL"/>
              </w:rPr>
              <w:t>f</w:t>
            </w:r>
            <w:r w:rsidR="003147D6">
              <w:rPr>
                <w:rFonts w:ascii="Times New Roman" w:hAnsi="Times New Roman"/>
                <w:b w:val="0"/>
                <w:szCs w:val="24"/>
                <w:lang w:val="pl-PL"/>
              </w:rPr>
              <w:t>onda na lokalnom nivou i predviđanjem inspekcijskog nadzora.</w:t>
            </w:r>
          </w:p>
          <w:p w14:paraId="52314D98" w14:textId="566757B9" w:rsidR="009A6141" w:rsidRPr="009A6141" w:rsidRDefault="009A6141" w:rsidP="009A614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  <w:lang w:val="pl-PL"/>
              </w:rPr>
            </w:pPr>
            <w:r w:rsidRPr="009A6141">
              <w:rPr>
                <w:rFonts w:ascii="Times New Roman" w:hAnsi="Times New Roman"/>
                <w:b w:val="0"/>
                <w:szCs w:val="24"/>
                <w:lang w:val="pl-PL"/>
              </w:rPr>
              <w:t xml:space="preserve"> </w:t>
            </w:r>
          </w:p>
          <w:p w14:paraId="7F9D0E61" w14:textId="626B8CC2" w:rsidR="00155612" w:rsidRPr="009A6141" w:rsidRDefault="00155612" w:rsidP="009A6141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</w:tc>
      </w:tr>
      <w:tr w:rsidR="00155612" w:rsidRPr="000511F0" w14:paraId="4E55E355" w14:textId="77777777" w:rsidTr="00A0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24146D0A" w14:textId="77777777" w:rsidR="00155612" w:rsidRPr="001D0BF0" w:rsidRDefault="00155612" w:rsidP="00A01E66">
            <w:pPr>
              <w:autoSpaceDE w:val="0"/>
              <w:autoSpaceDN w:val="0"/>
              <w:adjustRightInd w:val="0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1D0B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lastRenderedPageBreak/>
              <w:t>5. Procjena fiskalnog uticaja</w:t>
            </w:r>
          </w:p>
          <w:p w14:paraId="3EA7D639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Da li je potrebno obezbjeđenje finansijskih sredstava iz budžeta Crne Gore za implementaciju propisa i u kom iznosu?</w:t>
            </w:r>
          </w:p>
          <w:p w14:paraId="47D22E62" w14:textId="77777777" w:rsidR="00155612" w:rsidRDefault="00155612" w:rsidP="001556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 xml:space="preserve">Da li je obezbjeđenje finansijskih sredstava jednokratno, ili tokom određenog vremenskog perioda?  </w:t>
            </w:r>
            <w:r w:rsidRPr="001D0B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Obrazložiti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</w:p>
          <w:p w14:paraId="654A5219" w14:textId="77777777" w:rsidR="00155612" w:rsidRPr="00A07773" w:rsidRDefault="00155612" w:rsidP="001556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 xml:space="preserve">Da li implementacijom propisa proizilaze međunarodne finansijske obaveze?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Obrazložiti.</w:t>
            </w:r>
          </w:p>
          <w:p w14:paraId="6F3C6385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Da li su neophodna finansijska sredstva obezbijeđena u budžetu za tekuću fiskalnu godinu, odnosno da li su planirana u budžetu za narednu fiskanu godinu?</w:t>
            </w:r>
          </w:p>
          <w:p w14:paraId="7AC2C85E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Da li je usvajanjem propisa predviđeno donošenje podzakonskih akata iz kojih će proisteći finansijske obaveze?</w:t>
            </w:r>
          </w:p>
          <w:p w14:paraId="1D8DC373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Da li će se implementacijom propisa ostvariti prihod za budžet Crne Gore?</w:t>
            </w:r>
          </w:p>
          <w:p w14:paraId="628FCBA5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Dbrazložiti metodologiju koja je korišćenja prilikom obračuna finansijskih izdataka/prihoda.</w:t>
            </w:r>
          </w:p>
          <w:p w14:paraId="418473F9" w14:textId="77777777" w:rsidR="00155612" w:rsidRPr="00A07773" w:rsidRDefault="00155612" w:rsidP="001556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 xml:space="preserve">Da li su postojali problemi u preciznom obračunu finansijskih izdataka/prihoda? 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Obrazlo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žiti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.</w:t>
            </w:r>
          </w:p>
          <w:p w14:paraId="1161FB0A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Da li su postojale sugestije Ministarstva finansija na nacrt/predlog propisa?</w:t>
            </w:r>
          </w:p>
          <w:p w14:paraId="76E87177" w14:textId="77777777" w:rsidR="00155612" w:rsidRPr="00A07773" w:rsidRDefault="00155612" w:rsidP="001556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 xml:space="preserve">Da li su dobijene primjedbe uključene u tekst propisa? 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Obra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zložiti.</w:t>
            </w:r>
          </w:p>
        </w:tc>
      </w:tr>
      <w:tr w:rsidR="00155612" w:rsidRPr="00C864C1" w14:paraId="3F3A99D9" w14:textId="77777777" w:rsidTr="00A01E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4FFF0C85" w14:textId="77777777" w:rsidR="00155612" w:rsidRDefault="00155612" w:rsidP="00A01E66">
            <w:pPr>
              <w:autoSpaceDE w:val="0"/>
              <w:autoSpaceDN w:val="0"/>
              <w:adjustRightInd w:val="0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  <w:p w14:paraId="62188C17" w14:textId="1D091910" w:rsidR="00701B6F" w:rsidRPr="00EF78E2" w:rsidRDefault="005C7EDC" w:rsidP="005F1DB2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Nacrtom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zakona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se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predvi</w:t>
            </w:r>
            <w:r w:rsidRPr="00ED5DD0">
              <w:rPr>
                <w:rFonts w:ascii="Times New Roman" w:hAnsi="Times New Roman"/>
                <w:b w:val="0"/>
                <w:szCs w:val="24"/>
              </w:rPr>
              <w:t>đ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a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pove</w:t>
            </w:r>
            <w:r w:rsidRPr="00ED5DD0">
              <w:rPr>
                <w:rFonts w:ascii="Times New Roman" w:hAnsi="Times New Roman"/>
                <w:b w:val="0"/>
                <w:szCs w:val="24"/>
              </w:rPr>
              <w:t>ć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anje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trenutnog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izdvajanja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za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Fond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sa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0,09 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na</w:t>
            </w:r>
            <w:r w:rsidRPr="00ED5DD0">
              <w:rPr>
                <w:rFonts w:ascii="Times New Roman" w:hAnsi="Times New Roman"/>
                <w:b w:val="0"/>
                <w:szCs w:val="24"/>
              </w:rPr>
              <w:t xml:space="preserve"> 0,20 % 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od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teku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>ć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eg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bud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>ž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eta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utvr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>đ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enog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godi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>š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njim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zakonom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o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bud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>ž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etu</w:t>
            </w:r>
            <w:r w:rsidR="005F1DB2" w:rsidRPr="00ED5DD0">
              <w:rPr>
                <w:rFonts w:ascii="Times New Roman" w:hAnsi="Times New Roman"/>
                <w:b w:val="0"/>
                <w:szCs w:val="24"/>
              </w:rPr>
              <w:t xml:space="preserve">. </w:t>
            </w:r>
            <w:r w:rsidR="005F1DB2" w:rsidRPr="00EF78E2">
              <w:rPr>
                <w:rFonts w:ascii="Times New Roman" w:hAnsi="Times New Roman"/>
                <w:b w:val="0"/>
                <w:szCs w:val="24"/>
                <w:lang w:val="pl-PL"/>
              </w:rPr>
              <w:t>Ta sredstva nijesu obezbjeđena u budžetu za tekuću fiskalnu godinu, niti su ovom trenutku planirana za narednu fiskalnu godinu. Ministarstvo finansija je konsultovano u toku intersektorskog usaglašavanja</w:t>
            </w:r>
            <w:r w:rsidR="00C04082" w:rsidRPr="00EF78E2">
              <w:rPr>
                <w:rFonts w:ascii="Times New Roman" w:hAnsi="Times New Roman"/>
                <w:b w:val="0"/>
                <w:szCs w:val="24"/>
                <w:lang w:val="pl-PL"/>
              </w:rPr>
              <w:t xml:space="preserve"> u vezi sa uvećanjem sredstava iz</w:t>
            </w:r>
            <w:r w:rsidR="00FD6DA2">
              <w:rPr>
                <w:rFonts w:ascii="Times New Roman" w:hAnsi="Times New Roman"/>
                <w:b w:val="0"/>
                <w:szCs w:val="24"/>
                <w:lang w:val="pl-PL"/>
              </w:rPr>
              <w:t xml:space="preserve"> tekućeg budžeta za</w:t>
            </w:r>
            <w:r w:rsidR="00C04082" w:rsidRPr="00EF78E2">
              <w:rPr>
                <w:rFonts w:ascii="Times New Roman" w:hAnsi="Times New Roman"/>
                <w:b w:val="0"/>
                <w:szCs w:val="24"/>
                <w:lang w:val="pl-PL"/>
              </w:rPr>
              <w:t xml:space="preserve"> Fond, što je uslijedilo prije javne rasprave, gdje je postignuta saglasnost po ovom pitanju.</w:t>
            </w:r>
          </w:p>
          <w:p w14:paraId="0CBD5797" w14:textId="56D5E8D0" w:rsidR="00C04082" w:rsidRPr="00EF78E2" w:rsidRDefault="00C04082" w:rsidP="005F1DB2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  <w:p w14:paraId="67514CCD" w14:textId="441003A0" w:rsidR="00C04082" w:rsidRPr="00EF78E2" w:rsidRDefault="00C04082" w:rsidP="005F1DB2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Dodatna sredstva biće potrebno obezbjediti i za Inspektora za medije, budući da za njega takođe nijesu predviđena</w:t>
            </w:r>
            <w:r w:rsidR="00FD6DA2">
              <w:rPr>
                <w:rFonts w:ascii="Times New Roman" w:hAnsi="Times New Roman"/>
                <w:b w:val="0"/>
                <w:szCs w:val="24"/>
                <w:lang w:val="pl-PL"/>
              </w:rPr>
              <w:t xml:space="preserve"> sredstva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 xml:space="preserve"> u budžetu za tekuću i za narednu fiskalnu godinu.</w:t>
            </w:r>
          </w:p>
          <w:p w14:paraId="5B6266B3" w14:textId="690ACC66" w:rsidR="00C04082" w:rsidRPr="00EF78E2" w:rsidRDefault="00C04082" w:rsidP="005F1DB2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  <w:p w14:paraId="5E504A0E" w14:textId="71207B35" w:rsidR="00C04082" w:rsidRPr="00EF78E2" w:rsidRDefault="00C04082" w:rsidP="005F1DB2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 xml:space="preserve">Za finansiranje </w:t>
            </w:r>
            <w:r w:rsidR="00FD6DA2">
              <w:rPr>
                <w:rFonts w:ascii="Times New Roman" w:hAnsi="Times New Roman"/>
                <w:b w:val="0"/>
                <w:szCs w:val="24"/>
                <w:lang w:val="pl-PL"/>
              </w:rPr>
              <w:t>f</w:t>
            </w: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>onda na lokalnom nivou, predviđ</w:t>
            </w:r>
            <w:r w:rsidR="002154C9" w:rsidRPr="00EF78E2">
              <w:rPr>
                <w:rFonts w:ascii="Times New Roman" w:hAnsi="Times New Roman"/>
                <w:b w:val="0"/>
                <w:szCs w:val="24"/>
                <w:lang w:val="pl-PL"/>
              </w:rPr>
              <w:t>eno je da se on finansira iz budžeta jedinice lokalne samouprave koja ga osniva</w:t>
            </w:r>
            <w:r w:rsidR="00EF78E2" w:rsidRPr="00EF78E2">
              <w:rPr>
                <w:rFonts w:ascii="Times New Roman" w:hAnsi="Times New Roman"/>
                <w:b w:val="0"/>
                <w:szCs w:val="24"/>
                <w:lang w:val="pl-PL"/>
              </w:rPr>
              <w:t>, koja ujedno utvrđuje način rada  i raspodjele sredstava lokalnog fonda.</w:t>
            </w:r>
          </w:p>
          <w:p w14:paraId="14E7B7C5" w14:textId="77777777" w:rsidR="00EF78E2" w:rsidRPr="00EF78E2" w:rsidRDefault="00EF78E2" w:rsidP="005F1DB2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</w:p>
          <w:p w14:paraId="62C33CF3" w14:textId="310EC9AA" w:rsidR="00701B6F" w:rsidRPr="00EF78E2" w:rsidRDefault="00701B6F" w:rsidP="00701B6F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szCs w:val="24"/>
                <w:lang w:val="pl-PL"/>
              </w:rPr>
            </w:pPr>
            <w:r w:rsidRPr="00EF78E2">
              <w:rPr>
                <w:rFonts w:ascii="Times New Roman" w:hAnsi="Times New Roman"/>
                <w:b w:val="0"/>
                <w:szCs w:val="24"/>
                <w:lang w:val="pl-PL"/>
              </w:rPr>
              <w:t xml:space="preserve">Implementacija propisa ne podrazumijeva međunarodne finansijske obaveze. </w:t>
            </w:r>
          </w:p>
          <w:p w14:paraId="77061402" w14:textId="77777777" w:rsidR="00A30F0D" w:rsidRPr="00C864C1" w:rsidRDefault="00A30F0D" w:rsidP="00A30F0D">
            <w:pPr>
              <w:autoSpaceDE w:val="0"/>
              <w:autoSpaceDN w:val="0"/>
              <w:adjustRightInd w:val="0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</w:p>
        </w:tc>
      </w:tr>
      <w:tr w:rsidR="00155612" w:rsidRPr="000511F0" w14:paraId="0D91B1F3" w14:textId="77777777" w:rsidTr="00A0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462CDCE5" w14:textId="77777777" w:rsidR="00155612" w:rsidRPr="000511F0" w:rsidRDefault="00155612" w:rsidP="00A01E6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lastRenderedPageBreak/>
              <w:t xml:space="preserve">6. </w:t>
            </w:r>
            <w:r w:rsidRPr="000511F0"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  <w:t>K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onsultacije zainteresovanih strana</w:t>
            </w:r>
          </w:p>
          <w:p w14:paraId="42230679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Naznačiti da li je korišćena eksterna ekspertska podrška i ako da, kako.</w:t>
            </w:r>
          </w:p>
          <w:p w14:paraId="54BC1C28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Naznačiti koje su grupe zainteresovanih strana konsultovane, u kojoj fazi RIA procesa i kako (javne ili ciljane konsultacije).</w:t>
            </w:r>
          </w:p>
          <w:p w14:paraId="4F912051" w14:textId="77777777" w:rsidR="00155612" w:rsidRPr="00A07773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 xml:space="preserve">Naznačiti glavne rezultate konsultacija, i koji su predlozi i sugestije zainteresovanih strana prihvaćeni odnosno nijesu prihvaćeni.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Obrazložiti.</w:t>
            </w:r>
          </w:p>
        </w:tc>
      </w:tr>
      <w:tr w:rsidR="00155612" w:rsidRPr="00C864C1" w14:paraId="1A64410F" w14:textId="77777777" w:rsidTr="00A01E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296467AF" w14:textId="77777777" w:rsidR="00A30F0D" w:rsidRDefault="00A30F0D" w:rsidP="00A01E6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  <w:p w14:paraId="3A34E5E4" w14:textId="3B015BD5" w:rsidR="00F31C00" w:rsidRPr="00C00AA0" w:rsidRDefault="00A30F0D" w:rsidP="000B0F40">
            <w:pPr>
              <w:spacing w:after="120" w:line="276" w:lineRule="auto"/>
              <w:rPr>
                <w:rFonts w:ascii="Times New Roman" w:hAnsi="Times New Roman"/>
                <w:bCs/>
                <w:color w:val="000000"/>
                <w:szCs w:val="24"/>
                <w:lang w:val="pl-PL"/>
              </w:rPr>
            </w:pPr>
            <w:r w:rsidRPr="00C864C1">
              <w:rPr>
                <w:rFonts w:ascii="Times New Roman" w:hAnsi="Times New Roman"/>
                <w:b w:val="0"/>
                <w:szCs w:val="24"/>
                <w:lang w:val="pl-PL"/>
              </w:rPr>
              <w:t>Izrada</w:t>
            </w:r>
            <w:r w:rsidR="00155612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155612" w:rsidRPr="00C864C1">
              <w:rPr>
                <w:rFonts w:ascii="Times New Roman" w:hAnsi="Times New Roman"/>
                <w:b w:val="0"/>
                <w:szCs w:val="24"/>
                <w:lang w:val="pl-PL"/>
              </w:rPr>
              <w:t>Nacrta</w:t>
            </w:r>
            <w:r w:rsidR="00E81A55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247B6">
              <w:rPr>
                <w:rFonts w:ascii="Times New Roman" w:hAnsi="Times New Roman"/>
                <w:b w:val="0"/>
                <w:szCs w:val="24"/>
                <w:lang w:val="pl-PL"/>
              </w:rPr>
              <w:t>z</w:t>
            </w:r>
            <w:r w:rsidR="00EF78E2">
              <w:rPr>
                <w:rFonts w:ascii="Times New Roman" w:hAnsi="Times New Roman"/>
                <w:b w:val="0"/>
                <w:szCs w:val="24"/>
                <w:lang w:val="pl-PL"/>
              </w:rPr>
              <w:t>akona</w:t>
            </w:r>
            <w:r w:rsidR="00EF78E2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EF78E2">
              <w:rPr>
                <w:rFonts w:ascii="Times New Roman" w:hAnsi="Times New Roman"/>
                <w:b w:val="0"/>
                <w:szCs w:val="24"/>
                <w:lang w:val="pl-PL"/>
              </w:rPr>
              <w:t>o</w:t>
            </w:r>
            <w:r w:rsidR="00EF78E2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EF78E2">
              <w:rPr>
                <w:rFonts w:ascii="Times New Roman" w:hAnsi="Times New Roman"/>
                <w:b w:val="0"/>
                <w:szCs w:val="24"/>
                <w:lang w:val="pl-PL"/>
              </w:rPr>
              <w:t>medijima</w:t>
            </w:r>
            <w:r w:rsidR="00EF78E2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155612" w:rsidRPr="00C864C1">
              <w:rPr>
                <w:rFonts w:ascii="Times New Roman" w:hAnsi="Times New Roman"/>
                <w:b w:val="0"/>
                <w:szCs w:val="24"/>
                <w:lang w:val="pl-PL"/>
              </w:rPr>
              <w:t>rezultat</w:t>
            </w:r>
            <w:r w:rsidR="00155612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701B6F" w:rsidRPr="00C864C1">
              <w:rPr>
                <w:rFonts w:ascii="Times New Roman" w:hAnsi="Times New Roman"/>
                <w:b w:val="0"/>
                <w:szCs w:val="24"/>
                <w:lang w:val="pl-PL"/>
              </w:rPr>
              <w:t>je</w:t>
            </w:r>
            <w:r w:rsidR="00701B6F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155612" w:rsidRPr="00C864C1">
              <w:rPr>
                <w:rFonts w:ascii="Times New Roman" w:hAnsi="Times New Roman"/>
                <w:b w:val="0"/>
                <w:szCs w:val="24"/>
                <w:lang w:val="pl-PL"/>
              </w:rPr>
              <w:t>rada</w:t>
            </w:r>
            <w:r w:rsidR="00155612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155612" w:rsidRPr="00C864C1">
              <w:rPr>
                <w:rFonts w:ascii="Times New Roman" w:hAnsi="Times New Roman"/>
                <w:b w:val="0"/>
                <w:szCs w:val="24"/>
                <w:lang w:val="pl-PL"/>
              </w:rPr>
              <w:t>pluralne</w:t>
            </w:r>
            <w:r w:rsidR="00155612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155612" w:rsidRPr="00C864C1">
              <w:rPr>
                <w:rFonts w:ascii="Times New Roman" w:hAnsi="Times New Roman"/>
                <w:b w:val="0"/>
                <w:szCs w:val="24"/>
                <w:lang w:val="pl-PL"/>
              </w:rPr>
              <w:t>radne</w:t>
            </w:r>
            <w:r w:rsidR="00155612" w:rsidRPr="008557D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155612" w:rsidRPr="00C864C1">
              <w:rPr>
                <w:rFonts w:ascii="Times New Roman" w:hAnsi="Times New Roman"/>
                <w:b w:val="0"/>
                <w:szCs w:val="24"/>
                <w:lang w:val="pl-PL"/>
              </w:rPr>
              <w:t>grupe</w:t>
            </w:r>
            <w:r w:rsidR="00155612" w:rsidRPr="008557DA">
              <w:rPr>
                <w:rFonts w:ascii="Times New Roman" w:hAnsi="Times New Roman"/>
                <w:b w:val="0"/>
                <w:szCs w:val="24"/>
              </w:rPr>
              <w:t xml:space="preserve">, </w:t>
            </w:r>
            <w:r w:rsidR="00701B6F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sastavljene</w:t>
            </w:r>
            <w:r w:rsidR="00701B6F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od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predstavnika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medija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medijskih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udru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ž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enja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civilnog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dru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š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tva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akademske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155612"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zajednice</w:t>
            </w:r>
            <w:r w:rsidR="003A3DE1" w:rsidRPr="008547D2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="003A3DE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nezavisnih</w:t>
            </w:r>
            <w:r w:rsidR="003A3DE1" w:rsidRPr="008547D2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3A3DE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regulatora</w:t>
            </w:r>
            <w:r w:rsidR="003A3DE1" w:rsidRPr="008547D2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="003A3DE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predstavnike</w:t>
            </w:r>
            <w:r w:rsidR="003A3DE1" w:rsidRPr="008547D2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3A3DE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tu</w:t>
            </w:r>
            <w:r w:rsidR="003A3DE1" w:rsidRPr="008547D2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ž</w:t>
            </w:r>
            <w:r w:rsidR="003A3DE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ila</w:t>
            </w:r>
            <w:r w:rsidR="003A3DE1" w:rsidRPr="008547D2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š</w:t>
            </w:r>
            <w:r w:rsidR="003A3DE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tva</w:t>
            </w:r>
            <w:r w:rsidR="003A3DE1" w:rsidRPr="008547D2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, </w:t>
            </w:r>
            <w:r w:rsidR="003A3DE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samoregulatornih</w:t>
            </w:r>
            <w:r w:rsidR="003A3DE1" w:rsidRPr="008547D2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3A3DE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tijela</w:t>
            </w:r>
            <w:r w:rsidR="00155612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i</w:t>
            </w:r>
            <w:r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predstavnika</w:t>
            </w:r>
            <w:r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dr</w:t>
            </w:r>
            <w:r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ž</w:t>
            </w:r>
            <w:r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avnih</w:t>
            </w:r>
            <w:r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Pr="00C864C1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organa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>, š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to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je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sljedovalo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i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nakon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ekspertskog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pregleda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od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strane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Savjeta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Evrope</w:t>
            </w:r>
            <w:r w:rsidR="00F81FA5" w:rsidRPr="008557DA">
              <w:rPr>
                <w:rStyle w:val="normalchar"/>
                <w:rFonts w:ascii="Times New Roman" w:hAnsi="Times New Roman"/>
                <w:b w:val="0"/>
                <w:color w:val="000000"/>
                <w:szCs w:val="24"/>
              </w:rPr>
              <w:t xml:space="preserve">. </w:t>
            </w:r>
            <w:r w:rsidR="00F81FA5"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Nakon dobijenih ekspertskih mi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š</w:t>
            </w:r>
            <w:r w:rsidR="00F81FA5"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ljenja SE (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april 2021. godine</w:t>
            </w:r>
            <w:r w:rsidR="00F81FA5"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) </w:t>
            </w:r>
            <w:r w:rsid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radna grupa </w:t>
            </w:r>
            <w:r w:rsidR="00F81FA5"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je usaglasila ekspertske komentare sa prvobitnim tekstom </w:t>
            </w:r>
            <w:r w:rsidR="00F31C0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Z</w:t>
            </w:r>
            <w:r w:rsidR="00F81FA5"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akona o medijima, te ga u i</w:t>
            </w:r>
            <w:r w:rsidR="00F31C0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u t</w:t>
            </w:r>
            <w:r w:rsidR="00F81FA5"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akvoj verziji pripremil</w:t>
            </w:r>
            <w:r w:rsidR="00F31C0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a</w:t>
            </w:r>
            <w:r w:rsidR="00F81FA5"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za</w:t>
            </w:r>
            <w:r w:rsidR="00F31C0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</w:t>
            </w:r>
            <w:r w:rsidR="00F81FA5" w:rsidRPr="00F81FA5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javnu raspravu.</w:t>
            </w:r>
          </w:p>
        </w:tc>
      </w:tr>
      <w:tr w:rsidR="00155612" w:rsidRPr="00C864C1" w14:paraId="65604D6C" w14:textId="77777777" w:rsidTr="00A0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13209F23" w14:textId="77777777" w:rsidR="00155612" w:rsidRPr="000511F0" w:rsidRDefault="00155612" w:rsidP="00A01E6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7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: Monitoring i evaluacija</w:t>
            </w:r>
          </w:p>
          <w:p w14:paraId="6585CE84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 xml:space="preserve">Koje su potencijalne prepreke za implementaciju propisa? </w:t>
            </w:r>
          </w:p>
          <w:p w14:paraId="59507EC2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Koje će mjere biti preduzete tokom primjene propisa da bi se ispunili ciljevi?</w:t>
            </w:r>
          </w:p>
          <w:p w14:paraId="001BCC65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Koji su glavni indikatori prema kojima će se mjeriti ispunjenje ciljeva?</w:t>
            </w:r>
          </w:p>
          <w:p w14:paraId="457CF218" w14:textId="77777777" w:rsidR="00155612" w:rsidRPr="00C864C1" w:rsidRDefault="00155612" w:rsidP="001556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  <w:lang w:val="pl-PL"/>
              </w:rPr>
            </w:pPr>
            <w:r w:rsidRPr="00C864C1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pl-PL"/>
              </w:rPr>
              <w:t>Ko će biti zadužen za sprovođenje monitoringa i evaluacije primjene propisa?</w:t>
            </w:r>
          </w:p>
        </w:tc>
      </w:tr>
      <w:tr w:rsidR="00155612" w:rsidRPr="00C864C1" w14:paraId="31B231BB" w14:textId="77777777" w:rsidTr="00A01E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</w:tcPr>
          <w:p w14:paraId="3A871422" w14:textId="77777777" w:rsidR="00701B6F" w:rsidRPr="00C00AA0" w:rsidRDefault="00701B6F" w:rsidP="00701B6F">
            <w:pPr>
              <w:autoSpaceDE w:val="0"/>
              <w:autoSpaceDN w:val="0"/>
              <w:adjustRightInd w:val="0"/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</w:pPr>
            <w:r w:rsidRPr="00C00AA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Za implementaciju propisa ne postoje prepreke.</w:t>
            </w:r>
          </w:p>
          <w:p w14:paraId="6B1C2568" w14:textId="77777777" w:rsidR="00701B6F" w:rsidRPr="00C00AA0" w:rsidRDefault="00701B6F" w:rsidP="00701B6F">
            <w:pPr>
              <w:autoSpaceDE w:val="0"/>
              <w:autoSpaceDN w:val="0"/>
              <w:adjustRightInd w:val="0"/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</w:pPr>
          </w:p>
          <w:p w14:paraId="31D3E471" w14:textId="23D7CBF7" w:rsidR="00701B6F" w:rsidRPr="00C00AA0" w:rsidRDefault="00701B6F" w:rsidP="00701B6F">
            <w:pPr>
              <w:autoSpaceDE w:val="0"/>
              <w:autoSpaceDN w:val="0"/>
              <w:adjustRightInd w:val="0"/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</w:pPr>
            <w:r w:rsidRPr="00C00AA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Glavni indikatori ispunj</w:t>
            </w:r>
            <w:r w:rsidR="00C00AA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e</w:t>
            </w:r>
            <w:r w:rsidRPr="00C00AA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nja ciljeva ogledaće se u</w:t>
            </w:r>
            <w:r w:rsidR="006D7763" w:rsidRPr="00C00AA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</w:t>
            </w:r>
            <w:r w:rsidR="00C00AA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jačanju prava, finansijske održivosti i nezavisnosti medija, jačanja samoregulacije</w:t>
            </w:r>
            <w:r w:rsidR="006F22A6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, transparetnosti rada i finansiranja medija</w:t>
            </w:r>
            <w:r w:rsidR="00C00AA0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, te zaštite novinara</w:t>
            </w:r>
            <w:r w:rsidR="006F22A6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i nadzora nad primjenom zakona.</w:t>
            </w:r>
          </w:p>
          <w:p w14:paraId="28EF9EFD" w14:textId="77777777" w:rsidR="00701B6F" w:rsidRPr="00C00AA0" w:rsidRDefault="00701B6F" w:rsidP="00701B6F">
            <w:pPr>
              <w:autoSpaceDE w:val="0"/>
              <w:autoSpaceDN w:val="0"/>
              <w:adjustRightInd w:val="0"/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</w:pPr>
          </w:p>
          <w:p w14:paraId="729AA4D3" w14:textId="6F818070" w:rsidR="00155612" w:rsidRPr="00C00AA0" w:rsidRDefault="006F22A6" w:rsidP="006F22A6">
            <w:pPr>
              <w:autoSpaceDE w:val="0"/>
              <w:autoSpaceDN w:val="0"/>
              <w:adjustRightInd w:val="0"/>
              <w:rPr>
                <w:rStyle w:val="normalchar"/>
                <w:rFonts w:ascii="Times New Roman" w:hAnsi="Times New Roman"/>
                <w:color w:val="000000"/>
                <w:szCs w:val="24"/>
                <w:lang w:val="pl-PL"/>
              </w:rPr>
            </w:pPr>
            <w:r w:rsidRPr="006F22A6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Za sprovođenje monitoringa i evaluacije primjene propisa zaduženo je Ministarstvo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kulture </w:t>
            </w:r>
            <w:r w:rsidRPr="006F22A6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i medija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 xml:space="preserve"> </w:t>
            </w:r>
            <w:r w:rsidR="001C120E"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,uključujući i Inpsektora za medije, i regulator za audiovizuelne medijske usluge</w:t>
            </w:r>
            <w:r>
              <w:rPr>
                <w:rStyle w:val="normalchar"/>
                <w:rFonts w:ascii="Times New Roman" w:hAnsi="Times New Roman"/>
                <w:b w:val="0"/>
                <w:color w:val="000000"/>
                <w:szCs w:val="24"/>
                <w:lang w:val="pl-PL"/>
              </w:rPr>
              <w:t>.</w:t>
            </w:r>
          </w:p>
        </w:tc>
      </w:tr>
    </w:tbl>
    <w:p w14:paraId="1C2AAF2C" w14:textId="77777777" w:rsidR="00155612" w:rsidRPr="00C864C1" w:rsidRDefault="00155612" w:rsidP="00155612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sz w:val="20"/>
          <w:szCs w:val="20"/>
          <w:lang w:val="pl-PL"/>
        </w:rPr>
      </w:pPr>
    </w:p>
    <w:p w14:paraId="2C8EF577" w14:textId="77777777" w:rsidR="00155612" w:rsidRPr="00C864C1" w:rsidRDefault="00155612" w:rsidP="00155612">
      <w:pPr>
        <w:rPr>
          <w:color w:val="2E74B5" w:themeColor="accent1" w:themeShade="BF"/>
          <w:lang w:val="pl-PL"/>
        </w:rPr>
      </w:pPr>
    </w:p>
    <w:p w14:paraId="036B9ED7" w14:textId="77777777" w:rsidR="00155612" w:rsidRPr="00C864C1" w:rsidRDefault="00155612" w:rsidP="00155612">
      <w:pPr>
        <w:rPr>
          <w:color w:val="2E74B5" w:themeColor="accent1" w:themeShade="BF"/>
          <w:lang w:val="pl-PL"/>
        </w:rPr>
      </w:pPr>
    </w:p>
    <w:p w14:paraId="52B951F4" w14:textId="77777777" w:rsidR="00155612" w:rsidRPr="00C864C1" w:rsidRDefault="00155612" w:rsidP="00155612">
      <w:pPr>
        <w:rPr>
          <w:color w:val="2E74B5" w:themeColor="accent1" w:themeShade="BF"/>
          <w:lang w:val="pl-PL"/>
        </w:rPr>
      </w:pPr>
    </w:p>
    <w:p w14:paraId="2A89F228" w14:textId="77777777" w:rsidR="00155612" w:rsidRPr="00C864C1" w:rsidRDefault="00155612" w:rsidP="00155612">
      <w:pPr>
        <w:rPr>
          <w:color w:val="2E74B5" w:themeColor="accent1" w:themeShade="BF"/>
          <w:lang w:val="pl-PL"/>
        </w:rPr>
      </w:pPr>
    </w:p>
    <w:p w14:paraId="091BAD52" w14:textId="4F57AD7C" w:rsidR="00155612" w:rsidRPr="00FA513A" w:rsidRDefault="00155612" w:rsidP="00155612">
      <w:pPr>
        <w:rPr>
          <w:rFonts w:ascii="Arial" w:hAnsi="Arial" w:cs="Arial"/>
          <w:b/>
          <w:color w:val="2E74B5" w:themeColor="accent1" w:themeShade="BF"/>
        </w:rPr>
      </w:pPr>
      <w:r w:rsidRPr="00BD4282">
        <w:rPr>
          <w:rFonts w:ascii="Arial" w:hAnsi="Arial" w:cs="Arial"/>
          <w:b/>
          <w:color w:val="2E74B5" w:themeColor="accent1" w:themeShade="BF"/>
        </w:rPr>
        <w:t>Datum i mjesto</w:t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="00134B68">
        <w:rPr>
          <w:rFonts w:ascii="Arial" w:hAnsi="Arial" w:cs="Arial"/>
          <w:b/>
          <w:color w:val="2E74B5" w:themeColor="accent1" w:themeShade="BF"/>
        </w:rPr>
        <w:t xml:space="preserve">                     </w:t>
      </w:r>
      <w:r w:rsidRPr="00BD4282">
        <w:rPr>
          <w:rFonts w:ascii="Arial" w:hAnsi="Arial" w:cs="Arial"/>
          <w:b/>
          <w:color w:val="2E74B5" w:themeColor="accent1" w:themeShade="BF"/>
        </w:rPr>
        <w:t xml:space="preserve">Starješina </w:t>
      </w:r>
    </w:p>
    <w:p w14:paraId="05D4CC87" w14:textId="77777777" w:rsidR="00155612" w:rsidRDefault="00155612" w:rsidP="00155612">
      <w:pPr>
        <w:rPr>
          <w:rFonts w:ascii="Arial" w:hAnsi="Arial" w:cs="Arial"/>
          <w:color w:val="2E74B5" w:themeColor="accent1" w:themeShade="BF"/>
        </w:rPr>
      </w:pPr>
    </w:p>
    <w:p w14:paraId="4FB71130" w14:textId="0E16D14D" w:rsidR="00155612" w:rsidRPr="0012515D" w:rsidRDefault="008547D2" w:rsidP="00155612">
      <w:pPr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7</w:t>
      </w:r>
      <w:r w:rsidR="000B0F40">
        <w:rPr>
          <w:rFonts w:ascii="Arial" w:hAnsi="Arial" w:cs="Arial"/>
          <w:color w:val="2E74B5" w:themeColor="accent1" w:themeShade="BF"/>
        </w:rPr>
        <w:t xml:space="preserve">. </w:t>
      </w:r>
      <w:r>
        <w:rPr>
          <w:rFonts w:ascii="Arial" w:hAnsi="Arial" w:cs="Arial"/>
          <w:color w:val="2E74B5" w:themeColor="accent1" w:themeShade="BF"/>
        </w:rPr>
        <w:t xml:space="preserve">novembar </w:t>
      </w:r>
      <w:r w:rsidR="00155612">
        <w:rPr>
          <w:rFonts w:ascii="Arial" w:hAnsi="Arial" w:cs="Arial"/>
          <w:color w:val="2E74B5" w:themeColor="accent1" w:themeShade="BF"/>
        </w:rPr>
        <w:t>20</w:t>
      </w:r>
      <w:r w:rsidR="0012515D">
        <w:rPr>
          <w:rFonts w:ascii="Arial" w:hAnsi="Arial" w:cs="Arial"/>
          <w:color w:val="2E74B5" w:themeColor="accent1" w:themeShade="BF"/>
        </w:rPr>
        <w:t>22</w:t>
      </w:r>
      <w:r w:rsidR="00155612">
        <w:rPr>
          <w:rFonts w:ascii="Arial" w:hAnsi="Arial" w:cs="Arial"/>
          <w:color w:val="2E74B5" w:themeColor="accent1" w:themeShade="BF"/>
        </w:rPr>
        <w:t>.</w:t>
      </w:r>
      <w:r w:rsidR="0012515D">
        <w:rPr>
          <w:rFonts w:ascii="Arial" w:hAnsi="Arial" w:cs="Arial"/>
          <w:color w:val="2E74B5" w:themeColor="accent1" w:themeShade="BF"/>
        </w:rPr>
        <w:t xml:space="preserve"> </w:t>
      </w:r>
      <w:r w:rsidR="00155612">
        <w:rPr>
          <w:rFonts w:ascii="Arial" w:hAnsi="Arial" w:cs="Arial"/>
          <w:color w:val="2E74B5" w:themeColor="accent1" w:themeShade="BF"/>
        </w:rPr>
        <w:t>godine</w:t>
      </w:r>
      <w:r w:rsidR="008A57F8">
        <w:rPr>
          <w:rFonts w:ascii="Arial" w:hAnsi="Arial" w:cs="Arial"/>
          <w:color w:val="2E74B5" w:themeColor="accent1" w:themeShade="BF"/>
        </w:rPr>
        <w:t>, Podgorica</w:t>
      </w:r>
      <w:r w:rsidR="00155612" w:rsidRPr="00972845">
        <w:rPr>
          <w:rFonts w:ascii="Arial" w:hAnsi="Arial" w:cs="Arial"/>
          <w:color w:val="44546A" w:themeColor="text2"/>
        </w:rPr>
        <w:tab/>
      </w:r>
      <w:r w:rsidR="008A57F8">
        <w:rPr>
          <w:rFonts w:ascii="Arial" w:hAnsi="Arial" w:cs="Arial"/>
          <w:color w:val="44546A" w:themeColor="text2"/>
        </w:rPr>
        <w:t xml:space="preserve">       </w:t>
      </w:r>
      <w:r w:rsidR="00134B68">
        <w:rPr>
          <w:rFonts w:ascii="Arial" w:hAnsi="Arial" w:cs="Arial"/>
          <w:color w:val="44546A" w:themeColor="text2"/>
        </w:rPr>
        <w:t xml:space="preserve">                       </w:t>
      </w:r>
      <w:r w:rsidR="00155612" w:rsidRPr="0012515D">
        <w:rPr>
          <w:rFonts w:ascii="Arial" w:hAnsi="Arial" w:cs="Arial"/>
          <w:b/>
          <w:color w:val="2E74B5" w:themeColor="accent1" w:themeShade="BF"/>
        </w:rPr>
        <w:t xml:space="preserve"> </w:t>
      </w:r>
      <w:r w:rsidR="008A57F8">
        <w:rPr>
          <w:rFonts w:ascii="Arial" w:hAnsi="Arial" w:cs="Arial"/>
          <w:bCs w:val="0"/>
          <w:color w:val="2E74B5" w:themeColor="accent1" w:themeShade="BF"/>
        </w:rPr>
        <w:t>______________________</w:t>
      </w:r>
    </w:p>
    <w:p w14:paraId="3D1B367B" w14:textId="5AD60DDA" w:rsidR="005A3956" w:rsidRDefault="008A57F8" w:rsidP="008A57F8">
      <w:pPr>
        <w:tabs>
          <w:tab w:val="left" w:pos="3552"/>
        </w:tabs>
      </w:pPr>
      <w:r>
        <w:tab/>
      </w:r>
      <w:r w:rsidR="00134B68">
        <w:t xml:space="preserve">                         </w:t>
      </w:r>
    </w:p>
    <w:sectPr w:rsidR="005A3956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F61"/>
    <w:multiLevelType w:val="hybridMultilevel"/>
    <w:tmpl w:val="8458898E"/>
    <w:lvl w:ilvl="0" w:tplc="ACF4933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D05128"/>
    <w:multiLevelType w:val="hybridMultilevel"/>
    <w:tmpl w:val="D84C8E9E"/>
    <w:lvl w:ilvl="0" w:tplc="3448337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94871359">
    <w:abstractNumId w:val="2"/>
  </w:num>
  <w:num w:numId="2" w16cid:durableId="1479959841">
    <w:abstractNumId w:val="1"/>
  </w:num>
  <w:num w:numId="3" w16cid:durableId="140012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12"/>
    <w:rsid w:val="000057A6"/>
    <w:rsid w:val="0001663E"/>
    <w:rsid w:val="00051B3C"/>
    <w:rsid w:val="00083280"/>
    <w:rsid w:val="000B0F40"/>
    <w:rsid w:val="001223F4"/>
    <w:rsid w:val="0012515D"/>
    <w:rsid w:val="00134B68"/>
    <w:rsid w:val="00155612"/>
    <w:rsid w:val="001C120E"/>
    <w:rsid w:val="001C3F9E"/>
    <w:rsid w:val="001E309C"/>
    <w:rsid w:val="00202D7E"/>
    <w:rsid w:val="002154C9"/>
    <w:rsid w:val="00260E26"/>
    <w:rsid w:val="00264BE1"/>
    <w:rsid w:val="002773E0"/>
    <w:rsid w:val="003147D6"/>
    <w:rsid w:val="00350CF5"/>
    <w:rsid w:val="00351D95"/>
    <w:rsid w:val="00377EE2"/>
    <w:rsid w:val="003A3DE1"/>
    <w:rsid w:val="003E20A0"/>
    <w:rsid w:val="00401105"/>
    <w:rsid w:val="00440635"/>
    <w:rsid w:val="00484F02"/>
    <w:rsid w:val="004B73FC"/>
    <w:rsid w:val="00510FCA"/>
    <w:rsid w:val="00521292"/>
    <w:rsid w:val="00531966"/>
    <w:rsid w:val="005614F0"/>
    <w:rsid w:val="0058535F"/>
    <w:rsid w:val="005A3956"/>
    <w:rsid w:val="005C7EDC"/>
    <w:rsid w:val="005E243C"/>
    <w:rsid w:val="005F1DB2"/>
    <w:rsid w:val="00645830"/>
    <w:rsid w:val="006568F3"/>
    <w:rsid w:val="006B60F8"/>
    <w:rsid w:val="006D7763"/>
    <w:rsid w:val="006F22A6"/>
    <w:rsid w:val="00701B6F"/>
    <w:rsid w:val="007221A4"/>
    <w:rsid w:val="00844474"/>
    <w:rsid w:val="008547D2"/>
    <w:rsid w:val="00854C81"/>
    <w:rsid w:val="008557DA"/>
    <w:rsid w:val="0085704A"/>
    <w:rsid w:val="008A57F8"/>
    <w:rsid w:val="008D4A51"/>
    <w:rsid w:val="008E3E4E"/>
    <w:rsid w:val="0098082F"/>
    <w:rsid w:val="009A6141"/>
    <w:rsid w:val="009F4DED"/>
    <w:rsid w:val="00A043F0"/>
    <w:rsid w:val="00A247B6"/>
    <w:rsid w:val="00A26AEB"/>
    <w:rsid w:val="00A30F0D"/>
    <w:rsid w:val="00A43C06"/>
    <w:rsid w:val="00A67D17"/>
    <w:rsid w:val="00A928D9"/>
    <w:rsid w:val="00AD2B21"/>
    <w:rsid w:val="00AF2819"/>
    <w:rsid w:val="00B10808"/>
    <w:rsid w:val="00B44F5B"/>
    <w:rsid w:val="00B64971"/>
    <w:rsid w:val="00BA6C64"/>
    <w:rsid w:val="00BB67DE"/>
    <w:rsid w:val="00C00AA0"/>
    <w:rsid w:val="00C04082"/>
    <w:rsid w:val="00C351BA"/>
    <w:rsid w:val="00C864C1"/>
    <w:rsid w:val="00C9002F"/>
    <w:rsid w:val="00CD0C19"/>
    <w:rsid w:val="00CE4DE4"/>
    <w:rsid w:val="00D101E8"/>
    <w:rsid w:val="00D236B3"/>
    <w:rsid w:val="00D239F2"/>
    <w:rsid w:val="00D64A58"/>
    <w:rsid w:val="00E16C5E"/>
    <w:rsid w:val="00E42914"/>
    <w:rsid w:val="00E46B4F"/>
    <w:rsid w:val="00E53DC9"/>
    <w:rsid w:val="00E5537E"/>
    <w:rsid w:val="00E81A55"/>
    <w:rsid w:val="00EA7EB4"/>
    <w:rsid w:val="00EC3E77"/>
    <w:rsid w:val="00ED5DD0"/>
    <w:rsid w:val="00EE6D6A"/>
    <w:rsid w:val="00EF78E2"/>
    <w:rsid w:val="00F244E1"/>
    <w:rsid w:val="00F31C00"/>
    <w:rsid w:val="00F81FA5"/>
    <w:rsid w:val="00F9370A"/>
    <w:rsid w:val="00FA1F0A"/>
    <w:rsid w:val="00FD6B48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3A3E"/>
  <w15:chartTrackingRefBased/>
  <w15:docId w15:val="{EE4A17E0-5F34-422F-8445-EF7600D5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anko"/>
    <w:qFormat/>
    <w:rsid w:val="00155612"/>
    <w:pPr>
      <w:spacing w:after="0" w:line="240" w:lineRule="auto"/>
      <w:jc w:val="both"/>
    </w:pPr>
    <w:rPr>
      <w:rFonts w:ascii="Garamond" w:eastAsia="Times New Roman" w:hAnsi="Garamond" w:cs="Times New Roman"/>
      <w:bCs/>
      <w:noProof/>
      <w:sz w:val="24"/>
      <w:lang w:val="sr-Latn-C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12"/>
    <w:pPr>
      <w:ind w:left="720"/>
    </w:pPr>
  </w:style>
  <w:style w:type="table" w:styleId="LightGrid-Accent5">
    <w:name w:val="Light Grid Accent 5"/>
    <w:basedOn w:val="TableNormal"/>
    <w:uiPriority w:val="62"/>
    <w:rsid w:val="0015561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normalchar">
    <w:name w:val="normal__char"/>
    <w:basedOn w:val="DefaultParagraphFont"/>
    <w:rsid w:val="00155612"/>
  </w:style>
  <w:style w:type="paragraph" w:styleId="BodyText">
    <w:name w:val="Body Text"/>
    <w:basedOn w:val="Normal"/>
    <w:link w:val="BodyTextChar"/>
    <w:uiPriority w:val="1"/>
    <w:qFormat/>
    <w:rsid w:val="008D4A51"/>
    <w:pPr>
      <w:widowControl w:val="0"/>
      <w:autoSpaceDE w:val="0"/>
      <w:autoSpaceDN w:val="0"/>
      <w:jc w:val="left"/>
    </w:pPr>
    <w:rPr>
      <w:rFonts w:ascii="Times New Roman" w:hAnsi="Times New Roman"/>
      <w:bCs w:val="0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D4A51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marko.popovic</dc:creator>
  <cp:keywords/>
  <dc:description/>
  <cp:lastModifiedBy>Ђорђије Дринчић</cp:lastModifiedBy>
  <cp:revision>6</cp:revision>
  <dcterms:created xsi:type="dcterms:W3CDTF">2022-10-04T13:17:00Z</dcterms:created>
  <dcterms:modified xsi:type="dcterms:W3CDTF">2022-11-03T09:14:00Z</dcterms:modified>
</cp:coreProperties>
</file>