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E58FB">
      <w:pPr>
        <w:rPr>
          <w:rFonts w:ascii="Arial" w:hAnsi="Arial" w:cs="Arial"/>
          <w:sz w:val="24"/>
          <w:szCs w:val="24"/>
        </w:rPr>
      </w:pPr>
      <w:r w:rsidRPr="00167D8D"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A64AEC">
        <w:rPr>
          <w:rFonts w:ascii="Arial" w:hAnsi="Arial" w:cs="Arial"/>
          <w:b/>
          <w:sz w:val="24"/>
          <w:szCs w:val="24"/>
        </w:rPr>
        <w:t>NACRTA</w:t>
      </w:r>
      <w:r w:rsidRPr="006E58FB">
        <w:rPr>
          <w:rFonts w:ascii="Arial" w:hAnsi="Arial" w:cs="Arial"/>
          <w:b/>
          <w:sz w:val="24"/>
          <w:szCs w:val="24"/>
        </w:rPr>
        <w:t xml:space="preserve"> ZAKONA O IZMJENAMA I DOPUNAMA ZAKONA O IZVRŠENJU I OBEZBJEĐENJU</w:t>
      </w: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</w:p>
    <w:p w:rsid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8776F4">
        <w:rPr>
          <w:rFonts w:ascii="Arial" w:hAnsi="Arial" w:cs="Arial"/>
          <w:sz w:val="24"/>
          <w:szCs w:val="24"/>
        </w:rPr>
        <w:t>nacrta</w:t>
      </w:r>
      <w:r w:rsidR="00F96097">
        <w:rPr>
          <w:rFonts w:ascii="Arial" w:hAnsi="Arial" w:cs="Arial"/>
          <w:sz w:val="24"/>
          <w:szCs w:val="24"/>
        </w:rPr>
        <w:t xml:space="preserve"> zakona trajaće 20 dana od dana objavljivanja poziva na internet stanici Ministarstva pravde</w:t>
      </w:r>
      <w:r w:rsidR="00C500D1">
        <w:rPr>
          <w:rFonts w:ascii="Arial" w:hAnsi="Arial" w:cs="Arial"/>
          <w:sz w:val="24"/>
          <w:szCs w:val="24"/>
        </w:rPr>
        <w:t xml:space="preserve">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Default="00F96097" w:rsidP="006E58F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 i sugestija. </w:t>
      </w:r>
    </w:p>
    <w:p w:rsidR="00F96097" w:rsidRDefault="00F96097" w:rsidP="006E58F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F96097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 na adresu: Ministarstvo pravde</w:t>
      </w:r>
      <w:r w:rsidR="00C500D1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Ul.Vuka Karadžića broj 3, Podgorica ili na e-mail: </w:t>
      </w:r>
      <w:hyperlink r:id="rId5" w:history="1">
        <w:r w:rsidRPr="00F96097">
          <w:rPr>
            <w:rStyle w:val="Hyperlink"/>
            <w:rFonts w:ascii="Arial" w:hAnsi="Arial" w:cs="Arial"/>
            <w:sz w:val="24"/>
            <w:szCs w:val="24"/>
          </w:rPr>
          <w:t>jelena.dragicevic@mpa.gov.me</w:t>
        </w:r>
      </w:hyperlink>
      <w:r w:rsidRPr="00F96097">
        <w:rPr>
          <w:rFonts w:ascii="Arial" w:hAnsi="Arial" w:cs="Arial"/>
          <w:sz w:val="24"/>
          <w:szCs w:val="24"/>
        </w:rPr>
        <w:t>.</w:t>
      </w:r>
    </w:p>
    <w:p w:rsidR="00F96097" w:rsidRDefault="00F96097" w:rsidP="00F96097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96097" w:rsidRPr="00F96097" w:rsidRDefault="00F96097" w:rsidP="00F96097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: Jelena Dragićević, kontakt tel.020/407-5</w:t>
      </w:r>
      <w:r>
        <w:rPr>
          <w:rFonts w:ascii="Arial" w:hAnsi="Arial" w:cs="Arial"/>
          <w:color w:val="221F1F"/>
          <w:w w:val="102"/>
          <w:sz w:val="24"/>
          <w:szCs w:val="24"/>
        </w:rPr>
        <w:t>07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Pr="00F96097">
        <w:rPr>
          <w:rFonts w:ascii="Arial" w:hAnsi="Arial" w:cs="Arial"/>
          <w:sz w:val="24"/>
          <w:szCs w:val="24"/>
          <w:u w:val="single"/>
        </w:rPr>
        <w:t>e- 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F96097">
          <w:rPr>
            <w:rStyle w:val="Hyperlink"/>
            <w:rFonts w:ascii="Arial" w:hAnsi="Arial" w:cs="Arial"/>
            <w:sz w:val="24"/>
            <w:szCs w:val="24"/>
          </w:rPr>
          <w:t>jelena.dragicevic@mpa.gov.me</w:t>
        </w:r>
      </w:hyperlink>
      <w:r w:rsidRPr="00F96097">
        <w:rPr>
          <w:rFonts w:ascii="Arial" w:hAnsi="Arial" w:cs="Arial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nacrta</w:t>
      </w:r>
      <w:r w:rsidRPr="00F96097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kon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,</w:t>
      </w:r>
      <w:r w:rsidRPr="00F96097">
        <w:rPr>
          <w:rFonts w:ascii="Arial" w:hAnsi="Arial" w:cs="Arial"/>
          <w:color w:val="221F1F"/>
          <w:spacing w:val="40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odnosno strat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-2"/>
          <w:w w:val="10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ije:</w:t>
      </w:r>
      <w:r w:rsidRPr="00F96097"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Direktorat za </w:t>
      </w:r>
      <w:r w:rsidR="00F96097">
        <w:rPr>
          <w:rFonts w:ascii="Arial" w:hAnsi="Arial" w:cs="Arial"/>
          <w:color w:val="221F1F"/>
          <w:w w:val="102"/>
          <w:sz w:val="24"/>
          <w:szCs w:val="24"/>
          <w:u w:val="single"/>
        </w:rPr>
        <w:t>krivično i građansko zakonodavstvo.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167D8D"/>
    <w:rsid w:val="006E58FB"/>
    <w:rsid w:val="008776F4"/>
    <w:rsid w:val="00A64AEC"/>
    <w:rsid w:val="00B10A6A"/>
    <w:rsid w:val="00C500D1"/>
    <w:rsid w:val="00D13E12"/>
    <w:rsid w:val="00EF6A92"/>
    <w:rsid w:val="00F9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4B28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E5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dragicevic@mpa.gov.me" TargetMode="External"/><Relationship Id="rId5" Type="http://schemas.openxmlformats.org/officeDocument/2006/relationships/hyperlink" Target="mailto:jelena.dragice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10</cp:revision>
  <dcterms:created xsi:type="dcterms:W3CDTF">2022-03-14T06:50:00Z</dcterms:created>
  <dcterms:modified xsi:type="dcterms:W3CDTF">2023-02-21T07:35:00Z</dcterms:modified>
</cp:coreProperties>
</file>