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B499" w14:textId="77777777" w:rsidR="00DC10AD" w:rsidRPr="003E6974" w:rsidRDefault="00DC10AD" w:rsidP="00DC10AD">
      <w:pPr>
        <w:pStyle w:val="Header"/>
        <w:jc w:val="center"/>
        <w:rPr>
          <w:sz w:val="24"/>
          <w:szCs w:val="24"/>
        </w:rPr>
      </w:pPr>
      <w:r w:rsidRPr="003E6974">
        <w:rPr>
          <w:rFonts w:eastAsia="Times New Roman" w:cstheme="minorHAnsi"/>
          <w:noProof/>
          <w:sz w:val="24"/>
          <w:szCs w:val="24"/>
          <w:lang w:val="en-GB" w:eastAsia="en-GB"/>
        </w:rPr>
        <w:drawing>
          <wp:inline distT="0" distB="0" distL="0" distR="0" wp14:anchorId="0D11D489" wp14:editId="00133A3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1191" w14:textId="77777777" w:rsidR="00DC10AD" w:rsidRPr="00555C8E" w:rsidRDefault="00DC10AD" w:rsidP="00DC10AD">
      <w:pPr>
        <w:pStyle w:val="Header"/>
        <w:jc w:val="center"/>
        <w:rPr>
          <w:rFonts w:ascii="Garamond" w:hAnsi="Garamond"/>
          <w:b/>
          <w:sz w:val="26"/>
          <w:szCs w:val="26"/>
        </w:rPr>
      </w:pPr>
      <w:r w:rsidRPr="00555C8E">
        <w:rPr>
          <w:rFonts w:ascii="Garamond" w:hAnsi="Garamond"/>
          <w:b/>
          <w:sz w:val="26"/>
          <w:szCs w:val="26"/>
        </w:rPr>
        <w:t>Crna Gora</w:t>
      </w:r>
    </w:p>
    <w:p w14:paraId="0690EC87" w14:textId="05F86724" w:rsidR="00DC10AD" w:rsidRPr="00555C8E" w:rsidRDefault="00DC10AD" w:rsidP="00DC10AD">
      <w:pPr>
        <w:pStyle w:val="Header"/>
        <w:jc w:val="center"/>
        <w:rPr>
          <w:rFonts w:ascii="Garamond" w:hAnsi="Garamond"/>
          <w:b/>
          <w:sz w:val="26"/>
          <w:szCs w:val="26"/>
        </w:rPr>
      </w:pPr>
      <w:r w:rsidRPr="00555C8E">
        <w:rPr>
          <w:rFonts w:ascii="Garamond" w:hAnsi="Garamond"/>
          <w:b/>
          <w:sz w:val="26"/>
          <w:szCs w:val="26"/>
        </w:rPr>
        <w:t>Ministarstvo finansija</w:t>
      </w:r>
      <w:r w:rsidR="00800F54" w:rsidRPr="00555C8E">
        <w:rPr>
          <w:rFonts w:ascii="Garamond" w:hAnsi="Garamond"/>
          <w:b/>
          <w:sz w:val="26"/>
          <w:szCs w:val="26"/>
        </w:rPr>
        <w:t xml:space="preserve"> </w:t>
      </w:r>
    </w:p>
    <w:p w14:paraId="00CEAC79" w14:textId="77777777" w:rsidR="00DC10AD" w:rsidRPr="003E6974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BB3EA1" w14:textId="77777777" w:rsidR="00DC10AD" w:rsidRPr="003E6974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15E6176" w14:textId="77777777" w:rsidR="00DC10AD" w:rsidRPr="003E6974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CCDA8F8" w14:textId="77777777" w:rsidR="00DC10AD" w:rsidRPr="003E6974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8D82406" w14:textId="77777777" w:rsidR="00DC10AD" w:rsidRPr="003E6974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6EAC809" w14:textId="77777777" w:rsidR="00DC10AD" w:rsidRPr="003E6974" w:rsidRDefault="00DC10AD" w:rsidP="00DC10AD">
      <w:pPr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808AA2D" w14:textId="77777777" w:rsidR="00835BB0" w:rsidRPr="003E6974" w:rsidRDefault="00835BB0" w:rsidP="00A528AA">
      <w:pPr>
        <w:pStyle w:val="Footer"/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F75874A" w14:textId="77777777" w:rsidR="003E6974" w:rsidRDefault="003E6974" w:rsidP="00A528AA">
      <w:pPr>
        <w:pStyle w:val="Footer"/>
        <w:jc w:val="center"/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AD42754" w14:textId="77777777" w:rsidR="003E6974" w:rsidRDefault="003E6974" w:rsidP="00A528AA">
      <w:pPr>
        <w:pStyle w:val="Footer"/>
        <w:jc w:val="center"/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F5AEB0" w14:textId="6D025696" w:rsidR="00DC10AD" w:rsidRPr="003E6974" w:rsidRDefault="00A528AA" w:rsidP="00A528AA">
      <w:pPr>
        <w:pStyle w:val="Footer"/>
        <w:jc w:val="center"/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E6974"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IZVJEŠTAJ O PRELIMINARNIM NIVOIMA BUDŽETSKOG GOTOVINSKOG DEFICITA, JAVN</w:t>
      </w:r>
      <w:r w:rsidR="00AB0E43" w:rsidRPr="003E6974"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OG DUGA I NETO ZADUŽENJA ZA 202</w:t>
      </w:r>
      <w:r w:rsidR="003D3D94"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r w:rsidRPr="003E6974"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GODINU</w:t>
      </w:r>
    </w:p>
    <w:p w14:paraId="473B625D" w14:textId="77777777" w:rsidR="00DC10AD" w:rsidRPr="003E6974" w:rsidRDefault="00DC10AD" w:rsidP="00DC10AD">
      <w:pPr>
        <w:pStyle w:val="Footer"/>
        <w:rPr>
          <w:rFonts w:ascii="Garamond" w:hAnsi="Garamond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C396E1D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24230B1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052CE31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BD0A1E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639CBFB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534709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D8D87E" w14:textId="77777777" w:rsidR="00DC10AD" w:rsidRPr="003E6974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CF64AC4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F9F2EC0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8D144A8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4F43B0C1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72E0C024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33811BA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090CCEBC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4B63C4AF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4D7D44DD" w14:textId="77777777" w:rsidR="00DC10AD" w:rsidRPr="003E6974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9C7C393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5FA6D0D1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1DA5C9C7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7C3AA7B0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71400751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0659C59" w14:textId="77777777" w:rsidR="00DC10AD" w:rsidRPr="003E6974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152BC7CB" w14:textId="77777777" w:rsidR="003E6974" w:rsidRDefault="003E6974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B9C78D5" w14:textId="77777777" w:rsidR="003E6974" w:rsidRDefault="003E6974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CD46529" w14:textId="77777777" w:rsidR="003E6974" w:rsidRDefault="003E6974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0B39B150" w14:textId="53DA7A56" w:rsidR="00DC10AD" w:rsidRPr="003E6974" w:rsidRDefault="00ED2433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  <w:r w:rsidRPr="003E6974">
        <w:rPr>
          <w:rFonts w:ascii="Garamond" w:hAnsi="Garamond"/>
          <w:b/>
          <w:sz w:val="24"/>
          <w:szCs w:val="24"/>
        </w:rPr>
        <w:t>Mart</w:t>
      </w:r>
      <w:r w:rsidR="00AC21CD" w:rsidRPr="003E6974">
        <w:rPr>
          <w:rFonts w:ascii="Garamond" w:hAnsi="Garamond"/>
          <w:b/>
          <w:sz w:val="24"/>
          <w:szCs w:val="24"/>
        </w:rPr>
        <w:t>, 202</w:t>
      </w:r>
      <w:r w:rsidR="003D3D94">
        <w:rPr>
          <w:rFonts w:ascii="Garamond" w:hAnsi="Garamond"/>
          <w:b/>
          <w:sz w:val="24"/>
          <w:szCs w:val="24"/>
        </w:rPr>
        <w:t>4</w:t>
      </w:r>
      <w:r w:rsidR="00DC10AD" w:rsidRPr="003E6974">
        <w:rPr>
          <w:rFonts w:ascii="Garamond" w:hAnsi="Garamond"/>
          <w:b/>
          <w:sz w:val="24"/>
          <w:szCs w:val="24"/>
        </w:rPr>
        <w:t>. godine</w:t>
      </w:r>
    </w:p>
    <w:p w14:paraId="3F53EE41" w14:textId="28B1C6DB" w:rsidR="00ED2433" w:rsidRDefault="00D104B7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  <w:r w:rsidRPr="003E6974">
        <w:rPr>
          <w:rFonts w:ascii="Garamond" w:hAnsi="Garamond"/>
          <w:b/>
          <w:sz w:val="24"/>
          <w:szCs w:val="24"/>
        </w:rPr>
        <w:lastRenderedPageBreak/>
        <w:t>Shodno članu 25 Zakona o budžetu i fiskalnoj odgovornosti, Ministarstvo finansija</w:t>
      </w:r>
      <w:r w:rsidR="00CC434E" w:rsidRPr="003E6974">
        <w:rPr>
          <w:rFonts w:ascii="Garamond" w:hAnsi="Garamond"/>
          <w:b/>
          <w:sz w:val="24"/>
          <w:szCs w:val="24"/>
        </w:rPr>
        <w:t xml:space="preserve"> </w:t>
      </w:r>
      <w:r w:rsidR="0019796A">
        <w:rPr>
          <w:rFonts w:ascii="Garamond" w:hAnsi="Garamond"/>
          <w:b/>
          <w:sz w:val="24"/>
          <w:szCs w:val="24"/>
        </w:rPr>
        <w:t>priprema i objavljuje I</w:t>
      </w:r>
      <w:r w:rsidRPr="003E6974">
        <w:rPr>
          <w:rFonts w:ascii="Garamond" w:hAnsi="Garamond"/>
          <w:b/>
          <w:sz w:val="24"/>
          <w:szCs w:val="24"/>
        </w:rPr>
        <w:t>zvještaj o preliminarnim nivoima budžetskog gotovinskog suficita, odnosno deficita, javnog duga i neto zaduženja iz člana 20 stav 2 ovog zakona u roku od 90 dana, od isteka fiskalne godine na svojoj internet stranici.</w:t>
      </w:r>
    </w:p>
    <w:p w14:paraId="47267EDF" w14:textId="77777777" w:rsidR="0066351C" w:rsidRDefault="0066351C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0CB6488D" w14:textId="77777777" w:rsidR="0066351C" w:rsidRDefault="0066351C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589DB4D9" w14:textId="2ADE1D82" w:rsidR="00D104B7" w:rsidRDefault="0066351C" w:rsidP="00D104B7">
      <w:pPr>
        <w:pStyle w:val="Footer"/>
        <w:suppressAutoHyphens/>
        <w:jc w:val="both"/>
        <w:rPr>
          <w:rFonts w:ascii="Garamond" w:hAnsi="Garamond"/>
          <w:b/>
          <w:sz w:val="28"/>
          <w:szCs w:val="24"/>
        </w:rPr>
      </w:pPr>
      <w:r w:rsidRPr="0066351C">
        <w:rPr>
          <w:rFonts w:ascii="Garamond" w:hAnsi="Garamond"/>
          <w:b/>
          <w:sz w:val="28"/>
          <w:szCs w:val="24"/>
        </w:rPr>
        <w:t>BUDŽETSKI GOTOVINSKI BILANS</w:t>
      </w:r>
    </w:p>
    <w:p w14:paraId="261EDEAB" w14:textId="77777777" w:rsidR="0066351C" w:rsidRPr="0066351C" w:rsidRDefault="0066351C" w:rsidP="00D104B7">
      <w:pPr>
        <w:pStyle w:val="Footer"/>
        <w:suppressAutoHyphens/>
        <w:jc w:val="both"/>
        <w:rPr>
          <w:rFonts w:ascii="Garamond" w:hAnsi="Garamond"/>
          <w:b/>
          <w:sz w:val="28"/>
          <w:szCs w:val="24"/>
        </w:rPr>
      </w:pPr>
    </w:p>
    <w:p w14:paraId="67ECC42A" w14:textId="77777777" w:rsidR="00090721" w:rsidRPr="001B1CA6" w:rsidRDefault="00090721" w:rsidP="0066351C">
      <w:pPr>
        <w:numPr>
          <w:ilvl w:val="1"/>
          <w:numId w:val="0"/>
        </w:numPr>
        <w:spacing w:before="120" w:after="24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JAVNE FINANSIJE</w:t>
      </w:r>
    </w:p>
    <w:p w14:paraId="012E7A25" w14:textId="21E7EA49" w:rsidR="00090721" w:rsidRPr="00F16719" w:rsidRDefault="00090721" w:rsidP="00090721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Javni prihodi</w:t>
      </w:r>
      <w:r w:rsidRPr="00F16719">
        <w:rPr>
          <w:rFonts w:ascii="Garamond" w:hAnsi="Garamond"/>
          <w:sz w:val="24"/>
          <w:szCs w:val="24"/>
        </w:rPr>
        <w:t> u 202</w:t>
      </w:r>
      <w:r>
        <w:rPr>
          <w:rFonts w:ascii="Garamond" w:hAnsi="Garamond"/>
          <w:sz w:val="24"/>
          <w:szCs w:val="24"/>
        </w:rPr>
        <w:t>3</w:t>
      </w:r>
      <w:r w:rsidRPr="00F16719">
        <w:rPr>
          <w:rFonts w:ascii="Garamond" w:hAnsi="Garamond"/>
          <w:sz w:val="24"/>
          <w:szCs w:val="24"/>
        </w:rPr>
        <w:t>. godin</w:t>
      </w:r>
      <w:r>
        <w:rPr>
          <w:rFonts w:ascii="Garamond" w:hAnsi="Garamond"/>
          <w:sz w:val="24"/>
          <w:szCs w:val="24"/>
        </w:rPr>
        <w:t>i</w:t>
      </w:r>
      <w:r w:rsidRPr="00F16719">
        <w:rPr>
          <w:rFonts w:ascii="Garamond" w:hAnsi="Garamond"/>
          <w:sz w:val="24"/>
          <w:szCs w:val="24"/>
        </w:rPr>
        <w:t xml:space="preserve"> iznosili su </w:t>
      </w:r>
      <w:r>
        <w:rPr>
          <w:rFonts w:ascii="Garamond" w:hAnsi="Garamond"/>
          <w:sz w:val="24"/>
          <w:szCs w:val="24"/>
        </w:rPr>
        <w:t xml:space="preserve"> 2.941,3 </w:t>
      </w:r>
      <w:r w:rsidRPr="00F16719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4</w:t>
      </w:r>
      <w:r w:rsidR="002C1960">
        <w:rPr>
          <w:rFonts w:ascii="Garamond" w:hAnsi="Garamond"/>
          <w:sz w:val="24"/>
          <w:szCs w:val="24"/>
        </w:rPr>
        <w:t>3</w:t>
      </w:r>
      <w:r w:rsidRPr="00F16719">
        <w:rPr>
          <w:rFonts w:ascii="Garamond" w:hAnsi="Garamond"/>
          <w:sz w:val="24"/>
          <w:szCs w:val="24"/>
        </w:rPr>
        <w:t xml:space="preserve">% </w:t>
      </w:r>
      <w:r w:rsidR="002C1960">
        <w:rPr>
          <w:rFonts w:ascii="Garamond" w:hAnsi="Garamond"/>
          <w:sz w:val="24"/>
          <w:szCs w:val="24"/>
        </w:rPr>
        <w:t>preliminarnog</w:t>
      </w:r>
      <w:r w:rsidR="002C1960" w:rsidRPr="00F16719">
        <w:rPr>
          <w:rFonts w:ascii="Garamond" w:hAnsi="Garamond"/>
          <w:sz w:val="24"/>
          <w:szCs w:val="24"/>
        </w:rPr>
        <w:t xml:space="preserve"> BDP-a (6.</w:t>
      </w:r>
      <w:r w:rsidR="002C1960">
        <w:rPr>
          <w:rFonts w:ascii="Garamond" w:hAnsi="Garamond"/>
          <w:sz w:val="24"/>
          <w:szCs w:val="24"/>
        </w:rPr>
        <w:t>847,1</w:t>
      </w:r>
      <w:r w:rsidR="002C1960" w:rsidRPr="00F16719">
        <w:rPr>
          <w:rFonts w:ascii="Garamond" w:hAnsi="Garamond"/>
          <w:sz w:val="24"/>
          <w:szCs w:val="24"/>
        </w:rPr>
        <w:t xml:space="preserve"> mil. €)</w:t>
      </w:r>
      <w:r w:rsidR="002C1960">
        <w:rPr>
          <w:rStyle w:val="FootnoteReference"/>
          <w:rFonts w:ascii="Garamond" w:hAnsi="Garamond"/>
          <w:sz w:val="24"/>
          <w:szCs w:val="24"/>
        </w:rPr>
        <w:footnoteReference w:id="1"/>
      </w:r>
      <w:r w:rsidRPr="00F16719">
        <w:rPr>
          <w:rFonts w:ascii="Garamond" w:hAnsi="Garamond"/>
          <w:sz w:val="24"/>
          <w:szCs w:val="24"/>
        </w:rPr>
        <w:t xml:space="preserve"> i u odnosu na planirane veći su za </w:t>
      </w:r>
      <w:r>
        <w:rPr>
          <w:rFonts w:ascii="Garamond" w:hAnsi="Garamond"/>
          <w:sz w:val="24"/>
          <w:szCs w:val="24"/>
        </w:rPr>
        <w:t xml:space="preserve">164,0 </w:t>
      </w:r>
      <w:r w:rsidRPr="00F16719">
        <w:rPr>
          <w:rFonts w:ascii="Garamond" w:hAnsi="Garamond"/>
          <w:sz w:val="24"/>
          <w:szCs w:val="24"/>
        </w:rPr>
        <w:t>mil. € ili</w:t>
      </w:r>
      <w:r>
        <w:rPr>
          <w:rFonts w:ascii="Garamond" w:hAnsi="Garamond"/>
          <w:sz w:val="24"/>
          <w:szCs w:val="24"/>
        </w:rPr>
        <w:t xml:space="preserve"> 5,9</w:t>
      </w:r>
      <w:r w:rsidRPr="00F16719">
        <w:rPr>
          <w:rFonts w:ascii="Garamond" w:hAnsi="Garamond"/>
          <w:sz w:val="24"/>
          <w:szCs w:val="24"/>
        </w:rPr>
        <w:t xml:space="preserve">%. U odnosu na isti period 2022. godine, javni prihodi su veći za </w:t>
      </w:r>
      <w:r>
        <w:rPr>
          <w:rFonts w:ascii="Garamond" w:hAnsi="Garamond"/>
          <w:sz w:val="24"/>
          <w:szCs w:val="24"/>
        </w:rPr>
        <w:t xml:space="preserve">619,0 </w:t>
      </w:r>
      <w:r w:rsidRPr="00F16719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26,7</w:t>
      </w:r>
      <w:r w:rsidRPr="00F16719">
        <w:rPr>
          <w:rFonts w:ascii="Garamond" w:hAnsi="Garamond"/>
          <w:sz w:val="24"/>
          <w:szCs w:val="24"/>
        </w:rPr>
        <w:t>%.</w:t>
      </w:r>
    </w:p>
    <w:p w14:paraId="6F108CB8" w14:textId="2DC79383" w:rsidR="00090721" w:rsidRPr="00F16719" w:rsidRDefault="00090721" w:rsidP="00090721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Javna potrošnja</w:t>
      </w:r>
      <w:r w:rsidRPr="00F16719">
        <w:rPr>
          <w:rFonts w:ascii="Garamond" w:hAnsi="Garamond"/>
          <w:sz w:val="24"/>
          <w:szCs w:val="24"/>
        </w:rPr>
        <w:t> u 2023. godin</w:t>
      </w:r>
      <w:r>
        <w:rPr>
          <w:rFonts w:ascii="Garamond" w:hAnsi="Garamond"/>
          <w:sz w:val="24"/>
          <w:szCs w:val="24"/>
        </w:rPr>
        <w:t xml:space="preserve">i </w:t>
      </w:r>
      <w:r w:rsidRPr="00F16719">
        <w:rPr>
          <w:rFonts w:ascii="Garamond" w:hAnsi="Garamond"/>
          <w:sz w:val="24"/>
          <w:szCs w:val="24"/>
        </w:rPr>
        <w:t>iznosila je</w:t>
      </w:r>
      <w:r>
        <w:rPr>
          <w:rFonts w:ascii="Garamond" w:hAnsi="Garamond"/>
          <w:sz w:val="24"/>
          <w:szCs w:val="24"/>
        </w:rPr>
        <w:t xml:space="preserve"> </w:t>
      </w:r>
      <w:r w:rsidRPr="005833BB"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900,1 </w:t>
      </w:r>
      <w:r w:rsidRPr="00F16719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4</w:t>
      </w:r>
      <w:r w:rsidR="002C1960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,</w:t>
      </w:r>
      <w:r w:rsidR="002C1960">
        <w:rPr>
          <w:rFonts w:ascii="Garamond" w:hAnsi="Garamond"/>
          <w:sz w:val="24"/>
          <w:szCs w:val="24"/>
        </w:rPr>
        <w:t>4</w:t>
      </w:r>
      <w:r w:rsidRPr="00F16719">
        <w:rPr>
          <w:rFonts w:ascii="Garamond" w:hAnsi="Garamond"/>
          <w:sz w:val="24"/>
          <w:szCs w:val="24"/>
        </w:rPr>
        <w:t xml:space="preserve">% BDP-a i manja je za </w:t>
      </w:r>
      <w:r>
        <w:rPr>
          <w:rFonts w:ascii="Garamond" w:hAnsi="Garamond"/>
          <w:sz w:val="24"/>
          <w:szCs w:val="24"/>
        </w:rPr>
        <w:t xml:space="preserve">63,5 </w:t>
      </w:r>
      <w:r w:rsidRPr="00F16719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2,1</w:t>
      </w:r>
      <w:r w:rsidRPr="00F16719">
        <w:rPr>
          <w:rFonts w:ascii="Garamond" w:hAnsi="Garamond"/>
          <w:sz w:val="24"/>
          <w:szCs w:val="24"/>
        </w:rPr>
        <w:t xml:space="preserve">% u odnosu na planiranu, dok je u odnosu na prethodnu godinu veća za </w:t>
      </w:r>
      <w:r>
        <w:rPr>
          <w:rFonts w:ascii="Garamond" w:hAnsi="Garamond"/>
          <w:sz w:val="24"/>
          <w:szCs w:val="24"/>
        </w:rPr>
        <w:t xml:space="preserve">326,0 </w:t>
      </w:r>
      <w:r w:rsidRPr="00F16719">
        <w:rPr>
          <w:rFonts w:ascii="Garamond" w:hAnsi="Garamond"/>
          <w:sz w:val="24"/>
          <w:szCs w:val="24"/>
        </w:rPr>
        <w:t xml:space="preserve">mil. € ili </w:t>
      </w:r>
      <w:r>
        <w:rPr>
          <w:rFonts w:ascii="Garamond" w:hAnsi="Garamond"/>
          <w:sz w:val="24"/>
          <w:szCs w:val="24"/>
        </w:rPr>
        <w:t>12,7</w:t>
      </w:r>
      <w:r w:rsidRPr="00F16719">
        <w:rPr>
          <w:rFonts w:ascii="Garamond" w:hAnsi="Garamond"/>
          <w:sz w:val="24"/>
          <w:szCs w:val="24"/>
        </w:rPr>
        <w:t>%.</w:t>
      </w:r>
    </w:p>
    <w:p w14:paraId="68F36049" w14:textId="272F46F1" w:rsidR="00090721" w:rsidRDefault="00090721" w:rsidP="00090721">
      <w:pPr>
        <w:jc w:val="both"/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</w:pP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 rashoda u 2023. godin</w:t>
      </w: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i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preliminarni 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 javnih finansija</w:t>
      </w:r>
      <w:r w:rsid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odnosno </w:t>
      </w:r>
      <w:r w:rsidR="0066351C" w:rsidRP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preliminarni budžetsk</w:t>
      </w:r>
      <w:r w:rsid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i</w:t>
      </w:r>
      <w:r w:rsidR="0066351C" w:rsidRP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gotovinsk</w:t>
      </w:r>
      <w:r w:rsid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i</w:t>
      </w:r>
      <w:r w:rsidR="0066351C" w:rsidRP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suficit</w:t>
      </w:r>
      <w:r w:rsidR="0066351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66351C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u smislu člana 25 Zakona o budžetu i fiskalnoj odgovornsoti, </w:t>
      </w:r>
      <w:r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u iznosu od </w:t>
      </w:r>
      <w:r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41,2 </w:t>
      </w:r>
      <w:r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mil. € ili</w:t>
      </w:r>
      <w:r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0,6</w:t>
      </w:r>
      <w:r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BDP-a.</w:t>
      </w:r>
    </w:p>
    <w:p w14:paraId="5BC1B60C" w14:textId="77777777" w:rsidR="00090721" w:rsidRPr="0066351C" w:rsidRDefault="00090721" w:rsidP="0066351C">
      <w:pPr>
        <w:numPr>
          <w:ilvl w:val="1"/>
          <w:numId w:val="0"/>
        </w:numPr>
        <w:spacing w:before="240" w:after="120"/>
        <w:jc w:val="both"/>
        <w:rPr>
          <w:rFonts w:ascii="Garamond" w:hAnsi="Garamond"/>
          <w:color w:val="548DD4"/>
          <w:spacing w:val="15"/>
          <w:sz w:val="24"/>
          <w:shd w:val="clear" w:color="auto" w:fill="FFFFFF"/>
        </w:rPr>
      </w:pPr>
      <w:r w:rsidRPr="0066351C">
        <w:rPr>
          <w:rFonts w:ascii="Garamond" w:hAnsi="Garamond"/>
          <w:color w:val="548DD4"/>
          <w:spacing w:val="15"/>
          <w:sz w:val="24"/>
          <w:shd w:val="clear" w:color="auto" w:fill="FFFFFF"/>
        </w:rPr>
        <w:t>BUDŽET CRNE GORE</w:t>
      </w:r>
    </w:p>
    <w:p w14:paraId="3C674474" w14:textId="4BB3B13F" w:rsidR="003D3D23" w:rsidRPr="003D3D23" w:rsidRDefault="003D3D23" w:rsidP="003D3D23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3D3D23">
        <w:rPr>
          <w:rFonts w:ascii="Garamond" w:eastAsia="Calibri" w:hAnsi="Garamond" w:cs="Times New Roman"/>
          <w:sz w:val="24"/>
          <w:szCs w:val="24"/>
        </w:rPr>
        <w:t>Tokom 2023. godine zabilježen je snažan rast budžetskih prihoda. Glavni generatori rasta prihoda bili su: rast potrošnje domaćinstava, inflacija, potrošnja značajnog broja stranih državljana sa privremenim boravištem u Crnoj Gori, efekti turističke sezone, smanjenje neformalnosti na tržištu rada i suzbijanja nelegalnog prometa na tržištu duvana i duvanskih proizvoda i naplata prihoda jednokratnog karaktera.</w:t>
      </w:r>
    </w:p>
    <w:p w14:paraId="60B9FB11" w14:textId="77777777" w:rsidR="003D3D23" w:rsidRPr="003D3D23" w:rsidRDefault="003D3D23" w:rsidP="003D3D23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3D3D23">
        <w:rPr>
          <w:rFonts w:ascii="Garamond" w:eastAsia="Calibri" w:hAnsi="Garamond" w:cs="Times New Roman"/>
          <w:sz w:val="24"/>
          <w:szCs w:val="24"/>
        </w:rPr>
        <w:t xml:space="preserve">Značajan dio povećanja budžetskih prihoda odnosio se na jednokratne prilive koji nisu vezani za nove mjere fiskalne politike ili značajnije strukturne reforme kojima se unaprjeđuje struktura privrede i stvara nova vrijednost. </w:t>
      </w:r>
    </w:p>
    <w:p w14:paraId="5A59139D" w14:textId="2B0213CD" w:rsidR="00414405" w:rsidRPr="00414405" w:rsidRDefault="00414405" w:rsidP="00414405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Pr="003B73C9">
        <w:rPr>
          <w:rFonts w:ascii="Garamond" w:hAnsi="Garamond" w:cstheme="minorHAnsi"/>
          <w:sz w:val="24"/>
          <w:szCs w:val="24"/>
        </w:rPr>
        <w:t xml:space="preserve"> </w:t>
      </w:r>
      <w:r>
        <w:rPr>
          <w:rStyle w:val="FootnoteReference"/>
          <w:rFonts w:ascii="Garamond" w:hAnsi="Garamond" w:cstheme="minorHAnsi"/>
          <w:sz w:val="24"/>
          <w:szCs w:val="24"/>
        </w:rPr>
        <w:footnoteReference w:id="2"/>
      </w:r>
      <w:r w:rsidRPr="003B73C9">
        <w:rPr>
          <w:rFonts w:ascii="Garamond" w:hAnsi="Garamond" w:cstheme="minorHAnsi"/>
          <w:sz w:val="24"/>
          <w:szCs w:val="24"/>
        </w:rPr>
        <w:t>u 202</w:t>
      </w:r>
      <w:r>
        <w:rPr>
          <w:rFonts w:ascii="Garamond" w:hAnsi="Garamond" w:cstheme="minorHAnsi"/>
          <w:sz w:val="24"/>
          <w:szCs w:val="24"/>
        </w:rPr>
        <w:t>3</w:t>
      </w:r>
      <w:r w:rsidRPr="003B73C9">
        <w:rPr>
          <w:rFonts w:ascii="Garamond" w:hAnsi="Garamond" w:cstheme="minorHAnsi"/>
          <w:sz w:val="24"/>
          <w:szCs w:val="24"/>
        </w:rPr>
        <w:t>. godin</w:t>
      </w:r>
      <w:r>
        <w:rPr>
          <w:rFonts w:ascii="Garamond" w:hAnsi="Garamond" w:cstheme="minorHAnsi"/>
          <w:sz w:val="24"/>
          <w:szCs w:val="24"/>
        </w:rPr>
        <w:t>i</w:t>
      </w:r>
      <w:r w:rsidRPr="003B73C9">
        <w:rPr>
          <w:rFonts w:ascii="Garamond" w:hAnsi="Garamond" w:cstheme="minorHAnsi"/>
          <w:sz w:val="24"/>
          <w:szCs w:val="24"/>
        </w:rPr>
        <w:t xml:space="preserve">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iznosili su </w:t>
      </w:r>
      <w:r>
        <w:rPr>
          <w:rFonts w:ascii="Garamond" w:eastAsia="Calibri" w:hAnsi="Garamond" w:cs="Times New Roman"/>
          <w:sz w:val="24"/>
          <w:szCs w:val="24"/>
        </w:rPr>
        <w:t xml:space="preserve">2.566,4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>
        <w:rPr>
          <w:rFonts w:ascii="Garamond" w:eastAsia="Calibri" w:hAnsi="Garamond" w:cs="Times New Roman"/>
          <w:sz w:val="24"/>
          <w:szCs w:val="24"/>
        </w:rPr>
        <w:t>3</w:t>
      </w:r>
      <w:r w:rsidR="002C1960">
        <w:rPr>
          <w:rFonts w:ascii="Garamond" w:eastAsia="Calibri" w:hAnsi="Garamond" w:cs="Times New Roman"/>
          <w:sz w:val="24"/>
          <w:szCs w:val="24"/>
        </w:rPr>
        <w:t>7</w:t>
      </w:r>
      <w:r>
        <w:rPr>
          <w:rFonts w:ascii="Garamond" w:eastAsia="Calibri" w:hAnsi="Garamond" w:cs="Times New Roman"/>
          <w:sz w:val="24"/>
          <w:szCs w:val="24"/>
        </w:rPr>
        <w:t>,</w:t>
      </w:r>
      <w:r w:rsidR="002C1960">
        <w:rPr>
          <w:rFonts w:ascii="Garamond" w:eastAsia="Calibri" w:hAnsi="Garamond" w:cs="Times New Roman"/>
          <w:sz w:val="24"/>
          <w:szCs w:val="24"/>
        </w:rPr>
        <w:t>5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 </w:t>
      </w:r>
      <w:r w:rsidR="002C1960">
        <w:rPr>
          <w:rFonts w:ascii="Garamond" w:eastAsia="Calibri" w:hAnsi="Garamond" w:cs="Times New Roman"/>
          <w:sz w:val="24"/>
          <w:szCs w:val="24"/>
        </w:rPr>
        <w:t>preliminarnog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BDP-a</w:t>
      </w:r>
      <w:r>
        <w:rPr>
          <w:rFonts w:ascii="Garamond" w:eastAsia="Calibri" w:hAnsi="Garamond" w:cs="Times New Roman"/>
          <w:sz w:val="24"/>
          <w:szCs w:val="24"/>
        </w:rPr>
        <w:t xml:space="preserve"> (6.624,3 mil. €)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i veći su za </w:t>
      </w:r>
      <w:r>
        <w:rPr>
          <w:rFonts w:ascii="Garamond" w:eastAsia="Calibri" w:hAnsi="Garamond" w:cs="Times New Roman"/>
          <w:sz w:val="24"/>
          <w:szCs w:val="24"/>
        </w:rPr>
        <w:t xml:space="preserve">143,6 </w:t>
      </w:r>
      <w:r w:rsidRPr="004D40FC">
        <w:rPr>
          <w:rFonts w:ascii="Garamond" w:eastAsia="Calibri" w:hAnsi="Garamond" w:cs="Times New Roman"/>
          <w:sz w:val="24"/>
          <w:szCs w:val="24"/>
        </w:rPr>
        <w:t>mil. € ili</w:t>
      </w:r>
      <w:r>
        <w:rPr>
          <w:rFonts w:ascii="Garamond" w:eastAsia="Calibri" w:hAnsi="Garamond" w:cs="Times New Roman"/>
          <w:sz w:val="24"/>
          <w:szCs w:val="24"/>
        </w:rPr>
        <w:t xml:space="preserve"> 5,9</w:t>
      </w:r>
      <w:r w:rsidRPr="004D40FC">
        <w:rPr>
          <w:rFonts w:ascii="Garamond" w:eastAsia="Calibri" w:hAnsi="Garamond" w:cs="Times New Roman"/>
          <w:sz w:val="24"/>
          <w:szCs w:val="24"/>
        </w:rPr>
        <w:t>% u odnosu na planirane</w:t>
      </w:r>
      <w:r>
        <w:rPr>
          <w:rFonts w:ascii="Garamond" w:eastAsia="Calibri" w:hAnsi="Garamond" w:cs="Times New Roman"/>
          <w:sz w:val="24"/>
          <w:szCs w:val="24"/>
        </w:rPr>
        <w:t xml:space="preserve"> rebalansom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, dok su u odnosu na uporedni period 2022. godine veći za </w:t>
      </w:r>
      <w:r>
        <w:rPr>
          <w:rFonts w:ascii="Garamond" w:eastAsia="Calibri" w:hAnsi="Garamond" w:cs="Times New Roman"/>
          <w:sz w:val="24"/>
          <w:szCs w:val="24"/>
        </w:rPr>
        <w:t>57</w:t>
      </w:r>
      <w:r w:rsidR="004A04F9">
        <w:rPr>
          <w:rFonts w:ascii="Garamond" w:eastAsia="Calibri" w:hAnsi="Garamond" w:cs="Times New Roman"/>
          <w:sz w:val="24"/>
          <w:szCs w:val="24"/>
        </w:rPr>
        <w:t>0.9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>
        <w:rPr>
          <w:rFonts w:ascii="Garamond" w:eastAsia="Calibri" w:hAnsi="Garamond" w:cs="Times New Roman"/>
          <w:sz w:val="24"/>
          <w:szCs w:val="24"/>
        </w:rPr>
        <w:t>28,6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%. U posmatranom periodu zabilježen je rast gotovo svih kategorija prihoda budžeta. Najznačajnija pozitivna odstupanja zabilježena su kod </w:t>
      </w:r>
      <w:r w:rsidRPr="00414405">
        <w:rPr>
          <w:rFonts w:ascii="Garamond" w:eastAsia="Calibri" w:hAnsi="Garamond" w:cs="Times New Roman"/>
          <w:sz w:val="24"/>
          <w:szCs w:val="24"/>
        </w:rPr>
        <w:t>Ostalih prihoda, Prihoda po osnovu poreza na dodatu vrijednost, Prihoda po osnovu poreza na dobit pravnih lica, Doprinosa za obavezno socijalno osiguranje i Donacija i transfera.</w:t>
      </w:r>
    </w:p>
    <w:p w14:paraId="265243AE" w14:textId="39193873" w:rsidR="00414405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Prihodi po osnovu</w:t>
      </w:r>
      <w:r>
        <w:rPr>
          <w:rFonts w:ascii="Garamond" w:eastAsia="Calibri" w:hAnsi="Garamond" w:cs="Times New Roman"/>
          <w:sz w:val="24"/>
          <w:szCs w:val="24"/>
        </w:rPr>
        <w:t xml:space="preserve"> poreza na dodatu vrijednost</w:t>
      </w:r>
      <w:r w:rsidRPr="0020289A">
        <w:rPr>
          <w:rFonts w:ascii="Garamond" w:eastAsia="Calibri" w:hAnsi="Garamond" w:cs="Times New Roman"/>
          <w:sz w:val="24"/>
          <w:szCs w:val="24"/>
        </w:rPr>
        <w:t>, naplaćeni su u iznosu od 1.059,3 mil. € što je za 31,2 mil. € ili 3% veće u odnosu na planirane rebalansom i 151,2 mil. € ili 16</w:t>
      </w:r>
      <w:r>
        <w:rPr>
          <w:rFonts w:ascii="Garamond" w:eastAsia="Calibri" w:hAnsi="Garamond" w:cs="Times New Roman"/>
          <w:sz w:val="24"/>
          <w:szCs w:val="24"/>
        </w:rPr>
        <w:t>,7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veće u odnosu na isti period prethodne godine. </w:t>
      </w:r>
      <w:r w:rsidR="00B61221">
        <w:rPr>
          <w:rFonts w:ascii="Garamond" w:eastAsia="Calibri" w:hAnsi="Garamond" w:cs="Times New Roman"/>
          <w:sz w:val="24"/>
          <w:szCs w:val="24"/>
        </w:rPr>
        <w:t>N</w:t>
      </w:r>
      <w:r w:rsidR="00B61221" w:rsidRPr="0020289A">
        <w:rPr>
          <w:rFonts w:ascii="Garamond" w:eastAsia="Calibri" w:hAnsi="Garamond" w:cs="Times New Roman"/>
          <w:sz w:val="24"/>
          <w:szCs w:val="24"/>
        </w:rPr>
        <w:t>ajznačajniji faktor</w:t>
      </w:r>
      <w:r w:rsidR="00B61221">
        <w:rPr>
          <w:rFonts w:ascii="Garamond" w:eastAsia="Calibri" w:hAnsi="Garamond" w:cs="Times New Roman"/>
          <w:sz w:val="24"/>
          <w:szCs w:val="24"/>
        </w:rPr>
        <w:t>i koji su opredijelili</w:t>
      </w:r>
      <w:r w:rsidR="00B61221" w:rsidRPr="0020289A">
        <w:rPr>
          <w:rFonts w:ascii="Garamond" w:eastAsia="Calibri" w:hAnsi="Garamond" w:cs="Times New Roman"/>
          <w:sz w:val="24"/>
          <w:szCs w:val="24"/>
        </w:rPr>
        <w:t xml:space="preserve"> </w:t>
      </w:r>
      <w:r w:rsidR="00B61221">
        <w:rPr>
          <w:rFonts w:ascii="Garamond" w:eastAsia="Calibri" w:hAnsi="Garamond" w:cs="Times New Roman"/>
          <w:sz w:val="24"/>
          <w:szCs w:val="24"/>
        </w:rPr>
        <w:t xml:space="preserve">snažan </w:t>
      </w:r>
      <w:r w:rsidR="00B61221" w:rsidRPr="0020289A">
        <w:rPr>
          <w:rFonts w:ascii="Garamond" w:eastAsia="Calibri" w:hAnsi="Garamond" w:cs="Times New Roman"/>
          <w:sz w:val="24"/>
          <w:szCs w:val="24"/>
        </w:rPr>
        <w:t xml:space="preserve">rast ove kategorije prihoda 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su: rezultati ljetnje turističke sezone, unaprijeđena poreska disciplina, </w:t>
      </w:r>
      <w:r w:rsidR="00E75B51">
        <w:rPr>
          <w:rFonts w:ascii="Garamond" w:eastAsia="Calibri" w:hAnsi="Garamond" w:cs="Times New Roman"/>
          <w:sz w:val="24"/>
          <w:szCs w:val="24"/>
        </w:rPr>
        <w:t xml:space="preserve">kao i </w:t>
      </w:r>
      <w:r w:rsidRPr="0020289A">
        <w:rPr>
          <w:rFonts w:ascii="Garamond" w:eastAsia="Calibri" w:hAnsi="Garamond" w:cs="Times New Roman"/>
          <w:sz w:val="24"/>
          <w:szCs w:val="24"/>
        </w:rPr>
        <w:t>značajan rast uvoza i potrošnje domaćinstava</w:t>
      </w:r>
      <w:r w:rsidR="00E75B51">
        <w:rPr>
          <w:rFonts w:ascii="Garamond" w:eastAsia="Calibri" w:hAnsi="Garamond" w:cs="Times New Roman"/>
          <w:sz w:val="24"/>
          <w:szCs w:val="24"/>
        </w:rPr>
        <w:t>.</w:t>
      </w:r>
    </w:p>
    <w:p w14:paraId="17977736" w14:textId="77777777" w:rsidR="00790E34" w:rsidRPr="0020289A" w:rsidRDefault="00790E34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3873448A" w14:textId="77777777" w:rsidR="00790E34" w:rsidRPr="0020289A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lastRenderedPageBreak/>
        <w:t xml:space="preserve">Prihodi po osnovu </w:t>
      </w:r>
      <w:r w:rsidRPr="00E75B51">
        <w:rPr>
          <w:rFonts w:ascii="Garamond" w:eastAsia="Calibri" w:hAnsi="Garamond" w:cs="Times New Roman"/>
          <w:sz w:val="24"/>
          <w:szCs w:val="24"/>
        </w:rPr>
        <w:t>doprinosa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naplaćeni su u iznosu od 575,7 mil. € što je za 63,5 mil. € ili 12,4% veće u odnosu na planirane rebalansom, odnosno 112,9 mil. € ili 24,4% veće u odnosu na uporedni period 2022. godine. Značajan rast ove kategorije prihoda prevashodno je rezultat smanjenja neformalne ekonomije na tržištu rada usljed smanjenja poreskog opterećenja na rad, povećanja zarada zaposlenih u javnom sektoru čime je uvećana i osnovica naplate poreza i doprinosa na zarade, veće poreske discipline, kao i efekata implementacije Zakona o reprogramu poreskog potraživanja.</w:t>
      </w:r>
    </w:p>
    <w:p w14:paraId="3CFB354A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02F529E5" w14:textId="7F8928E9" w:rsidR="00790E34" w:rsidRDefault="00790E34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F37A90" wp14:editId="3C6F58C3">
            <wp:extent cx="5857875" cy="225742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B150052A-8BF5-45E7-A0DE-F7016BD79D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898768" w14:textId="2D36D364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67E84E66" w14:textId="56148D20" w:rsidR="00790E34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U posmatranom periodu prihodi po osnovu </w:t>
      </w:r>
      <w:r>
        <w:rPr>
          <w:rFonts w:ascii="Garamond" w:eastAsia="Calibri" w:hAnsi="Garamond" w:cs="Times New Roman"/>
          <w:sz w:val="24"/>
          <w:szCs w:val="24"/>
        </w:rPr>
        <w:t>p</w:t>
      </w:r>
      <w:r w:rsidRPr="00B61221">
        <w:rPr>
          <w:rFonts w:ascii="Garamond" w:eastAsia="Calibri" w:hAnsi="Garamond" w:cs="Times New Roman"/>
          <w:sz w:val="24"/>
          <w:szCs w:val="24"/>
        </w:rPr>
        <w:t>oreza na dobit pravnih lica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iznosili se 151,3 mil. € i veći su u odnosu na planirane rebalansom za 16,6 mil. € ili 12,4%, dok su u odnosu na uporedni period 2022. godine veći su za 61,1 mil. € ili 67,8%. </w:t>
      </w:r>
      <w:r>
        <w:rPr>
          <w:rFonts w:ascii="Garamond" w:eastAsia="Calibri" w:hAnsi="Garamond" w:cs="Times New Roman"/>
          <w:sz w:val="24"/>
          <w:szCs w:val="24"/>
        </w:rPr>
        <w:t>R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ast ove kategorije prihoda opredijelili su </w:t>
      </w:r>
      <w:r>
        <w:rPr>
          <w:rFonts w:ascii="Garamond" w:eastAsia="Calibri" w:hAnsi="Garamond" w:cs="Times New Roman"/>
          <w:sz w:val="24"/>
          <w:szCs w:val="24"/>
        </w:rPr>
        <w:t>u</w:t>
      </w:r>
      <w:r w:rsidRPr="0020289A">
        <w:rPr>
          <w:rFonts w:ascii="Garamond" w:eastAsia="Calibri" w:hAnsi="Garamond" w:cs="Times New Roman"/>
          <w:sz w:val="24"/>
          <w:szCs w:val="24"/>
        </w:rPr>
        <w:t>vođenje progresivnih stopa na dobit, rast ekonomske aktivnosti i ostvareni rezultati privrednih subjekata u prethodnoj godini, kao i poboljšanje poreske discipline</w:t>
      </w:r>
      <w:r>
        <w:rPr>
          <w:rFonts w:ascii="Garamond" w:eastAsia="Calibri" w:hAnsi="Garamond" w:cs="Times New Roman"/>
          <w:sz w:val="24"/>
          <w:szCs w:val="24"/>
        </w:rPr>
        <w:t>.</w:t>
      </w:r>
    </w:p>
    <w:p w14:paraId="6D76D7F1" w14:textId="77777777" w:rsidR="00790E34" w:rsidRPr="0020289A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6B603CC2" w14:textId="77777777" w:rsidR="00790E34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Prihodi od </w:t>
      </w:r>
      <w:r>
        <w:rPr>
          <w:rFonts w:ascii="Garamond" w:eastAsia="Calibri" w:hAnsi="Garamond" w:cs="Times New Roman"/>
          <w:sz w:val="24"/>
          <w:szCs w:val="24"/>
        </w:rPr>
        <w:t>akciza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naplaćeni su u iznosu od 323,1 mil. €, što je u odnosu na plan po rebalansu veće za 26,7 mil. € ili 9%, odnosno 77,2 mil. € ili 31,4% u odnosu na isti period prethodne godine. Najveći doprinos rastu akciza u 2023. godini zabilježen je kod:</w:t>
      </w:r>
    </w:p>
    <w:p w14:paraId="6607CA12" w14:textId="77777777" w:rsidR="00790E34" w:rsidRPr="0020289A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53E00E72" w14:textId="77777777" w:rsidR="00790E34" w:rsidRPr="0020289A" w:rsidRDefault="00790E34" w:rsidP="00790E34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- akcize na mineralna ulja i njihove derivate, i to u iznosu od 179,2 mil. €, što je za 61,1 mil. € ili 51,7% veće u odnosu na isti period prethodne godine.</w:t>
      </w:r>
    </w:p>
    <w:p w14:paraId="404A7D30" w14:textId="5E4216E5" w:rsidR="00414405" w:rsidRDefault="00790E34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- akcize na duvan i duvanske proizvode, i to u iznosu od 100,2 mil. €, što je za 8,2 mil. € ili 8,9% veće u odnosu na isti period prethodne godine.</w:t>
      </w:r>
    </w:p>
    <w:p w14:paraId="28752A29" w14:textId="77777777" w:rsidR="00790E34" w:rsidRPr="0020289A" w:rsidRDefault="00790E34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04B16A64" w14:textId="09CCD5B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E75B51">
        <w:rPr>
          <w:rFonts w:ascii="Garamond" w:eastAsia="Calibri" w:hAnsi="Garamond" w:cs="Times New Roman"/>
          <w:sz w:val="24"/>
          <w:szCs w:val="24"/>
        </w:rPr>
        <w:t xml:space="preserve">Ostali prihodi </w:t>
      </w:r>
      <w:r w:rsidRPr="0020289A">
        <w:rPr>
          <w:rFonts w:ascii="Garamond" w:eastAsia="Calibri" w:hAnsi="Garamond" w:cs="Times New Roman"/>
          <w:sz w:val="24"/>
          <w:szCs w:val="24"/>
        </w:rPr>
        <w:t>u posmatranom periodu iznosili su 181,8 mil. €, što je za 18,</w:t>
      </w:r>
      <w:r>
        <w:rPr>
          <w:rFonts w:ascii="Garamond" w:eastAsia="Calibri" w:hAnsi="Garamond" w:cs="Times New Roman"/>
          <w:sz w:val="24"/>
          <w:szCs w:val="24"/>
        </w:rPr>
        <w:t>7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manje u odnosu na planirane rebalansom, dok su u odnosu na uporedni period 2022. godine veći za 15</w:t>
      </w:r>
      <w:r w:rsidR="004A04F9">
        <w:rPr>
          <w:rFonts w:ascii="Garamond" w:eastAsia="Calibri" w:hAnsi="Garamond" w:cs="Times New Roman"/>
          <w:sz w:val="24"/>
          <w:szCs w:val="24"/>
        </w:rPr>
        <w:t>5.4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€. Rast ove kategorije prihoda u odnosu na 2022. godinu dominantno je rezultat prekida hedžing aranžmana iz 2021. godine, i to u iznosu od 60 mil. €, kao i prenos sredstava naplaćenih u okviru implementacije  projekta „Ekonomskog državljanstva“ u ukupnom iznosu od 68,2 mil. €. Pored navedenog, u 2023. godini  izvršena je uplata u iznosu od 11,6 mil. €, po osnovu uplaćenih dividendi od ostvarene dobiti privrednih društava u većinskom vlasništvu države.</w:t>
      </w:r>
    </w:p>
    <w:p w14:paraId="254B2A8A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FABAA0D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Značajan rast zabilježen je i kod kategorije </w:t>
      </w:r>
      <w:r w:rsidRPr="00E75B51">
        <w:rPr>
          <w:rFonts w:ascii="Garamond" w:eastAsia="Calibri" w:hAnsi="Garamond" w:cs="Times New Roman"/>
          <w:sz w:val="24"/>
          <w:szCs w:val="24"/>
        </w:rPr>
        <w:t>Donacije i transferi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koji su ostvareni u iznosu od 71,3 mil. €, što je u odnosu na plan po rebalansu veće za 2,9 mil. €, i u odnosu na isti period prethodne </w:t>
      </w:r>
      <w:r w:rsidRPr="0020289A">
        <w:rPr>
          <w:rFonts w:ascii="Garamond" w:eastAsia="Calibri" w:hAnsi="Garamond" w:cs="Times New Roman"/>
          <w:sz w:val="24"/>
          <w:szCs w:val="24"/>
        </w:rPr>
        <w:lastRenderedPageBreak/>
        <w:t>godine za 36,9 mil. €. Rast navedene kategorije prevashodno je rezultat izvršene uplate sredstava od strane EU, a po osnovu direktne budžetske podrške za energetsku efikasnost.</w:t>
      </w:r>
    </w:p>
    <w:p w14:paraId="07A79E3A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46DC0F5" w14:textId="18EA8CD5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b/>
          <w:sz w:val="24"/>
          <w:szCs w:val="24"/>
        </w:rPr>
        <w:t>Izdaci budžeta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u 2023. godini iznosili su 2</w:t>
      </w:r>
      <w:r>
        <w:rPr>
          <w:rFonts w:ascii="Garamond" w:eastAsia="Calibri" w:hAnsi="Garamond" w:cs="Times New Roman"/>
          <w:sz w:val="24"/>
          <w:szCs w:val="24"/>
        </w:rPr>
        <w:t>.556,1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3</w:t>
      </w:r>
      <w:r w:rsidR="002C1960">
        <w:rPr>
          <w:rFonts w:ascii="Garamond" w:eastAsia="Calibri" w:hAnsi="Garamond" w:cs="Times New Roman"/>
          <w:sz w:val="24"/>
          <w:szCs w:val="24"/>
        </w:rPr>
        <w:t>7</w:t>
      </w:r>
      <w:r w:rsidRPr="0020289A">
        <w:rPr>
          <w:rFonts w:ascii="Garamond" w:eastAsia="Calibri" w:hAnsi="Garamond" w:cs="Times New Roman"/>
          <w:sz w:val="24"/>
          <w:szCs w:val="24"/>
        </w:rPr>
        <w:t>,</w:t>
      </w:r>
      <w:r w:rsidR="002C1960">
        <w:rPr>
          <w:rFonts w:ascii="Garamond" w:eastAsia="Calibri" w:hAnsi="Garamond" w:cs="Times New Roman"/>
          <w:sz w:val="24"/>
          <w:szCs w:val="24"/>
        </w:rPr>
        <w:t>3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</w:t>
      </w:r>
      <w:r w:rsidR="002C1960">
        <w:rPr>
          <w:rFonts w:ascii="Garamond" w:eastAsia="Calibri" w:hAnsi="Garamond" w:cs="Times New Roman"/>
          <w:sz w:val="24"/>
          <w:szCs w:val="24"/>
        </w:rPr>
        <w:t>preliminarnog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BDP-a i u odnosu na planirane niži su za </w:t>
      </w:r>
      <w:r>
        <w:rPr>
          <w:rFonts w:ascii="Garamond" w:eastAsia="Calibri" w:hAnsi="Garamond" w:cs="Times New Roman"/>
          <w:sz w:val="24"/>
          <w:szCs w:val="24"/>
        </w:rPr>
        <w:t>83,0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3,</w:t>
      </w:r>
      <w:r>
        <w:rPr>
          <w:rFonts w:ascii="Garamond" w:eastAsia="Calibri" w:hAnsi="Garamond" w:cs="Times New Roman"/>
          <w:sz w:val="24"/>
          <w:szCs w:val="24"/>
        </w:rPr>
        <w:t>1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 dok su u odnosu na isti period 2022. godine veći za </w:t>
      </w:r>
      <w:r>
        <w:rPr>
          <w:rFonts w:ascii="Garamond" w:eastAsia="Calibri" w:hAnsi="Garamond" w:cs="Times New Roman"/>
          <w:sz w:val="24"/>
          <w:szCs w:val="24"/>
        </w:rPr>
        <w:t xml:space="preserve">310,3 </w:t>
      </w:r>
      <w:r w:rsidRPr="0020289A">
        <w:rPr>
          <w:rFonts w:ascii="Garamond" w:eastAsia="Calibri" w:hAnsi="Garamond" w:cs="Times New Roman"/>
          <w:sz w:val="24"/>
          <w:szCs w:val="24"/>
        </w:rPr>
        <w:t>mil. € ili 13,</w:t>
      </w:r>
      <w:r>
        <w:rPr>
          <w:rFonts w:ascii="Garamond" w:eastAsia="Calibri" w:hAnsi="Garamond" w:cs="Times New Roman"/>
          <w:sz w:val="24"/>
          <w:szCs w:val="24"/>
        </w:rPr>
        <w:t>8</w:t>
      </w:r>
      <w:r w:rsidRPr="0020289A">
        <w:rPr>
          <w:rFonts w:ascii="Garamond" w:eastAsia="Calibri" w:hAnsi="Garamond" w:cs="Times New Roman"/>
          <w:sz w:val="24"/>
          <w:szCs w:val="24"/>
        </w:rPr>
        <w:t>%.</w:t>
      </w:r>
    </w:p>
    <w:p w14:paraId="41903F16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55D0FECA" w14:textId="77777777" w:rsidR="00414405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 xml:space="preserve">U strukturi ukupne potrošnje u posmatranom periodu, </w:t>
      </w:r>
      <w:r w:rsidRPr="00A3240E">
        <w:rPr>
          <w:rFonts w:ascii="Garamond" w:eastAsia="Calibri" w:hAnsi="Garamond" w:cs="Times New Roman"/>
          <w:b/>
          <w:sz w:val="24"/>
          <w:szCs w:val="24"/>
        </w:rPr>
        <w:t>Tekući budžet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izvršen je na nivou 93% ukupne potrošnje, dok je Kapitalni budžet izvršen na nivou od 7% ukupne potrošnje.</w:t>
      </w:r>
    </w:p>
    <w:p w14:paraId="4DCB7661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11894FC4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Posmatrajući glavne kategorije potrošnje u okviru Tekućeg budžeta, tekući izdaci, u navedenom periodu, realizovani su u iznosu od 1.0</w:t>
      </w:r>
      <w:r>
        <w:rPr>
          <w:rFonts w:ascii="Garamond" w:eastAsia="Calibri" w:hAnsi="Garamond" w:cs="Times New Roman"/>
          <w:sz w:val="24"/>
          <w:szCs w:val="24"/>
        </w:rPr>
        <w:t>73,0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 n</w:t>
      </w:r>
      <w:r>
        <w:rPr>
          <w:rFonts w:ascii="Garamond" w:eastAsia="Calibri" w:hAnsi="Garamond" w:cs="Times New Roman"/>
          <w:sz w:val="24"/>
          <w:szCs w:val="24"/>
        </w:rPr>
        <w:t xml:space="preserve">iži su od planiranih za 7,3 </w:t>
      </w:r>
      <w:r w:rsidRPr="0020289A">
        <w:rPr>
          <w:rFonts w:ascii="Garamond" w:eastAsia="Calibri" w:hAnsi="Garamond" w:cs="Times New Roman"/>
          <w:sz w:val="24"/>
          <w:szCs w:val="24"/>
        </w:rPr>
        <w:t>mil. €</w:t>
      </w:r>
      <w:r>
        <w:rPr>
          <w:rFonts w:ascii="Garamond" w:eastAsia="Calibri" w:hAnsi="Garamond" w:cs="Times New Roman"/>
          <w:sz w:val="24"/>
          <w:szCs w:val="24"/>
        </w:rPr>
        <w:t xml:space="preserve"> ili 0,7%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. U okviru ove kategorije izdataka najznačajnija izdvajanja su kod Bruto zarada i doprinosa na teret poslodavca u iznosu od 643 mil. €, što je u odnosu na plan veće za </w:t>
      </w:r>
      <w:r>
        <w:rPr>
          <w:rFonts w:ascii="Garamond" w:eastAsia="Calibri" w:hAnsi="Garamond" w:cs="Times New Roman"/>
          <w:sz w:val="24"/>
          <w:szCs w:val="24"/>
        </w:rPr>
        <w:t>7,7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1,</w:t>
      </w:r>
      <w:r>
        <w:rPr>
          <w:rFonts w:ascii="Garamond" w:eastAsia="Calibri" w:hAnsi="Garamond" w:cs="Times New Roman"/>
          <w:sz w:val="24"/>
          <w:szCs w:val="24"/>
        </w:rPr>
        <w:t>2</w:t>
      </w:r>
      <w:r w:rsidRPr="0020289A">
        <w:rPr>
          <w:rFonts w:ascii="Garamond" w:eastAsia="Calibri" w:hAnsi="Garamond" w:cs="Times New Roman"/>
          <w:sz w:val="24"/>
          <w:szCs w:val="24"/>
        </w:rPr>
        <w:t>% i koje su realizovane u skladu sa važećim zakonskim propisima, potpisanim kolektivnim ugovorima i stvarnom obračunu zarada. Zatim, izdaci za kamate su realizovani u većem iznosu od plana za 1</w:t>
      </w:r>
      <w:r>
        <w:rPr>
          <w:rFonts w:ascii="Garamond" w:eastAsia="Calibri" w:hAnsi="Garamond" w:cs="Times New Roman"/>
          <w:sz w:val="24"/>
          <w:szCs w:val="24"/>
        </w:rPr>
        <w:t>4,5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mil. € ili 1</w:t>
      </w:r>
      <w:r>
        <w:rPr>
          <w:rFonts w:ascii="Garamond" w:eastAsia="Calibri" w:hAnsi="Garamond" w:cs="Times New Roman"/>
          <w:sz w:val="24"/>
          <w:szCs w:val="24"/>
        </w:rPr>
        <w:t>3,2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%, </w:t>
      </w:r>
      <w:r w:rsidRPr="00294739">
        <w:rPr>
          <w:rFonts w:ascii="Garamond" w:eastAsia="Calibri" w:hAnsi="Garamond" w:cs="Times New Roman"/>
          <w:sz w:val="24"/>
          <w:szCs w:val="24"/>
        </w:rPr>
        <w:t>Rashodi za usluge u iznosu od 64</w:t>
      </w:r>
      <w:r>
        <w:rPr>
          <w:rFonts w:ascii="Garamond" w:eastAsia="Calibri" w:hAnsi="Garamond" w:cs="Times New Roman"/>
          <w:sz w:val="24"/>
          <w:szCs w:val="24"/>
        </w:rPr>
        <w:t>,0</w:t>
      </w:r>
      <w:r w:rsidRPr="00294739">
        <w:rPr>
          <w:rFonts w:ascii="Garamond" w:eastAsia="Calibri" w:hAnsi="Garamond" w:cs="Times New Roman"/>
          <w:sz w:val="24"/>
          <w:szCs w:val="24"/>
        </w:rPr>
        <w:t xml:space="preserve"> mil € što je za 6</w:t>
      </w:r>
      <w:r>
        <w:rPr>
          <w:rFonts w:ascii="Garamond" w:eastAsia="Calibri" w:hAnsi="Garamond" w:cs="Times New Roman"/>
          <w:sz w:val="24"/>
          <w:szCs w:val="24"/>
        </w:rPr>
        <w:t>,0</w:t>
      </w:r>
      <w:r w:rsidRPr="00294739">
        <w:rPr>
          <w:rFonts w:ascii="Garamond" w:eastAsia="Calibri" w:hAnsi="Garamond" w:cs="Times New Roman"/>
          <w:sz w:val="24"/>
          <w:szCs w:val="24"/>
        </w:rPr>
        <w:t xml:space="preserve"> mil € ili 10 % veće od plana, kao i subvencije 74.4 mil € ili 1,6 mil € odnosno 2% više od plana. </w:t>
      </w:r>
      <w:r w:rsidRPr="0020289A">
        <w:rPr>
          <w:rFonts w:ascii="Garamond" w:eastAsia="Calibri" w:hAnsi="Garamond" w:cs="Times New Roman"/>
          <w:sz w:val="24"/>
          <w:szCs w:val="24"/>
        </w:rPr>
        <w:t>Pored navedenog, ostale budžetske pozicije u okviru Tekućih izdataka uglavnom ispod plana, shodno stvarnoj dinamici potrošnje potrošačkih jedinica.</w:t>
      </w:r>
    </w:p>
    <w:p w14:paraId="5BC5D497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F797C25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20289A">
        <w:rPr>
          <w:rFonts w:ascii="Garamond" w:eastAsia="Calibri" w:hAnsi="Garamond" w:cs="Times New Roman"/>
          <w:sz w:val="24"/>
          <w:szCs w:val="24"/>
        </w:rPr>
        <w:t>Transferi za socijalnu zaštitu, na kraju godine ostvareni su u iznosu od 825,1 mil. € i niži su u odnosu na planirane za 15,7 mil. € ili 1,9%, dok su u odnosu na isti period 2022. godine veći za 157,8 mil. € ili 23,7%, što je dominantno rezultat većeg izvršenja po osnovu prava iz oblasti socijalne zaštite i prava iz oblasti penzijskog i invalidskog osiguranja, usljed redovnog i vanrednog usklađivanja ovih izdataka shodno važećim zakonskim propisima. Sa druge strane, Transferi institucijama, pojedincima, nevladinom i javnom sektoru ostvareni su u iznosu od 380,7 mil €, što je za 13,</w:t>
      </w:r>
      <w:r>
        <w:rPr>
          <w:rFonts w:ascii="Garamond" w:eastAsia="Calibri" w:hAnsi="Garamond" w:cs="Times New Roman"/>
          <w:sz w:val="24"/>
          <w:szCs w:val="24"/>
        </w:rPr>
        <w:t>0</w:t>
      </w:r>
      <w:r w:rsidRPr="0020289A">
        <w:rPr>
          <w:rFonts w:ascii="Garamond" w:eastAsia="Calibri" w:hAnsi="Garamond" w:cs="Times New Roman"/>
          <w:sz w:val="24"/>
          <w:szCs w:val="24"/>
        </w:rPr>
        <w:t xml:space="preserve"> mil € ili 3.</w:t>
      </w:r>
      <w:r>
        <w:rPr>
          <w:rFonts w:ascii="Garamond" w:eastAsia="Calibri" w:hAnsi="Garamond" w:cs="Times New Roman"/>
          <w:sz w:val="24"/>
          <w:szCs w:val="24"/>
        </w:rPr>
        <w:t>5</w:t>
      </w:r>
      <w:r w:rsidRPr="0020289A">
        <w:rPr>
          <w:rFonts w:ascii="Garamond" w:eastAsia="Calibri" w:hAnsi="Garamond" w:cs="Times New Roman"/>
          <w:sz w:val="24"/>
          <w:szCs w:val="24"/>
        </w:rPr>
        <w:t>% veće od plana usljed opredeljivanja sredstava za zdravstvenu zaštitu za potrebe Snabdijevanja ljekovima i medicinskim sredstvima u okviru javnog zdravstvenog sistema, kao i povlačenja donatorskih IPA sredstava u okviru projekata koji se realizuju kroz sistem decentralizovanog upravljanja.</w:t>
      </w:r>
    </w:p>
    <w:p w14:paraId="029C88BD" w14:textId="77777777" w:rsidR="00414405" w:rsidRPr="0020289A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4A366059" w14:textId="439BB818" w:rsidR="00414405" w:rsidRDefault="00414405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E75B51">
        <w:rPr>
          <w:rFonts w:ascii="Garamond" w:eastAsia="Calibri" w:hAnsi="Garamond" w:cs="Times New Roman"/>
          <w:sz w:val="24"/>
          <w:szCs w:val="24"/>
        </w:rPr>
        <w:t>Kapitalni budžet</w:t>
      </w:r>
      <w:r w:rsidRPr="000727C1">
        <w:rPr>
          <w:rFonts w:ascii="Garamond" w:eastAsia="Calibri" w:hAnsi="Garamond" w:cs="Times New Roman"/>
          <w:sz w:val="24"/>
          <w:szCs w:val="24"/>
        </w:rPr>
        <w:t xml:space="preserve"> u posmatranom periodu ostvaren je u iznosu od 189 mil. €, što je za 11,6 mil € niža realizacija od plana, odnosno predstavlja 94% realizacije plana. Realizacija kapitalnog budžeta dominatno je realizovana u okviru potprograma Rekonstrukcije regionalnih i magistralnih puteva u iznosu od 71.6 mil €, odnosno 38% ukupnog kapitalnog budžeta, zatim izgradnje lokalne infrastrukture 32 mil € ili 17%, kao i Projekta očuvanja životne sredine, Razvoja manje razvijenih lokalnih samouprava i Unapređenja turističke ponude na nivou od oko 5%-6% kapitalnog budžeta za svaku oblast pojedinačno.</w:t>
      </w:r>
    </w:p>
    <w:p w14:paraId="47F2483C" w14:textId="77777777" w:rsidR="00EC385D" w:rsidRPr="000727C1" w:rsidRDefault="00EC385D" w:rsidP="00414405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0699AA42" w14:textId="20451EC8" w:rsidR="00AB2F27" w:rsidRPr="003E6974" w:rsidRDefault="00961B41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  <w:r w:rsidRPr="003E6974">
        <w:rPr>
          <w:rFonts w:ascii="Garamond" w:hAnsi="Garamond"/>
          <w:b/>
          <w:sz w:val="24"/>
          <w:szCs w:val="24"/>
        </w:rPr>
        <w:t>Shodno dinamici kretanja budžetskih prihoda i rashoda u 202</w:t>
      </w:r>
      <w:r w:rsidR="00910ED8">
        <w:rPr>
          <w:rFonts w:ascii="Garamond" w:hAnsi="Garamond"/>
          <w:b/>
          <w:sz w:val="24"/>
          <w:szCs w:val="24"/>
        </w:rPr>
        <w:t>3</w:t>
      </w:r>
      <w:r w:rsidRPr="003E6974">
        <w:rPr>
          <w:rFonts w:ascii="Garamond" w:hAnsi="Garamond"/>
          <w:b/>
          <w:sz w:val="24"/>
          <w:szCs w:val="24"/>
        </w:rPr>
        <w:t>. godini</w:t>
      </w:r>
      <w:r w:rsidR="00AB2F27" w:rsidRPr="003E6974">
        <w:rPr>
          <w:rFonts w:ascii="Garamond" w:hAnsi="Garamond"/>
          <w:b/>
          <w:sz w:val="24"/>
          <w:szCs w:val="24"/>
        </w:rPr>
        <w:t>,</w:t>
      </w:r>
      <w:r w:rsidRPr="003E6974">
        <w:rPr>
          <w:rFonts w:ascii="Garamond" w:hAnsi="Garamond"/>
          <w:b/>
          <w:sz w:val="24"/>
          <w:szCs w:val="24"/>
        </w:rPr>
        <w:t xml:space="preserve"> </w:t>
      </w:r>
      <w:r w:rsidR="00AB2F27" w:rsidRPr="003E6974">
        <w:rPr>
          <w:rFonts w:ascii="Garamond" w:hAnsi="Garamond"/>
          <w:b/>
          <w:sz w:val="24"/>
          <w:szCs w:val="24"/>
        </w:rPr>
        <w:t xml:space="preserve">preliminarni gotovinski </w:t>
      </w:r>
      <w:r w:rsidR="00910ED8">
        <w:rPr>
          <w:rFonts w:ascii="Garamond" w:hAnsi="Garamond"/>
          <w:b/>
          <w:sz w:val="24"/>
          <w:szCs w:val="24"/>
        </w:rPr>
        <w:t>suficit</w:t>
      </w:r>
      <w:r w:rsidR="00AB2F27" w:rsidRPr="003E6974">
        <w:rPr>
          <w:rFonts w:ascii="Garamond" w:hAnsi="Garamond"/>
          <w:b/>
          <w:sz w:val="24"/>
          <w:szCs w:val="24"/>
        </w:rPr>
        <w:t xml:space="preserve"> Centra</w:t>
      </w:r>
      <w:r w:rsidR="004167EA" w:rsidRPr="003E6974">
        <w:rPr>
          <w:rFonts w:ascii="Garamond" w:hAnsi="Garamond"/>
          <w:b/>
          <w:sz w:val="24"/>
          <w:szCs w:val="24"/>
        </w:rPr>
        <w:t>lnog budžeta ostvaren je u iznos</w:t>
      </w:r>
      <w:r w:rsidR="00AB2F27" w:rsidRPr="003E6974">
        <w:rPr>
          <w:rFonts w:ascii="Garamond" w:hAnsi="Garamond"/>
          <w:b/>
          <w:sz w:val="24"/>
          <w:szCs w:val="24"/>
        </w:rPr>
        <w:t xml:space="preserve">u od </w:t>
      </w:r>
      <w:r w:rsidR="00910ED8">
        <w:rPr>
          <w:rFonts w:ascii="Garamond" w:hAnsi="Garamond"/>
          <w:b/>
          <w:sz w:val="24"/>
          <w:szCs w:val="24"/>
        </w:rPr>
        <w:t>10,3</w:t>
      </w:r>
      <w:r w:rsidR="00AB2F27" w:rsidRPr="003E6974">
        <w:rPr>
          <w:rFonts w:ascii="Garamond" w:hAnsi="Garamond"/>
          <w:b/>
          <w:sz w:val="24"/>
          <w:szCs w:val="24"/>
        </w:rPr>
        <w:t xml:space="preserve"> mil</w:t>
      </w:r>
      <w:r w:rsidR="008E5B9A">
        <w:rPr>
          <w:rFonts w:ascii="Garamond" w:hAnsi="Garamond"/>
          <w:b/>
          <w:sz w:val="24"/>
          <w:szCs w:val="24"/>
        </w:rPr>
        <w:t xml:space="preserve">. € ili </w:t>
      </w:r>
      <w:r w:rsidR="00910ED8">
        <w:rPr>
          <w:rFonts w:ascii="Garamond" w:hAnsi="Garamond"/>
          <w:b/>
          <w:sz w:val="24"/>
          <w:szCs w:val="24"/>
        </w:rPr>
        <w:t>0,2</w:t>
      </w:r>
      <w:r w:rsidR="00AB2F27" w:rsidRPr="003E6974">
        <w:rPr>
          <w:rFonts w:ascii="Garamond" w:hAnsi="Garamond"/>
          <w:b/>
          <w:sz w:val="24"/>
          <w:szCs w:val="24"/>
        </w:rPr>
        <w:t>% procijenjenog BDP-a</w:t>
      </w:r>
      <w:r w:rsidR="00910ED8">
        <w:rPr>
          <w:rFonts w:ascii="Garamond" w:hAnsi="Garamond"/>
          <w:b/>
          <w:sz w:val="24"/>
          <w:szCs w:val="24"/>
        </w:rPr>
        <w:t xml:space="preserve">. </w:t>
      </w:r>
    </w:p>
    <w:p w14:paraId="2BC564E5" w14:textId="77777777" w:rsidR="0066351C" w:rsidRPr="003E6974" w:rsidRDefault="0066351C" w:rsidP="00D104B7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38F95954" w14:textId="5B657E78" w:rsidR="00C53D5B" w:rsidRDefault="004A04F9" w:rsidP="00D104B7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E6D37C" wp14:editId="5E7793FB">
            <wp:extent cx="5534025" cy="2388464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BA8B87D-8A7D-461E-958C-78A3FB711D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DA87D3" w14:textId="77777777" w:rsidR="004A04F9" w:rsidRPr="003E6974" w:rsidRDefault="004A04F9" w:rsidP="00D104B7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5417E882" w14:textId="64A29AD7" w:rsidR="003D3D23" w:rsidRDefault="003D3D23" w:rsidP="003D3D23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 xml:space="preserve">Ukupna nedostajuća sredstva za potrebe finansiranja Budžeta </w:t>
      </w:r>
      <w:r w:rsidR="004E4420">
        <w:rPr>
          <w:rFonts w:ascii="Garamond" w:hAnsi="Garamond"/>
          <w:sz w:val="24"/>
          <w:szCs w:val="24"/>
        </w:rPr>
        <w:t xml:space="preserve">države </w:t>
      </w:r>
      <w:r w:rsidRPr="000C7BC4">
        <w:rPr>
          <w:rFonts w:ascii="Garamond" w:hAnsi="Garamond"/>
          <w:sz w:val="24"/>
          <w:szCs w:val="24"/>
        </w:rPr>
        <w:t>u 2023. godini iznosila su 301,9 mil. € ili 4,</w:t>
      </w:r>
      <w:r w:rsidR="004E4420">
        <w:rPr>
          <w:rFonts w:ascii="Garamond" w:hAnsi="Garamond"/>
          <w:sz w:val="24"/>
          <w:szCs w:val="24"/>
        </w:rPr>
        <w:t>4</w:t>
      </w:r>
      <w:r w:rsidRPr="000C7BC4">
        <w:rPr>
          <w:rFonts w:ascii="Garamond" w:hAnsi="Garamond"/>
          <w:sz w:val="24"/>
          <w:szCs w:val="24"/>
        </w:rPr>
        <w:t>% BDP-a i ista su finansirana zaduživanjem na domaćem i inostranom tržištu u iznosu od 318,2 mil. €</w:t>
      </w:r>
      <w:r w:rsidR="002C414E">
        <w:rPr>
          <w:rStyle w:val="FootnoteReference"/>
          <w:rFonts w:ascii="Garamond" w:hAnsi="Garamond"/>
          <w:sz w:val="24"/>
          <w:szCs w:val="24"/>
        </w:rPr>
        <w:footnoteReference w:id="3"/>
      </w:r>
      <w:r w:rsidR="00EC385D" w:rsidRPr="000C7BC4">
        <w:rPr>
          <w:rFonts w:ascii="Garamond" w:hAnsi="Garamond"/>
          <w:sz w:val="24"/>
          <w:szCs w:val="24"/>
        </w:rPr>
        <w:t xml:space="preserve">, </w:t>
      </w:r>
      <w:r w:rsidR="009623C0" w:rsidRPr="000C7BC4">
        <w:rPr>
          <w:rFonts w:ascii="Garamond" w:hAnsi="Garamond"/>
          <w:sz w:val="24"/>
          <w:szCs w:val="24"/>
        </w:rPr>
        <w:t xml:space="preserve"> iz </w:t>
      </w:r>
      <w:r w:rsidR="00EC385D" w:rsidRPr="000C7BC4">
        <w:rPr>
          <w:rFonts w:ascii="Garamond" w:hAnsi="Garamond"/>
          <w:sz w:val="24"/>
          <w:szCs w:val="24"/>
        </w:rPr>
        <w:t>prihoda od prodaje imovine u iznosu od 2,7 mil.€ i pr</w:t>
      </w:r>
      <w:r w:rsidR="009623C0" w:rsidRPr="000C7BC4">
        <w:rPr>
          <w:rFonts w:ascii="Garamond" w:hAnsi="Garamond"/>
          <w:sz w:val="24"/>
          <w:szCs w:val="24"/>
        </w:rPr>
        <w:t>i</w:t>
      </w:r>
      <w:r w:rsidR="00EC385D" w:rsidRPr="000C7BC4">
        <w:rPr>
          <w:rFonts w:ascii="Garamond" w:hAnsi="Garamond"/>
          <w:sz w:val="24"/>
          <w:szCs w:val="24"/>
        </w:rPr>
        <w:t>mit</w:t>
      </w:r>
      <w:r w:rsidR="009623C0" w:rsidRPr="000C7BC4">
        <w:rPr>
          <w:rFonts w:ascii="Garamond" w:hAnsi="Garamond"/>
          <w:sz w:val="24"/>
          <w:szCs w:val="24"/>
        </w:rPr>
        <w:t>a</w:t>
      </w:r>
      <w:r w:rsidR="00EC385D" w:rsidRPr="000C7BC4">
        <w:rPr>
          <w:rFonts w:ascii="Garamond" w:hAnsi="Garamond"/>
          <w:sz w:val="24"/>
          <w:szCs w:val="24"/>
        </w:rPr>
        <w:t xml:space="preserve">ka od otplate kredita u iznosu od </w:t>
      </w:r>
      <w:r w:rsidR="00501DA6" w:rsidRPr="000C7BC4">
        <w:rPr>
          <w:rFonts w:ascii="Garamond" w:hAnsi="Garamond"/>
          <w:sz w:val="24"/>
          <w:szCs w:val="24"/>
        </w:rPr>
        <w:t>13,9 mil. €</w:t>
      </w:r>
      <w:r w:rsidR="004E4420">
        <w:rPr>
          <w:rFonts w:ascii="Garamond" w:hAnsi="Garamond"/>
          <w:sz w:val="24"/>
          <w:szCs w:val="24"/>
        </w:rPr>
        <w:t>, uz povećanje depozita države za 32.9 mil €</w:t>
      </w:r>
      <w:r w:rsidR="00501DA6" w:rsidRPr="000C7BC4">
        <w:rPr>
          <w:rFonts w:ascii="Garamond" w:hAnsi="Garamond"/>
          <w:sz w:val="24"/>
          <w:szCs w:val="24"/>
        </w:rPr>
        <w:t xml:space="preserve">. </w:t>
      </w:r>
    </w:p>
    <w:p w14:paraId="6D567859" w14:textId="46DD33B2" w:rsidR="000C7BC4" w:rsidRDefault="000C7BC4" w:rsidP="003D3D23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56ADF448" w14:textId="77777777" w:rsidR="0066351C" w:rsidRDefault="0066351C" w:rsidP="0066351C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6A8160A5" w14:textId="193035B2" w:rsidR="0066351C" w:rsidRPr="007D6230" w:rsidRDefault="0066351C" w:rsidP="0066351C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7D6230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u 2023. godin</w:t>
      </w:r>
      <w:r w:rsidR="004E4420">
        <w:rPr>
          <w:rFonts w:ascii="Garamond" w:hAnsi="Garamond" w:cstheme="minorHAnsi"/>
          <w:sz w:val="24"/>
          <w:szCs w:val="24"/>
          <w:lang w:val="sr-Latn-RS"/>
        </w:rPr>
        <w:t>i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iznosili su 374,9 mil. € ili 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 w:rsidR="004E4420"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 BDP-a i odnosu na ostvarene u istom periodu 2022. veći su za </w:t>
      </w:r>
      <w:r>
        <w:rPr>
          <w:rFonts w:ascii="Garamond" w:hAnsi="Garamond" w:cstheme="minorHAnsi"/>
          <w:sz w:val="24"/>
          <w:szCs w:val="24"/>
          <w:lang w:val="sr-Latn-RS"/>
        </w:rPr>
        <w:t>48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14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7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%, dok su u odnosu na planirane veći za </w:t>
      </w:r>
      <w:r>
        <w:rPr>
          <w:rFonts w:ascii="Garamond" w:hAnsi="Garamond" w:cstheme="minorHAnsi"/>
          <w:sz w:val="24"/>
          <w:szCs w:val="24"/>
          <w:lang w:val="sr-Latn-RS"/>
        </w:rPr>
        <w:t>20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%.</w:t>
      </w:r>
    </w:p>
    <w:p w14:paraId="32E4371E" w14:textId="1F45D2B8" w:rsidR="00DE6197" w:rsidRPr="007D6230" w:rsidRDefault="0066351C" w:rsidP="00DE6197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7D6230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u periodu januar - decembar 2023. godine iznosili su 34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,0 mil. €, što je za </w:t>
      </w:r>
      <w:r>
        <w:rPr>
          <w:rFonts w:ascii="Garamond" w:hAnsi="Garamond" w:cstheme="minorHAnsi"/>
          <w:sz w:val="24"/>
          <w:szCs w:val="24"/>
          <w:lang w:val="sr-Latn-RS"/>
        </w:rPr>
        <w:t>19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6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0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% više u odnosu na planirane dok su u odnosu na uporedni period 2022. godine izdaci veći za 1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7D6230">
        <w:rPr>
          <w:rFonts w:ascii="Garamond" w:hAnsi="Garamond" w:cstheme="minorHAnsi"/>
          <w:sz w:val="24"/>
          <w:szCs w:val="24"/>
          <w:lang w:val="sr-Latn-RS"/>
        </w:rPr>
        <w:t xml:space="preserve">%. </w:t>
      </w:r>
      <w:r w:rsidR="00DE6197" w:rsidRPr="007D6230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 w:rsidR="00DE6197">
        <w:rPr>
          <w:rFonts w:ascii="Garamond" w:hAnsi="Garamond" w:cstheme="minorHAnsi"/>
          <w:sz w:val="24"/>
          <w:szCs w:val="24"/>
          <w:lang w:val="sr-Latn-RS"/>
        </w:rPr>
        <w:t xml:space="preserve">periodu </w:t>
      </w:r>
      <w:r w:rsidR="00DE6197" w:rsidRPr="007D6230">
        <w:rPr>
          <w:rFonts w:ascii="Garamond" w:hAnsi="Garamond" w:cstheme="minorHAnsi"/>
          <w:sz w:val="24"/>
          <w:szCs w:val="24"/>
          <w:lang w:val="sr-Latn-RS"/>
        </w:rPr>
        <w:t>2023. godin</w:t>
      </w:r>
      <w:r w:rsidR="004E4420">
        <w:rPr>
          <w:rFonts w:ascii="Garamond" w:hAnsi="Garamond" w:cstheme="minorHAnsi"/>
          <w:sz w:val="24"/>
          <w:szCs w:val="24"/>
          <w:lang w:val="sr-Latn-RS"/>
        </w:rPr>
        <w:t>i</w:t>
      </w:r>
      <w:r w:rsidR="00DE6197" w:rsidRPr="007D6230">
        <w:rPr>
          <w:rFonts w:ascii="Garamond" w:hAnsi="Garamond" w:cstheme="minorHAnsi"/>
          <w:sz w:val="24"/>
          <w:szCs w:val="24"/>
          <w:lang w:val="sr-Latn-RS"/>
        </w:rPr>
        <w:t xml:space="preserve"> zabilježen je </w:t>
      </w:r>
      <w:r w:rsidR="00DE6197" w:rsidRPr="007D6230">
        <w:rPr>
          <w:rFonts w:ascii="Garamond" w:hAnsi="Garamond" w:cstheme="minorHAnsi"/>
          <w:b/>
          <w:sz w:val="24"/>
          <w:szCs w:val="24"/>
          <w:lang w:val="sr-Latn-RS"/>
        </w:rPr>
        <w:t>suficit lokalne samouprave</w:t>
      </w:r>
      <w:r w:rsidR="00DE6197" w:rsidRPr="007D6230">
        <w:rPr>
          <w:rFonts w:ascii="Garamond" w:hAnsi="Garamond" w:cstheme="minorHAnsi"/>
          <w:sz w:val="24"/>
          <w:szCs w:val="24"/>
          <w:lang w:val="sr-Latn-RS"/>
        </w:rPr>
        <w:t xml:space="preserve"> u iznosu od 30,</w:t>
      </w:r>
      <w:r w:rsidR="00DE6197">
        <w:rPr>
          <w:rFonts w:ascii="Garamond" w:hAnsi="Garamond" w:cstheme="minorHAnsi"/>
          <w:sz w:val="24"/>
          <w:szCs w:val="24"/>
          <w:lang w:val="sr-Latn-RS"/>
        </w:rPr>
        <w:t>9</w:t>
      </w:r>
      <w:r w:rsidR="00DE6197" w:rsidRPr="007D6230">
        <w:rPr>
          <w:rFonts w:ascii="Garamond" w:hAnsi="Garamond" w:cstheme="minorHAnsi"/>
          <w:sz w:val="24"/>
          <w:szCs w:val="24"/>
          <w:lang w:val="sr-Latn-RS"/>
        </w:rPr>
        <w:t xml:space="preserve"> mil. €.</w:t>
      </w:r>
    </w:p>
    <w:p w14:paraId="006588C4" w14:textId="77777777" w:rsidR="0066351C" w:rsidRPr="007D6230" w:rsidRDefault="0066351C" w:rsidP="0066351C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</w:p>
    <w:p w14:paraId="2F151406" w14:textId="77777777" w:rsidR="0066351C" w:rsidRPr="000C7BC4" w:rsidRDefault="0066351C" w:rsidP="003D3D23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03E5C45A" w14:textId="77777777" w:rsidR="0066351C" w:rsidRDefault="0066351C">
      <w:pPr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br w:type="page"/>
      </w:r>
    </w:p>
    <w:p w14:paraId="7586F572" w14:textId="57F9258B" w:rsidR="00B67881" w:rsidRPr="0066351C" w:rsidRDefault="0066351C" w:rsidP="00B67881">
      <w:pPr>
        <w:pStyle w:val="Footer"/>
        <w:suppressAutoHyphens/>
        <w:jc w:val="both"/>
        <w:rPr>
          <w:rFonts w:ascii="Garamond" w:hAnsi="Garamond"/>
          <w:b/>
          <w:sz w:val="28"/>
          <w:szCs w:val="24"/>
        </w:rPr>
      </w:pPr>
      <w:r w:rsidRPr="0066351C">
        <w:rPr>
          <w:rFonts w:ascii="Garamond" w:hAnsi="Garamond"/>
          <w:b/>
          <w:sz w:val="28"/>
          <w:szCs w:val="24"/>
        </w:rPr>
        <w:lastRenderedPageBreak/>
        <w:t>JAVNI DUG U 2023. GODINI</w:t>
      </w:r>
    </w:p>
    <w:p w14:paraId="1811EB3D" w14:textId="027A348B" w:rsidR="00ED3366" w:rsidRPr="0066351C" w:rsidRDefault="00ED3366" w:rsidP="00B67881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0C40167E" w14:textId="77777777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Ukupan javni dug Crne Gore, na dan 31.12.2023. godine, iznosi 4.126,81 miliona eura, odnosno</w:t>
      </w:r>
    </w:p>
    <w:p w14:paraId="11AB8F6E" w14:textId="43AB0FDC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60,27% BDP-a1.</w:t>
      </w:r>
    </w:p>
    <w:p w14:paraId="148C3DB8" w14:textId="77777777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7DAA3684" w14:textId="63288AAB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Uzimajući u obzir depozite Ministarstva finansija (uključujući i 38.477 unci zlata), a koji su, na kraju 2023. godine, iznosili 152,41 miliona eura, neto javni dug Crne Gore, na dan 31.12.2023. godine, iznosi 3.974,40 miliona eura, odnosno 58,04% BDP-a.</w:t>
      </w:r>
    </w:p>
    <w:p w14:paraId="6131108C" w14:textId="77777777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</w:p>
    <w:p w14:paraId="05FA51B4" w14:textId="77777777" w:rsidR="000C7BC4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Uporedni prikaz kretanja bruto i neto javnog duga na kraju 2022. i 2023. godine može se vidjeti na</w:t>
      </w:r>
    </w:p>
    <w:p w14:paraId="253E6083" w14:textId="6F1D21A8" w:rsidR="00ED3366" w:rsidRPr="000C7BC4" w:rsidRDefault="000C7BC4" w:rsidP="000C7BC4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graficima 1 i 2.</w:t>
      </w:r>
    </w:p>
    <w:p w14:paraId="558301DC" w14:textId="3254C00C" w:rsidR="00B67881" w:rsidRPr="000C7BC4" w:rsidRDefault="00B67881" w:rsidP="00B67881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7858697E" w14:textId="58376116" w:rsidR="000C7BC4" w:rsidRPr="000C7BC4" w:rsidRDefault="000C7BC4" w:rsidP="00B67881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  <w:r w:rsidRPr="000C7BC4"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0FC158FE" wp14:editId="20FAFFE3">
            <wp:extent cx="5753100" cy="229552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7738" w14:textId="5F94621E" w:rsidR="000C7BC4" w:rsidRPr="000C7BC4" w:rsidRDefault="000C7BC4" w:rsidP="00B67881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2AC322ED" w14:textId="5E687CD0" w:rsidR="000C7BC4" w:rsidRDefault="000C7BC4" w:rsidP="00E437AA">
      <w:pPr>
        <w:pStyle w:val="BodyText"/>
        <w:spacing w:line="259" w:lineRule="auto"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15BFE" wp14:editId="5AF7052B">
                <wp:simplePos x="0" y="0"/>
                <wp:positionH relativeFrom="page">
                  <wp:posOffset>4095115</wp:posOffset>
                </wp:positionH>
                <wp:positionV relativeFrom="paragraph">
                  <wp:posOffset>-247650</wp:posOffset>
                </wp:positionV>
                <wp:extent cx="62865" cy="62865"/>
                <wp:effectExtent l="0" t="0" r="4445" b="381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5810" id="Rectangle 63" o:spid="_x0000_s1026" style="position:absolute;margin-left:322.45pt;margin-top:-19.5pt;width:4.95pt;height:4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" fillcolor="#ec7c30" stroked="f">
                <w10:wrap anchorx="page"/>
              </v:rect>
            </w:pict>
          </mc:Fallback>
        </mc:AlternateContent>
      </w:r>
      <w:bookmarkStart w:id="1" w:name="_bookmark3"/>
      <w:bookmarkEnd w:id="1"/>
      <w:r w:rsidRPr="000C7BC4">
        <w:rPr>
          <w:rFonts w:ascii="Garamond" w:hAnsi="Garamond"/>
          <w:sz w:val="24"/>
          <w:szCs w:val="24"/>
        </w:rPr>
        <w:t>Na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kraju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2023. godine javni dug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u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apsolutnom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iznosu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se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povećao za 24,60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miliona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eura,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u odnosu na isti period 2022. godine. Povećanje duga je rezultat zaduživanja države sa jedne strane i redovne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otplate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kursnih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razlika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nastalih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prilikom</w:t>
      </w:r>
      <w:r w:rsidRPr="000C7BC4">
        <w:rPr>
          <w:rFonts w:ascii="Garamond" w:hAnsi="Garamond"/>
          <w:spacing w:val="-4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iskazivanja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stanja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duga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po</w:t>
      </w:r>
      <w:r w:rsidRPr="000C7BC4">
        <w:rPr>
          <w:rFonts w:ascii="Garamond" w:hAnsi="Garamond"/>
          <w:spacing w:val="-5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različitom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kursu,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sa druge strane.</w:t>
      </w:r>
    </w:p>
    <w:p w14:paraId="69892EEC" w14:textId="77777777" w:rsidR="000C7BC4" w:rsidRPr="000C7BC4" w:rsidRDefault="000C7BC4" w:rsidP="00E437AA">
      <w:pPr>
        <w:pStyle w:val="BodyText"/>
        <w:spacing w:line="259" w:lineRule="auto"/>
        <w:jc w:val="both"/>
        <w:rPr>
          <w:rFonts w:ascii="Garamond" w:hAnsi="Garamond"/>
          <w:sz w:val="24"/>
          <w:szCs w:val="24"/>
        </w:rPr>
      </w:pPr>
    </w:p>
    <w:p w14:paraId="1B1F971F" w14:textId="508268E1" w:rsidR="000C7BC4" w:rsidRDefault="000C7BC4" w:rsidP="00E437AA">
      <w:pPr>
        <w:pStyle w:val="BodyText"/>
        <w:spacing w:line="259" w:lineRule="auto"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Naime, u toku 2023. godine, Država se zadužila u iznosu od 100,00 miliona eura na inostranom tržištu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</w:t>
      </w:r>
      <w:r w:rsidRPr="000C7BC4">
        <w:rPr>
          <w:rFonts w:ascii="Garamond" w:hAnsi="Garamond"/>
          <w:spacing w:val="-7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u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iznosu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od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159,00</w:t>
      </w:r>
      <w:r w:rsidRPr="000C7BC4">
        <w:rPr>
          <w:rFonts w:ascii="Garamond" w:hAnsi="Garamond"/>
          <w:spacing w:val="-5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miliona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eura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na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domaćem</w:t>
      </w:r>
      <w:r w:rsidRPr="000C7BC4">
        <w:rPr>
          <w:rFonts w:ascii="Garamond" w:hAnsi="Garamond"/>
          <w:spacing w:val="-5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tržištu,</w:t>
      </w:r>
      <w:r w:rsidRPr="000C7BC4">
        <w:rPr>
          <w:rFonts w:ascii="Garamond" w:hAnsi="Garamond"/>
          <w:spacing w:val="-3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</w:t>
      </w:r>
      <w:r w:rsidRPr="000C7BC4">
        <w:rPr>
          <w:rFonts w:ascii="Garamond" w:hAnsi="Garamond"/>
          <w:spacing w:val="-5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realizovala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povlačenja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sredstava</w:t>
      </w:r>
      <w:r w:rsidRPr="000C7BC4">
        <w:rPr>
          <w:rFonts w:ascii="Garamond" w:hAnsi="Garamond"/>
          <w:spacing w:val="-6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iz ranije</w:t>
      </w:r>
      <w:r w:rsidRPr="000C7BC4">
        <w:rPr>
          <w:rFonts w:ascii="Garamond" w:hAnsi="Garamond"/>
          <w:spacing w:val="-7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potpisanih</w:t>
      </w:r>
      <w:r w:rsidRPr="000C7BC4">
        <w:rPr>
          <w:rFonts w:ascii="Garamond" w:hAnsi="Garamond"/>
          <w:spacing w:val="-10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ugovora</w:t>
      </w:r>
      <w:r w:rsidR="00D8199C">
        <w:rPr>
          <w:rFonts w:ascii="Garamond" w:hAnsi="Garamond"/>
          <w:sz w:val="24"/>
          <w:szCs w:val="24"/>
        </w:rPr>
        <w:t xml:space="preserve"> za kapitalne projekte</w:t>
      </w:r>
      <w:r w:rsidRPr="000C7BC4">
        <w:rPr>
          <w:rFonts w:ascii="Garamond" w:hAnsi="Garamond"/>
          <w:sz w:val="24"/>
          <w:szCs w:val="24"/>
        </w:rPr>
        <w:t>.</w:t>
      </w:r>
      <w:r w:rsidRPr="000C7BC4">
        <w:rPr>
          <w:rFonts w:ascii="Garamond" w:hAnsi="Garamond"/>
          <w:spacing w:val="-7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Sa</w:t>
      </w:r>
      <w:r w:rsidRPr="000C7BC4">
        <w:rPr>
          <w:rFonts w:ascii="Garamond" w:hAnsi="Garamond"/>
          <w:spacing w:val="-8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druge</w:t>
      </w:r>
      <w:r w:rsidRPr="000C7BC4">
        <w:rPr>
          <w:rFonts w:ascii="Garamond" w:hAnsi="Garamond"/>
          <w:spacing w:val="-8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strane</w:t>
      </w:r>
      <w:r w:rsidRPr="000C7BC4">
        <w:rPr>
          <w:rFonts w:ascii="Garamond" w:hAnsi="Garamond"/>
          <w:spacing w:val="-1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izvršena</w:t>
      </w:r>
      <w:r w:rsidRPr="000C7BC4">
        <w:rPr>
          <w:rFonts w:ascii="Garamond" w:hAnsi="Garamond"/>
          <w:spacing w:val="-8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je</w:t>
      </w:r>
      <w:r w:rsidRPr="000C7BC4">
        <w:rPr>
          <w:rFonts w:ascii="Garamond" w:hAnsi="Garamond"/>
          <w:spacing w:val="-7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redovna otplata po osnovu postojećih kreditnih zaduženja u iznosu od oko 301,12 miliona eura.</w:t>
      </w:r>
    </w:p>
    <w:p w14:paraId="2FC6163E" w14:textId="77777777" w:rsidR="000C7BC4" w:rsidRPr="000C7BC4" w:rsidRDefault="000C7BC4" w:rsidP="00E437AA">
      <w:pPr>
        <w:pStyle w:val="BodyText"/>
        <w:spacing w:line="259" w:lineRule="auto"/>
        <w:jc w:val="both"/>
        <w:rPr>
          <w:rFonts w:ascii="Garamond" w:hAnsi="Garamond"/>
          <w:sz w:val="24"/>
          <w:szCs w:val="24"/>
        </w:rPr>
      </w:pPr>
    </w:p>
    <w:p w14:paraId="74263DB6" w14:textId="54B193B1" w:rsidR="00D104B7" w:rsidRDefault="000C7BC4" w:rsidP="00E437AA">
      <w:pPr>
        <w:pStyle w:val="Footer"/>
        <w:suppressAutoHyphens/>
        <w:jc w:val="both"/>
        <w:rPr>
          <w:rFonts w:ascii="Garamond" w:hAnsi="Garamond"/>
          <w:sz w:val="24"/>
          <w:szCs w:val="24"/>
        </w:rPr>
      </w:pPr>
      <w:r w:rsidRPr="000C7BC4">
        <w:rPr>
          <w:rFonts w:ascii="Garamond" w:hAnsi="Garamond"/>
          <w:sz w:val="24"/>
          <w:szCs w:val="24"/>
        </w:rPr>
        <w:t>Posmatrano u odnosu na BDP, došlo je do pada javnog duga u 2023. godini u odnosu na 2022. godinu, za 10,50 procentnih poena, usled</w:t>
      </w:r>
      <w:r w:rsidRPr="000C7BC4">
        <w:rPr>
          <w:rFonts w:ascii="Garamond" w:hAnsi="Garamond"/>
          <w:spacing w:val="-2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činjenice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da je procijenjeni BDP</w:t>
      </w:r>
      <w:r w:rsidRPr="000C7BC4">
        <w:rPr>
          <w:rFonts w:ascii="Garamond" w:hAnsi="Garamond"/>
          <w:spacing w:val="-1"/>
          <w:sz w:val="24"/>
          <w:szCs w:val="24"/>
        </w:rPr>
        <w:t xml:space="preserve"> </w:t>
      </w:r>
      <w:r w:rsidRPr="000C7BC4">
        <w:rPr>
          <w:rFonts w:ascii="Garamond" w:hAnsi="Garamond"/>
          <w:sz w:val="24"/>
          <w:szCs w:val="24"/>
        </w:rPr>
        <w:t>za 2023. godinu veći za oko 900 miliona eura u odnosu na BDP iz 2022. godine</w:t>
      </w:r>
    </w:p>
    <w:p w14:paraId="19726CF4" w14:textId="77777777" w:rsidR="004E4420" w:rsidRDefault="004E4420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</w:p>
    <w:p w14:paraId="3B7BC5A4" w14:textId="47150573" w:rsidR="004E4420" w:rsidRPr="000C7BC4" w:rsidRDefault="004E4420" w:rsidP="00D104B7">
      <w:pPr>
        <w:pStyle w:val="Footer"/>
        <w:suppressAutoHyphens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Vlada je na sjednici od 28.03.2024. godine usvojila izvještaj o javnom dugu </w:t>
      </w:r>
      <w:r>
        <w:rPr>
          <w:rStyle w:val="FootnoteReference"/>
          <w:rFonts w:ascii="Garamond" w:hAnsi="Garamond"/>
          <w:b/>
          <w:sz w:val="24"/>
          <w:szCs w:val="24"/>
        </w:rPr>
        <w:footnoteReference w:id="4"/>
      </w:r>
    </w:p>
    <w:sectPr w:rsidR="004E4420" w:rsidRPr="000C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3EB9" w14:textId="77777777" w:rsidR="00AC25B5" w:rsidRDefault="00AC25B5" w:rsidP="009D4601">
      <w:pPr>
        <w:spacing w:after="0" w:line="240" w:lineRule="auto"/>
      </w:pPr>
      <w:r>
        <w:separator/>
      </w:r>
    </w:p>
  </w:endnote>
  <w:endnote w:type="continuationSeparator" w:id="0">
    <w:p w14:paraId="13AB2E91" w14:textId="77777777" w:rsidR="00AC25B5" w:rsidRDefault="00AC25B5" w:rsidP="009D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F908" w14:textId="77777777" w:rsidR="00AC25B5" w:rsidRDefault="00AC25B5" w:rsidP="009D4601">
      <w:pPr>
        <w:spacing w:after="0" w:line="240" w:lineRule="auto"/>
      </w:pPr>
      <w:r>
        <w:separator/>
      </w:r>
    </w:p>
  </w:footnote>
  <w:footnote w:type="continuationSeparator" w:id="0">
    <w:p w14:paraId="40B9A0F1" w14:textId="77777777" w:rsidR="00AC25B5" w:rsidRDefault="00AC25B5" w:rsidP="009D4601">
      <w:pPr>
        <w:spacing w:after="0" w:line="240" w:lineRule="auto"/>
      </w:pPr>
      <w:r>
        <w:continuationSeparator/>
      </w:r>
    </w:p>
  </w:footnote>
  <w:footnote w:id="1">
    <w:p w14:paraId="5913A8FE" w14:textId="77777777" w:rsidR="002C1960" w:rsidRDefault="002C1960" w:rsidP="002C1960">
      <w:pPr>
        <w:pStyle w:val="FootnoteText"/>
      </w:pPr>
      <w:r>
        <w:rPr>
          <w:rStyle w:val="FootnoteReference"/>
        </w:rPr>
        <w:footnoteRef/>
      </w:r>
      <w:r w:rsidRPr="00A92463">
        <w:rPr>
          <w:rFonts w:ascii="Garamond" w:hAnsi="Garamond"/>
        </w:rPr>
        <w:t xml:space="preserve"> Preliminarni obračun kvartalnog BDP-a za četvrti kvartal 2023. godine, obavljeni na internet stranici Uprave za statistiku 13.03.2024. godine</w:t>
      </w:r>
    </w:p>
  </w:footnote>
  <w:footnote w:id="2">
    <w:p w14:paraId="5EBA8D45" w14:textId="77777777" w:rsidR="00414405" w:rsidRPr="000148BA" w:rsidRDefault="00414405" w:rsidP="00414405">
      <w:pPr>
        <w:pStyle w:val="FootnoteText"/>
        <w:rPr>
          <w:rFonts w:ascii="Garamond" w:hAnsi="Garamond"/>
        </w:rPr>
      </w:pPr>
      <w:r w:rsidRPr="000148BA">
        <w:rPr>
          <w:rStyle w:val="FootnoteReference"/>
          <w:rFonts w:ascii="Garamond" w:hAnsi="Garamond"/>
        </w:rPr>
        <w:footnoteRef/>
      </w:r>
      <w:r w:rsidRPr="000148BA">
        <w:rPr>
          <w:rFonts w:ascii="Garamond" w:hAnsi="Garamond"/>
        </w:rPr>
        <w:t xml:space="preserve"> Podaci će biti konačni nakon usvajanja Zakona o završnom računu budžeta Crne Gore za 2023. godinu.</w:t>
      </w:r>
    </w:p>
  </w:footnote>
  <w:footnote w:id="3">
    <w:p w14:paraId="4D1B0FB5" w14:textId="03F7D32E" w:rsidR="002C414E" w:rsidRPr="002C414E" w:rsidRDefault="002C414E" w:rsidP="002C41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414E">
        <w:rPr>
          <w:rFonts w:ascii="Garamond" w:hAnsi="Garamond"/>
        </w:rPr>
        <w:t xml:space="preserve">U okviru ukupnog iznosa izvršenih sredstava na ovoj poziciji, uključena su sredstav iz zaduženja kod domaćih banaka u iznosu od 109 mil €, emitovani </w:t>
      </w:r>
      <w:r w:rsidRPr="002C414E">
        <w:rPr>
          <w:rFonts w:ascii="Garamond" w:hAnsi="Garamond"/>
        </w:rPr>
        <w:t xml:space="preserve">državni </w:t>
      </w:r>
      <w:r w:rsidRPr="002C414E">
        <w:rPr>
          <w:rFonts w:ascii="Garamond" w:hAnsi="Garamond"/>
        </w:rPr>
        <w:t>zapisi na domaćem tržištu 5</w:t>
      </w:r>
      <w:r w:rsidR="00257C18">
        <w:rPr>
          <w:rFonts w:ascii="Garamond" w:hAnsi="Garamond"/>
        </w:rPr>
        <w:t>0</w:t>
      </w:r>
      <w:r w:rsidRPr="002C414E">
        <w:rPr>
          <w:rFonts w:ascii="Garamond" w:hAnsi="Garamond"/>
        </w:rPr>
        <w:t xml:space="preserve"> mil €, </w:t>
      </w:r>
      <w:r w:rsidRPr="002C414E">
        <w:rPr>
          <w:rFonts w:ascii="Garamond" w:hAnsi="Garamond"/>
        </w:rPr>
        <w:t xml:space="preserve">100 zaduženje kod inostranih banaka 100 mil €, povučena sredstva u 2023. godini </w:t>
      </w:r>
      <w:r w:rsidR="00257C18">
        <w:rPr>
          <w:rFonts w:ascii="Garamond" w:hAnsi="Garamond"/>
        </w:rPr>
        <w:t xml:space="preserve">u iznosu od 51.8 mil € </w:t>
      </w:r>
      <w:bookmarkStart w:id="0" w:name="_GoBack"/>
      <w:bookmarkEnd w:id="0"/>
      <w:r w:rsidRPr="002C414E">
        <w:rPr>
          <w:rFonts w:ascii="Garamond" w:hAnsi="Garamond"/>
        </w:rPr>
        <w:t>po osnovu ranije potpisanih kreditnih aranžaman za kapitlane projekete i 7.4 mil € sredstava povučenih u 2022. godini a realizovanih u 2023. godini po osnovu ranije potpisanih kreditnih aranžaman za implementaciju kapitlanih projekata</w:t>
      </w:r>
      <w:r w:rsidRPr="002C414E">
        <w:t xml:space="preserve"> </w:t>
      </w:r>
    </w:p>
  </w:footnote>
  <w:footnote w:id="4">
    <w:p w14:paraId="5EACCF81" w14:textId="61CF48FA" w:rsidR="004E4420" w:rsidRDefault="004E4420" w:rsidP="004E4420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0C7BC4">
        <w:rPr>
          <w:sz w:val="18"/>
        </w:rPr>
        <w:t>Izvještaj o javnom dugu usovjen je na sjednici Vlade od 28.03.202</w:t>
      </w:r>
      <w:r>
        <w:rPr>
          <w:sz w:val="18"/>
        </w:rPr>
        <w:t>4 dostupan je na sljedećem linku</w:t>
      </w:r>
    </w:p>
    <w:p w14:paraId="0C7EE1C0" w14:textId="26A178C8" w:rsidR="004E4420" w:rsidRDefault="00AC25B5" w:rsidP="004E4420">
      <w:pPr>
        <w:pStyle w:val="FootnoteText"/>
      </w:pPr>
      <w:hyperlink w:history="1">
        <w:r w:rsidR="004E4420" w:rsidRPr="00DD4070">
          <w:rPr>
            <w:rStyle w:val="Hyperlink"/>
            <w:sz w:val="18"/>
          </w:rPr>
          <w:t>Izvještaj o javnom dugu na dan 31.12.2023. godine (www.gov.me)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1999"/>
    <w:rsid w:val="00005D36"/>
    <w:rsid w:val="000063A8"/>
    <w:rsid w:val="000074D7"/>
    <w:rsid w:val="00007DB9"/>
    <w:rsid w:val="00010CE2"/>
    <w:rsid w:val="000171F7"/>
    <w:rsid w:val="00017B87"/>
    <w:rsid w:val="0002025C"/>
    <w:rsid w:val="00034611"/>
    <w:rsid w:val="000353F1"/>
    <w:rsid w:val="00037238"/>
    <w:rsid w:val="00041116"/>
    <w:rsid w:val="00043279"/>
    <w:rsid w:val="000443B2"/>
    <w:rsid w:val="00047BF5"/>
    <w:rsid w:val="0005016F"/>
    <w:rsid w:val="000501C9"/>
    <w:rsid w:val="00051E94"/>
    <w:rsid w:val="00052525"/>
    <w:rsid w:val="00054CED"/>
    <w:rsid w:val="00056671"/>
    <w:rsid w:val="00056988"/>
    <w:rsid w:val="00060B94"/>
    <w:rsid w:val="00064179"/>
    <w:rsid w:val="0006455C"/>
    <w:rsid w:val="000651F4"/>
    <w:rsid w:val="00071016"/>
    <w:rsid w:val="00074483"/>
    <w:rsid w:val="00080CAB"/>
    <w:rsid w:val="00081CC3"/>
    <w:rsid w:val="00082F6C"/>
    <w:rsid w:val="00083959"/>
    <w:rsid w:val="0008737F"/>
    <w:rsid w:val="00090721"/>
    <w:rsid w:val="000A0E81"/>
    <w:rsid w:val="000A212A"/>
    <w:rsid w:val="000B092C"/>
    <w:rsid w:val="000B26F4"/>
    <w:rsid w:val="000B366D"/>
    <w:rsid w:val="000B5A7D"/>
    <w:rsid w:val="000C7BC4"/>
    <w:rsid w:val="000D02B0"/>
    <w:rsid w:val="000D05F9"/>
    <w:rsid w:val="000D253E"/>
    <w:rsid w:val="000D27F3"/>
    <w:rsid w:val="000D29FB"/>
    <w:rsid w:val="000D6583"/>
    <w:rsid w:val="000D6B3D"/>
    <w:rsid w:val="000E5F6A"/>
    <w:rsid w:val="000F17E9"/>
    <w:rsid w:val="000F2621"/>
    <w:rsid w:val="000F4609"/>
    <w:rsid w:val="000F6011"/>
    <w:rsid w:val="000F7A47"/>
    <w:rsid w:val="001020A6"/>
    <w:rsid w:val="001109BB"/>
    <w:rsid w:val="00111A0F"/>
    <w:rsid w:val="00112D0E"/>
    <w:rsid w:val="00126322"/>
    <w:rsid w:val="001321BB"/>
    <w:rsid w:val="001325F1"/>
    <w:rsid w:val="00133167"/>
    <w:rsid w:val="0013587E"/>
    <w:rsid w:val="001358EF"/>
    <w:rsid w:val="001421B2"/>
    <w:rsid w:val="0014798E"/>
    <w:rsid w:val="00147F59"/>
    <w:rsid w:val="001511BA"/>
    <w:rsid w:val="00152005"/>
    <w:rsid w:val="00153E8F"/>
    <w:rsid w:val="00157BCE"/>
    <w:rsid w:val="00162121"/>
    <w:rsid w:val="00162C3F"/>
    <w:rsid w:val="001638EA"/>
    <w:rsid w:val="00164E6D"/>
    <w:rsid w:val="00170760"/>
    <w:rsid w:val="00175484"/>
    <w:rsid w:val="00177592"/>
    <w:rsid w:val="00184E48"/>
    <w:rsid w:val="0018700E"/>
    <w:rsid w:val="00187EC0"/>
    <w:rsid w:val="0019596A"/>
    <w:rsid w:val="00196191"/>
    <w:rsid w:val="0019796A"/>
    <w:rsid w:val="00197BA8"/>
    <w:rsid w:val="001A0301"/>
    <w:rsid w:val="001A2304"/>
    <w:rsid w:val="001A5B3F"/>
    <w:rsid w:val="001B0664"/>
    <w:rsid w:val="001B5492"/>
    <w:rsid w:val="001C12ED"/>
    <w:rsid w:val="001C23C1"/>
    <w:rsid w:val="001D258B"/>
    <w:rsid w:val="001D3F35"/>
    <w:rsid w:val="001D64ED"/>
    <w:rsid w:val="001D6984"/>
    <w:rsid w:val="001D6F34"/>
    <w:rsid w:val="001D785F"/>
    <w:rsid w:val="001E2337"/>
    <w:rsid w:val="001E2C15"/>
    <w:rsid w:val="001E5765"/>
    <w:rsid w:val="001E57F6"/>
    <w:rsid w:val="001E742A"/>
    <w:rsid w:val="001E7E59"/>
    <w:rsid w:val="001F12C2"/>
    <w:rsid w:val="001F27EE"/>
    <w:rsid w:val="001F3D96"/>
    <w:rsid w:val="001F43C2"/>
    <w:rsid w:val="002011D4"/>
    <w:rsid w:val="00207A44"/>
    <w:rsid w:val="00212FB5"/>
    <w:rsid w:val="00215787"/>
    <w:rsid w:val="00221465"/>
    <w:rsid w:val="00227434"/>
    <w:rsid w:val="002329E4"/>
    <w:rsid w:val="0023527C"/>
    <w:rsid w:val="002419C7"/>
    <w:rsid w:val="00241AC3"/>
    <w:rsid w:val="002516E5"/>
    <w:rsid w:val="00257C18"/>
    <w:rsid w:val="00261680"/>
    <w:rsid w:val="002624B5"/>
    <w:rsid w:val="00262E17"/>
    <w:rsid w:val="00266D70"/>
    <w:rsid w:val="00274588"/>
    <w:rsid w:val="0028143D"/>
    <w:rsid w:val="002818BD"/>
    <w:rsid w:val="00284477"/>
    <w:rsid w:val="00284AC8"/>
    <w:rsid w:val="00285555"/>
    <w:rsid w:val="002872ED"/>
    <w:rsid w:val="00291EA9"/>
    <w:rsid w:val="00293C86"/>
    <w:rsid w:val="002941A0"/>
    <w:rsid w:val="002971C1"/>
    <w:rsid w:val="002A1882"/>
    <w:rsid w:val="002A37B6"/>
    <w:rsid w:val="002A4AC8"/>
    <w:rsid w:val="002A4D7B"/>
    <w:rsid w:val="002B1BCF"/>
    <w:rsid w:val="002B23C6"/>
    <w:rsid w:val="002B3681"/>
    <w:rsid w:val="002B4224"/>
    <w:rsid w:val="002B6301"/>
    <w:rsid w:val="002C1009"/>
    <w:rsid w:val="002C1960"/>
    <w:rsid w:val="002C414E"/>
    <w:rsid w:val="002D1671"/>
    <w:rsid w:val="002D5E90"/>
    <w:rsid w:val="002D677C"/>
    <w:rsid w:val="002D6EA8"/>
    <w:rsid w:val="002E1E69"/>
    <w:rsid w:val="002E678A"/>
    <w:rsid w:val="002E7A78"/>
    <w:rsid w:val="002F148D"/>
    <w:rsid w:val="002F29D6"/>
    <w:rsid w:val="002F31DF"/>
    <w:rsid w:val="002F478C"/>
    <w:rsid w:val="002F73DC"/>
    <w:rsid w:val="002F7866"/>
    <w:rsid w:val="002F7EBE"/>
    <w:rsid w:val="00301BCD"/>
    <w:rsid w:val="0030254C"/>
    <w:rsid w:val="003039FE"/>
    <w:rsid w:val="00305A1D"/>
    <w:rsid w:val="00313D79"/>
    <w:rsid w:val="003154F1"/>
    <w:rsid w:val="00320435"/>
    <w:rsid w:val="00332FE1"/>
    <w:rsid w:val="0033473B"/>
    <w:rsid w:val="00335DD6"/>
    <w:rsid w:val="00336B21"/>
    <w:rsid w:val="003427CF"/>
    <w:rsid w:val="0036020A"/>
    <w:rsid w:val="0036104E"/>
    <w:rsid w:val="003625AD"/>
    <w:rsid w:val="00364853"/>
    <w:rsid w:val="0037061E"/>
    <w:rsid w:val="003709BB"/>
    <w:rsid w:val="003727FA"/>
    <w:rsid w:val="00381EEC"/>
    <w:rsid w:val="00382C9F"/>
    <w:rsid w:val="003878DD"/>
    <w:rsid w:val="003903BD"/>
    <w:rsid w:val="0039084B"/>
    <w:rsid w:val="0039206C"/>
    <w:rsid w:val="00395619"/>
    <w:rsid w:val="0039591F"/>
    <w:rsid w:val="00397C40"/>
    <w:rsid w:val="003A0C91"/>
    <w:rsid w:val="003A1A73"/>
    <w:rsid w:val="003A2E12"/>
    <w:rsid w:val="003A303F"/>
    <w:rsid w:val="003A4339"/>
    <w:rsid w:val="003A7675"/>
    <w:rsid w:val="003B432B"/>
    <w:rsid w:val="003B5284"/>
    <w:rsid w:val="003B6F6D"/>
    <w:rsid w:val="003B7FF1"/>
    <w:rsid w:val="003C0DC8"/>
    <w:rsid w:val="003C2AD1"/>
    <w:rsid w:val="003C402A"/>
    <w:rsid w:val="003C4F7B"/>
    <w:rsid w:val="003C7D73"/>
    <w:rsid w:val="003D0441"/>
    <w:rsid w:val="003D274D"/>
    <w:rsid w:val="003D3937"/>
    <w:rsid w:val="003D3D23"/>
    <w:rsid w:val="003D3D94"/>
    <w:rsid w:val="003D5F1F"/>
    <w:rsid w:val="003D6E25"/>
    <w:rsid w:val="003E1B0F"/>
    <w:rsid w:val="003E209A"/>
    <w:rsid w:val="003E6974"/>
    <w:rsid w:val="003F5AAF"/>
    <w:rsid w:val="003F7829"/>
    <w:rsid w:val="00401070"/>
    <w:rsid w:val="004071D9"/>
    <w:rsid w:val="00410065"/>
    <w:rsid w:val="0041095A"/>
    <w:rsid w:val="00414405"/>
    <w:rsid w:val="004167EA"/>
    <w:rsid w:val="0042055A"/>
    <w:rsid w:val="00422E10"/>
    <w:rsid w:val="00423CD3"/>
    <w:rsid w:val="0042557D"/>
    <w:rsid w:val="00425A3F"/>
    <w:rsid w:val="00433531"/>
    <w:rsid w:val="00436C06"/>
    <w:rsid w:val="00441D18"/>
    <w:rsid w:val="00441DCD"/>
    <w:rsid w:val="00443082"/>
    <w:rsid w:val="0044358A"/>
    <w:rsid w:val="00444B3D"/>
    <w:rsid w:val="00454F0D"/>
    <w:rsid w:val="00457629"/>
    <w:rsid w:val="00465725"/>
    <w:rsid w:val="00470D7F"/>
    <w:rsid w:val="00473324"/>
    <w:rsid w:val="00473387"/>
    <w:rsid w:val="004752BC"/>
    <w:rsid w:val="0048100D"/>
    <w:rsid w:val="00481335"/>
    <w:rsid w:val="00481641"/>
    <w:rsid w:val="004867A0"/>
    <w:rsid w:val="00490E91"/>
    <w:rsid w:val="00491596"/>
    <w:rsid w:val="00493929"/>
    <w:rsid w:val="004952BF"/>
    <w:rsid w:val="004A0430"/>
    <w:rsid w:val="004A04F9"/>
    <w:rsid w:val="004A3B0C"/>
    <w:rsid w:val="004B0889"/>
    <w:rsid w:val="004B0CFE"/>
    <w:rsid w:val="004B2312"/>
    <w:rsid w:val="004B2A3E"/>
    <w:rsid w:val="004C09F8"/>
    <w:rsid w:val="004C0EE9"/>
    <w:rsid w:val="004C33B9"/>
    <w:rsid w:val="004C42E0"/>
    <w:rsid w:val="004C443A"/>
    <w:rsid w:val="004C5D7A"/>
    <w:rsid w:val="004C791B"/>
    <w:rsid w:val="004D21F0"/>
    <w:rsid w:val="004D7F4F"/>
    <w:rsid w:val="004E4420"/>
    <w:rsid w:val="004E531E"/>
    <w:rsid w:val="004F083D"/>
    <w:rsid w:val="004F719C"/>
    <w:rsid w:val="00501DA6"/>
    <w:rsid w:val="00503A56"/>
    <w:rsid w:val="00506B6B"/>
    <w:rsid w:val="00506CBA"/>
    <w:rsid w:val="00507C64"/>
    <w:rsid w:val="00512C51"/>
    <w:rsid w:val="00514A22"/>
    <w:rsid w:val="00514C05"/>
    <w:rsid w:val="005153A4"/>
    <w:rsid w:val="00515D97"/>
    <w:rsid w:val="00523064"/>
    <w:rsid w:val="005257C9"/>
    <w:rsid w:val="00527A5D"/>
    <w:rsid w:val="0053153F"/>
    <w:rsid w:val="005332F8"/>
    <w:rsid w:val="00535B9F"/>
    <w:rsid w:val="00547997"/>
    <w:rsid w:val="0055248F"/>
    <w:rsid w:val="005543AF"/>
    <w:rsid w:val="00555C8E"/>
    <w:rsid w:val="005640B2"/>
    <w:rsid w:val="00565230"/>
    <w:rsid w:val="00566DA0"/>
    <w:rsid w:val="00567898"/>
    <w:rsid w:val="00571345"/>
    <w:rsid w:val="00575B78"/>
    <w:rsid w:val="00581723"/>
    <w:rsid w:val="00581F4F"/>
    <w:rsid w:val="0058275E"/>
    <w:rsid w:val="00583E20"/>
    <w:rsid w:val="00585804"/>
    <w:rsid w:val="0058786E"/>
    <w:rsid w:val="005937C6"/>
    <w:rsid w:val="005974D2"/>
    <w:rsid w:val="00597C48"/>
    <w:rsid w:val="005A14AC"/>
    <w:rsid w:val="005C480A"/>
    <w:rsid w:val="005C61F1"/>
    <w:rsid w:val="005D279C"/>
    <w:rsid w:val="005D45B9"/>
    <w:rsid w:val="005E0346"/>
    <w:rsid w:val="005E2048"/>
    <w:rsid w:val="005E2552"/>
    <w:rsid w:val="005E2CC7"/>
    <w:rsid w:val="005F01DE"/>
    <w:rsid w:val="005F515F"/>
    <w:rsid w:val="005F5E81"/>
    <w:rsid w:val="005F77D3"/>
    <w:rsid w:val="00607253"/>
    <w:rsid w:val="00607E9D"/>
    <w:rsid w:val="00612480"/>
    <w:rsid w:val="00617866"/>
    <w:rsid w:val="00621EA2"/>
    <w:rsid w:val="00624FBD"/>
    <w:rsid w:val="006276E2"/>
    <w:rsid w:val="00631259"/>
    <w:rsid w:val="00633723"/>
    <w:rsid w:val="006341AF"/>
    <w:rsid w:val="0063617B"/>
    <w:rsid w:val="00637E2D"/>
    <w:rsid w:val="00640165"/>
    <w:rsid w:val="0064042E"/>
    <w:rsid w:val="00653095"/>
    <w:rsid w:val="00656903"/>
    <w:rsid w:val="0066351C"/>
    <w:rsid w:val="006639F2"/>
    <w:rsid w:val="00666234"/>
    <w:rsid w:val="006805F6"/>
    <w:rsid w:val="006839DD"/>
    <w:rsid w:val="00683BA6"/>
    <w:rsid w:val="0068466F"/>
    <w:rsid w:val="0068481C"/>
    <w:rsid w:val="00685D47"/>
    <w:rsid w:val="00695610"/>
    <w:rsid w:val="00696616"/>
    <w:rsid w:val="006A3D5C"/>
    <w:rsid w:val="006A53DE"/>
    <w:rsid w:val="006A6CDA"/>
    <w:rsid w:val="006C0718"/>
    <w:rsid w:val="006C129A"/>
    <w:rsid w:val="006C2138"/>
    <w:rsid w:val="006C46F7"/>
    <w:rsid w:val="006D51E6"/>
    <w:rsid w:val="006D6D67"/>
    <w:rsid w:val="006F06B8"/>
    <w:rsid w:val="00701AC0"/>
    <w:rsid w:val="00707183"/>
    <w:rsid w:val="0071385B"/>
    <w:rsid w:val="00715A59"/>
    <w:rsid w:val="00720407"/>
    <w:rsid w:val="00725634"/>
    <w:rsid w:val="007261E0"/>
    <w:rsid w:val="0072749D"/>
    <w:rsid w:val="00730D70"/>
    <w:rsid w:val="00740CE2"/>
    <w:rsid w:val="00746EEE"/>
    <w:rsid w:val="00751D37"/>
    <w:rsid w:val="0075204A"/>
    <w:rsid w:val="0075226F"/>
    <w:rsid w:val="007535DC"/>
    <w:rsid w:val="007538BD"/>
    <w:rsid w:val="00753C6F"/>
    <w:rsid w:val="00754599"/>
    <w:rsid w:val="00760C6A"/>
    <w:rsid w:val="00765854"/>
    <w:rsid w:val="007728D0"/>
    <w:rsid w:val="00772D9E"/>
    <w:rsid w:val="00781824"/>
    <w:rsid w:val="007841E8"/>
    <w:rsid w:val="00790E34"/>
    <w:rsid w:val="00793671"/>
    <w:rsid w:val="00794220"/>
    <w:rsid w:val="007967C1"/>
    <w:rsid w:val="00797AB5"/>
    <w:rsid w:val="007A5877"/>
    <w:rsid w:val="007A64D9"/>
    <w:rsid w:val="007B049A"/>
    <w:rsid w:val="007C0938"/>
    <w:rsid w:val="007D41C9"/>
    <w:rsid w:val="007D56F8"/>
    <w:rsid w:val="007D58DB"/>
    <w:rsid w:val="007D5961"/>
    <w:rsid w:val="007D6E89"/>
    <w:rsid w:val="007E3618"/>
    <w:rsid w:val="007E4413"/>
    <w:rsid w:val="007E7CBA"/>
    <w:rsid w:val="007F4B9D"/>
    <w:rsid w:val="00800347"/>
    <w:rsid w:val="00800F54"/>
    <w:rsid w:val="00804915"/>
    <w:rsid w:val="00804C50"/>
    <w:rsid w:val="00810A53"/>
    <w:rsid w:val="00811FE4"/>
    <w:rsid w:val="00812264"/>
    <w:rsid w:val="00813063"/>
    <w:rsid w:val="00816700"/>
    <w:rsid w:val="0082099A"/>
    <w:rsid w:val="00820D76"/>
    <w:rsid w:val="008221B7"/>
    <w:rsid w:val="00824877"/>
    <w:rsid w:val="00825742"/>
    <w:rsid w:val="00830D51"/>
    <w:rsid w:val="00835BB0"/>
    <w:rsid w:val="00836FAD"/>
    <w:rsid w:val="00837BE0"/>
    <w:rsid w:val="00841DC0"/>
    <w:rsid w:val="00845F62"/>
    <w:rsid w:val="0084674E"/>
    <w:rsid w:val="00846770"/>
    <w:rsid w:val="00847551"/>
    <w:rsid w:val="00850518"/>
    <w:rsid w:val="00854F84"/>
    <w:rsid w:val="0085539B"/>
    <w:rsid w:val="008569A8"/>
    <w:rsid w:val="0086065C"/>
    <w:rsid w:val="00861789"/>
    <w:rsid w:val="00861A8D"/>
    <w:rsid w:val="00865AC0"/>
    <w:rsid w:val="00866F7F"/>
    <w:rsid w:val="00870158"/>
    <w:rsid w:val="008718AA"/>
    <w:rsid w:val="00871A21"/>
    <w:rsid w:val="0087342D"/>
    <w:rsid w:val="00876CD8"/>
    <w:rsid w:val="00880F01"/>
    <w:rsid w:val="0088543E"/>
    <w:rsid w:val="0088551A"/>
    <w:rsid w:val="008902AE"/>
    <w:rsid w:val="008921A4"/>
    <w:rsid w:val="00893B55"/>
    <w:rsid w:val="00894CBA"/>
    <w:rsid w:val="00895784"/>
    <w:rsid w:val="0089708C"/>
    <w:rsid w:val="008A265B"/>
    <w:rsid w:val="008A5D01"/>
    <w:rsid w:val="008A647B"/>
    <w:rsid w:val="008B2995"/>
    <w:rsid w:val="008B4376"/>
    <w:rsid w:val="008B5D58"/>
    <w:rsid w:val="008C0C95"/>
    <w:rsid w:val="008C136D"/>
    <w:rsid w:val="008C1550"/>
    <w:rsid w:val="008C6E8E"/>
    <w:rsid w:val="008D1104"/>
    <w:rsid w:val="008D1962"/>
    <w:rsid w:val="008E3A43"/>
    <w:rsid w:val="008E4A63"/>
    <w:rsid w:val="008E51FD"/>
    <w:rsid w:val="008E5B9A"/>
    <w:rsid w:val="008E7CCF"/>
    <w:rsid w:val="008F17DD"/>
    <w:rsid w:val="008F2749"/>
    <w:rsid w:val="008F2C56"/>
    <w:rsid w:val="008F4724"/>
    <w:rsid w:val="008F7C59"/>
    <w:rsid w:val="00902B29"/>
    <w:rsid w:val="0090305A"/>
    <w:rsid w:val="00906880"/>
    <w:rsid w:val="00906DA9"/>
    <w:rsid w:val="00907DD4"/>
    <w:rsid w:val="00907E77"/>
    <w:rsid w:val="00910109"/>
    <w:rsid w:val="00910ED8"/>
    <w:rsid w:val="00911CF4"/>
    <w:rsid w:val="00913910"/>
    <w:rsid w:val="00913AC7"/>
    <w:rsid w:val="0091467A"/>
    <w:rsid w:val="00915B04"/>
    <w:rsid w:val="00915CCA"/>
    <w:rsid w:val="00916C57"/>
    <w:rsid w:val="0091798B"/>
    <w:rsid w:val="009209EA"/>
    <w:rsid w:val="00921A70"/>
    <w:rsid w:val="0092251E"/>
    <w:rsid w:val="00922E37"/>
    <w:rsid w:val="00926475"/>
    <w:rsid w:val="0092733C"/>
    <w:rsid w:val="00932A38"/>
    <w:rsid w:val="00933992"/>
    <w:rsid w:val="009343B2"/>
    <w:rsid w:val="009363B3"/>
    <w:rsid w:val="009402F8"/>
    <w:rsid w:val="00942BF2"/>
    <w:rsid w:val="009436A8"/>
    <w:rsid w:val="00943A0F"/>
    <w:rsid w:val="00944310"/>
    <w:rsid w:val="0094446C"/>
    <w:rsid w:val="009444B3"/>
    <w:rsid w:val="009504E9"/>
    <w:rsid w:val="00951DF6"/>
    <w:rsid w:val="00957CF9"/>
    <w:rsid w:val="0096195C"/>
    <w:rsid w:val="00961B41"/>
    <w:rsid w:val="009623C0"/>
    <w:rsid w:val="00962DDD"/>
    <w:rsid w:val="00967C34"/>
    <w:rsid w:val="00970EF4"/>
    <w:rsid w:val="00971A1A"/>
    <w:rsid w:val="00973979"/>
    <w:rsid w:val="00975405"/>
    <w:rsid w:val="00976A89"/>
    <w:rsid w:val="00982C17"/>
    <w:rsid w:val="00983DAE"/>
    <w:rsid w:val="0098460A"/>
    <w:rsid w:val="0099295A"/>
    <w:rsid w:val="00993629"/>
    <w:rsid w:val="00996298"/>
    <w:rsid w:val="009A0AEB"/>
    <w:rsid w:val="009A172B"/>
    <w:rsid w:val="009A60A2"/>
    <w:rsid w:val="009A7A42"/>
    <w:rsid w:val="009B270E"/>
    <w:rsid w:val="009B6D37"/>
    <w:rsid w:val="009B7941"/>
    <w:rsid w:val="009C2641"/>
    <w:rsid w:val="009C315A"/>
    <w:rsid w:val="009C4538"/>
    <w:rsid w:val="009C4A87"/>
    <w:rsid w:val="009C4BA5"/>
    <w:rsid w:val="009C768D"/>
    <w:rsid w:val="009D01EA"/>
    <w:rsid w:val="009D17B1"/>
    <w:rsid w:val="009D29CF"/>
    <w:rsid w:val="009D4601"/>
    <w:rsid w:val="009D68F0"/>
    <w:rsid w:val="009E0299"/>
    <w:rsid w:val="009E06B1"/>
    <w:rsid w:val="009E27B6"/>
    <w:rsid w:val="009E406A"/>
    <w:rsid w:val="009E54F8"/>
    <w:rsid w:val="009F0132"/>
    <w:rsid w:val="009F1181"/>
    <w:rsid w:val="009F2001"/>
    <w:rsid w:val="009F29CC"/>
    <w:rsid w:val="009F2A82"/>
    <w:rsid w:val="00A005E0"/>
    <w:rsid w:val="00A04296"/>
    <w:rsid w:val="00A13182"/>
    <w:rsid w:val="00A1563F"/>
    <w:rsid w:val="00A161E8"/>
    <w:rsid w:val="00A17747"/>
    <w:rsid w:val="00A30193"/>
    <w:rsid w:val="00A3240E"/>
    <w:rsid w:val="00A32558"/>
    <w:rsid w:val="00A327CE"/>
    <w:rsid w:val="00A353C8"/>
    <w:rsid w:val="00A35D90"/>
    <w:rsid w:val="00A3627B"/>
    <w:rsid w:val="00A37C8D"/>
    <w:rsid w:val="00A421C6"/>
    <w:rsid w:val="00A433C0"/>
    <w:rsid w:val="00A45067"/>
    <w:rsid w:val="00A5057F"/>
    <w:rsid w:val="00A528AA"/>
    <w:rsid w:val="00A5347C"/>
    <w:rsid w:val="00A647AB"/>
    <w:rsid w:val="00A71BAE"/>
    <w:rsid w:val="00A72A8D"/>
    <w:rsid w:val="00A753BA"/>
    <w:rsid w:val="00A770E6"/>
    <w:rsid w:val="00A77588"/>
    <w:rsid w:val="00A803F3"/>
    <w:rsid w:val="00A807CE"/>
    <w:rsid w:val="00A81339"/>
    <w:rsid w:val="00A90F55"/>
    <w:rsid w:val="00A914D1"/>
    <w:rsid w:val="00A9258B"/>
    <w:rsid w:val="00A94D69"/>
    <w:rsid w:val="00AA03E4"/>
    <w:rsid w:val="00AA1E9F"/>
    <w:rsid w:val="00AA42EA"/>
    <w:rsid w:val="00AA7FEC"/>
    <w:rsid w:val="00AB0E43"/>
    <w:rsid w:val="00AB2F27"/>
    <w:rsid w:val="00AB613F"/>
    <w:rsid w:val="00AB7468"/>
    <w:rsid w:val="00AC21CD"/>
    <w:rsid w:val="00AC25B5"/>
    <w:rsid w:val="00AC6E08"/>
    <w:rsid w:val="00AC7B3D"/>
    <w:rsid w:val="00AC7D78"/>
    <w:rsid w:val="00AD181D"/>
    <w:rsid w:val="00AD3854"/>
    <w:rsid w:val="00AD489D"/>
    <w:rsid w:val="00AE2AB4"/>
    <w:rsid w:val="00AE3D17"/>
    <w:rsid w:val="00AE54BD"/>
    <w:rsid w:val="00AE6B73"/>
    <w:rsid w:val="00AE7102"/>
    <w:rsid w:val="00AF227D"/>
    <w:rsid w:val="00B018D2"/>
    <w:rsid w:val="00B0381E"/>
    <w:rsid w:val="00B0536F"/>
    <w:rsid w:val="00B06EF6"/>
    <w:rsid w:val="00B1051C"/>
    <w:rsid w:val="00B12A28"/>
    <w:rsid w:val="00B13DB1"/>
    <w:rsid w:val="00B1671F"/>
    <w:rsid w:val="00B24188"/>
    <w:rsid w:val="00B24664"/>
    <w:rsid w:val="00B33B02"/>
    <w:rsid w:val="00B36E56"/>
    <w:rsid w:val="00B37050"/>
    <w:rsid w:val="00B373FD"/>
    <w:rsid w:val="00B4179D"/>
    <w:rsid w:val="00B41D66"/>
    <w:rsid w:val="00B42635"/>
    <w:rsid w:val="00B43206"/>
    <w:rsid w:val="00B44237"/>
    <w:rsid w:val="00B45391"/>
    <w:rsid w:val="00B45FCB"/>
    <w:rsid w:val="00B51444"/>
    <w:rsid w:val="00B51CB5"/>
    <w:rsid w:val="00B530B8"/>
    <w:rsid w:val="00B5499C"/>
    <w:rsid w:val="00B55278"/>
    <w:rsid w:val="00B60C0C"/>
    <w:rsid w:val="00B61221"/>
    <w:rsid w:val="00B61DE7"/>
    <w:rsid w:val="00B64FB5"/>
    <w:rsid w:val="00B66657"/>
    <w:rsid w:val="00B67881"/>
    <w:rsid w:val="00B72A1C"/>
    <w:rsid w:val="00B7388E"/>
    <w:rsid w:val="00B749CD"/>
    <w:rsid w:val="00B753B5"/>
    <w:rsid w:val="00B75B01"/>
    <w:rsid w:val="00B76775"/>
    <w:rsid w:val="00B83178"/>
    <w:rsid w:val="00B858C6"/>
    <w:rsid w:val="00B91FF7"/>
    <w:rsid w:val="00B94359"/>
    <w:rsid w:val="00B97500"/>
    <w:rsid w:val="00B97DDE"/>
    <w:rsid w:val="00BA1CDA"/>
    <w:rsid w:val="00BB0430"/>
    <w:rsid w:val="00BB1A73"/>
    <w:rsid w:val="00BB5A5B"/>
    <w:rsid w:val="00BC05F0"/>
    <w:rsid w:val="00BC0A6C"/>
    <w:rsid w:val="00BC1A51"/>
    <w:rsid w:val="00BC36DF"/>
    <w:rsid w:val="00BC4D51"/>
    <w:rsid w:val="00BC7B63"/>
    <w:rsid w:val="00BC7E69"/>
    <w:rsid w:val="00BD5AF3"/>
    <w:rsid w:val="00BD7AB5"/>
    <w:rsid w:val="00BE3268"/>
    <w:rsid w:val="00BE6245"/>
    <w:rsid w:val="00BF300F"/>
    <w:rsid w:val="00BF455E"/>
    <w:rsid w:val="00C02F08"/>
    <w:rsid w:val="00C10911"/>
    <w:rsid w:val="00C1221B"/>
    <w:rsid w:val="00C12940"/>
    <w:rsid w:val="00C1329F"/>
    <w:rsid w:val="00C15B05"/>
    <w:rsid w:val="00C169E7"/>
    <w:rsid w:val="00C16EAF"/>
    <w:rsid w:val="00C17BBA"/>
    <w:rsid w:val="00C25516"/>
    <w:rsid w:val="00C26600"/>
    <w:rsid w:val="00C26BC5"/>
    <w:rsid w:val="00C27793"/>
    <w:rsid w:val="00C30609"/>
    <w:rsid w:val="00C339AE"/>
    <w:rsid w:val="00C33E73"/>
    <w:rsid w:val="00C340A9"/>
    <w:rsid w:val="00C35B3E"/>
    <w:rsid w:val="00C36531"/>
    <w:rsid w:val="00C41D0D"/>
    <w:rsid w:val="00C4459A"/>
    <w:rsid w:val="00C44922"/>
    <w:rsid w:val="00C45741"/>
    <w:rsid w:val="00C53D5B"/>
    <w:rsid w:val="00C5486A"/>
    <w:rsid w:val="00C57535"/>
    <w:rsid w:val="00C61204"/>
    <w:rsid w:val="00C70D02"/>
    <w:rsid w:val="00C72255"/>
    <w:rsid w:val="00C736E2"/>
    <w:rsid w:val="00C73779"/>
    <w:rsid w:val="00C762A5"/>
    <w:rsid w:val="00C7749B"/>
    <w:rsid w:val="00C81567"/>
    <w:rsid w:val="00C829B2"/>
    <w:rsid w:val="00C85AB2"/>
    <w:rsid w:val="00C8724E"/>
    <w:rsid w:val="00C87EA8"/>
    <w:rsid w:val="00C92068"/>
    <w:rsid w:val="00CA1A2E"/>
    <w:rsid w:val="00CB0DE8"/>
    <w:rsid w:val="00CB1212"/>
    <w:rsid w:val="00CB2A8E"/>
    <w:rsid w:val="00CB41E4"/>
    <w:rsid w:val="00CB61EA"/>
    <w:rsid w:val="00CB6204"/>
    <w:rsid w:val="00CB71B7"/>
    <w:rsid w:val="00CB786B"/>
    <w:rsid w:val="00CC3E1D"/>
    <w:rsid w:val="00CC4041"/>
    <w:rsid w:val="00CC434E"/>
    <w:rsid w:val="00CC6066"/>
    <w:rsid w:val="00CC702E"/>
    <w:rsid w:val="00CD10D9"/>
    <w:rsid w:val="00CD3BE9"/>
    <w:rsid w:val="00CD532A"/>
    <w:rsid w:val="00CD6CDC"/>
    <w:rsid w:val="00CE3755"/>
    <w:rsid w:val="00CE437C"/>
    <w:rsid w:val="00CE454F"/>
    <w:rsid w:val="00CE49A3"/>
    <w:rsid w:val="00CE76CF"/>
    <w:rsid w:val="00CF00C4"/>
    <w:rsid w:val="00CF552F"/>
    <w:rsid w:val="00CF595B"/>
    <w:rsid w:val="00CF74C3"/>
    <w:rsid w:val="00D0033C"/>
    <w:rsid w:val="00D03641"/>
    <w:rsid w:val="00D05605"/>
    <w:rsid w:val="00D0691F"/>
    <w:rsid w:val="00D104B7"/>
    <w:rsid w:val="00D14F54"/>
    <w:rsid w:val="00D15444"/>
    <w:rsid w:val="00D2176F"/>
    <w:rsid w:val="00D233A3"/>
    <w:rsid w:val="00D24402"/>
    <w:rsid w:val="00D26A6C"/>
    <w:rsid w:val="00D26C62"/>
    <w:rsid w:val="00D30B07"/>
    <w:rsid w:val="00D32993"/>
    <w:rsid w:val="00D33B9A"/>
    <w:rsid w:val="00D343CA"/>
    <w:rsid w:val="00D41EA3"/>
    <w:rsid w:val="00D42D42"/>
    <w:rsid w:val="00D45CDB"/>
    <w:rsid w:val="00D46037"/>
    <w:rsid w:val="00D50388"/>
    <w:rsid w:val="00D51634"/>
    <w:rsid w:val="00D550BE"/>
    <w:rsid w:val="00D63E57"/>
    <w:rsid w:val="00D70034"/>
    <w:rsid w:val="00D71503"/>
    <w:rsid w:val="00D732DC"/>
    <w:rsid w:val="00D76403"/>
    <w:rsid w:val="00D8199C"/>
    <w:rsid w:val="00D81FD8"/>
    <w:rsid w:val="00D8240A"/>
    <w:rsid w:val="00D85461"/>
    <w:rsid w:val="00D8636B"/>
    <w:rsid w:val="00D8660E"/>
    <w:rsid w:val="00D93FF5"/>
    <w:rsid w:val="00D945F6"/>
    <w:rsid w:val="00D95D1C"/>
    <w:rsid w:val="00D96574"/>
    <w:rsid w:val="00DA2D59"/>
    <w:rsid w:val="00DA6222"/>
    <w:rsid w:val="00DA7BEF"/>
    <w:rsid w:val="00DB10F1"/>
    <w:rsid w:val="00DB113B"/>
    <w:rsid w:val="00DB1A4F"/>
    <w:rsid w:val="00DB1B75"/>
    <w:rsid w:val="00DB2250"/>
    <w:rsid w:val="00DC10AD"/>
    <w:rsid w:val="00DC3094"/>
    <w:rsid w:val="00DC59F8"/>
    <w:rsid w:val="00DC5D7F"/>
    <w:rsid w:val="00DD426D"/>
    <w:rsid w:val="00DD7574"/>
    <w:rsid w:val="00DE1796"/>
    <w:rsid w:val="00DE6197"/>
    <w:rsid w:val="00DE6B95"/>
    <w:rsid w:val="00DE6CB6"/>
    <w:rsid w:val="00DF71EF"/>
    <w:rsid w:val="00DF7238"/>
    <w:rsid w:val="00DF7CE1"/>
    <w:rsid w:val="00E01112"/>
    <w:rsid w:val="00E06882"/>
    <w:rsid w:val="00E06925"/>
    <w:rsid w:val="00E10CBA"/>
    <w:rsid w:val="00E128D2"/>
    <w:rsid w:val="00E140BA"/>
    <w:rsid w:val="00E179D8"/>
    <w:rsid w:val="00E23602"/>
    <w:rsid w:val="00E2598D"/>
    <w:rsid w:val="00E26444"/>
    <w:rsid w:val="00E27342"/>
    <w:rsid w:val="00E27F81"/>
    <w:rsid w:val="00E362BB"/>
    <w:rsid w:val="00E36BC9"/>
    <w:rsid w:val="00E40FE2"/>
    <w:rsid w:val="00E437AA"/>
    <w:rsid w:val="00E51EC9"/>
    <w:rsid w:val="00E5253E"/>
    <w:rsid w:val="00E526F5"/>
    <w:rsid w:val="00E5637C"/>
    <w:rsid w:val="00E56D19"/>
    <w:rsid w:val="00E61725"/>
    <w:rsid w:val="00E64DBC"/>
    <w:rsid w:val="00E666D6"/>
    <w:rsid w:val="00E71676"/>
    <w:rsid w:val="00E71734"/>
    <w:rsid w:val="00E74D2B"/>
    <w:rsid w:val="00E75B51"/>
    <w:rsid w:val="00E84D4D"/>
    <w:rsid w:val="00E95006"/>
    <w:rsid w:val="00EA1575"/>
    <w:rsid w:val="00EA5D8E"/>
    <w:rsid w:val="00EC1FAA"/>
    <w:rsid w:val="00EC3566"/>
    <w:rsid w:val="00EC385D"/>
    <w:rsid w:val="00EC5D80"/>
    <w:rsid w:val="00ED0631"/>
    <w:rsid w:val="00ED14FF"/>
    <w:rsid w:val="00ED2433"/>
    <w:rsid w:val="00ED3366"/>
    <w:rsid w:val="00ED412A"/>
    <w:rsid w:val="00ED5190"/>
    <w:rsid w:val="00EE02A8"/>
    <w:rsid w:val="00EE79E6"/>
    <w:rsid w:val="00EF14AB"/>
    <w:rsid w:val="00EF6679"/>
    <w:rsid w:val="00EF67FB"/>
    <w:rsid w:val="00EF6FB7"/>
    <w:rsid w:val="00EF7549"/>
    <w:rsid w:val="00EF7CE7"/>
    <w:rsid w:val="00F00B3F"/>
    <w:rsid w:val="00F022AF"/>
    <w:rsid w:val="00F033E9"/>
    <w:rsid w:val="00F0371F"/>
    <w:rsid w:val="00F03DC9"/>
    <w:rsid w:val="00F06977"/>
    <w:rsid w:val="00F105D8"/>
    <w:rsid w:val="00F1173E"/>
    <w:rsid w:val="00F13E1D"/>
    <w:rsid w:val="00F14CE2"/>
    <w:rsid w:val="00F20123"/>
    <w:rsid w:val="00F21D2B"/>
    <w:rsid w:val="00F24E67"/>
    <w:rsid w:val="00F35D89"/>
    <w:rsid w:val="00F41AAB"/>
    <w:rsid w:val="00F42385"/>
    <w:rsid w:val="00F445AC"/>
    <w:rsid w:val="00F469C0"/>
    <w:rsid w:val="00F46ACE"/>
    <w:rsid w:val="00F4757D"/>
    <w:rsid w:val="00F53D10"/>
    <w:rsid w:val="00F553BF"/>
    <w:rsid w:val="00F64322"/>
    <w:rsid w:val="00F670C9"/>
    <w:rsid w:val="00F714D3"/>
    <w:rsid w:val="00F72DC5"/>
    <w:rsid w:val="00F7390E"/>
    <w:rsid w:val="00F76F21"/>
    <w:rsid w:val="00F77A93"/>
    <w:rsid w:val="00F77D11"/>
    <w:rsid w:val="00F80B14"/>
    <w:rsid w:val="00F81D9B"/>
    <w:rsid w:val="00F82114"/>
    <w:rsid w:val="00F83329"/>
    <w:rsid w:val="00F936D3"/>
    <w:rsid w:val="00FA1365"/>
    <w:rsid w:val="00FA1E06"/>
    <w:rsid w:val="00FA2693"/>
    <w:rsid w:val="00FA3522"/>
    <w:rsid w:val="00FA36DF"/>
    <w:rsid w:val="00FB0B9E"/>
    <w:rsid w:val="00FB3958"/>
    <w:rsid w:val="00FB5825"/>
    <w:rsid w:val="00FB6424"/>
    <w:rsid w:val="00FB65DF"/>
    <w:rsid w:val="00FB7339"/>
    <w:rsid w:val="00FC0232"/>
    <w:rsid w:val="00FC6B2A"/>
    <w:rsid w:val="00FD14ED"/>
    <w:rsid w:val="00FD2987"/>
    <w:rsid w:val="00FD7AB3"/>
    <w:rsid w:val="00FE07E9"/>
    <w:rsid w:val="00FE1631"/>
    <w:rsid w:val="00FE1A84"/>
    <w:rsid w:val="00FE2D4A"/>
    <w:rsid w:val="00FE6249"/>
    <w:rsid w:val="00FF1FB6"/>
    <w:rsid w:val="00FF32D3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90DE6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46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601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9D460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D38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uiPriority w:val="1"/>
    <w:qFormat/>
    <w:rsid w:val="000C7BC4"/>
    <w:pPr>
      <w:widowControl w:val="0"/>
      <w:autoSpaceDE w:val="0"/>
      <w:autoSpaceDN w:val="0"/>
      <w:spacing w:before="121" w:after="0" w:line="240" w:lineRule="auto"/>
      <w:ind w:left="1577" w:hanging="661"/>
    </w:pPr>
    <w:rPr>
      <w:rFonts w:ascii="Cambria" w:eastAsia="Cambria" w:hAnsi="Cambria" w:cs="Cambria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0C7B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0C7BC4"/>
    <w:rPr>
      <w:rFonts w:ascii="Cambria" w:eastAsia="Cambria" w:hAnsi="Cambria" w:cs="Cambria"/>
      <w:lang w:val="hr-HR"/>
    </w:rPr>
  </w:style>
  <w:style w:type="character" w:styleId="Hyperlink">
    <w:name w:val="Hyperlink"/>
    <w:basedOn w:val="DefaultParagraphFont"/>
    <w:uiPriority w:val="99"/>
    <w:unhideWhenUsed/>
    <w:rsid w:val="000C7B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Sheet1!$B$4:$B$7</c:f>
              <c:strCache>
                <c:ptCount val="4"/>
                <c:pt idx="0">
                  <c:v>Porez na dodatu vrijednost</c:v>
                </c:pt>
                <c:pt idx="1">
                  <c:v>Porezi i doprinosi na zarade</c:v>
                </c:pt>
                <c:pt idx="2">
                  <c:v>Porez na dobit </c:v>
                </c:pt>
                <c:pt idx="3">
                  <c:v>Akcize</c:v>
                </c:pt>
              </c:strCache>
            </c:strRef>
          </c:cat>
          <c:val>
            <c:numRef>
              <c:f>Sheet1!$C$4:$C$7</c:f>
              <c:numCache>
                <c:formatCode>0.0,,</c:formatCode>
                <c:ptCount val="4"/>
                <c:pt idx="0">
                  <c:v>908047104.25999999</c:v>
                </c:pt>
                <c:pt idx="1">
                  <c:v>545838054.38999999</c:v>
                </c:pt>
                <c:pt idx="2">
                  <c:v>90169159.159999996</c:v>
                </c:pt>
                <c:pt idx="3">
                  <c:v>245872611.77000001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0F-47E2-83C5-3B866997C1B6}"/>
            </c:ext>
          </c:extLst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Sheet1!$B$4:$B$7</c:f>
              <c:strCache>
                <c:ptCount val="4"/>
                <c:pt idx="0">
                  <c:v>Porez na dodatu vrijednost</c:v>
                </c:pt>
                <c:pt idx="1">
                  <c:v>Porezi i doprinosi na zarade</c:v>
                </c:pt>
                <c:pt idx="2">
                  <c:v>Porez na dobit </c:v>
                </c:pt>
                <c:pt idx="3">
                  <c:v>Akcize</c:v>
                </c:pt>
              </c:strCache>
            </c:strRef>
          </c:cat>
          <c:val>
            <c:numRef>
              <c:f>Sheet1!$D$4:$D$7</c:f>
              <c:numCache>
                <c:formatCode>0.0,,</c:formatCode>
                <c:ptCount val="4"/>
                <c:pt idx="0">
                  <c:v>1059267077.4700001</c:v>
                </c:pt>
                <c:pt idx="1">
                  <c:v>642142181.25</c:v>
                </c:pt>
                <c:pt idx="2">
                  <c:v>151284476.47</c:v>
                </c:pt>
                <c:pt idx="3">
                  <c:v>323121644.95999998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0F-47E2-83C5-3B866997C1B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1991557616"/>
        <c:axId val="1991873856"/>
      </c:barChart>
      <c:catAx>
        <c:axId val="199155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873856"/>
        <c:crosses val="autoZero"/>
        <c:auto val="1"/>
        <c:lblAlgn val="ctr"/>
        <c:lblOffset val="100"/>
        <c:noMultiLvlLbl val="0"/>
      </c:catAx>
      <c:valAx>
        <c:axId val="1991873856"/>
        <c:scaling>
          <c:orientation val="minMax"/>
        </c:scaling>
        <c:delete val="0"/>
        <c:axPos val="l"/>
        <c:numFmt formatCode="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55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Sheet1!$B$28</c:f>
              <c:strCache>
                <c:ptCount val="1"/>
                <c:pt idx="0">
                  <c:v>Prihodi budžeta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Sheet1!$C$27:$F$27</c:f>
              <c:strCache>
                <c:ptCount val="3"/>
                <c:pt idx="0">
                  <c:v>2022</c:v>
                </c:pt>
                <c:pt idx="1">
                  <c:v>plan 2023</c:v>
                </c:pt>
                <c:pt idx="2">
                  <c:v>izvršenje 2023</c:v>
                </c:pt>
              </c:strCache>
            </c:strRef>
          </c:cat>
          <c:val>
            <c:numRef>
              <c:f>Sheet1!$C$28:$F$28</c:f>
              <c:numCache>
                <c:formatCode>0.0,,</c:formatCode>
                <c:ptCount val="3"/>
                <c:pt idx="0">
                  <c:v>1995494299.6400001</c:v>
                </c:pt>
                <c:pt idx="1">
                  <c:v>2422783971.703506</c:v>
                </c:pt>
                <c:pt idx="2">
                  <c:v>2566397555.6199999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7-4B69-803F-6BF042D95C04}"/>
            </c:ext>
          </c:extLst>
        </c:ser>
        <c:ser>
          <c:idx val="1"/>
          <c:order val="1"/>
          <c:tx>
            <c:strRef>
              <c:f>Sheet1!$B$29</c:f>
              <c:strCache>
                <c:ptCount val="1"/>
                <c:pt idx="0">
                  <c:v>Rashodi budžeta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Sheet1!$C$27:$F$27</c:f>
              <c:strCache>
                <c:ptCount val="3"/>
                <c:pt idx="0">
                  <c:v>2022</c:v>
                </c:pt>
                <c:pt idx="1">
                  <c:v>plan 2023</c:v>
                </c:pt>
                <c:pt idx="2">
                  <c:v>izvršenje 2023</c:v>
                </c:pt>
              </c:strCache>
            </c:strRef>
          </c:cat>
          <c:val>
            <c:numRef>
              <c:f>Sheet1!$C$29:$F$29</c:f>
              <c:numCache>
                <c:formatCode>0.0,,</c:formatCode>
                <c:ptCount val="3"/>
                <c:pt idx="0">
                  <c:v>2245803680.8099999</c:v>
                </c:pt>
                <c:pt idx="1">
                  <c:v>2639096791.3985004</c:v>
                </c:pt>
                <c:pt idx="2">
                  <c:v>2556098011.4199996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7-4B69-803F-6BF042D95C04}"/>
            </c:ext>
          </c:extLst>
        </c:ser>
        <c:ser>
          <c:idx val="2"/>
          <c:order val="2"/>
          <c:tx>
            <c:strRef>
              <c:f>Sheet1!$B$30</c:f>
              <c:strCache>
                <c:ptCount val="1"/>
                <c:pt idx="0">
                  <c:v>Deficit/Suficit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Sheet1!$C$27:$F$27</c:f>
              <c:strCache>
                <c:ptCount val="3"/>
                <c:pt idx="0">
                  <c:v>2022</c:v>
                </c:pt>
                <c:pt idx="1">
                  <c:v>plan 2023</c:v>
                </c:pt>
                <c:pt idx="2">
                  <c:v>izvršenje 2023</c:v>
                </c:pt>
              </c:strCache>
            </c:strRef>
          </c:cat>
          <c:val>
            <c:numRef>
              <c:f>Sheet1!$C$30:$F$30</c:f>
              <c:numCache>
                <c:formatCode>0.0,,</c:formatCode>
                <c:ptCount val="3"/>
                <c:pt idx="0">
                  <c:v>-250309381.16999984</c:v>
                </c:pt>
                <c:pt idx="1">
                  <c:v>-216312819.69499445</c:v>
                </c:pt>
                <c:pt idx="2">
                  <c:v>10299544.200000286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47-4B69-803F-6BF042D95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5913120"/>
        <c:axId val="1997537696"/>
        <c:axId val="0"/>
      </c:bar3DChart>
      <c:catAx>
        <c:axId val="207591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7537696"/>
        <c:crosses val="autoZero"/>
        <c:auto val="1"/>
        <c:lblAlgn val="ctr"/>
        <c:lblOffset val="100"/>
        <c:noMultiLvlLbl val="0"/>
      </c:catAx>
      <c:valAx>
        <c:axId val="1997537696"/>
        <c:scaling>
          <c:orientation val="minMax"/>
        </c:scaling>
        <c:delete val="0"/>
        <c:axPos val="b"/>
        <c:numFmt formatCode="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59131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0B86-F4AA-470B-B9A6-2E0FE363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Bojan Paunovic</cp:lastModifiedBy>
  <cp:revision>6</cp:revision>
  <cp:lastPrinted>2024-03-29T12:38:00Z</cp:lastPrinted>
  <dcterms:created xsi:type="dcterms:W3CDTF">2024-03-29T14:12:00Z</dcterms:created>
  <dcterms:modified xsi:type="dcterms:W3CDTF">2024-04-02T05:48:00Z</dcterms:modified>
</cp:coreProperties>
</file>