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C54B26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4E566812" wp14:editId="63E35D71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B26" w:rsidRDefault="008C576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E5668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:rsidR="00C54B26" w:rsidRDefault="008C576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4B26" w:rsidTr="00C54B2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2484AF44" wp14:editId="114476CF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B26" w:rsidRDefault="008C576E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JU</w:t>
                                  </w:r>
                                  <w:r w:rsidR="006853B8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L</w:t>
                                  </w: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84AF44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:rsidR="00C54B26" w:rsidRDefault="008C576E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JU</w:t>
                            </w:r>
                            <w:r w:rsidR="006853B8">
                              <w:rPr>
                                <w:color w:val="FFFFFF" w:themeColor="background1"/>
                                <w:lang w:val="sr-Latn-ME"/>
                              </w:rPr>
                              <w:t>L</w:t>
                            </w: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54B26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A8E9208" wp14:editId="1A85048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E9208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7C0BEE7B" wp14:editId="70C8E868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688C435" wp14:editId="27DC0AC9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AutoText"/>
        </w:docPartObj>
      </w:sdtPr>
      <w:sdtEndPr/>
      <w:sdtContent>
        <w:p w:rsidR="00C54B26" w:rsidRDefault="008C576E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F967937" wp14:editId="0AB515AA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3A4090F" id="Rectangle 10" o:spid="_x0000_s1026" alt="rectangle" style="position:absolute;margin-left:-70.75pt;margin-top:-75.7pt;width:612.3pt;height:88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00CD6B3" wp14:editId="679576DA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98C8732" id="Rectangle 8" o:spid="_x0000_s1026" alt="rectangle" style="position:absolute;margin-left:-70.75pt;margin-top:383.65pt;width:612.3pt;height:336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" fillcolor="#404040 [2429]" stroked="f" strokeweight="1pt"/>
                </w:pict>
              </mc:Fallback>
            </mc:AlternateContent>
          </w:r>
          <w:r>
            <w:rPr>
              <w:b/>
            </w:rPr>
            <w:br w:type="page"/>
          </w:r>
        </w:p>
        <w:p w:rsidR="00C54B26" w:rsidRDefault="002370A6">
          <w:pPr>
            <w:spacing w:after="200"/>
            <w:rPr>
              <w:b/>
            </w:rPr>
          </w:pPr>
        </w:p>
      </w:sdtContent>
    </w:sdt>
    <w:p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</w:t>
      </w:r>
      <w:r w:rsidR="006853B8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9E758E" w:rsidRDefault="009E758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5EB7" w:rsidRPr="00455EB7" w:rsidRDefault="00455EB7" w:rsidP="00455EB7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455EB7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Prihodi budžeta</w:t>
      </w:r>
      <w:bookmarkStart w:id="0" w:name="_Hlk171580505"/>
      <w:r w:rsidRPr="00455EB7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za sedam mjeseci 2025. godine iznosili su 1.579,0 mil. € ili 19,9% procijenjenog BDP-a (7.918,5 mil. €), što je za 6,0 mil. € ili 0,4% veće u odnosu na isti period prethodne godine</w:t>
      </w:r>
      <w:bookmarkEnd w:id="0"/>
      <w:r w:rsidRPr="00455EB7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. Posmatrano u odnosu na plan prihoda budžeta za period januar-jul, realizovano je 98,4%, odnosno do ostvarenja plana za period januar-jul nedostajalo je 24,9 mil. €.</w:t>
      </w:r>
    </w:p>
    <w:p w:rsidR="00455EB7" w:rsidRPr="00455EB7" w:rsidRDefault="00455EB7" w:rsidP="00455EB7">
      <w:pPr>
        <w:shd w:val="clear" w:color="auto" w:fill="FFFFFF"/>
        <w:spacing w:line="25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455EB7">
        <w:rPr>
          <w:noProof/>
          <w:sz w:val="24"/>
          <w:szCs w:val="24"/>
        </w:rPr>
        <w:drawing>
          <wp:inline distT="0" distB="0" distL="0" distR="0" wp14:anchorId="29FAF7FC" wp14:editId="6EBD102F">
            <wp:extent cx="5707380" cy="2743200"/>
            <wp:effectExtent l="0" t="0" r="762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87973FA5-FA75-434C-B47C-AC98CA22E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55EB7" w:rsidRPr="00455EB7" w:rsidRDefault="00455EB7" w:rsidP="00455EB7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455EB7">
        <w:rPr>
          <w:rFonts w:eastAsia="Times New Roman" w:cstheme="minorHAnsi"/>
          <w:b/>
          <w:sz w:val="24"/>
          <w:szCs w:val="24"/>
          <w:lang w:val="sr-Latn-ME" w:eastAsia="en-GB"/>
        </w:rPr>
        <w:t>Porez na dobit pravnih lica</w:t>
      </w:r>
      <w:r w:rsidRPr="00455EB7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215,9 mil. €, što predstavlja značajan rast, i to za 18,3 mil. € ili 9,3% u odnosu na isti period 2024. godine, a to je i za 14,1 mil. € ili 7% više u odnosu na plan za posmatrani period. </w:t>
      </w:r>
    </w:p>
    <w:p w:rsidR="00455EB7" w:rsidRPr="00455EB7" w:rsidRDefault="00455EB7" w:rsidP="00455EB7">
      <w:pPr>
        <w:spacing w:line="256" w:lineRule="auto"/>
        <w:jc w:val="both"/>
        <w:rPr>
          <w:rFonts w:eastAsia="Times New Roman" w:cstheme="minorHAnsi"/>
          <w:color w:val="FF0000"/>
          <w:sz w:val="24"/>
          <w:szCs w:val="24"/>
          <w:lang w:val="sr-Latn-ME" w:eastAsia="en-GB"/>
        </w:rPr>
      </w:pPr>
      <w:r w:rsidRPr="00455EB7">
        <w:rPr>
          <w:rFonts w:eastAsia="Times New Roman" w:cstheme="minorHAnsi"/>
          <w:b/>
          <w:sz w:val="24"/>
          <w:szCs w:val="24"/>
          <w:lang w:val="sr-Latn-ME" w:eastAsia="en-GB"/>
        </w:rPr>
        <w:t>Porez na dohodak fizičkih lica</w:t>
      </w:r>
      <w:r w:rsidRPr="00455EB7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56,5 mil. €, što je za 10,6 mil. € ili 23,1% veće u odnosu na isti period 2024. godine i ujedno iznad plana za posmatrani period za 0,8 mil. € ili 1,5%.</w:t>
      </w:r>
    </w:p>
    <w:p w:rsidR="00455EB7" w:rsidRPr="00455EB7" w:rsidRDefault="00455EB7" w:rsidP="00455EB7">
      <w:pPr>
        <w:spacing w:line="256" w:lineRule="auto"/>
        <w:jc w:val="both"/>
        <w:rPr>
          <w:rFonts w:eastAsia="Times New Roman" w:cstheme="minorHAnsi"/>
          <w:color w:val="FF0000"/>
          <w:sz w:val="24"/>
          <w:szCs w:val="24"/>
          <w:lang w:val="sr-Latn-ME" w:eastAsia="en-GB"/>
        </w:rPr>
      </w:pPr>
      <w:r w:rsidRPr="00455EB7">
        <w:rPr>
          <w:rFonts w:eastAsia="Times New Roman" w:cstheme="minorHAnsi"/>
          <w:b/>
          <w:sz w:val="24"/>
          <w:szCs w:val="24"/>
          <w:lang w:val="sr-Latn-ME" w:eastAsia="en-GB"/>
        </w:rPr>
        <w:t>Porez na dodatu vrijednost</w:t>
      </w:r>
      <w:r w:rsidRPr="00455EB7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738,1 mil. €, što je za čak 82,7 mil. € ili 12,6% veće u odnosu na isti period 2024. godine, dok je ova kategorija prihoda budžeta ostvarena u neznatno manjem iznosu od planiranog, odnosno 2,1 mil. € ili 0,3%. U istom periodu povraćaj PDV-a veći je za oko 19% ili 11,4 mil. €, u odnosu na posmatrani period 2024. godine.</w:t>
      </w:r>
    </w:p>
    <w:p w:rsidR="00455EB7" w:rsidRPr="00455EB7" w:rsidRDefault="00455EB7" w:rsidP="00455EB7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455EB7">
        <w:rPr>
          <w:rFonts w:eastAsia="Times New Roman" w:cstheme="minorHAnsi"/>
          <w:sz w:val="24"/>
          <w:szCs w:val="24"/>
          <w:lang w:val="sr-Latn-ME" w:eastAsia="en-GB"/>
        </w:rPr>
        <w:t>Prihodi budžeta po osnovu</w:t>
      </w:r>
      <w:r w:rsidRPr="00455EB7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akciza</w:t>
      </w:r>
      <w:r w:rsidRPr="00455EB7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214,3 mil. €, što je za 19,3 mil. € ili 9,9% veće u odnosu na isti period 2024. godine i iznad planiranog nivoa su za </w:t>
      </w:r>
      <w:r w:rsidRPr="00455EB7">
        <w:rPr>
          <w:rFonts w:eastAsia="Times New Roman" w:cstheme="minorHAnsi"/>
          <w:sz w:val="24"/>
          <w:szCs w:val="24"/>
          <w:lang w:val="sr-Latn-ME" w:eastAsia="en-GB"/>
        </w:rPr>
        <w:lastRenderedPageBreak/>
        <w:t>1,7 mil. € ili 0,8%. Posmatrano po strukturi akciza, najveći rast na nivou sedmomjesečenog perioda bilježe:</w:t>
      </w:r>
    </w:p>
    <w:p w:rsidR="00455EB7" w:rsidRPr="00455EB7" w:rsidRDefault="00455EB7" w:rsidP="00455EB7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</w:pPr>
      <w:r w:rsidRPr="00455EB7"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  <w:t>Akcize na mineralna i njihove derivate, koje su ostvarene u iznosu od 111,9 mil. €, što je za 8,1 mil. € ili 7,9% veće u odnosu na posmatrani period 2024. godine;</w:t>
      </w:r>
    </w:p>
    <w:p w:rsidR="00455EB7" w:rsidRPr="00455EB7" w:rsidRDefault="00455EB7" w:rsidP="00455EB7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</w:pPr>
      <w:r w:rsidRPr="00455EB7"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  <w:t>Akcize na duvan i duvanske proizvode, koje su ostvarene u iznosu od 71,4 mil. €, što je za 8,7 mil. € ili 13,9% veće u odnosu na isti period prethodne godine. Samo u julu mjesecu akcize na duvan i duvanske proizvode naplaćene su za 68,9% više u odnosu na jul 2024. godine;</w:t>
      </w:r>
    </w:p>
    <w:p w:rsidR="00455EB7" w:rsidRPr="00455EB7" w:rsidRDefault="00455EB7" w:rsidP="00455EB7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</w:pPr>
      <w:r w:rsidRPr="00455EB7"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  <w:t xml:space="preserve">Akcize na gaziranu vodu, koje su ostvarene u iznosu od 11,4 mil. €, što je za 2,3 mil. € ili 25,5% više u odnosu na isti period 2024. godine. </w:t>
      </w:r>
    </w:p>
    <w:p w:rsidR="00455EB7" w:rsidRPr="00455EB7" w:rsidRDefault="00455EB7" w:rsidP="00455EB7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455EB7" w:rsidRPr="00455EB7" w:rsidRDefault="00455EB7" w:rsidP="00455EB7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  <w:r w:rsidRPr="00455EB7">
        <w:rPr>
          <w:rFonts w:eastAsia="Times New Roman" w:cstheme="minorHAnsi"/>
          <w:b/>
          <w:sz w:val="24"/>
          <w:szCs w:val="24"/>
          <w:lang w:val="sr-Latn-ME" w:eastAsia="en-GB"/>
        </w:rPr>
        <w:t>Ostali prihodi</w:t>
      </w:r>
      <w:r w:rsidRPr="00455EB7">
        <w:rPr>
          <w:rFonts w:eastAsia="Times New Roman" w:cstheme="minorHAnsi"/>
          <w:sz w:val="24"/>
          <w:szCs w:val="24"/>
          <w:lang w:val="sr-Latn-ME" w:eastAsia="en-GB"/>
        </w:rPr>
        <w:t xml:space="preserve"> u posmatranom periodu ostvareni su u iznosu od 30,3 mil. €, što je za 12,3 mil. € ili 68,2% veće u odnosu na plan, dok je navedena kategorija prihoda manja u odnosu na posmatrani period 2024. godine za 30,8 mil. € ili 50,4%. Razlog odstupanja je prvenstveno izvršenje ove kategorije prihoda budžeta u prvih sedam mjeseci 2024. godine, i to po osnovu uplata dobiti CBCG (za 2022. i 2023. godinu), programa ekonomskog državljanstva, kao i uplata od strane Ministarstva rada i socijalnog dijaloga na ime povraćaja neisplaćenih sredstava. U aprilu ove godine je CBCG uplatila dobit u iznosu od 4,9 mil. €, i to za 2024. godinu, dok je </w:t>
      </w:r>
      <w:r w:rsidRPr="00455EB7"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  <w:t>u julu mjesecu izvršena uplata dividende od strane CGES-a u iznosu od 2,4 mil. €.</w:t>
      </w:r>
    </w:p>
    <w:p w:rsidR="00455EB7" w:rsidRPr="00455EB7" w:rsidRDefault="00455EB7" w:rsidP="00455EB7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455EB7">
        <w:rPr>
          <w:rFonts w:eastAsia="Times New Roman" w:cstheme="minorHAnsi"/>
          <w:sz w:val="24"/>
          <w:szCs w:val="24"/>
          <w:lang w:val="sr-Latn-ME" w:eastAsia="en-GB"/>
        </w:rPr>
        <w:t xml:space="preserve">Sa druge strane, </w:t>
      </w:r>
      <w:r w:rsidRPr="00455EB7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455EB7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219,0 mil. € što je za 102,0 mil. € ili 31,8% manje posmatrano u odnosu na isti period 2024. godine i 22,3 mil. € ili 9,2% manje u odnosu na plan. </w:t>
      </w:r>
    </w:p>
    <w:p w:rsidR="00455EB7" w:rsidRPr="00455EB7" w:rsidRDefault="00455EB7" w:rsidP="00455EB7">
      <w:pPr>
        <w:shd w:val="clear" w:color="auto" w:fill="FFFFFF"/>
        <w:spacing w:line="233" w:lineRule="atLeast"/>
        <w:jc w:val="both"/>
        <w:rPr>
          <w:rFonts w:eastAsia="Times New Roman"/>
          <w:color w:val="212121"/>
          <w:sz w:val="24"/>
          <w:szCs w:val="24"/>
        </w:rPr>
      </w:pPr>
      <w:r w:rsidRPr="00455EB7">
        <w:rPr>
          <w:rFonts w:eastAsia="Times New Roman"/>
          <w:b/>
          <w:bCs/>
          <w:color w:val="212121"/>
          <w:sz w:val="24"/>
          <w:szCs w:val="24"/>
          <w:lang w:val="sr-Latn-ME"/>
        </w:rPr>
        <w:t>Uporedni pregled jednokratnih prihoda u periodu januar-jul (mil. €):</w:t>
      </w:r>
    </w:p>
    <w:tbl>
      <w:tblPr>
        <w:tblStyle w:val="PlainTable5"/>
        <w:tblW w:w="8995" w:type="dxa"/>
        <w:tblLook w:val="04A0" w:firstRow="1" w:lastRow="0" w:firstColumn="1" w:lastColumn="0" w:noHBand="0" w:noVBand="1"/>
      </w:tblPr>
      <w:tblGrid>
        <w:gridCol w:w="5125"/>
        <w:gridCol w:w="2070"/>
        <w:gridCol w:w="1800"/>
      </w:tblGrid>
      <w:tr w:rsidR="00455EB7" w:rsidRPr="00455EB7" w:rsidTr="0013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5" w:type="dxa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b/>
                <w:bCs/>
                <w:color w:val="212121"/>
                <w:sz w:val="24"/>
                <w:szCs w:val="24"/>
                <w:lang w:val="sr-Latn-ME"/>
              </w:rPr>
              <w:t>Jednokratni prihodi</w:t>
            </w:r>
          </w:p>
        </w:tc>
        <w:tc>
          <w:tcPr>
            <w:tcW w:w="2070" w:type="dxa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b/>
                <w:bCs/>
                <w:color w:val="212121"/>
                <w:sz w:val="24"/>
                <w:szCs w:val="24"/>
                <w:lang w:val="sr-Latn-ME"/>
              </w:rPr>
              <w:t>Januar – jul 2025</w:t>
            </w:r>
          </w:p>
        </w:tc>
        <w:tc>
          <w:tcPr>
            <w:tcW w:w="1800" w:type="dxa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b/>
                <w:bCs/>
                <w:color w:val="212121"/>
                <w:sz w:val="24"/>
                <w:szCs w:val="24"/>
                <w:lang w:val="sr-Latn-ME"/>
              </w:rPr>
              <w:t>Januar – jul 2024</w:t>
            </w:r>
          </w:p>
        </w:tc>
      </w:tr>
      <w:tr w:rsidR="00455EB7" w:rsidRPr="00455EB7" w:rsidTr="00137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Ekonomsko državljanstvo</w:t>
            </w:r>
          </w:p>
        </w:tc>
        <w:tc>
          <w:tcPr>
            <w:tcW w:w="2070" w:type="dxa"/>
            <w:shd w:val="clear" w:color="auto" w:fill="auto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00" w:type="dxa"/>
            <w:shd w:val="clear" w:color="auto" w:fill="auto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17,3</w:t>
            </w:r>
          </w:p>
        </w:tc>
      </w:tr>
      <w:tr w:rsidR="00455EB7" w:rsidRPr="00455EB7" w:rsidTr="0013734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455EB7" w:rsidRPr="00455EB7" w:rsidRDefault="00455EB7" w:rsidP="00137346">
            <w:pPr>
              <w:spacing w:line="233" w:lineRule="atLeast"/>
              <w:jc w:val="both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*Zakon o otpisu kamate (ukupno)</w:t>
            </w:r>
          </w:p>
        </w:tc>
        <w:tc>
          <w:tcPr>
            <w:tcW w:w="2070" w:type="dxa"/>
            <w:shd w:val="clear" w:color="auto" w:fill="auto"/>
          </w:tcPr>
          <w:p w:rsidR="00455EB7" w:rsidRPr="00455EB7" w:rsidRDefault="00455EB7" w:rsidP="00137346">
            <w:pPr>
              <w:spacing w:line="233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19,1</w:t>
            </w:r>
          </w:p>
        </w:tc>
        <w:tc>
          <w:tcPr>
            <w:tcW w:w="1800" w:type="dxa"/>
            <w:shd w:val="clear" w:color="auto" w:fill="auto"/>
          </w:tcPr>
          <w:p w:rsidR="00455EB7" w:rsidRPr="00455EB7" w:rsidRDefault="00455EB7" w:rsidP="00137346">
            <w:pPr>
              <w:spacing w:line="233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/</w:t>
            </w:r>
          </w:p>
        </w:tc>
      </w:tr>
      <w:tr w:rsidR="00455EB7" w:rsidRPr="00455EB7" w:rsidTr="00137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Ministarstvo rada, zapošljavanja i socijalnog dijaloga – povraćaj po zahtjevu</w:t>
            </w:r>
          </w:p>
        </w:tc>
        <w:tc>
          <w:tcPr>
            <w:tcW w:w="2070" w:type="dxa"/>
            <w:shd w:val="clear" w:color="auto" w:fill="auto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00" w:type="dxa"/>
            <w:shd w:val="clear" w:color="auto" w:fill="auto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4,4</w:t>
            </w:r>
          </w:p>
        </w:tc>
      </w:tr>
      <w:tr w:rsidR="00455EB7" w:rsidRPr="00455EB7" w:rsidTr="0013734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Dividenda – preduzeća u većinskom vlasništvu države</w:t>
            </w:r>
          </w:p>
        </w:tc>
        <w:tc>
          <w:tcPr>
            <w:tcW w:w="2070" w:type="dxa"/>
            <w:shd w:val="clear" w:color="auto" w:fill="auto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2,4</w:t>
            </w:r>
          </w:p>
        </w:tc>
        <w:tc>
          <w:tcPr>
            <w:tcW w:w="1800" w:type="dxa"/>
            <w:shd w:val="clear" w:color="auto" w:fill="auto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color w:val="212121"/>
                <w:sz w:val="24"/>
                <w:szCs w:val="24"/>
                <w:lang w:val="sr-Latn-ME"/>
              </w:rPr>
              <w:t>4,7</w:t>
            </w:r>
          </w:p>
        </w:tc>
      </w:tr>
      <w:tr w:rsidR="00455EB7" w:rsidRPr="00455EB7" w:rsidTr="00137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rPr>
                <w:rFonts w:eastAsia="Times New Roman"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b/>
                <w:bCs/>
                <w:color w:val="212121"/>
                <w:sz w:val="24"/>
                <w:szCs w:val="24"/>
                <w:lang w:val="sr-Latn-ME"/>
              </w:rPr>
              <w:t>Ukupno</w:t>
            </w:r>
          </w:p>
        </w:tc>
        <w:tc>
          <w:tcPr>
            <w:tcW w:w="2070" w:type="dxa"/>
            <w:shd w:val="clear" w:color="auto" w:fill="auto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b/>
                <w:color w:val="212121"/>
                <w:sz w:val="24"/>
                <w:szCs w:val="24"/>
                <w:lang w:val="sr-Latn-ME"/>
              </w:rPr>
              <w:t>21,5</w:t>
            </w:r>
          </w:p>
        </w:tc>
        <w:tc>
          <w:tcPr>
            <w:tcW w:w="1800" w:type="dxa"/>
            <w:shd w:val="clear" w:color="auto" w:fill="auto"/>
            <w:hideMark/>
          </w:tcPr>
          <w:p w:rsidR="00455EB7" w:rsidRPr="00455EB7" w:rsidRDefault="00455EB7" w:rsidP="00137346">
            <w:pPr>
              <w:spacing w:line="233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212121"/>
                <w:sz w:val="24"/>
                <w:szCs w:val="24"/>
                <w:lang w:val="sr-Latn-ME"/>
              </w:rPr>
            </w:pPr>
            <w:r w:rsidRPr="00455EB7">
              <w:rPr>
                <w:rFonts w:eastAsia="Times New Roman"/>
                <w:b/>
                <w:color w:val="212121"/>
                <w:sz w:val="24"/>
                <w:szCs w:val="24"/>
                <w:lang w:val="sr-Latn-ME"/>
              </w:rPr>
              <w:t>26,4</w:t>
            </w:r>
          </w:p>
        </w:tc>
      </w:tr>
    </w:tbl>
    <w:p w:rsidR="00455EB7" w:rsidRPr="00455EB7" w:rsidRDefault="00455EB7" w:rsidP="00455EB7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:rsidR="00455EB7" w:rsidRPr="00455EB7" w:rsidRDefault="00455EB7" w:rsidP="00455EB7">
      <w:pPr>
        <w:shd w:val="clear" w:color="auto" w:fill="FFFFFF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  <w:r w:rsidRPr="00455EB7"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  <w:t>*Ukupan efekat mjere iznosio je oko 21 mil. €, od čega je naplaćeno 19,1 mil. € prihoda budžeta. Trošak mjere, odnosno otpisana kamata iznosila je nešto preko 10 mil. €.</w:t>
      </w:r>
    </w:p>
    <w:p w:rsidR="00455EB7" w:rsidRPr="00455EB7" w:rsidRDefault="00455EB7" w:rsidP="00455EB7">
      <w:pPr>
        <w:shd w:val="clear" w:color="auto" w:fill="FFFFFF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C54B26" w:rsidRDefault="00455EB7" w:rsidP="00455EB7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455EB7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Naplata prihoda budžeta za mjesec jul premašila je plan za 11,8 mil. €, odnosno za 4,8%, što znači da je u julu mjesecu realizovano ukupno 256,1 mil. € prihoda budžeta. U poređenju sa istim periodom prethodne godine, to je manje za 7,1 mil. € ili 2,7%, a glavni razlog odstupanja je veća naplata ostalih prihoda i doprinosa za PIO u posmatranom periodu 2024. godine. </w:t>
      </w:r>
    </w:p>
    <w:p w:rsidR="00455EB7" w:rsidRDefault="00455EB7" w:rsidP="00455EB7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:rsidR="00455EB7" w:rsidRPr="002F2892" w:rsidRDefault="00455EB7" w:rsidP="00455EB7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</w:t>
      </w:r>
      <w:r w:rsidR="006853B8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C54B26" w:rsidRDefault="00C54B26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B26" w:rsidRPr="0017603A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17603A">
        <w:rPr>
          <w:rFonts w:cstheme="minorHAnsi"/>
          <w:b/>
          <w:sz w:val="24"/>
          <w:szCs w:val="24"/>
          <w:lang w:val="sr-Latn-ME"/>
        </w:rPr>
        <w:t xml:space="preserve">Izdaci budžeta </w:t>
      </w:r>
      <w:r w:rsidRPr="0017603A">
        <w:rPr>
          <w:rFonts w:cstheme="minorHAnsi"/>
          <w:sz w:val="24"/>
          <w:szCs w:val="24"/>
          <w:lang w:val="sr-Latn-ME"/>
        </w:rPr>
        <w:t xml:space="preserve">za </w:t>
      </w:r>
      <w:r w:rsidR="000F5DE0" w:rsidRPr="0017603A">
        <w:rPr>
          <w:rFonts w:cstheme="minorHAnsi"/>
          <w:sz w:val="24"/>
          <w:szCs w:val="24"/>
          <w:lang w:val="sr-Latn-ME"/>
        </w:rPr>
        <w:t>period januar-jul</w:t>
      </w:r>
      <w:r w:rsidRPr="0017603A">
        <w:rPr>
          <w:rFonts w:cstheme="minorHAnsi"/>
          <w:sz w:val="24"/>
          <w:szCs w:val="24"/>
          <w:lang w:val="sr-Latn-ME"/>
        </w:rPr>
        <w:t xml:space="preserve"> 2025. godine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 iznosili su 1.</w:t>
      </w:r>
      <w:r w:rsidR="00DC5893" w:rsidRPr="0017603A">
        <w:rPr>
          <w:rFonts w:cstheme="minorHAnsi"/>
          <w:bCs/>
          <w:sz w:val="24"/>
          <w:szCs w:val="24"/>
          <w:lang w:val="sr-Latn-ME"/>
        </w:rPr>
        <w:t>67</w:t>
      </w:r>
      <w:r w:rsidR="00DC5893">
        <w:rPr>
          <w:rFonts w:cstheme="minorHAnsi"/>
          <w:bCs/>
          <w:sz w:val="24"/>
          <w:szCs w:val="24"/>
          <w:lang w:val="sr-Latn-ME"/>
        </w:rPr>
        <w:t>6</w:t>
      </w:r>
      <w:r w:rsidR="000F5DE0" w:rsidRPr="0017603A">
        <w:rPr>
          <w:rFonts w:cstheme="minorHAnsi"/>
          <w:bCs/>
          <w:sz w:val="24"/>
          <w:szCs w:val="24"/>
          <w:lang w:val="sr-Latn-ME"/>
        </w:rPr>
        <w:t>,</w:t>
      </w:r>
      <w:r w:rsidR="00DC5893">
        <w:rPr>
          <w:rFonts w:cstheme="minorHAnsi"/>
          <w:bCs/>
          <w:sz w:val="24"/>
          <w:szCs w:val="24"/>
          <w:lang w:val="sr-Latn-ME"/>
        </w:rPr>
        <w:t>2</w:t>
      </w:r>
      <w:r w:rsidR="00DC5893" w:rsidRPr="0017603A">
        <w:rPr>
          <w:rFonts w:cstheme="minorHAnsi"/>
          <w:bCs/>
          <w:sz w:val="24"/>
          <w:szCs w:val="24"/>
          <w:lang w:val="sr-Latn-ME"/>
        </w:rPr>
        <w:t xml:space="preserve"> 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0F5DE0" w:rsidRPr="0017603A">
        <w:rPr>
          <w:rFonts w:cstheme="minorHAnsi"/>
          <w:bCs/>
          <w:sz w:val="24"/>
          <w:szCs w:val="24"/>
          <w:lang w:val="sr-Latn-ME"/>
        </w:rPr>
        <w:t>21</w:t>
      </w:r>
      <w:r w:rsidRPr="0017603A">
        <w:rPr>
          <w:rFonts w:cstheme="minorHAnsi"/>
          <w:bCs/>
          <w:sz w:val="24"/>
          <w:szCs w:val="24"/>
          <w:lang w:val="sr-Latn-ME"/>
        </w:rPr>
        <w:t>,</w:t>
      </w:r>
      <w:r w:rsidR="00DC5893">
        <w:rPr>
          <w:rFonts w:cstheme="minorHAnsi"/>
          <w:bCs/>
          <w:sz w:val="24"/>
          <w:szCs w:val="24"/>
          <w:lang w:val="sr-Latn-ME"/>
        </w:rPr>
        <w:t>2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% procijenjenog BDP-a. </w:t>
      </w:r>
    </w:p>
    <w:p w:rsidR="00C54B26" w:rsidRPr="005D46FD" w:rsidRDefault="00C54B26">
      <w:pPr>
        <w:spacing w:after="0"/>
        <w:jc w:val="both"/>
        <w:rPr>
          <w:rFonts w:cstheme="minorHAnsi"/>
          <w:bCs/>
          <w:sz w:val="24"/>
          <w:szCs w:val="24"/>
          <w:highlight w:val="yellow"/>
        </w:rPr>
      </w:pPr>
    </w:p>
    <w:p w:rsidR="00C54B26" w:rsidRPr="00BE7E82" w:rsidRDefault="00C54B2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44A33" w:rsidRDefault="009747B1" w:rsidP="005A4CCD">
      <w:pPr>
        <w:pStyle w:val="NormalWeb"/>
        <w:jc w:val="both"/>
        <w:rPr>
          <w:rFonts w:ascii="Arial" w:hAnsi="Arial" w:cs="Arial"/>
          <w:b/>
          <w:bCs/>
          <w:highlight w:val="yellow"/>
          <w:lang w:val="sr-Latn-ME"/>
        </w:rPr>
      </w:pPr>
      <w:r>
        <w:rPr>
          <w:rFonts w:ascii="Arial" w:hAnsi="Arial" w:cs="Arial"/>
          <w:b/>
          <w:bCs/>
          <w:noProof/>
          <w:highlight w:val="yellow"/>
          <w:lang w:val="sr-Latn-ME"/>
        </w:rPr>
        <w:drawing>
          <wp:inline distT="0" distB="0" distL="0" distR="0" wp14:anchorId="1465BD34">
            <wp:extent cx="1872793" cy="319072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80" cy="3210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0695">
        <w:rPr>
          <w:rFonts w:ascii="Arial" w:hAnsi="Arial" w:cs="Arial"/>
          <w:b/>
          <w:bCs/>
          <w:noProof/>
          <w:highlight w:val="yellow"/>
          <w:lang w:val="sr-Latn-ME"/>
        </w:rPr>
        <w:drawing>
          <wp:inline distT="0" distB="0" distL="0" distR="0" wp14:anchorId="6900D6A9">
            <wp:extent cx="3971539" cy="317690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626" cy="3189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A33" w:rsidRPr="00D93A18" w:rsidRDefault="00D93A18" w:rsidP="005A4CCD">
      <w:pPr>
        <w:pStyle w:val="NormalWeb"/>
        <w:jc w:val="both"/>
        <w:rPr>
          <w:rFonts w:ascii="Arial" w:hAnsi="Arial" w:cs="Arial"/>
          <w:b/>
          <w:bCs/>
          <w:lang w:val="sr-Latn-ME"/>
        </w:rPr>
      </w:pPr>
      <w:r w:rsidRPr="00D93A18">
        <w:rPr>
          <w:rFonts w:ascii="Arial" w:hAnsi="Arial" w:cs="Arial"/>
          <w:b/>
          <w:bCs/>
          <w:lang w:val="sr-Latn-ME"/>
        </w:rPr>
        <w:t xml:space="preserve">Tekući izdaci </w:t>
      </w:r>
      <w:r w:rsidRPr="00D93A18">
        <w:rPr>
          <w:rFonts w:ascii="Arial" w:hAnsi="Arial" w:cs="Arial"/>
          <w:bCs/>
          <w:lang w:val="sr-Latn-ME"/>
        </w:rPr>
        <w:t xml:space="preserve">u posmatranom periodu ostvareni su u iznosu od </w:t>
      </w:r>
      <w:r w:rsidR="00DC5893">
        <w:rPr>
          <w:rFonts w:ascii="Arial" w:hAnsi="Arial" w:cs="Arial"/>
          <w:bCs/>
          <w:lang w:val="sr-Latn-ME"/>
        </w:rPr>
        <w:t>650</w:t>
      </w:r>
      <w:r w:rsidRPr="00D93A18">
        <w:rPr>
          <w:rFonts w:ascii="Arial" w:hAnsi="Arial" w:cs="Arial"/>
          <w:bCs/>
          <w:lang w:val="sr-Latn-ME"/>
        </w:rPr>
        <w:t>,</w:t>
      </w:r>
      <w:r w:rsidR="00DC5893">
        <w:rPr>
          <w:rFonts w:ascii="Arial" w:hAnsi="Arial" w:cs="Arial"/>
          <w:bCs/>
          <w:lang w:val="sr-Latn-ME"/>
        </w:rPr>
        <w:t>1</w:t>
      </w:r>
      <w:r w:rsidR="00DC5893" w:rsidRPr="00D93A18">
        <w:rPr>
          <w:rFonts w:ascii="Arial" w:hAnsi="Arial" w:cs="Arial"/>
          <w:bCs/>
          <w:lang w:val="sr-Latn-ME"/>
        </w:rPr>
        <w:t xml:space="preserve"> </w:t>
      </w:r>
      <w:r w:rsidRPr="00D93A18">
        <w:rPr>
          <w:rFonts w:ascii="Arial" w:hAnsi="Arial" w:cs="Arial"/>
          <w:bCs/>
          <w:lang w:val="sr-Latn-ME"/>
        </w:rPr>
        <w:t xml:space="preserve">mil. €, što predstavlja </w:t>
      </w:r>
      <w:r w:rsidR="00DC5893" w:rsidRPr="00D93A18">
        <w:rPr>
          <w:rFonts w:ascii="Arial" w:hAnsi="Arial" w:cs="Arial"/>
          <w:bCs/>
          <w:lang w:val="sr-Latn-ME"/>
        </w:rPr>
        <w:t>9</w:t>
      </w:r>
      <w:r w:rsidR="00DC5893">
        <w:rPr>
          <w:rFonts w:ascii="Arial" w:hAnsi="Arial" w:cs="Arial"/>
          <w:bCs/>
          <w:lang w:val="sr-Latn-ME"/>
        </w:rPr>
        <w:t>5</w:t>
      </w:r>
      <w:r w:rsidRPr="00D93A18">
        <w:rPr>
          <w:rFonts w:ascii="Arial" w:hAnsi="Arial" w:cs="Arial"/>
          <w:bCs/>
          <w:lang w:val="sr-Latn-ME"/>
        </w:rPr>
        <w:t>,</w:t>
      </w:r>
      <w:r w:rsidR="00DC5893">
        <w:rPr>
          <w:rFonts w:ascii="Arial" w:hAnsi="Arial" w:cs="Arial"/>
          <w:bCs/>
          <w:lang w:val="sr-Latn-ME"/>
        </w:rPr>
        <w:t>0</w:t>
      </w:r>
      <w:r w:rsidRPr="00D93A18">
        <w:rPr>
          <w:rFonts w:ascii="Arial" w:hAnsi="Arial" w:cs="Arial"/>
          <w:bCs/>
          <w:lang w:val="sr-Latn-ME"/>
        </w:rPr>
        <w:t>% plana</w:t>
      </w:r>
      <w:r w:rsidR="00EE0C37">
        <w:rPr>
          <w:rFonts w:ascii="Arial" w:hAnsi="Arial" w:cs="Arial"/>
          <w:bCs/>
          <w:lang w:val="sr-Latn-ME"/>
        </w:rPr>
        <w:t>.</w:t>
      </w:r>
      <w:r w:rsidR="00DC5893">
        <w:rPr>
          <w:rFonts w:ascii="Arial" w:hAnsi="Arial" w:cs="Arial"/>
          <w:bCs/>
          <w:lang w:val="sr-Latn-ME"/>
        </w:rPr>
        <w:t xml:space="preserve"> </w:t>
      </w:r>
      <w:r w:rsidRPr="00D93A18">
        <w:rPr>
          <w:rFonts w:ascii="Arial" w:hAnsi="Arial" w:cs="Arial"/>
          <w:bCs/>
          <w:lang w:val="sr-Latn-ME"/>
        </w:rPr>
        <w:t xml:space="preserve">Veće ostvarenje je zabilježeno dominantno kod </w:t>
      </w:r>
      <w:r w:rsidRPr="00101F8F">
        <w:rPr>
          <w:rFonts w:ascii="Arial" w:hAnsi="Arial" w:cs="Arial"/>
          <w:bCs/>
          <w:lang w:val="sr-Latn-ME"/>
        </w:rPr>
        <w:t>kamata na poziciji Kamate nerezidentima, dok je manje</w:t>
      </w:r>
      <w:r w:rsidRPr="00D93A18">
        <w:rPr>
          <w:rFonts w:ascii="Arial" w:hAnsi="Arial" w:cs="Arial"/>
          <w:bCs/>
          <w:lang w:val="sr-Latn-ME"/>
        </w:rPr>
        <w:t xml:space="preserve"> ostvarenje zabilježeno dominantno kod</w:t>
      </w:r>
      <w:r>
        <w:rPr>
          <w:rFonts w:ascii="Arial" w:hAnsi="Arial" w:cs="Arial"/>
          <w:bCs/>
          <w:lang w:val="sr-Latn-ME"/>
        </w:rPr>
        <w:t xml:space="preserve"> </w:t>
      </w:r>
      <w:r w:rsidRPr="00E61143">
        <w:rPr>
          <w:rFonts w:ascii="Arial" w:hAnsi="Arial" w:cs="Arial"/>
          <w:bCs/>
          <w:lang w:val="sr-Latn-ME"/>
        </w:rPr>
        <w:t>rashoda za materijal, rashoda za usluge i rashoda za tekuće održavanje.</w:t>
      </w:r>
      <w:r w:rsidR="00BA4AD6">
        <w:rPr>
          <w:rFonts w:ascii="Arial" w:hAnsi="Arial" w:cs="Arial"/>
          <w:bCs/>
          <w:lang w:val="sr-Latn-ME"/>
        </w:rPr>
        <w:t xml:space="preserve"> Razlika u </w:t>
      </w:r>
      <w:r w:rsidR="00BA4AD6">
        <w:rPr>
          <w:rFonts w:ascii="Arial" w:hAnsi="Arial" w:cs="Arial"/>
          <w:bCs/>
          <w:lang w:val="sr-Latn-ME"/>
        </w:rPr>
        <w:lastRenderedPageBreak/>
        <w:t>ostvarenju</w:t>
      </w:r>
      <w:r w:rsidR="00BA4AD6" w:rsidRPr="00BA4AD6">
        <w:rPr>
          <w:rFonts w:ascii="Arial" w:hAnsi="Arial" w:cs="Arial"/>
          <w:bCs/>
          <w:lang w:val="sr-Latn-ME"/>
        </w:rPr>
        <w:t xml:space="preserve"> u odnosu na plan za </w:t>
      </w:r>
      <w:r w:rsidR="00BA4AD6">
        <w:rPr>
          <w:rFonts w:ascii="Arial" w:hAnsi="Arial" w:cs="Arial"/>
          <w:bCs/>
          <w:lang w:val="sr-Latn-ME"/>
        </w:rPr>
        <w:t>16</w:t>
      </w:r>
      <w:r w:rsidR="00BA4AD6" w:rsidRPr="00BA4AD6">
        <w:rPr>
          <w:rFonts w:ascii="Arial" w:hAnsi="Arial" w:cs="Arial"/>
          <w:bCs/>
          <w:lang w:val="sr-Latn-ME"/>
        </w:rPr>
        <w:t>,</w:t>
      </w:r>
      <w:r w:rsidR="00BA4AD6">
        <w:rPr>
          <w:rFonts w:ascii="Arial" w:hAnsi="Arial" w:cs="Arial"/>
          <w:bCs/>
          <w:lang w:val="sr-Latn-ME"/>
        </w:rPr>
        <w:t>3</w:t>
      </w:r>
      <w:r w:rsidR="00BA4AD6" w:rsidRPr="00BA4AD6">
        <w:rPr>
          <w:rFonts w:ascii="Arial" w:hAnsi="Arial" w:cs="Arial"/>
          <w:bCs/>
          <w:lang w:val="sr-Latn-ME"/>
        </w:rPr>
        <w:t xml:space="preserve"> mil. € ili  3,</w:t>
      </w:r>
      <w:r w:rsidR="00BA4AD6">
        <w:rPr>
          <w:rFonts w:ascii="Arial" w:hAnsi="Arial" w:cs="Arial"/>
          <w:bCs/>
          <w:lang w:val="sr-Latn-ME"/>
        </w:rPr>
        <w:t>9</w:t>
      </w:r>
      <w:r w:rsidR="00BA4AD6" w:rsidRPr="00BA4AD6">
        <w:rPr>
          <w:rFonts w:ascii="Arial" w:hAnsi="Arial" w:cs="Arial"/>
          <w:bCs/>
          <w:lang w:val="sr-Latn-ME"/>
        </w:rPr>
        <w:t>% zabilježen</w:t>
      </w:r>
      <w:r w:rsidR="00BA4AD6">
        <w:rPr>
          <w:rFonts w:ascii="Arial" w:hAnsi="Arial" w:cs="Arial"/>
          <w:bCs/>
          <w:lang w:val="sr-Latn-ME"/>
        </w:rPr>
        <w:t>a</w:t>
      </w:r>
      <w:r w:rsidR="00BA4AD6" w:rsidRPr="00BA4AD6">
        <w:rPr>
          <w:rFonts w:ascii="Arial" w:hAnsi="Arial" w:cs="Arial"/>
          <w:bCs/>
          <w:lang w:val="sr-Latn-ME"/>
        </w:rPr>
        <w:t xml:space="preserve"> je kod Bruto zarada i doprinosa na teret poslodavca koji su ostvareni u iznosu od 3</w:t>
      </w:r>
      <w:r w:rsidR="00BA4AD6">
        <w:rPr>
          <w:rFonts w:ascii="Arial" w:hAnsi="Arial" w:cs="Arial"/>
          <w:bCs/>
          <w:lang w:val="sr-Latn-ME"/>
        </w:rPr>
        <w:t>99</w:t>
      </w:r>
      <w:r w:rsidR="00BA4AD6" w:rsidRPr="00BA4AD6">
        <w:rPr>
          <w:rFonts w:ascii="Arial" w:hAnsi="Arial" w:cs="Arial"/>
          <w:bCs/>
          <w:lang w:val="sr-Latn-ME"/>
        </w:rPr>
        <w:t>,</w:t>
      </w:r>
      <w:r w:rsidR="00BA4AD6">
        <w:rPr>
          <w:rFonts w:ascii="Arial" w:hAnsi="Arial" w:cs="Arial"/>
          <w:bCs/>
          <w:lang w:val="sr-Latn-ME"/>
        </w:rPr>
        <w:t>4</w:t>
      </w:r>
      <w:r w:rsidR="00BA4AD6" w:rsidRPr="00BA4AD6">
        <w:rPr>
          <w:rFonts w:ascii="Arial" w:hAnsi="Arial" w:cs="Arial"/>
          <w:bCs/>
          <w:lang w:val="sr-Latn-ME"/>
        </w:rPr>
        <w:t xml:space="preserve"> mil. € ili 96,</w:t>
      </w:r>
      <w:r w:rsidR="00BA4AD6">
        <w:rPr>
          <w:rFonts w:ascii="Arial" w:hAnsi="Arial" w:cs="Arial"/>
          <w:bCs/>
          <w:lang w:val="sr-Latn-ME"/>
        </w:rPr>
        <w:t>1</w:t>
      </w:r>
      <w:r w:rsidR="00BA4AD6" w:rsidRPr="00BA4AD6">
        <w:rPr>
          <w:rFonts w:ascii="Arial" w:hAnsi="Arial" w:cs="Arial"/>
          <w:bCs/>
          <w:lang w:val="sr-Latn-ME"/>
        </w:rPr>
        <w:t>%.</w:t>
      </w:r>
    </w:p>
    <w:p w:rsidR="00C54B26" w:rsidRPr="006774B4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6774B4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 su u iznosu od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636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3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mil. € što predstavlja ostvarenje 102,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5</w:t>
      </w:r>
      <w:r w:rsidRPr="006774B4">
        <w:rPr>
          <w:rFonts w:cstheme="minorHAnsi"/>
          <w:bCs/>
          <w:sz w:val="24"/>
          <w:szCs w:val="24"/>
          <w:lang w:val="sr-Latn-ME"/>
        </w:rPr>
        <w:t>% plana i u odnosu na isti period prethodne godine veći su za 6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4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6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mil. € ili 1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1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3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%. </w:t>
      </w:r>
      <w:r w:rsidRPr="006774B4">
        <w:rPr>
          <w:rFonts w:cstheme="minorHAnsi"/>
          <w:b/>
          <w:sz w:val="24"/>
          <w:szCs w:val="24"/>
          <w:lang w:val="sr-Latn-ME"/>
        </w:rPr>
        <w:t>Transferi institucijama, pojedincima, nevladinom i javnom sektoru iznosili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su 2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36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DC5893">
        <w:rPr>
          <w:rFonts w:cstheme="minorHAnsi"/>
          <w:bCs/>
          <w:sz w:val="24"/>
          <w:szCs w:val="24"/>
          <w:lang w:val="sr-Latn-ME"/>
        </w:rPr>
        <w:t>6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odstupaju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od plana za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14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9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5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9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%. </w:t>
      </w:r>
    </w:p>
    <w:p w:rsidR="00C54B26" w:rsidRPr="006853B8" w:rsidRDefault="00C54B26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:rsidR="00544EEB" w:rsidRPr="00D400A6" w:rsidRDefault="008C576E">
      <w:pPr>
        <w:spacing w:after="0"/>
        <w:jc w:val="both"/>
        <w:rPr>
          <w:rFonts w:cstheme="minorHAnsi"/>
          <w:bCs/>
          <w:sz w:val="24"/>
          <w:szCs w:val="24"/>
        </w:rPr>
      </w:pPr>
      <w:r w:rsidRPr="006774B4">
        <w:rPr>
          <w:rFonts w:cstheme="minorHAnsi"/>
          <w:bCs/>
          <w:sz w:val="24"/>
          <w:szCs w:val="24"/>
          <w:lang w:val="sr-Latn-ME"/>
        </w:rPr>
        <w:t xml:space="preserve">Kapitalni izdaci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u posmatranom periodu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su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u iznosu od </w:t>
      </w:r>
      <w:r w:rsidR="00DC5893" w:rsidRPr="006774B4">
        <w:rPr>
          <w:rFonts w:cstheme="minorHAnsi"/>
          <w:bCs/>
          <w:sz w:val="24"/>
          <w:szCs w:val="24"/>
        </w:rPr>
        <w:t>1</w:t>
      </w:r>
      <w:r w:rsidR="00DC5893">
        <w:rPr>
          <w:rFonts w:cstheme="minorHAnsi"/>
          <w:bCs/>
          <w:sz w:val="24"/>
          <w:szCs w:val="24"/>
        </w:rPr>
        <w:t>30</w:t>
      </w:r>
      <w:r w:rsidRPr="006774B4">
        <w:rPr>
          <w:rFonts w:cstheme="minorHAnsi"/>
          <w:bCs/>
          <w:sz w:val="24"/>
          <w:szCs w:val="24"/>
        </w:rPr>
        <w:t>,</w:t>
      </w:r>
      <w:r w:rsidR="00DC5893">
        <w:rPr>
          <w:rFonts w:cstheme="minorHAnsi"/>
          <w:bCs/>
          <w:sz w:val="24"/>
          <w:szCs w:val="24"/>
        </w:rPr>
        <w:t>7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>mil. € što predstavlja ostvarenje</w:t>
      </w:r>
      <w:r w:rsidR="006774B4" w:rsidRPr="006774B4">
        <w:rPr>
          <w:rFonts w:cstheme="minorHAnsi"/>
          <w:bCs/>
          <w:sz w:val="24"/>
          <w:szCs w:val="24"/>
        </w:rPr>
        <w:t xml:space="preserve"> </w:t>
      </w:r>
      <w:r w:rsidR="00DC5893" w:rsidRPr="006774B4">
        <w:rPr>
          <w:rFonts w:cstheme="minorHAnsi"/>
          <w:bCs/>
          <w:sz w:val="24"/>
          <w:szCs w:val="24"/>
        </w:rPr>
        <w:t>10</w:t>
      </w:r>
      <w:r w:rsidR="00DC5893">
        <w:rPr>
          <w:rFonts w:cstheme="minorHAnsi"/>
          <w:bCs/>
          <w:sz w:val="24"/>
          <w:szCs w:val="24"/>
        </w:rPr>
        <w:t>4</w:t>
      </w:r>
      <w:r w:rsidRPr="006774B4">
        <w:rPr>
          <w:rFonts w:cstheme="minorHAnsi"/>
          <w:bCs/>
          <w:sz w:val="24"/>
          <w:szCs w:val="24"/>
        </w:rPr>
        <w:t>,</w:t>
      </w:r>
      <w:r w:rsidR="00DC5893">
        <w:rPr>
          <w:rFonts w:cstheme="minorHAnsi"/>
          <w:bCs/>
          <w:sz w:val="24"/>
          <w:szCs w:val="24"/>
        </w:rPr>
        <w:t>7</w:t>
      </w:r>
      <w:r w:rsidRPr="006774B4">
        <w:rPr>
          <w:rFonts w:cstheme="minorHAnsi"/>
          <w:bCs/>
          <w:sz w:val="24"/>
          <w:szCs w:val="24"/>
          <w:lang w:val="sr-Latn-ME"/>
        </w:rPr>
        <w:t>%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plana</w:t>
      </w:r>
      <w:r w:rsidR="006774B4" w:rsidRPr="00D400A6">
        <w:rPr>
          <w:rFonts w:cstheme="minorHAnsi"/>
          <w:bCs/>
          <w:sz w:val="24"/>
          <w:szCs w:val="24"/>
        </w:rPr>
        <w:t>.</w:t>
      </w:r>
      <w:r w:rsidR="00544EEB" w:rsidRPr="00D400A6">
        <w:rPr>
          <w:rFonts w:cstheme="minorHAnsi"/>
          <w:bCs/>
          <w:sz w:val="24"/>
          <w:szCs w:val="24"/>
        </w:rPr>
        <w:t xml:space="preserve"> U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odnosu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na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isti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period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prethodne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godine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izvršenje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kapit</w:t>
      </w:r>
      <w:r w:rsidR="00CF1DC9">
        <w:rPr>
          <w:rFonts w:cstheme="minorHAnsi"/>
          <w:bCs/>
          <w:sz w:val="24"/>
          <w:szCs w:val="24"/>
        </w:rPr>
        <w:t>al</w:t>
      </w:r>
      <w:r w:rsidR="00EE0C37" w:rsidRPr="00D400A6">
        <w:rPr>
          <w:rFonts w:cstheme="minorHAnsi"/>
          <w:bCs/>
          <w:sz w:val="24"/>
          <w:szCs w:val="24"/>
        </w:rPr>
        <w:t>nih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izdataka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već</w:t>
      </w:r>
      <w:r w:rsidR="00EE0C37" w:rsidRPr="00D400A6">
        <w:rPr>
          <w:rFonts w:cstheme="minorHAnsi"/>
          <w:bCs/>
          <w:sz w:val="24"/>
          <w:szCs w:val="24"/>
        </w:rPr>
        <w:t>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je</w:t>
      </w:r>
      <w:r w:rsidR="00544EEB" w:rsidRPr="00D400A6">
        <w:rPr>
          <w:rFonts w:cstheme="minorHAnsi"/>
          <w:bCs/>
          <w:sz w:val="24"/>
          <w:szCs w:val="24"/>
        </w:rPr>
        <w:t xml:space="preserve"> za </w:t>
      </w:r>
      <w:r w:rsidR="00DC5893">
        <w:rPr>
          <w:rFonts w:cstheme="minorHAnsi"/>
          <w:bCs/>
          <w:sz w:val="24"/>
          <w:szCs w:val="24"/>
        </w:rPr>
        <w:t>31</w:t>
      </w:r>
      <w:r w:rsidR="00544EEB" w:rsidRPr="00D400A6">
        <w:rPr>
          <w:rFonts w:cstheme="minorHAnsi"/>
          <w:bCs/>
          <w:sz w:val="24"/>
          <w:szCs w:val="24"/>
        </w:rPr>
        <w:t>,</w:t>
      </w:r>
      <w:r w:rsidR="00DC5893">
        <w:rPr>
          <w:rFonts w:cstheme="minorHAnsi"/>
          <w:bCs/>
          <w:sz w:val="24"/>
          <w:szCs w:val="24"/>
        </w:rPr>
        <w:t>0</w:t>
      </w:r>
      <w:r w:rsidR="00DC5893" w:rsidRPr="00D400A6">
        <w:rPr>
          <w:rFonts w:cstheme="minorHAnsi"/>
          <w:bCs/>
          <w:sz w:val="24"/>
          <w:szCs w:val="24"/>
          <w:lang w:val="sr-Latn-ME"/>
        </w:rPr>
        <w:t xml:space="preserve"> 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DC5893">
        <w:rPr>
          <w:rFonts w:cstheme="minorHAnsi"/>
          <w:bCs/>
          <w:sz w:val="24"/>
          <w:szCs w:val="24"/>
          <w:lang w:val="sr-Latn-ME"/>
        </w:rPr>
        <w:t>31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>,</w:t>
      </w:r>
      <w:r w:rsidR="00DC5893">
        <w:rPr>
          <w:rFonts w:cstheme="minorHAnsi"/>
          <w:bCs/>
          <w:sz w:val="24"/>
          <w:szCs w:val="24"/>
          <w:lang w:val="sr-Latn-ME"/>
        </w:rPr>
        <w:t>1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>%.</w:t>
      </w:r>
    </w:p>
    <w:p w:rsidR="00C54B26" w:rsidRPr="006853B8" w:rsidRDefault="00C54B26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:rsidR="00C54B26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1" w:name="_Hlk204325138"/>
      <w:r w:rsidRPr="000F5DE0">
        <w:rPr>
          <w:rFonts w:cstheme="minorHAnsi"/>
          <w:sz w:val="24"/>
          <w:szCs w:val="24"/>
          <w:lang w:val="sr-Latn-ME"/>
        </w:rPr>
        <w:t xml:space="preserve">Posmatrajući </w:t>
      </w:r>
      <w:r w:rsidRPr="000F5DE0">
        <w:rPr>
          <w:rFonts w:cstheme="minorHAnsi"/>
          <w:b/>
          <w:sz w:val="24"/>
          <w:szCs w:val="24"/>
          <w:lang w:val="sr-Latn-ME"/>
        </w:rPr>
        <w:t>ju</w:t>
      </w:r>
      <w:r w:rsidR="000F5DE0">
        <w:rPr>
          <w:rFonts w:cstheme="minorHAnsi"/>
          <w:b/>
          <w:sz w:val="24"/>
          <w:szCs w:val="24"/>
          <w:lang w:val="sr-Latn-ME"/>
        </w:rPr>
        <w:t>l</w:t>
      </w:r>
      <w:r w:rsidRPr="000F5DE0">
        <w:rPr>
          <w:rFonts w:cstheme="minorHAnsi"/>
          <w:sz w:val="24"/>
          <w:szCs w:val="24"/>
          <w:lang w:val="sr-Latn-ME"/>
        </w:rPr>
        <w:t xml:space="preserve">, 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ukupni </w:t>
      </w:r>
      <w:r w:rsidRPr="000F5DE0">
        <w:rPr>
          <w:rFonts w:cstheme="minorHAnsi"/>
          <w:sz w:val="24"/>
          <w:szCs w:val="24"/>
          <w:lang w:val="sr-Latn-ME"/>
        </w:rPr>
        <w:t>izdaci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 budžeta</w:t>
      </w:r>
      <w:r w:rsidRPr="000F5DE0">
        <w:rPr>
          <w:rFonts w:cstheme="minorHAnsi"/>
          <w:sz w:val="24"/>
          <w:szCs w:val="24"/>
          <w:lang w:val="sr-Latn-ME"/>
        </w:rPr>
        <w:t xml:space="preserve"> iznose 2</w:t>
      </w:r>
      <w:r w:rsidR="000F5DE0">
        <w:rPr>
          <w:rFonts w:cstheme="minorHAnsi"/>
          <w:sz w:val="24"/>
          <w:szCs w:val="24"/>
          <w:lang w:val="sr-Latn-ME"/>
        </w:rPr>
        <w:t>42</w:t>
      </w:r>
      <w:r w:rsidRPr="000F5DE0">
        <w:rPr>
          <w:rFonts w:cstheme="minorHAnsi"/>
          <w:sz w:val="24"/>
          <w:szCs w:val="24"/>
          <w:lang w:val="sr-Latn-ME"/>
        </w:rPr>
        <w:t>,</w:t>
      </w:r>
      <w:r w:rsidR="00DC5893">
        <w:rPr>
          <w:rFonts w:cstheme="minorHAnsi"/>
          <w:sz w:val="24"/>
          <w:szCs w:val="24"/>
          <w:lang w:val="sr-Latn-ME"/>
        </w:rPr>
        <w:t>7</w:t>
      </w:r>
      <w:r w:rsidR="00DC5893" w:rsidRPr="000F5DE0">
        <w:rPr>
          <w:rFonts w:cstheme="minorHAnsi"/>
          <w:sz w:val="24"/>
          <w:szCs w:val="24"/>
          <w:lang w:val="sr-Latn-ME"/>
        </w:rPr>
        <w:t xml:space="preserve"> </w:t>
      </w:r>
      <w:r w:rsidRPr="000F5DE0">
        <w:rPr>
          <w:rFonts w:cstheme="minorHAnsi"/>
          <w:sz w:val="24"/>
          <w:szCs w:val="24"/>
          <w:lang w:val="sr-Latn-ME"/>
        </w:rPr>
        <w:t xml:space="preserve">mil. € i </w:t>
      </w:r>
      <w:r w:rsidR="000F5DE0">
        <w:rPr>
          <w:rFonts w:cstheme="minorHAnsi"/>
          <w:sz w:val="24"/>
          <w:szCs w:val="24"/>
          <w:lang w:val="sr-Latn-ME"/>
        </w:rPr>
        <w:t>odstupaju od plana</w:t>
      </w:r>
      <w:r w:rsidRPr="000F5DE0">
        <w:rPr>
          <w:rFonts w:cstheme="minorHAnsi"/>
          <w:sz w:val="24"/>
          <w:szCs w:val="24"/>
          <w:lang w:val="sr-Latn-ME"/>
        </w:rPr>
        <w:t xml:space="preserve"> za </w:t>
      </w:r>
      <w:r w:rsidR="00DC5893" w:rsidRPr="000F5DE0">
        <w:rPr>
          <w:rFonts w:cstheme="minorHAnsi"/>
          <w:sz w:val="24"/>
          <w:szCs w:val="24"/>
          <w:lang w:val="sr-Latn-ME"/>
        </w:rPr>
        <w:t>1</w:t>
      </w:r>
      <w:r w:rsidR="00DC5893">
        <w:rPr>
          <w:rFonts w:cstheme="minorHAnsi"/>
          <w:sz w:val="24"/>
          <w:szCs w:val="24"/>
          <w:lang w:val="sr-Latn-ME"/>
        </w:rPr>
        <w:t>3</w:t>
      </w:r>
      <w:r w:rsidRPr="000F5DE0">
        <w:rPr>
          <w:rFonts w:cstheme="minorHAnsi"/>
          <w:sz w:val="24"/>
          <w:szCs w:val="24"/>
          <w:lang w:val="sr-Latn-ME"/>
        </w:rPr>
        <w:t>,</w:t>
      </w:r>
      <w:r w:rsidR="00DC5893">
        <w:rPr>
          <w:rFonts w:cstheme="minorHAnsi"/>
          <w:sz w:val="24"/>
          <w:szCs w:val="24"/>
          <w:lang w:val="sr-Latn-ME"/>
        </w:rPr>
        <w:t>7</w:t>
      </w:r>
      <w:r w:rsidR="00DC5893" w:rsidRPr="000F5DE0">
        <w:rPr>
          <w:rFonts w:cstheme="minorHAnsi"/>
          <w:sz w:val="24"/>
          <w:szCs w:val="24"/>
          <w:lang w:val="sr-Latn-ME"/>
        </w:rPr>
        <w:t xml:space="preserve"> </w:t>
      </w:r>
      <w:r w:rsidRPr="000F5DE0">
        <w:rPr>
          <w:rFonts w:cstheme="minorHAnsi"/>
          <w:sz w:val="24"/>
          <w:szCs w:val="24"/>
          <w:lang w:val="sr-Latn-ME"/>
        </w:rPr>
        <w:t xml:space="preserve">mil. € ili </w:t>
      </w:r>
      <w:r w:rsidR="000F5DE0">
        <w:rPr>
          <w:rFonts w:cstheme="minorHAnsi"/>
          <w:sz w:val="24"/>
          <w:szCs w:val="24"/>
          <w:lang w:val="sr-Latn-ME"/>
        </w:rPr>
        <w:t>5</w:t>
      </w:r>
      <w:r w:rsidRPr="000F5DE0">
        <w:rPr>
          <w:rFonts w:cstheme="minorHAnsi"/>
          <w:sz w:val="24"/>
          <w:szCs w:val="24"/>
          <w:lang w:val="sr-Latn-ME"/>
        </w:rPr>
        <w:t>,</w:t>
      </w:r>
      <w:r w:rsidR="00DC5893">
        <w:rPr>
          <w:rFonts w:cstheme="minorHAnsi"/>
          <w:sz w:val="24"/>
          <w:szCs w:val="24"/>
          <w:lang w:val="sr-Latn-ME"/>
        </w:rPr>
        <w:t>4</w:t>
      </w:r>
      <w:r w:rsidRPr="000F5DE0">
        <w:rPr>
          <w:rFonts w:cstheme="minorHAnsi"/>
          <w:sz w:val="24"/>
          <w:szCs w:val="24"/>
          <w:lang w:val="sr-Latn-ME"/>
        </w:rPr>
        <w:t xml:space="preserve">% od plana, dok su u odnosu na posmatrani period prethodne godine </w:t>
      </w:r>
      <w:r w:rsidR="000F5DE0">
        <w:rPr>
          <w:rFonts w:cstheme="minorHAnsi"/>
          <w:sz w:val="24"/>
          <w:szCs w:val="24"/>
          <w:lang w:val="sr-Latn-ME"/>
        </w:rPr>
        <w:t xml:space="preserve">manji </w:t>
      </w:r>
      <w:r w:rsidRPr="000F5DE0">
        <w:rPr>
          <w:rFonts w:cstheme="minorHAnsi"/>
          <w:sz w:val="24"/>
          <w:szCs w:val="24"/>
          <w:lang w:val="sr-Latn-ME"/>
        </w:rPr>
        <w:t xml:space="preserve">za </w:t>
      </w:r>
      <w:r w:rsidR="000F5DE0">
        <w:rPr>
          <w:rFonts w:cstheme="minorHAnsi"/>
          <w:sz w:val="24"/>
          <w:szCs w:val="24"/>
          <w:lang w:val="sr-Latn-ME"/>
        </w:rPr>
        <w:t>6</w:t>
      </w:r>
      <w:r w:rsidRPr="000F5DE0">
        <w:rPr>
          <w:rFonts w:cstheme="minorHAnsi"/>
          <w:sz w:val="24"/>
          <w:szCs w:val="24"/>
          <w:lang w:val="sr-Latn-ME"/>
        </w:rPr>
        <w:t>,</w:t>
      </w:r>
      <w:r w:rsidR="00DC5893">
        <w:rPr>
          <w:rFonts w:cstheme="minorHAnsi"/>
          <w:sz w:val="24"/>
          <w:szCs w:val="24"/>
          <w:lang w:val="sr-Latn-ME"/>
        </w:rPr>
        <w:t>2</w:t>
      </w:r>
      <w:r w:rsidR="00DC5893" w:rsidRPr="000F5DE0">
        <w:rPr>
          <w:rFonts w:cstheme="minorHAnsi"/>
          <w:sz w:val="24"/>
          <w:szCs w:val="24"/>
          <w:lang w:val="sr-Latn-ME"/>
        </w:rPr>
        <w:t xml:space="preserve"> </w:t>
      </w:r>
      <w:r w:rsidRPr="000F5DE0">
        <w:rPr>
          <w:rFonts w:cstheme="minorHAnsi"/>
          <w:sz w:val="24"/>
          <w:szCs w:val="24"/>
          <w:lang w:val="sr-Latn-ME"/>
        </w:rPr>
        <w:t xml:space="preserve">mil. € ili </w:t>
      </w:r>
      <w:r w:rsidR="000F5DE0">
        <w:rPr>
          <w:rFonts w:cstheme="minorHAnsi"/>
          <w:sz w:val="24"/>
          <w:szCs w:val="24"/>
          <w:lang w:val="sr-Latn-ME"/>
        </w:rPr>
        <w:t>2,</w:t>
      </w:r>
      <w:r w:rsidR="00DC5893">
        <w:rPr>
          <w:rFonts w:cstheme="minorHAnsi"/>
          <w:sz w:val="24"/>
          <w:szCs w:val="24"/>
          <w:lang w:val="sr-Latn-ME"/>
        </w:rPr>
        <w:t>5</w:t>
      </w:r>
      <w:r w:rsidRPr="000F5DE0">
        <w:rPr>
          <w:rFonts w:cstheme="minorHAnsi"/>
          <w:sz w:val="24"/>
          <w:szCs w:val="24"/>
          <w:lang w:val="sr-Latn-ME"/>
        </w:rPr>
        <w:t>%.</w:t>
      </w:r>
    </w:p>
    <w:p w:rsidR="00EE0C37" w:rsidRPr="000F5DE0" w:rsidRDefault="00EE0C37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E5768B" w:rsidRDefault="008C576E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  <w:r w:rsidRPr="006774B4">
        <w:rPr>
          <w:rFonts w:cstheme="minorHAnsi"/>
          <w:sz w:val="24"/>
          <w:szCs w:val="24"/>
          <w:lang w:val="sr-Latn-ME"/>
        </w:rPr>
        <w:t>Odstupanje od plana se dominantno odnosi na veće ostvarenje na pozicij</w:t>
      </w:r>
      <w:r w:rsidR="009E0225" w:rsidRPr="006774B4">
        <w:rPr>
          <w:rFonts w:cstheme="minorHAnsi"/>
          <w:sz w:val="24"/>
          <w:szCs w:val="24"/>
          <w:lang w:val="sr-Latn-ME"/>
        </w:rPr>
        <w:t>i</w:t>
      </w:r>
      <w:r w:rsidRPr="006774B4">
        <w:rPr>
          <w:rFonts w:cstheme="minorHAnsi"/>
          <w:sz w:val="24"/>
          <w:szCs w:val="24"/>
          <w:lang w:val="sr-Latn-ME"/>
        </w:rPr>
        <w:t xml:space="preserve"> Transfera za socijalnu zaštitu koji su ostvareni u iznosu od </w:t>
      </w:r>
      <w:r w:rsidR="006774B4" w:rsidRPr="006774B4">
        <w:rPr>
          <w:rFonts w:cstheme="minorHAnsi"/>
          <w:sz w:val="24"/>
          <w:szCs w:val="24"/>
          <w:lang w:val="sr-Latn-ME"/>
        </w:rPr>
        <w:t>3</w:t>
      </w:r>
      <w:r w:rsidRPr="006774B4">
        <w:rPr>
          <w:rFonts w:cstheme="minorHAnsi"/>
          <w:sz w:val="24"/>
          <w:szCs w:val="24"/>
          <w:lang w:val="sr-Latn-ME"/>
        </w:rPr>
        <w:t>,</w:t>
      </w:r>
      <w:r w:rsidR="006774B4" w:rsidRPr="006774B4">
        <w:rPr>
          <w:rFonts w:cstheme="minorHAnsi"/>
          <w:sz w:val="24"/>
          <w:szCs w:val="24"/>
          <w:lang w:val="sr-Latn-ME"/>
        </w:rPr>
        <w:t>4</w:t>
      </w:r>
      <w:r w:rsidRPr="006774B4">
        <w:rPr>
          <w:rFonts w:cstheme="minorHAnsi"/>
          <w:sz w:val="24"/>
          <w:szCs w:val="24"/>
          <w:lang w:val="sr-Latn-ME"/>
        </w:rPr>
        <w:t xml:space="preserve"> mil. € više u odnosu na plan</w:t>
      </w:r>
      <w:r w:rsidR="000D40FD" w:rsidRPr="006774B4">
        <w:rPr>
          <w:rFonts w:cstheme="minorHAnsi"/>
          <w:sz w:val="24"/>
          <w:szCs w:val="24"/>
          <w:lang w:val="sr-Latn-ME"/>
        </w:rPr>
        <w:t>, u skladu sa stvarnim obračunom prava iz oblasti socijalne zaštite i penzij</w:t>
      </w:r>
      <w:r w:rsidR="0053091E" w:rsidRPr="006774B4">
        <w:rPr>
          <w:rFonts w:cstheme="minorHAnsi"/>
          <w:sz w:val="24"/>
          <w:szCs w:val="24"/>
          <w:lang w:val="sr-Latn-ME"/>
        </w:rPr>
        <w:t>skog i invalidskog osiguranja.</w:t>
      </w:r>
      <w:r w:rsidR="00A66D57" w:rsidRPr="006774B4">
        <w:rPr>
          <w:rFonts w:cstheme="minorHAnsi"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sz w:val="24"/>
          <w:szCs w:val="24"/>
          <w:lang w:val="sr-Latn-ME"/>
        </w:rPr>
        <w:t xml:space="preserve">Kod Tekućih izdataka izdvaja se veće ostvarenje u odnosu na plan kod </w:t>
      </w:r>
      <w:r w:rsidRPr="00101F8F">
        <w:rPr>
          <w:rFonts w:cstheme="minorHAnsi"/>
          <w:sz w:val="24"/>
          <w:szCs w:val="24"/>
          <w:lang w:val="sr-Latn-ME"/>
        </w:rPr>
        <w:t xml:space="preserve">Subvencija </w:t>
      </w:r>
      <w:r w:rsidR="00101F8F" w:rsidRPr="00101F8F">
        <w:rPr>
          <w:rFonts w:cstheme="minorHAnsi"/>
          <w:sz w:val="24"/>
          <w:szCs w:val="24"/>
          <w:lang w:val="sr-Latn-ME"/>
        </w:rPr>
        <w:t xml:space="preserve">koje su ostvarene u iznosu od 6,2 mil. € što je 44,6% veće od plana </w:t>
      </w:r>
      <w:r w:rsidR="00E36089">
        <w:rPr>
          <w:rFonts w:cstheme="minorHAnsi"/>
          <w:sz w:val="24"/>
          <w:szCs w:val="24"/>
          <w:lang w:val="sr-Latn-ME"/>
        </w:rPr>
        <w:t xml:space="preserve">dominantno kod Zavoda za zapošljavanje za </w:t>
      </w:r>
      <w:r w:rsidR="00E36089" w:rsidRPr="00E36089">
        <w:rPr>
          <w:rFonts w:cstheme="minorHAnsi"/>
          <w:sz w:val="24"/>
          <w:szCs w:val="24"/>
          <w:lang w:val="sr-Latn-ME"/>
        </w:rPr>
        <w:t xml:space="preserve">Subvencije poslodavcima koji zaposle lica sa invaliditetom </w:t>
      </w:r>
      <w:r w:rsidR="006774B4" w:rsidRPr="006774B4">
        <w:rPr>
          <w:rFonts w:cstheme="minorHAnsi"/>
          <w:sz w:val="24"/>
          <w:szCs w:val="24"/>
          <w:lang w:val="sr-Latn-ME"/>
        </w:rPr>
        <w:t xml:space="preserve">i Ostalih izdataka </w:t>
      </w:r>
      <w:r w:rsidRPr="00E36089">
        <w:rPr>
          <w:rFonts w:cstheme="minorHAnsi"/>
          <w:sz w:val="24"/>
          <w:szCs w:val="24"/>
          <w:lang w:val="sr-Latn-ME"/>
        </w:rPr>
        <w:t xml:space="preserve">koji su ostvareni u iznosu od </w:t>
      </w:r>
      <w:r w:rsidR="00101F8F" w:rsidRPr="00E36089">
        <w:rPr>
          <w:rFonts w:cstheme="minorHAnsi"/>
          <w:sz w:val="24"/>
          <w:szCs w:val="24"/>
          <w:lang w:val="sr-Latn-ME"/>
        </w:rPr>
        <w:t>8</w:t>
      </w:r>
      <w:r w:rsidRPr="00E36089">
        <w:rPr>
          <w:rFonts w:cstheme="minorHAnsi"/>
          <w:sz w:val="24"/>
          <w:szCs w:val="24"/>
          <w:lang w:val="sr-Latn-ME"/>
        </w:rPr>
        <w:t>,</w:t>
      </w:r>
      <w:r w:rsidR="00101F8F" w:rsidRPr="00E36089">
        <w:rPr>
          <w:rFonts w:cstheme="minorHAnsi"/>
          <w:sz w:val="24"/>
          <w:szCs w:val="24"/>
          <w:lang w:val="sr-Latn-ME"/>
        </w:rPr>
        <w:t>8</w:t>
      </w:r>
      <w:r w:rsidRPr="00E36089">
        <w:rPr>
          <w:rFonts w:cstheme="minorHAnsi"/>
          <w:sz w:val="24"/>
          <w:szCs w:val="24"/>
          <w:lang w:val="sr-Latn-ME"/>
        </w:rPr>
        <w:t xml:space="preserve"> mil. € što je za </w:t>
      </w:r>
      <w:r w:rsidR="00101F8F" w:rsidRPr="00E36089">
        <w:rPr>
          <w:rFonts w:cstheme="minorHAnsi"/>
          <w:sz w:val="24"/>
          <w:szCs w:val="24"/>
          <w:lang w:val="sr-Latn-ME"/>
        </w:rPr>
        <w:t>29</w:t>
      </w:r>
      <w:r w:rsidRPr="00E36089">
        <w:rPr>
          <w:rFonts w:cstheme="minorHAnsi"/>
          <w:sz w:val="24"/>
          <w:szCs w:val="24"/>
          <w:lang w:val="sr-Latn-ME"/>
        </w:rPr>
        <w:t xml:space="preserve">% veće u odnosu na plan dominantno </w:t>
      </w:r>
      <w:r w:rsidR="00E36089" w:rsidRPr="00E36089">
        <w:rPr>
          <w:rFonts w:cstheme="minorHAnsi"/>
          <w:sz w:val="24"/>
          <w:szCs w:val="24"/>
          <w:lang w:val="sr-Latn-ME"/>
        </w:rPr>
        <w:t>kod Ministarstva javne uprave za potrebe razvoja i održavanje informaciono-komunikacionih tehnologija</w:t>
      </w:r>
      <w:r w:rsidRPr="00E36089">
        <w:rPr>
          <w:rFonts w:cstheme="minorHAnsi"/>
          <w:sz w:val="24"/>
          <w:szCs w:val="24"/>
          <w:lang w:val="sr-Latn-ME"/>
        </w:rPr>
        <w:t xml:space="preserve">. </w:t>
      </w:r>
    </w:p>
    <w:p w:rsidR="00906B2C" w:rsidRDefault="00906B2C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</w:p>
    <w:p w:rsidR="00906B2C" w:rsidRDefault="00906B2C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</w:p>
    <w:p w:rsidR="009747B1" w:rsidRPr="006853B8" w:rsidRDefault="009747B1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</w:p>
    <w:bookmarkEnd w:id="1"/>
    <w:p w:rsidR="00E5768B" w:rsidRPr="006853B8" w:rsidRDefault="009747B1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  <w:r>
        <w:rPr>
          <w:rFonts w:cstheme="minorHAnsi"/>
          <w:noProof/>
          <w:sz w:val="24"/>
          <w:szCs w:val="24"/>
          <w:highlight w:val="yellow"/>
          <w:lang w:val="sr-Latn-ME"/>
        </w:rPr>
        <w:lastRenderedPageBreak/>
        <w:drawing>
          <wp:inline distT="0" distB="0" distL="0" distR="0" wp14:anchorId="752FCBC9">
            <wp:extent cx="5895975" cy="354411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66" cy="3547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7338" w:rsidRDefault="008C576E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EA6AE7">
        <w:rPr>
          <w:rFonts w:cstheme="minorHAnsi"/>
          <w:b/>
          <w:sz w:val="24"/>
          <w:szCs w:val="24"/>
          <w:lang w:val="sr-Latn-ME"/>
        </w:rPr>
        <w:t>Uzimajući u obzir ostvarene prihode i rashode</w:t>
      </w:r>
      <w:r w:rsidR="006D14B9" w:rsidRPr="00EA6AE7">
        <w:rPr>
          <w:rFonts w:cstheme="minorHAnsi"/>
          <w:b/>
          <w:sz w:val="24"/>
          <w:szCs w:val="24"/>
          <w:lang w:val="sr-Latn-ME"/>
        </w:rPr>
        <w:t>, za period januar-jul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 2025. godine ostvaren je deficit budžeta u iznosu od </w:t>
      </w:r>
      <w:r w:rsidR="00DC5893" w:rsidRPr="00EA6AE7">
        <w:rPr>
          <w:rFonts w:cstheme="minorHAnsi"/>
          <w:b/>
          <w:sz w:val="24"/>
          <w:szCs w:val="24"/>
          <w:lang w:val="sr-Latn-ME"/>
        </w:rPr>
        <w:t>9</w:t>
      </w:r>
      <w:r w:rsidR="00DC5893">
        <w:rPr>
          <w:rFonts w:cstheme="minorHAnsi"/>
          <w:b/>
          <w:sz w:val="24"/>
          <w:szCs w:val="24"/>
          <w:lang w:val="sr-Latn-ME"/>
        </w:rPr>
        <w:t>7</w:t>
      </w:r>
      <w:r w:rsidRPr="00EA6AE7">
        <w:rPr>
          <w:rFonts w:cstheme="minorHAnsi"/>
          <w:b/>
          <w:sz w:val="24"/>
          <w:szCs w:val="24"/>
          <w:lang w:val="sr-Latn-ME"/>
        </w:rPr>
        <w:t>,</w:t>
      </w:r>
      <w:r w:rsidR="00DC5893">
        <w:rPr>
          <w:rFonts w:cstheme="minorHAnsi"/>
          <w:b/>
          <w:sz w:val="24"/>
          <w:szCs w:val="24"/>
          <w:lang w:val="sr-Latn-ME"/>
        </w:rPr>
        <w:t>2</w:t>
      </w:r>
      <w:r w:rsidR="00DC5893" w:rsidRPr="00EA6AE7">
        <w:rPr>
          <w:rFonts w:cstheme="minorHAnsi"/>
          <w:b/>
          <w:sz w:val="24"/>
          <w:szCs w:val="24"/>
          <w:lang w:val="sr-Latn-ME"/>
        </w:rPr>
        <w:t xml:space="preserve">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mil. €, odnosno na nivou </w:t>
      </w:r>
      <w:r w:rsidR="00EE0C37">
        <w:rPr>
          <w:rFonts w:cstheme="minorHAnsi"/>
          <w:b/>
          <w:sz w:val="24"/>
          <w:szCs w:val="24"/>
          <w:lang w:val="sr-Latn-ME"/>
        </w:rPr>
        <w:t xml:space="preserve">je </w:t>
      </w:r>
      <w:r w:rsidRPr="00EA6AE7">
        <w:rPr>
          <w:rFonts w:cstheme="minorHAnsi"/>
          <w:b/>
          <w:sz w:val="24"/>
          <w:szCs w:val="24"/>
          <w:lang w:val="sr-Latn-ME"/>
        </w:rPr>
        <w:t>od 1,</w:t>
      </w:r>
      <w:r w:rsidR="00C05F4E">
        <w:rPr>
          <w:rFonts w:cstheme="minorHAnsi"/>
          <w:b/>
          <w:sz w:val="24"/>
          <w:szCs w:val="24"/>
          <w:lang w:val="sr-Latn-ME"/>
        </w:rPr>
        <w:t>2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% procijenjenog BDP-a, što je za </w:t>
      </w:r>
      <w:r w:rsidR="00DC5893">
        <w:rPr>
          <w:rFonts w:cstheme="minorHAnsi"/>
          <w:b/>
          <w:sz w:val="24"/>
          <w:szCs w:val="24"/>
          <w:lang w:val="sr-Latn-ME"/>
        </w:rPr>
        <w:t>31</w:t>
      </w:r>
      <w:r w:rsidR="00FA29E0" w:rsidRPr="00EA6AE7">
        <w:rPr>
          <w:rFonts w:cstheme="minorHAnsi"/>
          <w:b/>
          <w:sz w:val="24"/>
          <w:szCs w:val="24"/>
          <w:lang w:val="sr-Latn-ME"/>
        </w:rPr>
        <w:t>,</w:t>
      </w:r>
      <w:r w:rsidR="00DC5893">
        <w:rPr>
          <w:rFonts w:cstheme="minorHAnsi"/>
          <w:b/>
          <w:sz w:val="24"/>
          <w:szCs w:val="24"/>
          <w:lang w:val="sr-Latn-ME"/>
        </w:rPr>
        <w:t>2</w:t>
      </w:r>
      <w:r w:rsidR="00DC5893" w:rsidRPr="00EA6AE7">
        <w:rPr>
          <w:rFonts w:cstheme="minorHAnsi"/>
          <w:b/>
          <w:sz w:val="24"/>
          <w:szCs w:val="24"/>
          <w:lang w:val="sr-Latn-ME"/>
        </w:rPr>
        <w:t xml:space="preserve"> </w:t>
      </w:r>
      <w:r w:rsidRPr="00EA6AE7">
        <w:rPr>
          <w:rFonts w:cstheme="minorHAnsi"/>
          <w:b/>
          <w:sz w:val="24"/>
          <w:szCs w:val="24"/>
          <w:lang w:val="sr-Latn-ME"/>
        </w:rPr>
        <w:t>mil. € bolje ostvarenje od plana koji predviđa ostvarenje deficita od 1</w:t>
      </w:r>
      <w:r w:rsidR="006D14B9" w:rsidRPr="00EA6AE7">
        <w:rPr>
          <w:rFonts w:cstheme="minorHAnsi"/>
          <w:b/>
          <w:sz w:val="24"/>
          <w:szCs w:val="24"/>
          <w:lang w:val="sr-Latn-ME"/>
        </w:rPr>
        <w:t>28</w:t>
      </w:r>
      <w:r w:rsidRPr="00EA6AE7">
        <w:rPr>
          <w:rFonts w:cstheme="minorHAnsi"/>
          <w:b/>
          <w:sz w:val="24"/>
          <w:szCs w:val="24"/>
          <w:lang w:val="sr-Latn-ME"/>
        </w:rPr>
        <w:t>,</w:t>
      </w:r>
      <w:r w:rsidR="006D14B9" w:rsidRPr="00EA6AE7">
        <w:rPr>
          <w:rFonts w:cstheme="minorHAnsi"/>
          <w:b/>
          <w:sz w:val="24"/>
          <w:szCs w:val="24"/>
          <w:lang w:val="sr-Latn-ME"/>
        </w:rPr>
        <w:t>4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 mil. €.</w:t>
      </w:r>
      <w:r w:rsidR="006D14B9" w:rsidRPr="00EA6AE7">
        <w:rPr>
          <w:rFonts w:cstheme="minorHAnsi"/>
          <w:b/>
          <w:sz w:val="24"/>
          <w:szCs w:val="24"/>
          <w:lang w:val="sr-Latn-ME"/>
        </w:rPr>
        <w:t xml:space="preserve"> Takođe, u posmatranom periodu ostvaren je suficit tekuće potrošnje u iznosu od </w:t>
      </w:r>
      <w:r w:rsidR="00DC5893">
        <w:rPr>
          <w:rFonts w:cstheme="minorHAnsi"/>
          <w:b/>
          <w:sz w:val="24"/>
          <w:szCs w:val="24"/>
          <w:lang w:val="sr-Latn-ME"/>
        </w:rPr>
        <w:t>33</w:t>
      </w:r>
      <w:r w:rsidR="006D14B9" w:rsidRPr="00EA6AE7">
        <w:rPr>
          <w:rFonts w:cstheme="minorHAnsi"/>
          <w:b/>
          <w:sz w:val="24"/>
          <w:szCs w:val="24"/>
          <w:lang w:val="sr-Latn-ME"/>
        </w:rPr>
        <w:t>,</w:t>
      </w:r>
      <w:r w:rsidR="00DC5893">
        <w:rPr>
          <w:rFonts w:cstheme="minorHAnsi"/>
          <w:b/>
          <w:sz w:val="24"/>
          <w:szCs w:val="24"/>
          <w:lang w:val="sr-Latn-ME"/>
        </w:rPr>
        <w:t xml:space="preserve">5 </w:t>
      </w:r>
      <w:r w:rsidR="006D14B9" w:rsidRPr="00EA6AE7">
        <w:rPr>
          <w:rFonts w:cstheme="minorHAnsi"/>
          <w:b/>
          <w:sz w:val="24"/>
          <w:szCs w:val="24"/>
          <w:lang w:val="sr-Latn-ME"/>
        </w:rPr>
        <w:t>mil. €.  U julu</w:t>
      </w:r>
      <w:r w:rsidR="006D14B9">
        <w:rPr>
          <w:rFonts w:cstheme="minorHAnsi"/>
          <w:b/>
          <w:sz w:val="24"/>
          <w:szCs w:val="24"/>
          <w:lang w:val="sr-Latn-ME"/>
        </w:rPr>
        <w:t xml:space="preserve"> ostvaren je suficit budžeta u iznosu od 13,</w:t>
      </w:r>
      <w:r w:rsidR="00DC5893">
        <w:rPr>
          <w:rFonts w:cstheme="minorHAnsi"/>
          <w:b/>
          <w:sz w:val="24"/>
          <w:szCs w:val="24"/>
          <w:lang w:val="sr-Latn-ME"/>
        </w:rPr>
        <w:t xml:space="preserve">5 </w:t>
      </w:r>
      <w:r w:rsidR="006D14B9">
        <w:rPr>
          <w:rFonts w:cstheme="minorHAnsi"/>
          <w:b/>
          <w:sz w:val="24"/>
          <w:szCs w:val="24"/>
          <w:lang w:val="sr-Latn-ME"/>
        </w:rPr>
        <w:t xml:space="preserve">mil. </w:t>
      </w:r>
      <w:r w:rsidR="006D14B9" w:rsidRPr="006D14B9">
        <w:rPr>
          <w:rFonts w:cstheme="minorHAnsi"/>
          <w:b/>
          <w:sz w:val="24"/>
          <w:szCs w:val="24"/>
          <w:lang w:val="sr-Latn-ME"/>
        </w:rPr>
        <w:t xml:space="preserve">€ </w:t>
      </w:r>
      <w:r w:rsidR="006D14B9">
        <w:rPr>
          <w:rFonts w:cstheme="minorHAnsi"/>
          <w:b/>
          <w:sz w:val="24"/>
          <w:szCs w:val="24"/>
          <w:lang w:val="sr-Latn-ME"/>
        </w:rPr>
        <w:t xml:space="preserve">što je </w:t>
      </w:r>
      <w:r w:rsidR="006D14B9" w:rsidRPr="006D14B9">
        <w:rPr>
          <w:rFonts w:cstheme="minorHAnsi"/>
          <w:b/>
          <w:sz w:val="24"/>
          <w:szCs w:val="24"/>
          <w:lang w:val="sr-Latn-ME"/>
        </w:rPr>
        <w:t xml:space="preserve">za </w:t>
      </w:r>
      <w:r w:rsidR="00DC5893" w:rsidRPr="006D14B9">
        <w:rPr>
          <w:rFonts w:cstheme="minorHAnsi"/>
          <w:b/>
          <w:sz w:val="24"/>
          <w:szCs w:val="24"/>
          <w:lang w:val="sr-Latn-ME"/>
        </w:rPr>
        <w:t>2</w:t>
      </w:r>
      <w:r w:rsidR="00DC5893">
        <w:rPr>
          <w:rFonts w:cstheme="minorHAnsi"/>
          <w:b/>
          <w:sz w:val="24"/>
          <w:szCs w:val="24"/>
          <w:lang w:val="sr-Latn-ME"/>
        </w:rPr>
        <w:t>5,6</w:t>
      </w:r>
      <w:r w:rsidR="00DC5893" w:rsidRPr="006D14B9">
        <w:rPr>
          <w:rFonts w:cstheme="minorHAnsi"/>
          <w:b/>
          <w:sz w:val="24"/>
          <w:szCs w:val="24"/>
          <w:lang w:val="sr-Latn-ME"/>
        </w:rPr>
        <w:t xml:space="preserve"> </w:t>
      </w:r>
      <w:r w:rsidR="006D14B9" w:rsidRPr="006D14B9">
        <w:rPr>
          <w:rFonts w:cstheme="minorHAnsi"/>
          <w:b/>
          <w:sz w:val="24"/>
          <w:szCs w:val="24"/>
          <w:lang w:val="sr-Latn-ME"/>
        </w:rPr>
        <w:t>mil. € bolje ostvarenje od plana koji predviđa ostvarenje deficita od 12,1 mil. €.</w:t>
      </w:r>
    </w:p>
    <w:p w:rsidR="00A66D57" w:rsidRDefault="00A66D57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C54B26" w:rsidRDefault="00C54B26">
      <w:pPr>
        <w:spacing w:after="0"/>
        <w:jc w:val="both"/>
        <w:rPr>
          <w:rFonts w:cstheme="minorHAnsi"/>
          <w:lang w:val="sr-Latn-ME"/>
        </w:rPr>
      </w:pPr>
      <w:bookmarkStart w:id="2" w:name="_GoBack"/>
      <w:bookmarkEnd w:id="2"/>
    </w:p>
    <w:sectPr w:rsidR="00C54B26">
      <w:headerReference w:type="even" r:id="rId16"/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0A6" w:rsidRDefault="002370A6">
      <w:pPr>
        <w:spacing w:line="240" w:lineRule="auto"/>
      </w:pPr>
      <w:r>
        <w:separator/>
      </w:r>
    </w:p>
  </w:endnote>
  <w:endnote w:type="continuationSeparator" w:id="0">
    <w:p w:rsidR="002370A6" w:rsidRDefault="00237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AutoText"/>
      </w:docPartObj>
    </w:sdtPr>
    <w:sdtEndPr/>
    <w:sdtContent>
      <w:p w:rsidR="00C54B26" w:rsidRDefault="008C576E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DAC9ECF" wp14:editId="725552A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54B26" w:rsidRDefault="008C576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DAC9EC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:rsidR="00C54B26" w:rsidRDefault="008C576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0A6" w:rsidRDefault="002370A6">
      <w:pPr>
        <w:spacing w:after="0"/>
      </w:pPr>
      <w:r>
        <w:separator/>
      </w:r>
    </w:p>
  </w:footnote>
  <w:footnote w:type="continuationSeparator" w:id="0">
    <w:p w:rsidR="002370A6" w:rsidRDefault="00237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37CE120F" wp14:editId="77978CA8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CE120F" id="Rectangle 3" o:spid="_x0000_s1029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0BFC069D" wp14:editId="5E9678FE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JU</w:t>
                          </w:r>
                          <w:r w:rsidR="006853B8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FC069D" id="Rectangle 197" o:spid="_x0000_s1030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JU</w:t>
                    </w:r>
                    <w:r w:rsidR="006853B8">
                      <w:rPr>
                        <w:rFonts w:cstheme="minorHAnsi"/>
                        <w:caps/>
                        <w:sz w:val="32"/>
                        <w:szCs w:val="32"/>
                      </w:rPr>
                      <w:t>L</w:t>
                    </w: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abstractNum w:abstractNumId="5" w15:restartNumberingAfterBreak="0">
    <w:nsid w:val="55770707"/>
    <w:multiLevelType w:val="hybridMultilevel"/>
    <w:tmpl w:val="1D4A12FC"/>
    <w:lvl w:ilvl="0" w:tplc="4BD81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59C8"/>
    <w:rsid w:val="00037F19"/>
    <w:rsid w:val="00054237"/>
    <w:rsid w:val="000621DE"/>
    <w:rsid w:val="0006666A"/>
    <w:rsid w:val="00074E8B"/>
    <w:rsid w:val="0008362B"/>
    <w:rsid w:val="00084539"/>
    <w:rsid w:val="00094AD0"/>
    <w:rsid w:val="000A6C61"/>
    <w:rsid w:val="000B7269"/>
    <w:rsid w:val="000C51B0"/>
    <w:rsid w:val="000C54CF"/>
    <w:rsid w:val="000D40FD"/>
    <w:rsid w:val="000D64A2"/>
    <w:rsid w:val="000F1291"/>
    <w:rsid w:val="000F1DCE"/>
    <w:rsid w:val="000F249B"/>
    <w:rsid w:val="000F4149"/>
    <w:rsid w:val="000F5DE0"/>
    <w:rsid w:val="00101F8F"/>
    <w:rsid w:val="00106166"/>
    <w:rsid w:val="00114F1F"/>
    <w:rsid w:val="001237CC"/>
    <w:rsid w:val="00141318"/>
    <w:rsid w:val="00141324"/>
    <w:rsid w:val="001457B6"/>
    <w:rsid w:val="00150364"/>
    <w:rsid w:val="00157C41"/>
    <w:rsid w:val="00160B42"/>
    <w:rsid w:val="0016270C"/>
    <w:rsid w:val="001705A9"/>
    <w:rsid w:val="001707D3"/>
    <w:rsid w:val="001734F0"/>
    <w:rsid w:val="001739F9"/>
    <w:rsid w:val="0017523B"/>
    <w:rsid w:val="0017603A"/>
    <w:rsid w:val="00184B29"/>
    <w:rsid w:val="00190438"/>
    <w:rsid w:val="001A482B"/>
    <w:rsid w:val="001B0742"/>
    <w:rsid w:val="001D1B11"/>
    <w:rsid w:val="00203C63"/>
    <w:rsid w:val="002144AC"/>
    <w:rsid w:val="00216841"/>
    <w:rsid w:val="00230695"/>
    <w:rsid w:val="002370A6"/>
    <w:rsid w:val="002614D2"/>
    <w:rsid w:val="0027008F"/>
    <w:rsid w:val="00275FCC"/>
    <w:rsid w:val="00282B2C"/>
    <w:rsid w:val="0028471D"/>
    <w:rsid w:val="002867C0"/>
    <w:rsid w:val="0028690F"/>
    <w:rsid w:val="0028778C"/>
    <w:rsid w:val="00292255"/>
    <w:rsid w:val="00292EF9"/>
    <w:rsid w:val="002930A4"/>
    <w:rsid w:val="002961AE"/>
    <w:rsid w:val="002D1103"/>
    <w:rsid w:val="002D43C7"/>
    <w:rsid w:val="002D5234"/>
    <w:rsid w:val="002E4B84"/>
    <w:rsid w:val="002F0C48"/>
    <w:rsid w:val="002F2892"/>
    <w:rsid w:val="00324F09"/>
    <w:rsid w:val="0033156F"/>
    <w:rsid w:val="003315D4"/>
    <w:rsid w:val="00333419"/>
    <w:rsid w:val="003417D5"/>
    <w:rsid w:val="003427D9"/>
    <w:rsid w:val="00345A42"/>
    <w:rsid w:val="00352C50"/>
    <w:rsid w:val="00352C96"/>
    <w:rsid w:val="00374FEB"/>
    <w:rsid w:val="00375503"/>
    <w:rsid w:val="0038669C"/>
    <w:rsid w:val="0039389D"/>
    <w:rsid w:val="003957A9"/>
    <w:rsid w:val="003A12F8"/>
    <w:rsid w:val="003A3017"/>
    <w:rsid w:val="003A63CA"/>
    <w:rsid w:val="003B3056"/>
    <w:rsid w:val="003B30B2"/>
    <w:rsid w:val="003C0235"/>
    <w:rsid w:val="003C2FD0"/>
    <w:rsid w:val="003D2F00"/>
    <w:rsid w:val="003D75FC"/>
    <w:rsid w:val="003F1D58"/>
    <w:rsid w:val="00400CB3"/>
    <w:rsid w:val="00400D66"/>
    <w:rsid w:val="00403B65"/>
    <w:rsid w:val="004154B5"/>
    <w:rsid w:val="00425990"/>
    <w:rsid w:val="00432129"/>
    <w:rsid w:val="00432DAB"/>
    <w:rsid w:val="00446B28"/>
    <w:rsid w:val="004517F1"/>
    <w:rsid w:val="00454B19"/>
    <w:rsid w:val="00455EB7"/>
    <w:rsid w:val="00460B3F"/>
    <w:rsid w:val="00475CD6"/>
    <w:rsid w:val="004C1C5C"/>
    <w:rsid w:val="004C48A4"/>
    <w:rsid w:val="004D5303"/>
    <w:rsid w:val="004E0C6B"/>
    <w:rsid w:val="004E2F2E"/>
    <w:rsid w:val="004E4D8D"/>
    <w:rsid w:val="004E62A9"/>
    <w:rsid w:val="005064AE"/>
    <w:rsid w:val="005069A5"/>
    <w:rsid w:val="0051615D"/>
    <w:rsid w:val="00517792"/>
    <w:rsid w:val="005210E2"/>
    <w:rsid w:val="00524BAA"/>
    <w:rsid w:val="0053091E"/>
    <w:rsid w:val="0054001F"/>
    <w:rsid w:val="00543F4D"/>
    <w:rsid w:val="00544A33"/>
    <w:rsid w:val="00544EEB"/>
    <w:rsid w:val="0054581F"/>
    <w:rsid w:val="005467F7"/>
    <w:rsid w:val="00547978"/>
    <w:rsid w:val="00557C32"/>
    <w:rsid w:val="00572478"/>
    <w:rsid w:val="00580701"/>
    <w:rsid w:val="00583963"/>
    <w:rsid w:val="00583969"/>
    <w:rsid w:val="00596F03"/>
    <w:rsid w:val="005A1550"/>
    <w:rsid w:val="005A4CCD"/>
    <w:rsid w:val="005B12D7"/>
    <w:rsid w:val="005C3444"/>
    <w:rsid w:val="005C445C"/>
    <w:rsid w:val="005C532A"/>
    <w:rsid w:val="005C5BDA"/>
    <w:rsid w:val="005D46FD"/>
    <w:rsid w:val="005D5F51"/>
    <w:rsid w:val="005D6185"/>
    <w:rsid w:val="005D6AE7"/>
    <w:rsid w:val="005E31E4"/>
    <w:rsid w:val="005F4A5E"/>
    <w:rsid w:val="006009DE"/>
    <w:rsid w:val="00604FB4"/>
    <w:rsid w:val="00616989"/>
    <w:rsid w:val="006312C8"/>
    <w:rsid w:val="006410EE"/>
    <w:rsid w:val="006774B4"/>
    <w:rsid w:val="00677F51"/>
    <w:rsid w:val="00683653"/>
    <w:rsid w:val="006853B8"/>
    <w:rsid w:val="006863D1"/>
    <w:rsid w:val="00693645"/>
    <w:rsid w:val="006942FF"/>
    <w:rsid w:val="006A27D3"/>
    <w:rsid w:val="006C44A8"/>
    <w:rsid w:val="006D0D8E"/>
    <w:rsid w:val="006D14B9"/>
    <w:rsid w:val="006F05F8"/>
    <w:rsid w:val="007066E2"/>
    <w:rsid w:val="00711406"/>
    <w:rsid w:val="00721E80"/>
    <w:rsid w:val="00727CEE"/>
    <w:rsid w:val="00735186"/>
    <w:rsid w:val="0075756D"/>
    <w:rsid w:val="00757B0E"/>
    <w:rsid w:val="007616AE"/>
    <w:rsid w:val="00761844"/>
    <w:rsid w:val="007637C9"/>
    <w:rsid w:val="0076531B"/>
    <w:rsid w:val="00772FAE"/>
    <w:rsid w:val="0078166D"/>
    <w:rsid w:val="00787292"/>
    <w:rsid w:val="007A3DFA"/>
    <w:rsid w:val="007B346A"/>
    <w:rsid w:val="007C75C6"/>
    <w:rsid w:val="007D4AF8"/>
    <w:rsid w:val="007E1D31"/>
    <w:rsid w:val="007E31E3"/>
    <w:rsid w:val="007E6E06"/>
    <w:rsid w:val="007F5D4F"/>
    <w:rsid w:val="00805737"/>
    <w:rsid w:val="008101BC"/>
    <w:rsid w:val="00820F57"/>
    <w:rsid w:val="00823150"/>
    <w:rsid w:val="0083277A"/>
    <w:rsid w:val="00833A54"/>
    <w:rsid w:val="00837FD1"/>
    <w:rsid w:val="00844CF4"/>
    <w:rsid w:val="008514E3"/>
    <w:rsid w:val="00854AF0"/>
    <w:rsid w:val="00856810"/>
    <w:rsid w:val="00866932"/>
    <w:rsid w:val="00877911"/>
    <w:rsid w:val="0089200B"/>
    <w:rsid w:val="008B33AC"/>
    <w:rsid w:val="008C0452"/>
    <w:rsid w:val="008C576E"/>
    <w:rsid w:val="008C717A"/>
    <w:rsid w:val="008D03EF"/>
    <w:rsid w:val="008D3D29"/>
    <w:rsid w:val="008D638C"/>
    <w:rsid w:val="008E2A16"/>
    <w:rsid w:val="008E6939"/>
    <w:rsid w:val="00906B2C"/>
    <w:rsid w:val="009168BB"/>
    <w:rsid w:val="0093329C"/>
    <w:rsid w:val="00942CE0"/>
    <w:rsid w:val="0095115D"/>
    <w:rsid w:val="0095315D"/>
    <w:rsid w:val="0095581E"/>
    <w:rsid w:val="0096001E"/>
    <w:rsid w:val="00962160"/>
    <w:rsid w:val="00963A77"/>
    <w:rsid w:val="00973FAA"/>
    <w:rsid w:val="009747B1"/>
    <w:rsid w:val="009768B2"/>
    <w:rsid w:val="00991CAE"/>
    <w:rsid w:val="00996D0B"/>
    <w:rsid w:val="009A18AC"/>
    <w:rsid w:val="009A5B66"/>
    <w:rsid w:val="009C354E"/>
    <w:rsid w:val="009C54B0"/>
    <w:rsid w:val="009D05D8"/>
    <w:rsid w:val="009D09C9"/>
    <w:rsid w:val="009D4F36"/>
    <w:rsid w:val="009D588A"/>
    <w:rsid w:val="009E0225"/>
    <w:rsid w:val="009E5E24"/>
    <w:rsid w:val="009E64C2"/>
    <w:rsid w:val="009E758E"/>
    <w:rsid w:val="009F13BB"/>
    <w:rsid w:val="00A00EB5"/>
    <w:rsid w:val="00A04707"/>
    <w:rsid w:val="00A12B6E"/>
    <w:rsid w:val="00A1451B"/>
    <w:rsid w:val="00A241D5"/>
    <w:rsid w:val="00A31835"/>
    <w:rsid w:val="00A362E1"/>
    <w:rsid w:val="00A50BF2"/>
    <w:rsid w:val="00A55D7D"/>
    <w:rsid w:val="00A66AC6"/>
    <w:rsid w:val="00A66D57"/>
    <w:rsid w:val="00A72F5A"/>
    <w:rsid w:val="00A81000"/>
    <w:rsid w:val="00A833BE"/>
    <w:rsid w:val="00A83985"/>
    <w:rsid w:val="00A93FD0"/>
    <w:rsid w:val="00AA1F13"/>
    <w:rsid w:val="00AA77F2"/>
    <w:rsid w:val="00AB539D"/>
    <w:rsid w:val="00AB662A"/>
    <w:rsid w:val="00AC3403"/>
    <w:rsid w:val="00AD2DDA"/>
    <w:rsid w:val="00AD5923"/>
    <w:rsid w:val="00AE23D1"/>
    <w:rsid w:val="00AE36E6"/>
    <w:rsid w:val="00AE4A01"/>
    <w:rsid w:val="00AF6A8A"/>
    <w:rsid w:val="00B147B3"/>
    <w:rsid w:val="00B15613"/>
    <w:rsid w:val="00B30D61"/>
    <w:rsid w:val="00B70300"/>
    <w:rsid w:val="00B74778"/>
    <w:rsid w:val="00B74D8B"/>
    <w:rsid w:val="00B74FD5"/>
    <w:rsid w:val="00B8201F"/>
    <w:rsid w:val="00B8622E"/>
    <w:rsid w:val="00B869FC"/>
    <w:rsid w:val="00B86BF9"/>
    <w:rsid w:val="00B8750F"/>
    <w:rsid w:val="00B911D7"/>
    <w:rsid w:val="00B93FDF"/>
    <w:rsid w:val="00B96EC1"/>
    <w:rsid w:val="00B97819"/>
    <w:rsid w:val="00BA4AD6"/>
    <w:rsid w:val="00BB0743"/>
    <w:rsid w:val="00BB4D5B"/>
    <w:rsid w:val="00BB4EA3"/>
    <w:rsid w:val="00BC0146"/>
    <w:rsid w:val="00BC5723"/>
    <w:rsid w:val="00BD274F"/>
    <w:rsid w:val="00BE7E82"/>
    <w:rsid w:val="00BF7E8E"/>
    <w:rsid w:val="00C05F4E"/>
    <w:rsid w:val="00C253B6"/>
    <w:rsid w:val="00C27590"/>
    <w:rsid w:val="00C34D86"/>
    <w:rsid w:val="00C54B26"/>
    <w:rsid w:val="00C55F88"/>
    <w:rsid w:val="00C6469F"/>
    <w:rsid w:val="00C6686F"/>
    <w:rsid w:val="00C7170F"/>
    <w:rsid w:val="00C71768"/>
    <w:rsid w:val="00C77D65"/>
    <w:rsid w:val="00C80AFE"/>
    <w:rsid w:val="00C93DA3"/>
    <w:rsid w:val="00CA4B4A"/>
    <w:rsid w:val="00CB1D57"/>
    <w:rsid w:val="00CB4A4D"/>
    <w:rsid w:val="00CC1FA4"/>
    <w:rsid w:val="00CC6C38"/>
    <w:rsid w:val="00CC7A96"/>
    <w:rsid w:val="00CD08E1"/>
    <w:rsid w:val="00CF0EAB"/>
    <w:rsid w:val="00CF1DC9"/>
    <w:rsid w:val="00D000CB"/>
    <w:rsid w:val="00D10217"/>
    <w:rsid w:val="00D135CF"/>
    <w:rsid w:val="00D15D40"/>
    <w:rsid w:val="00D161F4"/>
    <w:rsid w:val="00D219FA"/>
    <w:rsid w:val="00D26C67"/>
    <w:rsid w:val="00D35104"/>
    <w:rsid w:val="00D400A6"/>
    <w:rsid w:val="00D403E8"/>
    <w:rsid w:val="00D47EAC"/>
    <w:rsid w:val="00D512C6"/>
    <w:rsid w:val="00D61BD3"/>
    <w:rsid w:val="00D65569"/>
    <w:rsid w:val="00D7221C"/>
    <w:rsid w:val="00D73345"/>
    <w:rsid w:val="00D739CF"/>
    <w:rsid w:val="00D75307"/>
    <w:rsid w:val="00D77750"/>
    <w:rsid w:val="00D908A7"/>
    <w:rsid w:val="00D92D06"/>
    <w:rsid w:val="00D93A18"/>
    <w:rsid w:val="00DA7C93"/>
    <w:rsid w:val="00DB75FE"/>
    <w:rsid w:val="00DB7E8C"/>
    <w:rsid w:val="00DC3A5D"/>
    <w:rsid w:val="00DC5893"/>
    <w:rsid w:val="00DD09D7"/>
    <w:rsid w:val="00DE4A8F"/>
    <w:rsid w:val="00DE6F3F"/>
    <w:rsid w:val="00DE7FDF"/>
    <w:rsid w:val="00DF4546"/>
    <w:rsid w:val="00E06CBF"/>
    <w:rsid w:val="00E0736E"/>
    <w:rsid w:val="00E16ECA"/>
    <w:rsid w:val="00E17338"/>
    <w:rsid w:val="00E218DF"/>
    <w:rsid w:val="00E21E42"/>
    <w:rsid w:val="00E36089"/>
    <w:rsid w:val="00E3725A"/>
    <w:rsid w:val="00E5768B"/>
    <w:rsid w:val="00E61143"/>
    <w:rsid w:val="00E707C0"/>
    <w:rsid w:val="00E82B50"/>
    <w:rsid w:val="00E85EDA"/>
    <w:rsid w:val="00EA2BE8"/>
    <w:rsid w:val="00EA6AE7"/>
    <w:rsid w:val="00EB348B"/>
    <w:rsid w:val="00EC31F1"/>
    <w:rsid w:val="00EC5127"/>
    <w:rsid w:val="00EE0C37"/>
    <w:rsid w:val="00EF0E81"/>
    <w:rsid w:val="00F0184E"/>
    <w:rsid w:val="00F03D88"/>
    <w:rsid w:val="00F07B0B"/>
    <w:rsid w:val="00F07EB5"/>
    <w:rsid w:val="00F202E2"/>
    <w:rsid w:val="00F25B79"/>
    <w:rsid w:val="00F358B2"/>
    <w:rsid w:val="00F61D4C"/>
    <w:rsid w:val="00F65DA0"/>
    <w:rsid w:val="00F66AC9"/>
    <w:rsid w:val="00F74000"/>
    <w:rsid w:val="00F760B5"/>
    <w:rsid w:val="00F85F53"/>
    <w:rsid w:val="00F8732A"/>
    <w:rsid w:val="00F90454"/>
    <w:rsid w:val="00FA1966"/>
    <w:rsid w:val="00FA29E0"/>
    <w:rsid w:val="00FA2D0E"/>
    <w:rsid w:val="00FA6245"/>
    <w:rsid w:val="00FA7359"/>
    <w:rsid w:val="00FA7F52"/>
    <w:rsid w:val="00FB1138"/>
    <w:rsid w:val="00FB1EFC"/>
    <w:rsid w:val="00FB2EA1"/>
    <w:rsid w:val="00FB44D6"/>
    <w:rsid w:val="00FB583F"/>
    <w:rsid w:val="00FC097D"/>
    <w:rsid w:val="00FC4C61"/>
    <w:rsid w:val="00FC7DDE"/>
    <w:rsid w:val="00FD1162"/>
    <w:rsid w:val="00FD36E3"/>
    <w:rsid w:val="00FD6922"/>
    <w:rsid w:val="00FD71E8"/>
    <w:rsid w:val="00FD73F1"/>
    <w:rsid w:val="00FF0962"/>
    <w:rsid w:val="00FF4C9B"/>
    <w:rsid w:val="01241D9D"/>
    <w:rsid w:val="244B0C98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5E3B5475"/>
  <w15:docId w15:val="{FDE4A53D-FC5C-4CDF-927D-412243AC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1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0364"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455EB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styleId="PlainTable5">
    <w:name w:val="Plain Table 5"/>
    <w:basedOn w:val="TableNormal"/>
    <w:uiPriority w:val="45"/>
    <w:rsid w:val="00455EB7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GDDS%207\grafi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sr-Latn-ME" sz="1400"/>
              <a:t>Kretanje glavnih kategorija prihoda budžeta (mil. €)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Sheet1!$E$7</c:f>
              <c:strCache>
                <c:ptCount val="1"/>
                <c:pt idx="0">
                  <c:v>Ostvarenje za period 2024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Sheet1!$D$8:$D$12</c:f>
              <c:strCache>
                <c:ptCount val="5"/>
                <c:pt idx="0">
                  <c:v>Porez na dohodak fizičkih lica</c:v>
                </c:pt>
                <c:pt idx="1">
                  <c:v>Porez na dobit pravnih lica</c:v>
                </c:pt>
                <c:pt idx="2">
                  <c:v>Porez na dodatu vrijednost</c:v>
                </c:pt>
                <c:pt idx="3">
                  <c:v>Akcize</c:v>
                </c:pt>
                <c:pt idx="4">
                  <c:v>Doprinosi</c:v>
                </c:pt>
              </c:strCache>
            </c:strRef>
          </c:cat>
          <c:val>
            <c:numRef>
              <c:f>Sheet1!$E$8:$E$12</c:f>
              <c:numCache>
                <c:formatCode>General</c:formatCode>
                <c:ptCount val="5"/>
                <c:pt idx="0">
                  <c:v>45.87</c:v>
                </c:pt>
                <c:pt idx="1">
                  <c:v>197.59</c:v>
                </c:pt>
                <c:pt idx="2">
                  <c:v>655.38</c:v>
                </c:pt>
                <c:pt idx="3">
                  <c:v>195.06</c:v>
                </c:pt>
                <c:pt idx="4">
                  <c:v>320.97000000000003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08-4DDD-9857-8406CF762E89}"/>
            </c:ext>
          </c:extLst>
        </c:ser>
        <c:ser>
          <c:idx val="1"/>
          <c:order val="1"/>
          <c:tx>
            <c:strRef>
              <c:f>Sheet1!$F$7</c:f>
              <c:strCache>
                <c:ptCount val="1"/>
                <c:pt idx="0">
                  <c:v>Ostvarenje za period 2025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Sheet1!$D$8:$D$12</c:f>
              <c:strCache>
                <c:ptCount val="5"/>
                <c:pt idx="0">
                  <c:v>Porez na dohodak fizičkih lica</c:v>
                </c:pt>
                <c:pt idx="1">
                  <c:v>Porez na dobit pravnih lica</c:v>
                </c:pt>
                <c:pt idx="2">
                  <c:v>Porez na dodatu vrijednost</c:v>
                </c:pt>
                <c:pt idx="3">
                  <c:v>Akcize</c:v>
                </c:pt>
                <c:pt idx="4">
                  <c:v>Doprinosi</c:v>
                </c:pt>
              </c:strCache>
            </c:strRef>
          </c:cat>
          <c:val>
            <c:numRef>
              <c:f>Sheet1!$F$8:$F$12</c:f>
              <c:numCache>
                <c:formatCode>General</c:formatCode>
                <c:ptCount val="5"/>
                <c:pt idx="0">
                  <c:v>56.49</c:v>
                </c:pt>
                <c:pt idx="1">
                  <c:v>215.89</c:v>
                </c:pt>
                <c:pt idx="2">
                  <c:v>738.07</c:v>
                </c:pt>
                <c:pt idx="3">
                  <c:v>214.33</c:v>
                </c:pt>
                <c:pt idx="4">
                  <c:v>219.01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08-4DDD-9857-8406CF762E8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981231424"/>
        <c:axId val="199409232"/>
      </c:barChart>
      <c:catAx>
        <c:axId val="1981231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409232"/>
        <c:crosses val="autoZero"/>
        <c:auto val="1"/>
        <c:lblAlgn val="ctr"/>
        <c:lblOffset val="100"/>
        <c:noMultiLvlLbl val="0"/>
      </c:catAx>
      <c:valAx>
        <c:axId val="19940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123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AD0F5-57F3-4652-9351-4446A270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17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creator>Windows User</dc:creator>
  <cp:lastModifiedBy>Milica Rahovic</cp:lastModifiedBy>
  <cp:revision>9</cp:revision>
  <cp:lastPrinted>2025-03-25T06:34:00Z</cp:lastPrinted>
  <dcterms:created xsi:type="dcterms:W3CDTF">2025-08-25T06:15:00Z</dcterms:created>
  <dcterms:modified xsi:type="dcterms:W3CDTF">2025-08-29T12:11:00Z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7A22EE13B04648DDB8A1AF5ABDB6FBA1_12</vt:lpwstr>
  </property>
</Properties>
</file>