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74FA" w:rsidRPr="0071603F" w:rsidRDefault="0071603F" w:rsidP="0071603F">
      <w:pPr>
        <w:spacing w:line="240" w:lineRule="auto"/>
        <w:rPr>
          <w:rFonts w:ascii="Arial" w:hAnsi="Arial" w:cs="Arial"/>
          <w:szCs w:val="24"/>
          <w:lang w:val="sr-Latn-ME"/>
        </w:rPr>
      </w:pPr>
      <w:r w:rsidRPr="0071603F">
        <w:rPr>
          <w:rFonts w:ascii="Arial" w:hAnsi="Arial" w:cs="Arial"/>
          <w:szCs w:val="24"/>
          <w:lang w:val="sr-Latn-ME"/>
        </w:rPr>
        <w:t>Br.</w:t>
      </w:r>
      <w:r w:rsidR="001A0348" w:rsidRPr="0071603F">
        <w:rPr>
          <w:rFonts w:ascii="Arial" w:hAnsi="Arial" w:cs="Arial"/>
          <w:szCs w:val="24"/>
          <w:lang w:val="sr-Latn-ME"/>
        </w:rPr>
        <w:t xml:space="preserve">                                                                                                </w:t>
      </w:r>
      <w:r>
        <w:rPr>
          <w:rFonts w:ascii="Arial" w:hAnsi="Arial" w:cs="Arial"/>
          <w:szCs w:val="24"/>
          <w:lang w:val="sr-Latn-ME"/>
        </w:rPr>
        <w:t xml:space="preserve"> Podgorica, </w:t>
      </w:r>
      <w:r w:rsidR="00E06AFF">
        <w:rPr>
          <w:rFonts w:ascii="Arial" w:hAnsi="Arial" w:cs="Arial"/>
          <w:szCs w:val="24"/>
          <w:lang w:val="sr-Latn-ME"/>
        </w:rPr>
        <w:t>18</w:t>
      </w:r>
      <w:r>
        <w:rPr>
          <w:rFonts w:ascii="Arial" w:hAnsi="Arial" w:cs="Arial"/>
          <w:szCs w:val="24"/>
          <w:lang w:val="sr-Latn-ME"/>
        </w:rPr>
        <w:t>. jun 2025.godine</w:t>
      </w:r>
      <w:r w:rsidR="001A0348" w:rsidRPr="0071603F">
        <w:rPr>
          <w:rFonts w:ascii="Arial" w:hAnsi="Arial" w:cs="Arial"/>
          <w:szCs w:val="24"/>
          <w:lang w:val="sr-Latn-ME"/>
        </w:rPr>
        <w:t xml:space="preserve">    </w:t>
      </w:r>
    </w:p>
    <w:p w:rsidR="004741A5" w:rsidRPr="00812525" w:rsidRDefault="004741A5" w:rsidP="004741A5">
      <w:pPr>
        <w:spacing w:line="240" w:lineRule="auto"/>
        <w:jc w:val="center"/>
        <w:rPr>
          <w:rFonts w:ascii="Arial" w:hAnsi="Arial" w:cs="Arial"/>
          <w:b/>
          <w:sz w:val="22"/>
          <w:lang w:val="sr-Latn-ME"/>
        </w:rPr>
      </w:pPr>
    </w:p>
    <w:p w:rsidR="004741A5" w:rsidRPr="00812525" w:rsidRDefault="00124BB2" w:rsidP="003253DE">
      <w:pPr>
        <w:spacing w:before="0" w:after="0" w:line="240" w:lineRule="auto"/>
        <w:jc w:val="center"/>
        <w:rPr>
          <w:rFonts w:ascii="Arial" w:hAnsi="Arial" w:cs="Arial"/>
          <w:b/>
          <w:sz w:val="22"/>
          <w:lang w:val="sr-Latn-ME"/>
        </w:rPr>
      </w:pPr>
      <w:r>
        <w:rPr>
          <w:rFonts w:ascii="Arial" w:hAnsi="Arial" w:cs="Arial"/>
          <w:b/>
          <w:sz w:val="22"/>
          <w:lang w:val="sr-Latn-ME"/>
        </w:rPr>
        <w:t>IZVJEŠTAJ</w:t>
      </w:r>
      <w:r w:rsidRPr="00812525">
        <w:rPr>
          <w:rFonts w:ascii="Arial" w:hAnsi="Arial" w:cs="Arial"/>
          <w:b/>
          <w:sz w:val="22"/>
          <w:lang w:val="sr-Latn-ME"/>
        </w:rPr>
        <w:t xml:space="preserve"> </w:t>
      </w:r>
      <w:r>
        <w:rPr>
          <w:rFonts w:ascii="Arial" w:hAnsi="Arial" w:cs="Arial"/>
          <w:b/>
          <w:sz w:val="22"/>
          <w:lang w:val="sr-Latn-ME"/>
        </w:rPr>
        <w:t xml:space="preserve">SA </w:t>
      </w:r>
      <w:r w:rsidR="00EC74FA" w:rsidRPr="00812525">
        <w:rPr>
          <w:rFonts w:ascii="Arial" w:hAnsi="Arial" w:cs="Arial"/>
          <w:b/>
          <w:sz w:val="22"/>
          <w:lang w:val="sr-Latn-ME"/>
        </w:rPr>
        <w:t>JAVNE RASPRAVE O TEKSTU</w:t>
      </w:r>
    </w:p>
    <w:p w:rsidR="00EC74FA" w:rsidRPr="00812525" w:rsidRDefault="00EC74FA" w:rsidP="003253DE">
      <w:pPr>
        <w:spacing w:before="0" w:after="0"/>
        <w:jc w:val="center"/>
        <w:rPr>
          <w:rFonts w:ascii="Arial" w:hAnsi="Arial" w:cs="Arial"/>
          <w:b/>
          <w:sz w:val="22"/>
          <w:lang w:val="sr-Latn-ME"/>
        </w:rPr>
      </w:pPr>
      <w:bookmarkStart w:id="0" w:name="_Hlk194578792"/>
      <w:r w:rsidRPr="00812525">
        <w:rPr>
          <w:rFonts w:ascii="Arial" w:hAnsi="Arial" w:cs="Arial"/>
          <w:b/>
          <w:sz w:val="22"/>
          <w:lang w:val="sr-Latn-ME"/>
        </w:rPr>
        <w:t xml:space="preserve">NACRTA </w:t>
      </w:r>
      <w:bookmarkStart w:id="1" w:name="_Hlk194479367"/>
      <w:r w:rsidRPr="00812525">
        <w:rPr>
          <w:rFonts w:ascii="Arial" w:hAnsi="Arial" w:cs="Arial"/>
          <w:b/>
          <w:sz w:val="22"/>
          <w:lang w:val="sr-Latn-ME"/>
        </w:rPr>
        <w:t>STRATEGIJE ZA BORBU PROTIV PREVARA I UPRAVLJANJE NEPRAVILNOSTIMA U CILJU ZAŠTITE FINANSIJSKIH INTERESA EVROPSKE UNIJE ZA PERIOD 2025 - 2028 GODINE I PRATEĆ</w:t>
      </w:r>
      <w:r w:rsidR="00E06AFF">
        <w:rPr>
          <w:rFonts w:ascii="Arial" w:hAnsi="Arial" w:cs="Arial"/>
          <w:b/>
          <w:sz w:val="22"/>
          <w:lang w:val="sr-Latn-ME"/>
        </w:rPr>
        <w:t>EG</w:t>
      </w:r>
      <w:r w:rsidRPr="00812525">
        <w:rPr>
          <w:rFonts w:ascii="Arial" w:hAnsi="Arial" w:cs="Arial"/>
          <w:b/>
          <w:sz w:val="22"/>
          <w:lang w:val="sr-Latn-ME"/>
        </w:rPr>
        <w:t xml:space="preserve"> AKCION</w:t>
      </w:r>
      <w:r w:rsidR="00E06AFF">
        <w:rPr>
          <w:rFonts w:ascii="Arial" w:hAnsi="Arial" w:cs="Arial"/>
          <w:b/>
          <w:sz w:val="22"/>
          <w:lang w:val="sr-Latn-ME"/>
        </w:rPr>
        <w:t>OG</w:t>
      </w:r>
      <w:r w:rsidRPr="00812525">
        <w:rPr>
          <w:rFonts w:ascii="Arial" w:hAnsi="Arial" w:cs="Arial"/>
          <w:b/>
          <w:sz w:val="22"/>
          <w:lang w:val="sr-Latn-ME"/>
        </w:rPr>
        <w:t xml:space="preserve"> PLAN</w:t>
      </w:r>
      <w:r w:rsidR="00E06AFF">
        <w:rPr>
          <w:rFonts w:ascii="Arial" w:hAnsi="Arial" w:cs="Arial"/>
          <w:b/>
          <w:sz w:val="22"/>
          <w:lang w:val="sr-Latn-ME"/>
        </w:rPr>
        <w:t>A</w:t>
      </w:r>
      <w:r w:rsidRPr="00812525">
        <w:rPr>
          <w:rFonts w:ascii="Arial" w:hAnsi="Arial" w:cs="Arial"/>
          <w:b/>
          <w:sz w:val="22"/>
          <w:lang w:val="sr-Latn-ME"/>
        </w:rPr>
        <w:t xml:space="preserve"> ZA PERIOD 2025-2026 GODINE</w:t>
      </w:r>
      <w:bookmarkEnd w:id="1"/>
    </w:p>
    <w:bookmarkEnd w:id="0"/>
    <w:p w:rsidR="004741A5" w:rsidRDefault="004741A5" w:rsidP="00EC74FA">
      <w:pPr>
        <w:spacing w:line="240" w:lineRule="auto"/>
        <w:jc w:val="left"/>
        <w:rPr>
          <w:rFonts w:ascii="Arial" w:hAnsi="Arial" w:cs="Arial"/>
          <w:b/>
          <w:sz w:val="22"/>
          <w:lang w:val="sr-Latn-ME"/>
        </w:rPr>
      </w:pPr>
    </w:p>
    <w:p w:rsidR="00034130" w:rsidRPr="00034130" w:rsidRDefault="00034130" w:rsidP="00034130">
      <w:pPr>
        <w:spacing w:line="240" w:lineRule="auto"/>
        <w:rPr>
          <w:rFonts w:ascii="Arial" w:hAnsi="Arial" w:cs="Arial"/>
          <w:b/>
          <w:sz w:val="22"/>
          <w:lang w:val="sr-Latn-ME"/>
        </w:rPr>
      </w:pPr>
      <w:r w:rsidRPr="00034130">
        <w:rPr>
          <w:rFonts w:ascii="Arial" w:hAnsi="Arial" w:cs="Arial"/>
          <w:sz w:val="22"/>
          <w:lang w:val="en-US"/>
        </w:rPr>
        <w:t>Na</w:t>
      </w:r>
      <w:r w:rsidRPr="00910162">
        <w:rPr>
          <w:rFonts w:ascii="Arial" w:hAnsi="Arial" w:cs="Arial"/>
          <w:sz w:val="22"/>
          <w:lang w:val="sr-Latn-ME"/>
        </w:rPr>
        <w:t xml:space="preserve"> </w:t>
      </w:r>
      <w:proofErr w:type="spellStart"/>
      <w:r w:rsidRPr="00034130">
        <w:rPr>
          <w:rFonts w:ascii="Arial" w:hAnsi="Arial" w:cs="Arial"/>
          <w:sz w:val="22"/>
          <w:lang w:val="en-US"/>
        </w:rPr>
        <w:t>osnovu</w:t>
      </w:r>
      <w:proofErr w:type="spellEnd"/>
      <w:r w:rsidRPr="00910162">
        <w:rPr>
          <w:rFonts w:ascii="Arial" w:hAnsi="Arial" w:cs="Arial"/>
          <w:sz w:val="22"/>
          <w:lang w:val="sr-Latn-ME"/>
        </w:rPr>
        <w:t xml:space="preserve"> č</w:t>
      </w:r>
      <w:proofErr w:type="spellStart"/>
      <w:r w:rsidRPr="00034130">
        <w:rPr>
          <w:rFonts w:ascii="Arial" w:hAnsi="Arial" w:cs="Arial"/>
          <w:sz w:val="22"/>
          <w:lang w:val="en-US"/>
        </w:rPr>
        <w:t>lana</w:t>
      </w:r>
      <w:proofErr w:type="spellEnd"/>
      <w:r w:rsidRPr="00910162">
        <w:rPr>
          <w:rFonts w:ascii="Arial" w:hAnsi="Arial" w:cs="Arial"/>
          <w:sz w:val="22"/>
          <w:lang w:val="sr-Latn-ME"/>
        </w:rPr>
        <w:t xml:space="preserve"> 18 </w:t>
      </w:r>
      <w:proofErr w:type="spellStart"/>
      <w:r w:rsidRPr="00034130">
        <w:rPr>
          <w:rFonts w:ascii="Arial" w:hAnsi="Arial" w:cs="Arial"/>
          <w:sz w:val="22"/>
          <w:lang w:val="en-US"/>
        </w:rPr>
        <w:t>Uredbe</w:t>
      </w:r>
      <w:proofErr w:type="spellEnd"/>
      <w:r w:rsidRPr="00910162">
        <w:rPr>
          <w:rFonts w:ascii="Arial" w:hAnsi="Arial" w:cs="Arial"/>
          <w:sz w:val="22"/>
          <w:lang w:val="sr-Latn-ME"/>
        </w:rPr>
        <w:t xml:space="preserve"> </w:t>
      </w:r>
      <w:r w:rsidRPr="00034130">
        <w:rPr>
          <w:rFonts w:ascii="Arial" w:hAnsi="Arial" w:cs="Arial"/>
          <w:sz w:val="22"/>
          <w:lang w:val="en-US"/>
        </w:rPr>
        <w:t>o</w:t>
      </w:r>
      <w:r w:rsidRPr="00910162">
        <w:rPr>
          <w:rFonts w:ascii="Arial" w:hAnsi="Arial" w:cs="Arial"/>
          <w:sz w:val="22"/>
          <w:lang w:val="sr-Latn-ME"/>
        </w:rPr>
        <w:t xml:space="preserve"> </w:t>
      </w:r>
      <w:proofErr w:type="spellStart"/>
      <w:r w:rsidRPr="00034130">
        <w:rPr>
          <w:rFonts w:ascii="Arial" w:hAnsi="Arial" w:cs="Arial"/>
          <w:sz w:val="22"/>
          <w:lang w:val="en-US"/>
        </w:rPr>
        <w:t>izboru</w:t>
      </w:r>
      <w:proofErr w:type="spellEnd"/>
      <w:r w:rsidRPr="00910162">
        <w:rPr>
          <w:rFonts w:ascii="Arial" w:hAnsi="Arial" w:cs="Arial"/>
          <w:sz w:val="22"/>
          <w:lang w:val="sr-Latn-ME"/>
        </w:rPr>
        <w:t xml:space="preserve"> </w:t>
      </w:r>
      <w:proofErr w:type="spellStart"/>
      <w:r w:rsidRPr="00034130">
        <w:rPr>
          <w:rFonts w:ascii="Arial" w:hAnsi="Arial" w:cs="Arial"/>
          <w:sz w:val="22"/>
          <w:lang w:val="en-US"/>
        </w:rPr>
        <w:t>predstavnika</w:t>
      </w:r>
      <w:proofErr w:type="spellEnd"/>
      <w:r w:rsidRPr="00910162">
        <w:rPr>
          <w:rFonts w:ascii="Arial" w:hAnsi="Arial" w:cs="Arial"/>
          <w:sz w:val="22"/>
          <w:lang w:val="sr-Latn-ME"/>
        </w:rPr>
        <w:t xml:space="preserve"> </w:t>
      </w:r>
      <w:proofErr w:type="spellStart"/>
      <w:r w:rsidRPr="00034130">
        <w:rPr>
          <w:rFonts w:ascii="Arial" w:hAnsi="Arial" w:cs="Arial"/>
          <w:sz w:val="22"/>
          <w:lang w:val="en-US"/>
        </w:rPr>
        <w:t>nevladinih</w:t>
      </w:r>
      <w:proofErr w:type="spellEnd"/>
      <w:r w:rsidRPr="00910162">
        <w:rPr>
          <w:rFonts w:ascii="Arial" w:hAnsi="Arial" w:cs="Arial"/>
          <w:sz w:val="22"/>
          <w:lang w:val="sr-Latn-ME"/>
        </w:rPr>
        <w:t xml:space="preserve"> </w:t>
      </w:r>
      <w:proofErr w:type="spellStart"/>
      <w:r w:rsidRPr="00034130">
        <w:rPr>
          <w:rFonts w:ascii="Arial" w:hAnsi="Arial" w:cs="Arial"/>
          <w:sz w:val="22"/>
          <w:lang w:val="en-US"/>
        </w:rPr>
        <w:t>organizacija</w:t>
      </w:r>
      <w:proofErr w:type="spellEnd"/>
      <w:r w:rsidRPr="00910162">
        <w:rPr>
          <w:rFonts w:ascii="Arial" w:hAnsi="Arial" w:cs="Arial"/>
          <w:sz w:val="22"/>
          <w:lang w:val="sr-Latn-ME"/>
        </w:rPr>
        <w:t xml:space="preserve"> </w:t>
      </w:r>
      <w:r w:rsidRPr="00034130">
        <w:rPr>
          <w:rFonts w:ascii="Arial" w:hAnsi="Arial" w:cs="Arial"/>
          <w:sz w:val="22"/>
          <w:lang w:val="en-US"/>
        </w:rPr>
        <w:t>u</w:t>
      </w:r>
      <w:r w:rsidRPr="00910162">
        <w:rPr>
          <w:rFonts w:ascii="Arial" w:hAnsi="Arial" w:cs="Arial"/>
          <w:sz w:val="22"/>
          <w:lang w:val="sr-Latn-ME"/>
        </w:rPr>
        <w:t xml:space="preserve"> </w:t>
      </w:r>
      <w:proofErr w:type="spellStart"/>
      <w:r w:rsidRPr="00034130">
        <w:rPr>
          <w:rFonts w:ascii="Arial" w:hAnsi="Arial" w:cs="Arial"/>
          <w:sz w:val="22"/>
          <w:lang w:val="en-US"/>
        </w:rPr>
        <w:t>radna</w:t>
      </w:r>
      <w:proofErr w:type="spellEnd"/>
      <w:r w:rsidRPr="00910162">
        <w:rPr>
          <w:rFonts w:ascii="Arial" w:hAnsi="Arial" w:cs="Arial"/>
          <w:sz w:val="22"/>
          <w:lang w:val="sr-Latn-ME"/>
        </w:rPr>
        <w:t xml:space="preserve"> </w:t>
      </w:r>
      <w:proofErr w:type="spellStart"/>
      <w:r w:rsidRPr="00034130">
        <w:rPr>
          <w:rFonts w:ascii="Arial" w:hAnsi="Arial" w:cs="Arial"/>
          <w:sz w:val="22"/>
          <w:lang w:val="en-US"/>
        </w:rPr>
        <w:t>tijela</w:t>
      </w:r>
      <w:proofErr w:type="spellEnd"/>
      <w:r w:rsidRPr="00910162">
        <w:rPr>
          <w:rFonts w:ascii="Arial" w:hAnsi="Arial" w:cs="Arial"/>
          <w:sz w:val="22"/>
          <w:lang w:val="sr-Latn-ME"/>
        </w:rPr>
        <w:t xml:space="preserve"> </w:t>
      </w:r>
      <w:r w:rsidRPr="00034130">
        <w:rPr>
          <w:rFonts w:ascii="Arial" w:hAnsi="Arial" w:cs="Arial"/>
          <w:sz w:val="22"/>
          <w:lang w:val="en-US"/>
        </w:rPr>
        <w:t>organa</w:t>
      </w:r>
      <w:r w:rsidRPr="00910162">
        <w:rPr>
          <w:rFonts w:ascii="Arial" w:hAnsi="Arial" w:cs="Arial"/>
          <w:sz w:val="22"/>
          <w:lang w:val="sr-Latn-ME"/>
        </w:rPr>
        <w:t xml:space="preserve"> </w:t>
      </w:r>
      <w:proofErr w:type="spellStart"/>
      <w:r w:rsidRPr="00034130">
        <w:rPr>
          <w:rFonts w:ascii="Arial" w:hAnsi="Arial" w:cs="Arial"/>
          <w:sz w:val="22"/>
          <w:lang w:val="en-US"/>
        </w:rPr>
        <w:t>dr</w:t>
      </w:r>
      <w:proofErr w:type="spellEnd"/>
      <w:r w:rsidRPr="00910162">
        <w:rPr>
          <w:rFonts w:ascii="Arial" w:hAnsi="Arial" w:cs="Arial"/>
          <w:sz w:val="22"/>
          <w:lang w:val="sr-Latn-ME"/>
        </w:rPr>
        <w:t>ž</w:t>
      </w:r>
      <w:proofErr w:type="spellStart"/>
      <w:r w:rsidRPr="00034130">
        <w:rPr>
          <w:rFonts w:ascii="Arial" w:hAnsi="Arial" w:cs="Arial"/>
          <w:sz w:val="22"/>
          <w:lang w:val="en-US"/>
        </w:rPr>
        <w:t>avne</w:t>
      </w:r>
      <w:proofErr w:type="spellEnd"/>
      <w:r w:rsidRPr="00910162">
        <w:rPr>
          <w:rFonts w:ascii="Arial" w:hAnsi="Arial" w:cs="Arial"/>
          <w:sz w:val="22"/>
          <w:lang w:val="sr-Latn-ME"/>
        </w:rPr>
        <w:t xml:space="preserve"> </w:t>
      </w:r>
      <w:proofErr w:type="spellStart"/>
      <w:r w:rsidRPr="00034130">
        <w:rPr>
          <w:rFonts w:ascii="Arial" w:hAnsi="Arial" w:cs="Arial"/>
          <w:sz w:val="22"/>
          <w:lang w:val="en-US"/>
        </w:rPr>
        <w:t>uprave</w:t>
      </w:r>
      <w:proofErr w:type="spellEnd"/>
      <w:r w:rsidRPr="00910162">
        <w:rPr>
          <w:rFonts w:ascii="Arial" w:hAnsi="Arial" w:cs="Arial"/>
          <w:sz w:val="22"/>
          <w:lang w:val="sr-Latn-ME"/>
        </w:rPr>
        <w:t xml:space="preserve"> </w:t>
      </w:r>
      <w:r w:rsidRPr="00034130">
        <w:rPr>
          <w:rFonts w:ascii="Arial" w:hAnsi="Arial" w:cs="Arial"/>
          <w:sz w:val="22"/>
          <w:lang w:val="en-US"/>
        </w:rPr>
        <w:t>i</w:t>
      </w:r>
      <w:r w:rsidRPr="00910162">
        <w:rPr>
          <w:rFonts w:ascii="Arial" w:hAnsi="Arial" w:cs="Arial"/>
          <w:sz w:val="22"/>
          <w:lang w:val="sr-Latn-ME"/>
        </w:rPr>
        <w:t xml:space="preserve"> </w:t>
      </w:r>
      <w:proofErr w:type="spellStart"/>
      <w:r w:rsidRPr="00034130">
        <w:rPr>
          <w:rFonts w:ascii="Arial" w:hAnsi="Arial" w:cs="Arial"/>
          <w:sz w:val="22"/>
          <w:lang w:val="en-US"/>
        </w:rPr>
        <w:t>sprovo</w:t>
      </w:r>
      <w:proofErr w:type="spellEnd"/>
      <w:r w:rsidRPr="00910162">
        <w:rPr>
          <w:rFonts w:ascii="Arial" w:hAnsi="Arial" w:cs="Arial"/>
          <w:sz w:val="22"/>
          <w:lang w:val="sr-Latn-ME"/>
        </w:rPr>
        <w:t>đ</w:t>
      </w:r>
      <w:proofErr w:type="spellStart"/>
      <w:r w:rsidRPr="00034130">
        <w:rPr>
          <w:rFonts w:ascii="Arial" w:hAnsi="Arial" w:cs="Arial"/>
          <w:sz w:val="22"/>
          <w:lang w:val="en-US"/>
        </w:rPr>
        <w:t>enju</w:t>
      </w:r>
      <w:proofErr w:type="spellEnd"/>
      <w:r w:rsidRPr="00910162">
        <w:rPr>
          <w:rFonts w:ascii="Arial" w:hAnsi="Arial" w:cs="Arial"/>
          <w:sz w:val="22"/>
          <w:lang w:val="sr-Latn-ME"/>
        </w:rPr>
        <w:t xml:space="preserve"> </w:t>
      </w:r>
      <w:proofErr w:type="spellStart"/>
      <w:r w:rsidRPr="00034130">
        <w:rPr>
          <w:rFonts w:ascii="Arial" w:hAnsi="Arial" w:cs="Arial"/>
          <w:sz w:val="22"/>
          <w:lang w:val="en-US"/>
        </w:rPr>
        <w:t>javne</w:t>
      </w:r>
      <w:proofErr w:type="spellEnd"/>
      <w:r w:rsidRPr="00910162">
        <w:rPr>
          <w:rFonts w:ascii="Arial" w:hAnsi="Arial" w:cs="Arial"/>
          <w:sz w:val="22"/>
          <w:lang w:val="sr-Latn-ME"/>
        </w:rPr>
        <w:t xml:space="preserve"> </w:t>
      </w:r>
      <w:proofErr w:type="spellStart"/>
      <w:r w:rsidRPr="00034130">
        <w:rPr>
          <w:rFonts w:ascii="Arial" w:hAnsi="Arial" w:cs="Arial"/>
          <w:sz w:val="22"/>
          <w:lang w:val="en-US"/>
        </w:rPr>
        <w:t>rasprave</w:t>
      </w:r>
      <w:proofErr w:type="spellEnd"/>
      <w:r w:rsidRPr="00910162">
        <w:rPr>
          <w:rFonts w:ascii="Arial" w:hAnsi="Arial" w:cs="Arial"/>
          <w:sz w:val="22"/>
          <w:lang w:val="sr-Latn-ME"/>
        </w:rPr>
        <w:t xml:space="preserve"> </w:t>
      </w:r>
      <w:r w:rsidRPr="00034130">
        <w:rPr>
          <w:rFonts w:ascii="Arial" w:hAnsi="Arial" w:cs="Arial"/>
          <w:sz w:val="22"/>
          <w:lang w:val="en-US"/>
        </w:rPr>
        <w:t>u</w:t>
      </w:r>
      <w:r w:rsidRPr="00910162">
        <w:rPr>
          <w:rFonts w:ascii="Arial" w:hAnsi="Arial" w:cs="Arial"/>
          <w:sz w:val="22"/>
          <w:lang w:val="sr-Latn-ME"/>
        </w:rPr>
        <w:t xml:space="preserve"> </w:t>
      </w:r>
      <w:proofErr w:type="spellStart"/>
      <w:r w:rsidRPr="00034130">
        <w:rPr>
          <w:rFonts w:ascii="Arial" w:hAnsi="Arial" w:cs="Arial"/>
          <w:sz w:val="22"/>
          <w:lang w:val="en-US"/>
        </w:rPr>
        <w:t>pripremi</w:t>
      </w:r>
      <w:proofErr w:type="spellEnd"/>
      <w:r w:rsidRPr="00910162">
        <w:rPr>
          <w:rFonts w:ascii="Arial" w:hAnsi="Arial" w:cs="Arial"/>
          <w:sz w:val="22"/>
          <w:lang w:val="sr-Latn-ME"/>
        </w:rPr>
        <w:t xml:space="preserve"> </w:t>
      </w:r>
      <w:proofErr w:type="spellStart"/>
      <w:r w:rsidRPr="00034130">
        <w:rPr>
          <w:rFonts w:ascii="Arial" w:hAnsi="Arial" w:cs="Arial"/>
          <w:sz w:val="22"/>
          <w:lang w:val="en-US"/>
        </w:rPr>
        <w:t>zakona</w:t>
      </w:r>
      <w:proofErr w:type="spellEnd"/>
      <w:r w:rsidRPr="00910162">
        <w:rPr>
          <w:rFonts w:ascii="Arial" w:hAnsi="Arial" w:cs="Arial"/>
          <w:sz w:val="22"/>
          <w:lang w:val="sr-Latn-ME"/>
        </w:rPr>
        <w:t xml:space="preserve"> </w:t>
      </w:r>
      <w:r w:rsidRPr="00034130">
        <w:rPr>
          <w:rFonts w:ascii="Arial" w:hAnsi="Arial" w:cs="Arial"/>
          <w:sz w:val="22"/>
          <w:lang w:val="en-US"/>
        </w:rPr>
        <w:t>i</w:t>
      </w:r>
      <w:r w:rsidRPr="00910162">
        <w:rPr>
          <w:rFonts w:ascii="Arial" w:hAnsi="Arial" w:cs="Arial"/>
          <w:sz w:val="22"/>
          <w:lang w:val="sr-Latn-ME"/>
        </w:rPr>
        <w:t xml:space="preserve"> </w:t>
      </w:r>
      <w:proofErr w:type="spellStart"/>
      <w:r w:rsidRPr="00034130">
        <w:rPr>
          <w:rFonts w:ascii="Arial" w:hAnsi="Arial" w:cs="Arial"/>
          <w:sz w:val="22"/>
          <w:lang w:val="en-US"/>
        </w:rPr>
        <w:t>strategija</w:t>
      </w:r>
      <w:proofErr w:type="spellEnd"/>
      <w:r w:rsidRPr="00910162">
        <w:rPr>
          <w:rFonts w:ascii="Arial" w:hAnsi="Arial" w:cs="Arial"/>
          <w:sz w:val="22"/>
          <w:lang w:val="sr-Latn-ME"/>
        </w:rPr>
        <w:t xml:space="preserve"> („</w:t>
      </w:r>
      <w:proofErr w:type="spellStart"/>
      <w:r w:rsidRPr="00034130">
        <w:rPr>
          <w:rFonts w:ascii="Arial" w:hAnsi="Arial" w:cs="Arial"/>
          <w:sz w:val="22"/>
          <w:lang w:val="en-US"/>
        </w:rPr>
        <w:t>Slu</w:t>
      </w:r>
      <w:proofErr w:type="spellEnd"/>
      <w:r w:rsidRPr="00910162">
        <w:rPr>
          <w:rFonts w:ascii="Arial" w:hAnsi="Arial" w:cs="Arial"/>
          <w:sz w:val="22"/>
          <w:lang w:val="sr-Latn-ME"/>
        </w:rPr>
        <w:t>ž</w:t>
      </w:r>
      <w:proofErr w:type="spellStart"/>
      <w:r w:rsidRPr="00034130">
        <w:rPr>
          <w:rFonts w:ascii="Arial" w:hAnsi="Arial" w:cs="Arial"/>
          <w:sz w:val="22"/>
          <w:lang w:val="en-US"/>
        </w:rPr>
        <w:t>beni</w:t>
      </w:r>
      <w:proofErr w:type="spellEnd"/>
      <w:r w:rsidRPr="00910162">
        <w:rPr>
          <w:rFonts w:ascii="Arial" w:hAnsi="Arial" w:cs="Arial"/>
          <w:sz w:val="22"/>
          <w:lang w:val="sr-Latn-ME"/>
        </w:rPr>
        <w:t xml:space="preserve"> </w:t>
      </w:r>
      <w:r w:rsidRPr="00034130">
        <w:rPr>
          <w:rFonts w:ascii="Arial" w:hAnsi="Arial" w:cs="Arial"/>
          <w:sz w:val="22"/>
          <w:lang w:val="en-US"/>
        </w:rPr>
        <w:t>list</w:t>
      </w:r>
      <w:r w:rsidRPr="00910162">
        <w:rPr>
          <w:rFonts w:ascii="Arial" w:hAnsi="Arial" w:cs="Arial"/>
          <w:sz w:val="22"/>
          <w:lang w:val="sr-Latn-ME"/>
        </w:rPr>
        <w:t xml:space="preserve"> </w:t>
      </w:r>
      <w:proofErr w:type="gramStart"/>
      <w:r w:rsidRPr="00034130">
        <w:rPr>
          <w:rFonts w:ascii="Arial" w:hAnsi="Arial" w:cs="Arial"/>
          <w:sz w:val="22"/>
          <w:lang w:val="en-US"/>
        </w:rPr>
        <w:t>CG</w:t>
      </w:r>
      <w:r w:rsidRPr="00910162">
        <w:rPr>
          <w:rFonts w:ascii="Arial" w:hAnsi="Arial" w:cs="Arial"/>
          <w:sz w:val="22"/>
          <w:lang w:val="sr-Latn-ME"/>
        </w:rPr>
        <w:t>“</w:t>
      </w:r>
      <w:proofErr w:type="gramEnd"/>
      <w:r w:rsidRPr="00910162">
        <w:rPr>
          <w:rFonts w:ascii="Arial" w:hAnsi="Arial" w:cs="Arial"/>
          <w:sz w:val="22"/>
          <w:lang w:val="sr-Latn-ME"/>
        </w:rPr>
        <w:t xml:space="preserve">, </w:t>
      </w:r>
      <w:proofErr w:type="spellStart"/>
      <w:r w:rsidRPr="00034130">
        <w:rPr>
          <w:rFonts w:ascii="Arial" w:hAnsi="Arial" w:cs="Arial"/>
          <w:sz w:val="22"/>
          <w:lang w:val="en-US"/>
        </w:rPr>
        <w:t>broj</w:t>
      </w:r>
      <w:proofErr w:type="spellEnd"/>
      <w:r w:rsidRPr="00910162">
        <w:rPr>
          <w:rFonts w:ascii="Arial" w:hAnsi="Arial" w:cs="Arial"/>
          <w:sz w:val="22"/>
          <w:lang w:val="sr-Latn-ME"/>
        </w:rPr>
        <w:t xml:space="preserve"> 41/18), </w:t>
      </w:r>
      <w:r w:rsidRPr="00034130">
        <w:rPr>
          <w:rFonts w:ascii="Arial" w:hAnsi="Arial" w:cs="Arial"/>
          <w:sz w:val="22"/>
          <w:lang w:val="en-US"/>
        </w:rPr>
        <w:t>Ministarstvo</w:t>
      </w:r>
      <w:r w:rsidRPr="00910162">
        <w:rPr>
          <w:rFonts w:ascii="Arial" w:hAnsi="Arial" w:cs="Arial"/>
          <w:sz w:val="22"/>
          <w:lang w:val="sr-Latn-ME"/>
        </w:rPr>
        <w:t xml:space="preserve"> </w:t>
      </w:r>
      <w:r>
        <w:rPr>
          <w:rFonts w:ascii="Arial" w:hAnsi="Arial" w:cs="Arial"/>
          <w:sz w:val="22"/>
          <w:lang w:val="en-US"/>
        </w:rPr>
        <w:t>finansija</w:t>
      </w:r>
      <w:r w:rsidRPr="00910162">
        <w:rPr>
          <w:rFonts w:ascii="Arial" w:hAnsi="Arial" w:cs="Arial"/>
          <w:sz w:val="22"/>
          <w:lang w:val="sr-Latn-ME"/>
        </w:rPr>
        <w:t xml:space="preserve"> </w:t>
      </w:r>
      <w:proofErr w:type="spellStart"/>
      <w:r w:rsidRPr="00034130">
        <w:rPr>
          <w:rFonts w:ascii="Arial" w:hAnsi="Arial" w:cs="Arial"/>
          <w:sz w:val="22"/>
          <w:lang w:val="en-US"/>
        </w:rPr>
        <w:t>objavljuje</w:t>
      </w:r>
      <w:proofErr w:type="spellEnd"/>
      <w:r w:rsidRPr="00910162">
        <w:rPr>
          <w:rFonts w:ascii="Arial" w:hAnsi="Arial" w:cs="Arial"/>
          <w:sz w:val="22"/>
          <w:lang w:val="sr-Latn-ME"/>
        </w:rPr>
        <w:t xml:space="preserve"> </w:t>
      </w:r>
      <w:proofErr w:type="spellStart"/>
      <w:r w:rsidRPr="00034130">
        <w:rPr>
          <w:rFonts w:ascii="Arial" w:hAnsi="Arial" w:cs="Arial"/>
          <w:sz w:val="22"/>
          <w:lang w:val="en-US"/>
        </w:rPr>
        <w:t>Izvje</w:t>
      </w:r>
      <w:proofErr w:type="spellEnd"/>
      <w:r w:rsidRPr="00910162">
        <w:rPr>
          <w:rFonts w:ascii="Arial" w:hAnsi="Arial" w:cs="Arial"/>
          <w:sz w:val="22"/>
          <w:lang w:val="sr-Latn-ME"/>
        </w:rPr>
        <w:t>š</w:t>
      </w:r>
      <w:proofErr w:type="spellStart"/>
      <w:r w:rsidRPr="00034130">
        <w:rPr>
          <w:rFonts w:ascii="Arial" w:hAnsi="Arial" w:cs="Arial"/>
          <w:sz w:val="22"/>
          <w:lang w:val="en-US"/>
        </w:rPr>
        <w:t>taj</w:t>
      </w:r>
      <w:proofErr w:type="spellEnd"/>
      <w:r w:rsidRPr="00910162">
        <w:rPr>
          <w:rFonts w:ascii="Arial" w:hAnsi="Arial" w:cs="Arial"/>
          <w:sz w:val="22"/>
          <w:lang w:val="sr-Latn-ME"/>
        </w:rPr>
        <w:t xml:space="preserve"> </w:t>
      </w:r>
      <w:r w:rsidRPr="00034130">
        <w:rPr>
          <w:rFonts w:ascii="Arial" w:hAnsi="Arial" w:cs="Arial"/>
          <w:sz w:val="22"/>
          <w:lang w:val="en-US"/>
        </w:rPr>
        <w:t>o</w:t>
      </w:r>
      <w:r w:rsidRPr="00910162">
        <w:rPr>
          <w:rFonts w:ascii="Arial" w:hAnsi="Arial" w:cs="Arial"/>
          <w:sz w:val="22"/>
          <w:lang w:val="sr-Latn-ME"/>
        </w:rPr>
        <w:t xml:space="preserve"> </w:t>
      </w:r>
      <w:proofErr w:type="spellStart"/>
      <w:r w:rsidRPr="00034130">
        <w:rPr>
          <w:rFonts w:ascii="Arial" w:hAnsi="Arial" w:cs="Arial"/>
          <w:sz w:val="22"/>
          <w:lang w:val="en-US"/>
        </w:rPr>
        <w:t>sprovedenoj</w:t>
      </w:r>
      <w:proofErr w:type="spellEnd"/>
      <w:r w:rsidRPr="00910162">
        <w:rPr>
          <w:rFonts w:ascii="Arial" w:hAnsi="Arial" w:cs="Arial"/>
          <w:sz w:val="22"/>
          <w:lang w:val="sr-Latn-ME"/>
        </w:rPr>
        <w:t xml:space="preserve"> </w:t>
      </w:r>
      <w:proofErr w:type="spellStart"/>
      <w:r w:rsidRPr="00034130">
        <w:rPr>
          <w:rFonts w:ascii="Arial" w:hAnsi="Arial" w:cs="Arial"/>
          <w:sz w:val="22"/>
          <w:lang w:val="en-US"/>
        </w:rPr>
        <w:t>Javnoj</w:t>
      </w:r>
      <w:proofErr w:type="spellEnd"/>
      <w:r w:rsidRPr="00910162">
        <w:rPr>
          <w:rFonts w:ascii="Arial" w:hAnsi="Arial" w:cs="Arial"/>
          <w:sz w:val="22"/>
          <w:lang w:val="sr-Latn-ME"/>
        </w:rPr>
        <w:t xml:space="preserve"> </w:t>
      </w:r>
      <w:proofErr w:type="spellStart"/>
      <w:r w:rsidRPr="00034130">
        <w:rPr>
          <w:rFonts w:ascii="Arial" w:hAnsi="Arial" w:cs="Arial"/>
          <w:sz w:val="22"/>
          <w:lang w:val="en-US"/>
        </w:rPr>
        <w:t>raspravi</w:t>
      </w:r>
      <w:proofErr w:type="spellEnd"/>
      <w:r w:rsidRPr="00910162">
        <w:rPr>
          <w:rFonts w:ascii="Arial" w:hAnsi="Arial" w:cs="Arial"/>
          <w:sz w:val="22"/>
          <w:lang w:val="sr-Latn-ME"/>
        </w:rPr>
        <w:t xml:space="preserve"> </w:t>
      </w:r>
      <w:r w:rsidRPr="00034130">
        <w:rPr>
          <w:rFonts w:ascii="Arial" w:hAnsi="Arial" w:cs="Arial"/>
          <w:sz w:val="22"/>
          <w:lang w:val="en-US"/>
        </w:rPr>
        <w:t>o</w:t>
      </w:r>
      <w:r w:rsidRPr="00910162">
        <w:rPr>
          <w:rFonts w:ascii="Arial" w:hAnsi="Arial" w:cs="Arial"/>
          <w:sz w:val="22"/>
          <w:lang w:val="sr-Latn-ME"/>
        </w:rPr>
        <w:t xml:space="preserve"> </w:t>
      </w:r>
      <w:proofErr w:type="spellStart"/>
      <w:r w:rsidRPr="00034130">
        <w:rPr>
          <w:rFonts w:ascii="Arial" w:hAnsi="Arial" w:cs="Arial"/>
          <w:sz w:val="22"/>
          <w:lang w:val="en-US"/>
        </w:rPr>
        <w:t>tekstu</w:t>
      </w:r>
      <w:proofErr w:type="spellEnd"/>
      <w:r w:rsidRPr="00910162">
        <w:rPr>
          <w:rFonts w:ascii="Arial" w:hAnsi="Arial" w:cs="Arial"/>
          <w:sz w:val="22"/>
          <w:lang w:val="sr-Latn-ME"/>
        </w:rPr>
        <w:t xml:space="preserve"> </w:t>
      </w:r>
      <w:proofErr w:type="spellStart"/>
      <w:r w:rsidRPr="00034130">
        <w:rPr>
          <w:rFonts w:ascii="Arial" w:hAnsi="Arial" w:cs="Arial"/>
          <w:sz w:val="22"/>
          <w:lang w:val="en-US"/>
        </w:rPr>
        <w:t>Nacrta</w:t>
      </w:r>
      <w:proofErr w:type="spellEnd"/>
      <w:r w:rsidRPr="00910162">
        <w:rPr>
          <w:rFonts w:ascii="Arial" w:hAnsi="Arial" w:cs="Arial"/>
          <w:sz w:val="22"/>
          <w:lang w:val="sr-Latn-ME"/>
        </w:rPr>
        <w:t xml:space="preserve"> </w:t>
      </w:r>
      <w:r>
        <w:rPr>
          <w:rFonts w:ascii="Arial" w:hAnsi="Arial" w:cs="Arial"/>
          <w:sz w:val="22"/>
          <w:lang w:val="sr-Latn-ME"/>
        </w:rPr>
        <w:t>S</w:t>
      </w:r>
      <w:r w:rsidRPr="00034130">
        <w:rPr>
          <w:rFonts w:ascii="Arial" w:hAnsi="Arial" w:cs="Arial"/>
          <w:sz w:val="22"/>
          <w:lang w:val="sr-Latn-ME"/>
        </w:rPr>
        <w:t xml:space="preserve">trategije za borbu protiv prevara i upravljanje nepravilnostima u cilju zaštite finansijskih interesa </w:t>
      </w:r>
      <w:r>
        <w:rPr>
          <w:rFonts w:ascii="Arial" w:hAnsi="Arial" w:cs="Arial"/>
          <w:sz w:val="22"/>
          <w:lang w:val="sr-Latn-ME"/>
        </w:rPr>
        <w:t>E</w:t>
      </w:r>
      <w:r w:rsidRPr="00034130">
        <w:rPr>
          <w:rFonts w:ascii="Arial" w:hAnsi="Arial" w:cs="Arial"/>
          <w:sz w:val="22"/>
          <w:lang w:val="sr-Latn-ME"/>
        </w:rPr>
        <w:t>vropske unije za period 2025 - 2028 godine i prateć</w:t>
      </w:r>
      <w:r w:rsidR="003253DE">
        <w:rPr>
          <w:rFonts w:ascii="Arial" w:hAnsi="Arial" w:cs="Arial"/>
          <w:sz w:val="22"/>
          <w:lang w:val="sr-Latn-ME"/>
        </w:rPr>
        <w:t>eg</w:t>
      </w:r>
      <w:r w:rsidRPr="00034130">
        <w:rPr>
          <w:rFonts w:ascii="Arial" w:hAnsi="Arial" w:cs="Arial"/>
          <w:sz w:val="22"/>
          <w:lang w:val="sr-Latn-ME"/>
        </w:rPr>
        <w:t xml:space="preserve"> </w:t>
      </w:r>
      <w:r>
        <w:rPr>
          <w:rFonts w:ascii="Arial" w:hAnsi="Arial" w:cs="Arial"/>
          <w:sz w:val="22"/>
          <w:lang w:val="sr-Latn-ME"/>
        </w:rPr>
        <w:t>A</w:t>
      </w:r>
      <w:r w:rsidRPr="00034130">
        <w:rPr>
          <w:rFonts w:ascii="Arial" w:hAnsi="Arial" w:cs="Arial"/>
          <w:sz w:val="22"/>
          <w:lang w:val="sr-Latn-ME"/>
        </w:rPr>
        <w:t>kcion</w:t>
      </w:r>
      <w:r w:rsidR="003253DE">
        <w:rPr>
          <w:rFonts w:ascii="Arial" w:hAnsi="Arial" w:cs="Arial"/>
          <w:sz w:val="22"/>
          <w:lang w:val="sr-Latn-ME"/>
        </w:rPr>
        <w:t>og</w:t>
      </w:r>
      <w:r w:rsidRPr="00034130">
        <w:rPr>
          <w:rFonts w:ascii="Arial" w:hAnsi="Arial" w:cs="Arial"/>
          <w:sz w:val="22"/>
          <w:lang w:val="sr-Latn-ME"/>
        </w:rPr>
        <w:t xml:space="preserve"> plan</w:t>
      </w:r>
      <w:r w:rsidR="003253DE">
        <w:rPr>
          <w:rFonts w:ascii="Arial" w:hAnsi="Arial" w:cs="Arial"/>
          <w:sz w:val="22"/>
          <w:lang w:val="sr-Latn-ME"/>
        </w:rPr>
        <w:t>a</w:t>
      </w:r>
      <w:r w:rsidRPr="00034130">
        <w:rPr>
          <w:rFonts w:ascii="Arial" w:hAnsi="Arial" w:cs="Arial"/>
          <w:sz w:val="22"/>
          <w:lang w:val="sr-Latn-ME"/>
        </w:rPr>
        <w:t xml:space="preserve"> za period 2025-2026 godine</w:t>
      </w:r>
      <w:r>
        <w:rPr>
          <w:rFonts w:ascii="Arial" w:hAnsi="Arial" w:cs="Arial"/>
          <w:b/>
          <w:sz w:val="22"/>
          <w:lang w:val="sr-Latn-ME"/>
        </w:rPr>
        <w:t>.</w:t>
      </w:r>
    </w:p>
    <w:p w:rsidR="00EC74FA" w:rsidRPr="00812525" w:rsidRDefault="00EC74FA" w:rsidP="00EC74FA">
      <w:pPr>
        <w:spacing w:line="240" w:lineRule="auto"/>
        <w:jc w:val="left"/>
        <w:rPr>
          <w:rFonts w:ascii="Arial" w:hAnsi="Arial" w:cs="Arial"/>
          <w:b/>
          <w:sz w:val="22"/>
          <w:lang w:val="sr-Latn-ME"/>
        </w:rPr>
      </w:pPr>
      <w:r w:rsidRPr="00812525">
        <w:rPr>
          <w:rFonts w:ascii="Arial" w:hAnsi="Arial" w:cs="Arial"/>
          <w:b/>
          <w:sz w:val="22"/>
          <w:lang w:val="sr-Latn-ME"/>
        </w:rPr>
        <w:t>Vrijeme trajanja javne rasprave:</w:t>
      </w:r>
    </w:p>
    <w:p w:rsidR="00EC74FA" w:rsidRPr="00812525" w:rsidRDefault="00EC74FA" w:rsidP="00EC74FA">
      <w:pPr>
        <w:spacing w:line="240" w:lineRule="auto"/>
        <w:jc w:val="left"/>
        <w:rPr>
          <w:rFonts w:ascii="Arial" w:hAnsi="Arial" w:cs="Arial"/>
          <w:sz w:val="22"/>
          <w:lang w:val="sr-Latn-ME"/>
        </w:rPr>
      </w:pPr>
      <w:r w:rsidRPr="00812525">
        <w:rPr>
          <w:rFonts w:ascii="Arial" w:hAnsi="Arial" w:cs="Arial"/>
          <w:sz w:val="22"/>
          <w:lang w:val="sr-Latn-ME"/>
        </w:rPr>
        <w:t xml:space="preserve">Od </w:t>
      </w:r>
      <w:r w:rsidR="00F57629">
        <w:rPr>
          <w:rFonts w:ascii="Arial" w:hAnsi="Arial" w:cs="Arial"/>
          <w:sz w:val="22"/>
          <w:lang w:val="sr-Latn-ME"/>
        </w:rPr>
        <w:t xml:space="preserve">15. maja 2025. godine, </w:t>
      </w:r>
      <w:r w:rsidRPr="00812525">
        <w:rPr>
          <w:rFonts w:ascii="Arial" w:hAnsi="Arial" w:cs="Arial"/>
          <w:sz w:val="22"/>
          <w:lang w:val="sr-Latn-ME"/>
        </w:rPr>
        <w:t xml:space="preserve">do </w:t>
      </w:r>
      <w:r w:rsidR="00F57629">
        <w:rPr>
          <w:rFonts w:ascii="Arial" w:hAnsi="Arial" w:cs="Arial"/>
          <w:sz w:val="22"/>
          <w:lang w:val="sr-Latn-ME"/>
        </w:rPr>
        <w:t>04.</w:t>
      </w:r>
      <w:r w:rsidR="003253DE">
        <w:rPr>
          <w:rFonts w:ascii="Arial" w:hAnsi="Arial" w:cs="Arial"/>
          <w:sz w:val="22"/>
          <w:lang w:val="sr-Latn-ME"/>
        </w:rPr>
        <w:t xml:space="preserve"> </w:t>
      </w:r>
      <w:r w:rsidR="00F57629">
        <w:rPr>
          <w:rFonts w:ascii="Arial" w:hAnsi="Arial" w:cs="Arial"/>
          <w:sz w:val="22"/>
          <w:lang w:val="sr-Latn-ME"/>
        </w:rPr>
        <w:t>juna 2025.godine</w:t>
      </w:r>
    </w:p>
    <w:p w:rsidR="00EC74FA" w:rsidRPr="00812525" w:rsidRDefault="00EC74FA" w:rsidP="00EC74FA">
      <w:pPr>
        <w:spacing w:line="240" w:lineRule="auto"/>
        <w:jc w:val="left"/>
        <w:rPr>
          <w:rFonts w:ascii="Arial" w:hAnsi="Arial" w:cs="Arial"/>
          <w:sz w:val="22"/>
          <w:lang w:val="sr-Latn-ME"/>
        </w:rPr>
      </w:pPr>
      <w:r w:rsidRPr="00812525">
        <w:rPr>
          <w:rFonts w:ascii="Arial" w:hAnsi="Arial" w:cs="Arial"/>
          <w:b/>
          <w:sz w:val="22"/>
          <w:lang w:val="sr-Latn-ME"/>
        </w:rPr>
        <w:t>Način sprovođenja javne rasprave</w:t>
      </w:r>
      <w:r w:rsidRPr="00812525">
        <w:rPr>
          <w:rFonts w:ascii="Arial" w:hAnsi="Arial" w:cs="Arial"/>
          <w:sz w:val="22"/>
          <w:lang w:val="sr-Latn-ME"/>
        </w:rPr>
        <w:t>:</w:t>
      </w:r>
    </w:p>
    <w:p w:rsidR="00EC74FA" w:rsidRPr="00812525" w:rsidRDefault="00EC74FA" w:rsidP="00812525">
      <w:pPr>
        <w:spacing w:line="240" w:lineRule="auto"/>
        <w:rPr>
          <w:rFonts w:ascii="Arial" w:hAnsi="Arial" w:cs="Arial"/>
          <w:sz w:val="22"/>
          <w:lang w:val="sr-Latn-ME"/>
        </w:rPr>
      </w:pPr>
      <w:r w:rsidRPr="00812525">
        <w:rPr>
          <w:rFonts w:ascii="Arial" w:hAnsi="Arial" w:cs="Arial"/>
          <w:sz w:val="22"/>
          <w:lang w:val="sr-Latn-ME"/>
        </w:rPr>
        <w:t xml:space="preserve">Organizacija okruglog stola u Podgorici, </w:t>
      </w:r>
      <w:r w:rsidR="00F57629">
        <w:rPr>
          <w:rFonts w:ascii="Arial" w:hAnsi="Arial" w:cs="Arial"/>
          <w:sz w:val="22"/>
          <w:lang w:val="sr-Latn-ME"/>
        </w:rPr>
        <w:t>30</w:t>
      </w:r>
      <w:r w:rsidR="0085375B">
        <w:rPr>
          <w:rFonts w:ascii="Arial" w:hAnsi="Arial" w:cs="Arial"/>
          <w:sz w:val="22"/>
          <w:lang w:val="sr-Latn-ME"/>
        </w:rPr>
        <w:t xml:space="preserve">-og </w:t>
      </w:r>
      <w:r w:rsidR="00F57629">
        <w:rPr>
          <w:rFonts w:ascii="Arial" w:hAnsi="Arial" w:cs="Arial"/>
          <w:sz w:val="22"/>
          <w:lang w:val="sr-Latn-ME"/>
        </w:rPr>
        <w:t>maj</w:t>
      </w:r>
      <w:r w:rsidR="0085375B">
        <w:rPr>
          <w:rFonts w:ascii="Arial" w:hAnsi="Arial" w:cs="Arial"/>
          <w:sz w:val="22"/>
          <w:lang w:val="sr-Latn-ME"/>
        </w:rPr>
        <w:t>a</w:t>
      </w:r>
      <w:r w:rsidR="00F57629">
        <w:rPr>
          <w:rFonts w:ascii="Arial" w:hAnsi="Arial" w:cs="Arial"/>
          <w:sz w:val="22"/>
          <w:lang w:val="sr-Latn-ME"/>
        </w:rPr>
        <w:t xml:space="preserve"> 2025.</w:t>
      </w:r>
      <w:r w:rsidR="003253DE">
        <w:rPr>
          <w:rFonts w:ascii="Arial" w:hAnsi="Arial" w:cs="Arial"/>
          <w:sz w:val="22"/>
          <w:lang w:val="sr-Latn-ME"/>
        </w:rPr>
        <w:t xml:space="preserve"> </w:t>
      </w:r>
      <w:r w:rsidR="00F57629">
        <w:rPr>
          <w:rFonts w:ascii="Arial" w:hAnsi="Arial" w:cs="Arial"/>
          <w:sz w:val="22"/>
          <w:lang w:val="sr-Latn-ME"/>
        </w:rPr>
        <w:t>godine</w:t>
      </w:r>
      <w:r w:rsidR="003253DE">
        <w:rPr>
          <w:rFonts w:ascii="Arial" w:hAnsi="Arial" w:cs="Arial"/>
          <w:sz w:val="22"/>
          <w:lang w:val="sr-Latn-ME"/>
        </w:rPr>
        <w:t xml:space="preserve"> </w:t>
      </w:r>
      <w:r w:rsidRPr="00812525">
        <w:rPr>
          <w:rFonts w:ascii="Arial" w:hAnsi="Arial" w:cs="Arial"/>
          <w:sz w:val="22"/>
          <w:lang w:val="sr-Latn-ME"/>
        </w:rPr>
        <w:t>u prostorijama</w:t>
      </w:r>
      <w:r w:rsidR="00F57629">
        <w:rPr>
          <w:rFonts w:ascii="Arial" w:hAnsi="Arial" w:cs="Arial"/>
          <w:sz w:val="22"/>
          <w:lang w:val="sr-Latn-ME"/>
        </w:rPr>
        <w:t xml:space="preserve"> Ministarstva finansija.</w:t>
      </w:r>
    </w:p>
    <w:p w:rsidR="00EC74FA" w:rsidRPr="00812525" w:rsidRDefault="00EC74FA" w:rsidP="00812525">
      <w:pPr>
        <w:spacing w:line="240" w:lineRule="auto"/>
        <w:rPr>
          <w:rFonts w:ascii="Arial" w:hAnsi="Arial" w:cs="Arial"/>
          <w:b/>
          <w:sz w:val="22"/>
          <w:lang w:val="sr-Latn-ME"/>
        </w:rPr>
      </w:pPr>
      <w:r w:rsidRPr="00812525">
        <w:rPr>
          <w:rFonts w:ascii="Arial" w:hAnsi="Arial" w:cs="Arial"/>
          <w:b/>
          <w:sz w:val="22"/>
          <w:lang w:val="sr-Latn-ME"/>
        </w:rPr>
        <w:t>Adresa i način dostavljanja primjedbi, predloga i sugestija:</w:t>
      </w:r>
    </w:p>
    <w:p w:rsidR="00EC74FA" w:rsidRDefault="00EC74FA" w:rsidP="00812525">
      <w:pPr>
        <w:spacing w:line="240" w:lineRule="auto"/>
        <w:rPr>
          <w:rFonts w:ascii="Arial" w:hAnsi="Arial" w:cs="Arial"/>
          <w:sz w:val="22"/>
          <w:lang w:val="sr-Latn-ME"/>
        </w:rPr>
      </w:pPr>
      <w:r w:rsidRPr="00812525">
        <w:rPr>
          <w:rFonts w:ascii="Arial" w:hAnsi="Arial" w:cs="Arial"/>
          <w:sz w:val="22"/>
          <w:lang w:val="sr-Latn-ME"/>
        </w:rPr>
        <w:t>Primjedbe, prijedlozi i sugestije na nacrt strategije za borbu protiv prevara i upravljanje nepravilnostima u cilju zaštite finansijskih interesa evropske unije za period 2025 - 2028 godine i pratećeg</w:t>
      </w:r>
      <w:r w:rsidR="00E06AFF">
        <w:rPr>
          <w:rFonts w:ascii="Arial" w:hAnsi="Arial" w:cs="Arial"/>
          <w:sz w:val="22"/>
          <w:lang w:val="sr-Latn-ME"/>
        </w:rPr>
        <w:t xml:space="preserve"> A</w:t>
      </w:r>
      <w:r w:rsidRPr="00812525">
        <w:rPr>
          <w:rFonts w:ascii="Arial" w:hAnsi="Arial" w:cs="Arial"/>
          <w:sz w:val="22"/>
          <w:lang w:val="sr-Latn-ME"/>
        </w:rPr>
        <w:t>kcionog plana za period 2025-2026 godine, dostavlja</w:t>
      </w:r>
      <w:r w:rsidR="00034130">
        <w:rPr>
          <w:rFonts w:ascii="Arial" w:hAnsi="Arial" w:cs="Arial"/>
          <w:sz w:val="22"/>
          <w:lang w:val="sr-Latn-ME"/>
        </w:rPr>
        <w:t>li su</w:t>
      </w:r>
      <w:r w:rsidRPr="00812525">
        <w:rPr>
          <w:rFonts w:ascii="Arial" w:hAnsi="Arial" w:cs="Arial"/>
          <w:sz w:val="22"/>
          <w:lang w:val="sr-Latn-ME"/>
        </w:rPr>
        <w:t xml:space="preserve"> se </w:t>
      </w:r>
      <w:r w:rsidRPr="00812525">
        <w:rPr>
          <w:rFonts w:ascii="Arial" w:hAnsi="Arial" w:cs="Arial"/>
          <w:b/>
          <w:sz w:val="22"/>
          <w:lang w:val="sr-Latn-ME"/>
        </w:rPr>
        <w:t>Ministarstvu finansija na adresu</w:t>
      </w:r>
      <w:r w:rsidRPr="00812525">
        <w:rPr>
          <w:rFonts w:ascii="Arial" w:hAnsi="Arial" w:cs="Arial"/>
          <w:sz w:val="22"/>
          <w:lang w:val="sr-Latn-ME"/>
        </w:rPr>
        <w:t xml:space="preserve"> </w:t>
      </w:r>
      <w:r w:rsidRPr="00812525">
        <w:rPr>
          <w:rFonts w:ascii="Arial" w:hAnsi="Arial" w:cs="Arial"/>
          <w:b/>
          <w:sz w:val="22"/>
          <w:lang w:val="sr-Latn-ME"/>
        </w:rPr>
        <w:t xml:space="preserve">Ul. Stanka Dragojevića 2, 81000 Podgorica ili elektronskim putem na e-mail: </w:t>
      </w:r>
      <w:hyperlink r:id="rId9" w:history="1">
        <w:r w:rsidRPr="00812525">
          <w:rPr>
            <w:rStyle w:val="Hyperlink"/>
            <w:rFonts w:ascii="Arial" w:hAnsi="Arial" w:cs="Arial"/>
            <w:b/>
            <w:sz w:val="22"/>
            <w:lang w:val="sr-Latn-ME"/>
          </w:rPr>
          <w:t>anja.carapic@mif.gov.me</w:t>
        </w:r>
      </w:hyperlink>
      <w:r w:rsidRPr="00812525">
        <w:rPr>
          <w:rFonts w:ascii="Arial" w:hAnsi="Arial" w:cs="Arial"/>
          <w:b/>
          <w:sz w:val="22"/>
          <w:lang w:val="sr-Latn-ME"/>
        </w:rPr>
        <w:t xml:space="preserve"> i to na Obrascu 4:“ Primjedbe, predlozi i sugestije“, koji je sastavni dio </w:t>
      </w:r>
      <w:r w:rsidRPr="00812525">
        <w:rPr>
          <w:rFonts w:ascii="Arial" w:hAnsi="Arial" w:cs="Arial"/>
          <w:sz w:val="22"/>
          <w:lang w:val="sr-Latn-ME"/>
        </w:rPr>
        <w:t>Uredbe o izboru predstvanika nevladinih organizacija u radna tijela organa državne uprave i sprovođenju javne rasprave u pripremi zakona i strate</w:t>
      </w:r>
      <w:r w:rsidR="00427136">
        <w:rPr>
          <w:rFonts w:ascii="Arial" w:hAnsi="Arial" w:cs="Arial"/>
          <w:sz w:val="22"/>
          <w:lang w:val="sr-Latn-ME"/>
        </w:rPr>
        <w:t>g</w:t>
      </w:r>
      <w:r w:rsidRPr="00812525">
        <w:rPr>
          <w:rFonts w:ascii="Arial" w:hAnsi="Arial" w:cs="Arial"/>
          <w:sz w:val="22"/>
          <w:lang w:val="sr-Latn-ME"/>
        </w:rPr>
        <w:t>ija  („Službeni list Crne Gore“, br. 41/18).</w:t>
      </w:r>
    </w:p>
    <w:p w:rsidR="008B595A" w:rsidRDefault="0071603F" w:rsidP="00812525">
      <w:pPr>
        <w:spacing w:line="240" w:lineRule="auto"/>
        <w:rPr>
          <w:rFonts w:ascii="Arial" w:hAnsi="Arial" w:cs="Arial"/>
          <w:sz w:val="22"/>
          <w:lang w:val="sr-Latn-ME"/>
        </w:rPr>
      </w:pPr>
      <w:r>
        <w:rPr>
          <w:rFonts w:ascii="Arial" w:hAnsi="Arial" w:cs="Arial"/>
          <w:sz w:val="22"/>
          <w:lang w:val="sr-Latn-ME"/>
        </w:rPr>
        <w:t>U vezi sa predmetnom Javnom raspravom, pristigl</w:t>
      </w:r>
      <w:r w:rsidR="00427136">
        <w:rPr>
          <w:rFonts w:ascii="Arial" w:hAnsi="Arial" w:cs="Arial"/>
          <w:sz w:val="22"/>
          <w:lang w:val="sr-Latn-ME"/>
        </w:rPr>
        <w:t>e</w:t>
      </w:r>
      <w:r>
        <w:rPr>
          <w:rFonts w:ascii="Arial" w:hAnsi="Arial" w:cs="Arial"/>
          <w:sz w:val="22"/>
          <w:lang w:val="sr-Latn-ME"/>
        </w:rPr>
        <w:t xml:space="preserve"> primjedb</w:t>
      </w:r>
      <w:r w:rsidR="00427136">
        <w:rPr>
          <w:rFonts w:ascii="Arial" w:hAnsi="Arial" w:cs="Arial"/>
          <w:sz w:val="22"/>
          <w:lang w:val="sr-Latn-ME"/>
        </w:rPr>
        <w:t>e</w:t>
      </w:r>
      <w:r>
        <w:rPr>
          <w:rFonts w:ascii="Arial" w:hAnsi="Arial" w:cs="Arial"/>
          <w:sz w:val="22"/>
          <w:lang w:val="sr-Latn-ME"/>
        </w:rPr>
        <w:t>, predlo</w:t>
      </w:r>
      <w:r w:rsidR="008B595A">
        <w:rPr>
          <w:rFonts w:ascii="Arial" w:hAnsi="Arial" w:cs="Arial"/>
          <w:sz w:val="22"/>
          <w:lang w:val="sr-Latn-ME"/>
        </w:rPr>
        <w:t>z</w:t>
      </w:r>
      <w:r w:rsidR="00427136">
        <w:rPr>
          <w:rFonts w:ascii="Arial" w:hAnsi="Arial" w:cs="Arial"/>
          <w:sz w:val="22"/>
          <w:lang w:val="sr-Latn-ME"/>
        </w:rPr>
        <w:t>i</w:t>
      </w:r>
      <w:r>
        <w:rPr>
          <w:rFonts w:ascii="Arial" w:hAnsi="Arial" w:cs="Arial"/>
          <w:sz w:val="22"/>
          <w:lang w:val="sr-Latn-ME"/>
        </w:rPr>
        <w:t xml:space="preserve"> i sugestij</w:t>
      </w:r>
      <w:r w:rsidR="00427136">
        <w:rPr>
          <w:rFonts w:ascii="Arial" w:hAnsi="Arial" w:cs="Arial"/>
          <w:sz w:val="22"/>
          <w:lang w:val="sr-Latn-ME"/>
        </w:rPr>
        <w:t>e</w:t>
      </w:r>
      <w:r>
        <w:rPr>
          <w:rFonts w:ascii="Arial" w:hAnsi="Arial" w:cs="Arial"/>
          <w:sz w:val="22"/>
          <w:lang w:val="sr-Latn-ME"/>
        </w:rPr>
        <w:t xml:space="preserve"> na</w:t>
      </w:r>
      <w:r w:rsidRPr="00910162">
        <w:rPr>
          <w:rFonts w:ascii="Arial" w:hAnsi="Arial" w:cs="Arial"/>
          <w:sz w:val="22"/>
          <w:lang w:val="sr-Latn-ME"/>
        </w:rPr>
        <w:t xml:space="preserve"> </w:t>
      </w:r>
      <w:proofErr w:type="spellStart"/>
      <w:r w:rsidRPr="0071603F">
        <w:rPr>
          <w:rFonts w:ascii="Arial" w:hAnsi="Arial" w:cs="Arial"/>
          <w:sz w:val="22"/>
          <w:lang w:val="en-US"/>
        </w:rPr>
        <w:t>Nacrt</w:t>
      </w:r>
      <w:proofErr w:type="spellEnd"/>
      <w:r w:rsidRPr="00910162">
        <w:rPr>
          <w:rFonts w:ascii="Arial" w:hAnsi="Arial" w:cs="Arial"/>
          <w:sz w:val="22"/>
          <w:lang w:val="sr-Latn-ME"/>
        </w:rPr>
        <w:t xml:space="preserve"> </w:t>
      </w:r>
      <w:r w:rsidRPr="0071603F">
        <w:rPr>
          <w:rFonts w:ascii="Arial" w:hAnsi="Arial" w:cs="Arial"/>
          <w:sz w:val="22"/>
          <w:lang w:val="sr-Latn-ME"/>
        </w:rPr>
        <w:t>Strategije za borbu protiv prevara i upravljanje nepravilnostima u cilju zaštite finansijskih interesa Evropske unije za period 2025 - 2028 godine i prateć</w:t>
      </w:r>
      <w:r>
        <w:rPr>
          <w:rFonts w:ascii="Arial" w:hAnsi="Arial" w:cs="Arial"/>
          <w:sz w:val="22"/>
          <w:lang w:val="sr-Latn-ME"/>
        </w:rPr>
        <w:t>eg</w:t>
      </w:r>
      <w:r w:rsidRPr="0071603F">
        <w:rPr>
          <w:rFonts w:ascii="Arial" w:hAnsi="Arial" w:cs="Arial"/>
          <w:sz w:val="22"/>
          <w:lang w:val="sr-Latn-ME"/>
        </w:rPr>
        <w:t xml:space="preserve"> Akcion</w:t>
      </w:r>
      <w:r>
        <w:rPr>
          <w:rFonts w:ascii="Arial" w:hAnsi="Arial" w:cs="Arial"/>
          <w:sz w:val="22"/>
          <w:lang w:val="sr-Latn-ME"/>
        </w:rPr>
        <w:t>og</w:t>
      </w:r>
      <w:r w:rsidRPr="0071603F">
        <w:rPr>
          <w:rFonts w:ascii="Arial" w:hAnsi="Arial" w:cs="Arial"/>
          <w:sz w:val="22"/>
          <w:lang w:val="sr-Latn-ME"/>
        </w:rPr>
        <w:t xml:space="preserve"> plan</w:t>
      </w:r>
      <w:r>
        <w:rPr>
          <w:rFonts w:ascii="Arial" w:hAnsi="Arial" w:cs="Arial"/>
          <w:sz w:val="22"/>
          <w:lang w:val="sr-Latn-ME"/>
        </w:rPr>
        <w:t>a</w:t>
      </w:r>
      <w:r w:rsidRPr="0071603F">
        <w:rPr>
          <w:rFonts w:ascii="Arial" w:hAnsi="Arial" w:cs="Arial"/>
          <w:sz w:val="22"/>
          <w:lang w:val="sr-Latn-ME"/>
        </w:rPr>
        <w:t xml:space="preserve"> za period 2025-2026 godine</w:t>
      </w:r>
      <w:r>
        <w:rPr>
          <w:rFonts w:ascii="Arial" w:hAnsi="Arial" w:cs="Arial"/>
          <w:b/>
          <w:sz w:val="22"/>
          <w:lang w:val="sr-Latn-ME"/>
        </w:rPr>
        <w:t xml:space="preserve">, </w:t>
      </w:r>
      <w:r w:rsidR="00427136">
        <w:rPr>
          <w:rFonts w:ascii="Arial" w:hAnsi="Arial" w:cs="Arial"/>
          <w:sz w:val="22"/>
          <w:lang w:val="sr-Latn-ME"/>
        </w:rPr>
        <w:t>stigle su u elektronskoj formi i putem arhive, od strane g-dina Omera Markišića i gđe Ines Mrdović</w:t>
      </w:r>
      <w:r w:rsidR="00E06AFF">
        <w:rPr>
          <w:rFonts w:ascii="Arial" w:hAnsi="Arial" w:cs="Arial"/>
          <w:sz w:val="22"/>
          <w:lang w:val="sr-Latn-ME"/>
        </w:rPr>
        <w:t xml:space="preserve"> iz </w:t>
      </w:r>
      <w:r w:rsidR="00E06AFF" w:rsidRPr="00E06AFF">
        <w:rPr>
          <w:rFonts w:ascii="Arial" w:hAnsi="Arial" w:cs="Arial"/>
          <w:sz w:val="22"/>
          <w:lang w:val="sr-Latn-ME"/>
        </w:rPr>
        <w:t>NVO-a Akcija za socijalnu pravdu</w:t>
      </w:r>
      <w:r w:rsidR="00E06AFF">
        <w:rPr>
          <w:rFonts w:ascii="Arial" w:hAnsi="Arial" w:cs="Arial"/>
          <w:sz w:val="22"/>
          <w:lang w:val="sr-Latn-ME"/>
        </w:rPr>
        <w:t>. Tabelarnim prikazom su predstavljene primjedbe,</w:t>
      </w:r>
      <w:r w:rsidR="00B72F5D">
        <w:rPr>
          <w:rFonts w:ascii="Arial" w:hAnsi="Arial" w:cs="Arial"/>
          <w:sz w:val="22"/>
          <w:lang w:val="sr-Latn-ME"/>
        </w:rPr>
        <w:t xml:space="preserve"> </w:t>
      </w:r>
      <w:r w:rsidR="00E06AFF">
        <w:rPr>
          <w:rFonts w:ascii="Arial" w:hAnsi="Arial" w:cs="Arial"/>
          <w:sz w:val="22"/>
          <w:lang w:val="sr-Latn-ME"/>
        </w:rPr>
        <w:t>predlozi i sugestije, kao i odgovori Ministarstva finansija.</w:t>
      </w:r>
    </w:p>
    <w:p w:rsidR="008B595A" w:rsidRDefault="008B595A" w:rsidP="00812525">
      <w:pPr>
        <w:spacing w:line="240" w:lineRule="auto"/>
        <w:rPr>
          <w:rFonts w:ascii="Arial" w:hAnsi="Arial" w:cs="Arial"/>
          <w:sz w:val="22"/>
          <w:lang w:val="sr-Latn-ME"/>
        </w:rPr>
      </w:pPr>
    </w:p>
    <w:p w:rsidR="008B595A" w:rsidRPr="008B595A" w:rsidRDefault="008B595A" w:rsidP="008B595A">
      <w:pPr>
        <w:spacing w:line="240" w:lineRule="auto"/>
        <w:rPr>
          <w:rFonts w:ascii="Arial" w:hAnsi="Arial" w:cs="Arial"/>
          <w:b/>
          <w:sz w:val="22"/>
          <w:lang w:val="sr-Latn-ME"/>
        </w:rPr>
      </w:pPr>
      <w:r w:rsidRPr="008B595A">
        <w:rPr>
          <w:rFonts w:ascii="Arial" w:hAnsi="Arial" w:cs="Arial"/>
          <w:b/>
          <w:sz w:val="22"/>
        </w:rPr>
        <w:t xml:space="preserve">PITANJA I SUGESTIJE DOSTAVLJENI PISANIM PUTEM I RELEVANTNI ODGOVORI – </w:t>
      </w:r>
      <w:r>
        <w:rPr>
          <w:rFonts w:ascii="Arial" w:hAnsi="Arial" w:cs="Arial"/>
          <w:b/>
          <w:sz w:val="22"/>
        </w:rPr>
        <w:t>Omer Markišić</w:t>
      </w:r>
    </w:p>
    <w:p w:rsidR="00427136" w:rsidRPr="0071603F" w:rsidRDefault="00427136" w:rsidP="00812525">
      <w:pPr>
        <w:spacing w:line="240" w:lineRule="auto"/>
        <w:rPr>
          <w:rFonts w:ascii="Arial" w:hAnsi="Arial" w:cs="Arial"/>
          <w:b/>
          <w:sz w:val="22"/>
          <w:lang w:val="sr-Latn-ME"/>
        </w:rPr>
      </w:pPr>
    </w:p>
    <w:p w:rsidR="005B6717" w:rsidRDefault="005B6717" w:rsidP="00812525">
      <w:pPr>
        <w:rPr>
          <w:rFonts w:ascii="Arial" w:hAnsi="Arial" w:cs="Arial"/>
          <w:sz w:val="22"/>
          <w:lang w:val="sr-Latn-ME"/>
        </w:rPr>
      </w:pPr>
    </w:p>
    <w:tbl>
      <w:tblPr>
        <w:tblStyle w:val="TableGrid"/>
        <w:tblW w:w="9720" w:type="dxa"/>
        <w:tblInd w:w="-5" w:type="dxa"/>
        <w:tblLook w:val="04A0" w:firstRow="1" w:lastRow="0" w:firstColumn="1" w:lastColumn="0" w:noHBand="0" w:noVBand="1"/>
      </w:tblPr>
      <w:tblGrid>
        <w:gridCol w:w="498"/>
        <w:gridCol w:w="3199"/>
        <w:gridCol w:w="2838"/>
        <w:gridCol w:w="3185"/>
      </w:tblGrid>
      <w:tr w:rsidR="005B6717" w:rsidRPr="005B6717" w:rsidTr="005B6717">
        <w:tc>
          <w:tcPr>
            <w:tcW w:w="299" w:type="dxa"/>
            <w:shd w:val="clear" w:color="auto" w:fill="D9D9D9" w:themeFill="background1" w:themeFillShade="D9"/>
          </w:tcPr>
          <w:p w:rsidR="005B6717" w:rsidRPr="005B6717" w:rsidRDefault="005B6717" w:rsidP="005B6717">
            <w:pPr>
              <w:rPr>
                <w:rFonts w:ascii="Arial" w:hAnsi="Arial" w:cs="Arial"/>
                <w:sz w:val="22"/>
                <w:lang w:val="sr-Latn-ME"/>
              </w:rPr>
            </w:pPr>
            <w:r w:rsidRPr="005B6717">
              <w:rPr>
                <w:rFonts w:ascii="Arial" w:hAnsi="Arial" w:cs="Arial"/>
                <w:sz w:val="22"/>
                <w:lang w:val="sr-Latn-ME"/>
              </w:rPr>
              <w:t>Br.</w:t>
            </w:r>
          </w:p>
        </w:tc>
        <w:tc>
          <w:tcPr>
            <w:tcW w:w="3025" w:type="dxa"/>
            <w:shd w:val="clear" w:color="auto" w:fill="D9D9D9" w:themeFill="background1" w:themeFillShade="D9"/>
          </w:tcPr>
          <w:p w:rsidR="005B6717" w:rsidRPr="008B595A" w:rsidRDefault="005B6717" w:rsidP="005B6717">
            <w:pPr>
              <w:rPr>
                <w:rFonts w:ascii="Arial" w:hAnsi="Arial" w:cs="Arial"/>
                <w:b/>
                <w:sz w:val="22"/>
                <w:lang w:val="sr-Latn-ME"/>
              </w:rPr>
            </w:pPr>
            <w:r w:rsidRPr="008B595A">
              <w:rPr>
                <w:rFonts w:ascii="Arial" w:hAnsi="Arial" w:cs="Arial"/>
                <w:b/>
                <w:sz w:val="22"/>
                <w:lang w:val="sr-Latn-ME"/>
              </w:rPr>
              <w:t>Primjedbe/predlozi/sugestije</w:t>
            </w:r>
          </w:p>
        </w:tc>
        <w:tc>
          <w:tcPr>
            <w:tcW w:w="2957" w:type="dxa"/>
            <w:shd w:val="clear" w:color="auto" w:fill="D9D9D9" w:themeFill="background1" w:themeFillShade="D9"/>
          </w:tcPr>
          <w:p w:rsidR="005B6717" w:rsidRPr="008B595A" w:rsidRDefault="005B6717" w:rsidP="005B6717">
            <w:pPr>
              <w:rPr>
                <w:rFonts w:ascii="Arial" w:hAnsi="Arial" w:cs="Arial"/>
                <w:b/>
                <w:sz w:val="22"/>
                <w:lang w:val="sr-Latn-ME"/>
              </w:rPr>
            </w:pPr>
            <w:r w:rsidRPr="008B595A">
              <w:rPr>
                <w:rFonts w:ascii="Arial" w:hAnsi="Arial" w:cs="Arial"/>
                <w:b/>
                <w:sz w:val="22"/>
                <w:lang w:val="sr-Latn-ME"/>
              </w:rPr>
              <w:t>Obrazloženje</w:t>
            </w:r>
            <w:r w:rsidR="008B595A">
              <w:rPr>
                <w:rFonts w:ascii="Arial" w:hAnsi="Arial" w:cs="Arial"/>
                <w:b/>
                <w:sz w:val="22"/>
                <w:lang w:val="sr-Latn-ME"/>
              </w:rPr>
              <w:t xml:space="preserve"> lica koje dostavlja primjedbe/ predloge/sugestije</w:t>
            </w:r>
          </w:p>
        </w:tc>
        <w:tc>
          <w:tcPr>
            <w:tcW w:w="3439" w:type="dxa"/>
            <w:shd w:val="clear" w:color="auto" w:fill="D9D9D9" w:themeFill="background1" w:themeFillShade="D9"/>
          </w:tcPr>
          <w:p w:rsidR="005B6717" w:rsidRPr="008B595A" w:rsidRDefault="005B6717" w:rsidP="005B6717">
            <w:pPr>
              <w:rPr>
                <w:rFonts w:ascii="Arial" w:hAnsi="Arial" w:cs="Arial"/>
                <w:b/>
                <w:sz w:val="22"/>
                <w:lang w:val="sr-Latn-ME"/>
              </w:rPr>
            </w:pPr>
            <w:r w:rsidRPr="008B595A">
              <w:rPr>
                <w:rFonts w:ascii="Arial" w:hAnsi="Arial" w:cs="Arial"/>
                <w:b/>
                <w:sz w:val="22"/>
                <w:lang w:val="sr-Latn-ME"/>
              </w:rPr>
              <w:t xml:space="preserve">Odgovor Ministarstva finansija/ Direktorat za inspekcijski nadzor i zaštitu finansijskih interesa EU/ Direkcija za zaštitu </w:t>
            </w:r>
            <w:r w:rsidRPr="008B595A">
              <w:rPr>
                <w:rFonts w:ascii="Arial" w:hAnsi="Arial" w:cs="Arial"/>
                <w:b/>
                <w:sz w:val="22"/>
                <w:lang w:val="sr-Latn-ME"/>
              </w:rPr>
              <w:lastRenderedPageBreak/>
              <w:t>finansijskih interesa EU/AFCOS</w:t>
            </w:r>
          </w:p>
        </w:tc>
      </w:tr>
      <w:tr w:rsidR="005B6717" w:rsidRPr="005B6717" w:rsidTr="005B6717">
        <w:tc>
          <w:tcPr>
            <w:tcW w:w="299"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lastRenderedPageBreak/>
              <w:t>1)</w:t>
            </w:r>
          </w:p>
        </w:tc>
        <w:tc>
          <w:tcPr>
            <w:tcW w:w="3025" w:type="dxa"/>
          </w:tcPr>
          <w:p w:rsidR="005B6717" w:rsidRPr="00710C89" w:rsidRDefault="005B6717" w:rsidP="005B6717">
            <w:pPr>
              <w:rPr>
                <w:rFonts w:ascii="Arial" w:hAnsi="Arial" w:cs="Arial"/>
                <w:sz w:val="22"/>
                <w:lang w:val="sr-Latn-ME"/>
              </w:rPr>
            </w:pPr>
            <w:r w:rsidRPr="005B6717">
              <w:rPr>
                <w:rFonts w:ascii="Arial" w:hAnsi="Arial" w:cs="Arial"/>
                <w:sz w:val="22"/>
                <w:lang w:val="sr-Latn-ME"/>
              </w:rPr>
              <w:t>Primjedba/predlog/sugestija 1:</w:t>
            </w:r>
          </w:p>
          <w:p w:rsidR="003F3D18" w:rsidRPr="005B6717" w:rsidRDefault="005B6717" w:rsidP="005B6717">
            <w:pPr>
              <w:rPr>
                <w:rFonts w:ascii="Arial" w:hAnsi="Arial" w:cs="Arial"/>
                <w:sz w:val="22"/>
                <w:lang w:val="sr-Latn-ME"/>
              </w:rPr>
            </w:pPr>
            <w:r w:rsidRPr="005B6717">
              <w:rPr>
                <w:rFonts w:ascii="Arial" w:hAnsi="Arial" w:cs="Arial"/>
                <w:b/>
                <w:sz w:val="22"/>
                <w:lang w:val="sr-Latn-ME"/>
              </w:rPr>
              <w:t xml:space="preserve">Glavni identifikovani rizici i preporučene mjere za novu </w:t>
            </w:r>
            <w:r w:rsidR="00B72F5D">
              <w:rPr>
                <w:rFonts w:ascii="Arial" w:hAnsi="Arial" w:cs="Arial"/>
                <w:b/>
                <w:sz w:val="22"/>
                <w:lang w:val="sr-Latn-ME"/>
              </w:rPr>
              <w:t>S</w:t>
            </w:r>
            <w:r w:rsidRPr="005B6717">
              <w:rPr>
                <w:rFonts w:ascii="Arial" w:hAnsi="Arial" w:cs="Arial"/>
                <w:b/>
                <w:sz w:val="22"/>
                <w:lang w:val="sr-Latn-ME"/>
              </w:rPr>
              <w:t>trategiju</w:t>
            </w:r>
          </w:p>
        </w:tc>
        <w:tc>
          <w:tcPr>
            <w:tcW w:w="2957"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t>Glavni identifikovani rizici i preporučene mjere za novu Strategiju treba da korenspodiraju sa predloženim mjerama</w:t>
            </w:r>
            <w:r w:rsidR="00E06AFF">
              <w:rPr>
                <w:rFonts w:ascii="Arial" w:hAnsi="Arial" w:cs="Arial"/>
                <w:sz w:val="22"/>
                <w:lang w:val="sr-Latn-ME"/>
              </w:rPr>
              <w:t>.</w:t>
            </w:r>
          </w:p>
        </w:tc>
        <w:tc>
          <w:tcPr>
            <w:tcW w:w="3439"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t>Svaka predložena mjera u okviru Akcionog plana odgovara određenom identifikovanom riziku i/ili preporuci datoj prilikom evaluacije prethodne  Strategije.</w:t>
            </w:r>
          </w:p>
          <w:p w:rsidR="005B6717" w:rsidRPr="00710C89" w:rsidRDefault="005B6717" w:rsidP="005B6717">
            <w:pPr>
              <w:rPr>
                <w:rFonts w:ascii="Arial" w:hAnsi="Arial" w:cs="Arial"/>
                <w:b/>
                <w:sz w:val="22"/>
                <w:lang w:val="sr-Latn-ME"/>
              </w:rPr>
            </w:pPr>
            <w:r w:rsidRPr="00710C89">
              <w:rPr>
                <w:rFonts w:ascii="Arial" w:hAnsi="Arial" w:cs="Arial"/>
                <w:b/>
                <w:sz w:val="22"/>
                <w:lang w:val="sr-Latn-ME"/>
              </w:rPr>
              <w:t>Ni</w:t>
            </w:r>
            <w:r w:rsidR="00E06AFF" w:rsidRPr="00710C89">
              <w:rPr>
                <w:rFonts w:ascii="Arial" w:hAnsi="Arial" w:cs="Arial"/>
                <w:b/>
                <w:sz w:val="22"/>
                <w:lang w:val="sr-Latn-ME"/>
              </w:rPr>
              <w:t>je</w:t>
            </w:r>
            <w:r w:rsidRPr="00710C89">
              <w:rPr>
                <w:rFonts w:ascii="Arial" w:hAnsi="Arial" w:cs="Arial"/>
                <w:b/>
                <w:sz w:val="22"/>
                <w:lang w:val="sr-Latn-ME"/>
              </w:rPr>
              <w:t>su potrebne dodatne izmjene nacrta Strategije po ovom pitanju.</w:t>
            </w:r>
          </w:p>
        </w:tc>
      </w:tr>
      <w:tr w:rsidR="005B6717" w:rsidRPr="005B6717" w:rsidTr="005B6717">
        <w:tc>
          <w:tcPr>
            <w:tcW w:w="299"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t>2)</w:t>
            </w:r>
          </w:p>
        </w:tc>
        <w:tc>
          <w:tcPr>
            <w:tcW w:w="3025" w:type="dxa"/>
          </w:tcPr>
          <w:p w:rsidR="005B6717" w:rsidRPr="00710C89" w:rsidRDefault="005B6717" w:rsidP="005B6717">
            <w:pPr>
              <w:rPr>
                <w:rFonts w:ascii="Arial" w:hAnsi="Arial" w:cs="Arial"/>
                <w:sz w:val="22"/>
                <w:lang w:val="sr-Latn-ME"/>
              </w:rPr>
            </w:pPr>
            <w:r w:rsidRPr="005B6717">
              <w:rPr>
                <w:rFonts w:ascii="Arial" w:hAnsi="Arial" w:cs="Arial"/>
                <w:sz w:val="22"/>
                <w:lang w:val="sr-Latn-ME"/>
              </w:rPr>
              <w:t>Primjedba/predlog/sugestija 2:</w:t>
            </w:r>
          </w:p>
          <w:p w:rsidR="003F3D18" w:rsidRPr="005B6717" w:rsidRDefault="00580ED1" w:rsidP="005B6717">
            <w:pPr>
              <w:rPr>
                <w:rFonts w:ascii="Arial" w:hAnsi="Arial" w:cs="Arial"/>
                <w:b/>
                <w:sz w:val="22"/>
                <w:lang w:val="sr-Latn-ME"/>
              </w:rPr>
            </w:pPr>
            <w:r w:rsidRPr="005B6717">
              <w:rPr>
                <w:rFonts w:ascii="Arial" w:hAnsi="Arial" w:cs="Arial"/>
                <w:b/>
                <w:sz w:val="22"/>
                <w:lang w:val="sr-Latn-ME"/>
              </w:rPr>
              <w:t xml:space="preserve">AFCOS </w:t>
            </w:r>
            <w:r w:rsidR="005B6717" w:rsidRPr="005B6717">
              <w:rPr>
                <w:rFonts w:ascii="Arial" w:hAnsi="Arial" w:cs="Arial"/>
                <w:b/>
                <w:sz w:val="22"/>
                <w:lang w:val="sr-Latn-ME"/>
              </w:rPr>
              <w:t>mreža</w:t>
            </w:r>
          </w:p>
        </w:tc>
        <w:tc>
          <w:tcPr>
            <w:tcW w:w="2957"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t>Ovo pitanje treba postaviti tako da se u dokume</w:t>
            </w:r>
            <w:r w:rsidR="00E06AFF">
              <w:rPr>
                <w:rFonts w:ascii="Arial" w:hAnsi="Arial" w:cs="Arial"/>
                <w:sz w:val="22"/>
                <w:lang w:val="sr-Latn-ME"/>
              </w:rPr>
              <w:t>n</w:t>
            </w:r>
            <w:r w:rsidRPr="005B6717">
              <w:rPr>
                <w:rFonts w:ascii="Arial" w:hAnsi="Arial" w:cs="Arial"/>
                <w:sz w:val="22"/>
                <w:lang w:val="sr-Latn-ME"/>
              </w:rPr>
              <w:t xml:space="preserve">tima vide zadaci svih strukltura koje </w:t>
            </w:r>
            <w:r w:rsidR="00E06AFF">
              <w:rPr>
                <w:rFonts w:ascii="Arial" w:hAnsi="Arial" w:cs="Arial"/>
                <w:sz w:val="22"/>
                <w:lang w:val="sr-Latn-ME"/>
              </w:rPr>
              <w:t>č</w:t>
            </w:r>
            <w:r w:rsidRPr="005B6717">
              <w:rPr>
                <w:rFonts w:ascii="Arial" w:hAnsi="Arial" w:cs="Arial"/>
                <w:sz w:val="22"/>
                <w:lang w:val="sr-Latn-ME"/>
              </w:rPr>
              <w:t>ine AFCOS mrežu</w:t>
            </w:r>
            <w:r w:rsidR="00E06AFF">
              <w:rPr>
                <w:rFonts w:ascii="Arial" w:hAnsi="Arial" w:cs="Arial"/>
                <w:sz w:val="22"/>
                <w:lang w:val="sr-Latn-ME"/>
              </w:rPr>
              <w:t>.</w:t>
            </w:r>
          </w:p>
        </w:tc>
        <w:tc>
          <w:tcPr>
            <w:tcW w:w="3439"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t>AFCOS mreža je opisana u nacrtu Strategije u odjeljcima 1.6. i 2.5.1. i 2.5.2. Mapiranje relevantnih aktera – pod naslovom „</w:t>
            </w:r>
            <w:r w:rsidRPr="005B6717">
              <w:rPr>
                <w:rFonts w:ascii="Arial" w:hAnsi="Arial" w:cs="Arial"/>
                <w:b/>
                <w:bCs/>
                <w:sz w:val="22"/>
                <w:lang w:val="sr-Latn-ME"/>
              </w:rPr>
              <w:t xml:space="preserve"> </w:t>
            </w:r>
            <w:r w:rsidRPr="005B6717">
              <w:rPr>
                <w:rFonts w:ascii="Arial" w:hAnsi="Arial" w:cs="Arial"/>
                <w:bCs/>
                <w:sz w:val="22"/>
                <w:lang w:val="sr-Latn-ME"/>
              </w:rPr>
              <w:t>Institucije sistema zadužene za borbu protiv prevara, korupcije i drugih oblika nezakonitih aktivnosti</w:t>
            </w:r>
            <w:r w:rsidRPr="005B6717">
              <w:rPr>
                <w:rFonts w:ascii="Arial" w:hAnsi="Arial" w:cs="Arial"/>
                <w:sz w:val="22"/>
                <w:lang w:val="sr-Latn-ME"/>
              </w:rPr>
              <w:t xml:space="preserve"> “.</w:t>
            </w:r>
          </w:p>
          <w:p w:rsidR="005B6717" w:rsidRPr="00710C89" w:rsidRDefault="005B6717" w:rsidP="005B6717">
            <w:pPr>
              <w:rPr>
                <w:rFonts w:ascii="Arial" w:hAnsi="Arial" w:cs="Arial"/>
                <w:sz w:val="22"/>
                <w:lang w:val="sr-Latn-ME"/>
              </w:rPr>
            </w:pPr>
            <w:r w:rsidRPr="00710C89">
              <w:rPr>
                <w:rFonts w:ascii="Arial" w:hAnsi="Arial" w:cs="Arial"/>
                <w:b/>
                <w:sz w:val="22"/>
                <w:lang w:val="sr-Latn-ME"/>
              </w:rPr>
              <w:t>Ni</w:t>
            </w:r>
            <w:r w:rsidR="00E06AFF" w:rsidRPr="00710C89">
              <w:rPr>
                <w:rFonts w:ascii="Arial" w:hAnsi="Arial" w:cs="Arial"/>
                <w:b/>
                <w:sz w:val="22"/>
                <w:lang w:val="sr-Latn-ME"/>
              </w:rPr>
              <w:t>je</w:t>
            </w:r>
            <w:r w:rsidRPr="00710C89">
              <w:rPr>
                <w:rFonts w:ascii="Arial" w:hAnsi="Arial" w:cs="Arial"/>
                <w:b/>
                <w:sz w:val="22"/>
                <w:lang w:val="sr-Latn-ME"/>
              </w:rPr>
              <w:t>su potrebne dodatne izmjene nacrta Strategije po ovom pitanju</w:t>
            </w:r>
            <w:r w:rsidRPr="005B6717">
              <w:rPr>
                <w:rFonts w:ascii="Arial" w:hAnsi="Arial" w:cs="Arial"/>
                <w:sz w:val="22"/>
                <w:lang w:val="sr-Latn-ME"/>
              </w:rPr>
              <w:t>.</w:t>
            </w:r>
          </w:p>
        </w:tc>
      </w:tr>
      <w:tr w:rsidR="005B6717" w:rsidRPr="005B6717" w:rsidTr="005B6717">
        <w:tc>
          <w:tcPr>
            <w:tcW w:w="299"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t>3)</w:t>
            </w:r>
          </w:p>
        </w:tc>
        <w:tc>
          <w:tcPr>
            <w:tcW w:w="3025" w:type="dxa"/>
          </w:tcPr>
          <w:p w:rsidR="005B6717" w:rsidRPr="005B6717" w:rsidRDefault="005B6717" w:rsidP="005B6717">
            <w:pPr>
              <w:rPr>
                <w:rFonts w:ascii="Arial" w:hAnsi="Arial" w:cs="Arial"/>
                <w:b/>
                <w:sz w:val="22"/>
                <w:lang w:val="sr-Latn-ME"/>
              </w:rPr>
            </w:pPr>
            <w:r w:rsidRPr="005B6717">
              <w:rPr>
                <w:rFonts w:ascii="Arial" w:hAnsi="Arial" w:cs="Arial"/>
                <w:sz w:val="22"/>
                <w:lang w:val="sr-Latn-ME"/>
              </w:rPr>
              <w:t>Primjedba/predlog/sugestija 3</w:t>
            </w:r>
            <w:r w:rsidRPr="005B6717">
              <w:rPr>
                <w:rFonts w:ascii="Arial" w:hAnsi="Arial" w:cs="Arial"/>
                <w:b/>
                <w:sz w:val="22"/>
                <w:lang w:val="sr-Latn-ME"/>
              </w:rPr>
              <w:t>:</w:t>
            </w:r>
          </w:p>
          <w:p w:rsidR="003F3D18" w:rsidRPr="005B6717" w:rsidRDefault="005B6717" w:rsidP="005B6717">
            <w:pPr>
              <w:rPr>
                <w:rFonts w:ascii="Arial" w:hAnsi="Arial" w:cs="Arial"/>
                <w:sz w:val="22"/>
                <w:lang w:val="sr-Latn-ME"/>
              </w:rPr>
            </w:pPr>
            <w:r w:rsidRPr="005B6717">
              <w:rPr>
                <w:rFonts w:ascii="Arial" w:hAnsi="Arial" w:cs="Arial"/>
                <w:b/>
                <w:sz w:val="22"/>
                <w:lang w:val="sr-Latn-ME"/>
              </w:rPr>
              <w:t>Promocija strateškog dokumenta</w:t>
            </w:r>
          </w:p>
        </w:tc>
        <w:tc>
          <w:tcPr>
            <w:tcW w:w="2957"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t>U dijelu koji se odnosi na promocij</w:t>
            </w:r>
            <w:r w:rsidR="00B72F5D">
              <w:rPr>
                <w:rFonts w:ascii="Arial" w:hAnsi="Arial" w:cs="Arial"/>
                <w:sz w:val="22"/>
                <w:lang w:val="sr-Latn-ME"/>
              </w:rPr>
              <w:t>u</w:t>
            </w:r>
            <w:r w:rsidRPr="005B6717">
              <w:rPr>
                <w:rFonts w:ascii="Arial" w:hAnsi="Arial" w:cs="Arial"/>
                <w:sz w:val="22"/>
                <w:lang w:val="sr-Latn-ME"/>
              </w:rPr>
              <w:t xml:space="preserve"> </w:t>
            </w:r>
            <w:r w:rsidR="00B72F5D">
              <w:rPr>
                <w:rFonts w:ascii="Arial" w:hAnsi="Arial" w:cs="Arial"/>
                <w:sz w:val="22"/>
                <w:lang w:val="sr-Latn-ME"/>
              </w:rPr>
              <w:t>s</w:t>
            </w:r>
            <w:r w:rsidRPr="005B6717">
              <w:rPr>
                <w:rFonts w:ascii="Arial" w:hAnsi="Arial" w:cs="Arial"/>
                <w:sz w:val="22"/>
                <w:lang w:val="sr-Latn-ME"/>
              </w:rPr>
              <w:t>trateškog dokumenta po</w:t>
            </w:r>
            <w:r w:rsidR="00B72F5D">
              <w:rPr>
                <w:rFonts w:ascii="Arial" w:hAnsi="Arial" w:cs="Arial"/>
                <w:sz w:val="22"/>
                <w:lang w:val="sr-Latn-ME"/>
              </w:rPr>
              <w:t>t</w:t>
            </w:r>
            <w:r w:rsidRPr="005B6717">
              <w:rPr>
                <w:rFonts w:ascii="Arial" w:hAnsi="Arial" w:cs="Arial"/>
                <w:sz w:val="22"/>
                <w:lang w:val="sr-Latn-ME"/>
              </w:rPr>
              <w:t>cijenena su sredstva,</w:t>
            </w:r>
            <w:r w:rsidR="00E06AFF">
              <w:rPr>
                <w:rFonts w:ascii="Arial" w:hAnsi="Arial" w:cs="Arial"/>
                <w:sz w:val="22"/>
                <w:lang w:val="sr-Latn-ME"/>
              </w:rPr>
              <w:t xml:space="preserve"> </w:t>
            </w:r>
            <w:r w:rsidRPr="005B6717">
              <w:rPr>
                <w:rFonts w:ascii="Arial" w:hAnsi="Arial" w:cs="Arial"/>
                <w:sz w:val="22"/>
                <w:lang w:val="sr-Latn-ME"/>
              </w:rPr>
              <w:t>jer predvidjeni iznos je skoro simbolican</w:t>
            </w:r>
            <w:r w:rsidR="00E06AFF">
              <w:rPr>
                <w:rFonts w:ascii="Arial" w:hAnsi="Arial" w:cs="Arial"/>
                <w:sz w:val="22"/>
                <w:lang w:val="sr-Latn-ME"/>
              </w:rPr>
              <w:t>.</w:t>
            </w:r>
          </w:p>
        </w:tc>
        <w:tc>
          <w:tcPr>
            <w:tcW w:w="3439"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t xml:space="preserve">Mjera 3.3. Izrada Komunikacione strategije, sa budžetom od 21.000 EUR, već je sprovedena kroz Twinning light projekat u periodu 2024–2025. godine, a neki od opipljivih rezultata ove aktivnosti (promotivni film, leci, brošure) mogu se iskoristiti za dalje promovisanje rada na zaštiti finansijskih interesa EU i same Strategije. Takođe, predviđeno je dodatnih 2.000 EUR u okviru Komunikacione strategije za tematske seminare u cilju promocije Strategije, što će biti dovoljno ako se koristi sa drugim sredstvima dostupnim AFCOS-u, kao i crnogorskim institucijama uopšte, uključujući sastanke AFCOS </w:t>
            </w:r>
            <w:r w:rsidR="00E06AFF">
              <w:rPr>
                <w:rFonts w:ascii="Arial" w:hAnsi="Arial" w:cs="Arial"/>
                <w:sz w:val="22"/>
                <w:lang w:val="sr-Latn-ME"/>
              </w:rPr>
              <w:t>m</w:t>
            </w:r>
            <w:r w:rsidRPr="005B6717">
              <w:rPr>
                <w:rFonts w:ascii="Arial" w:hAnsi="Arial" w:cs="Arial"/>
                <w:sz w:val="22"/>
                <w:lang w:val="sr-Latn-ME"/>
              </w:rPr>
              <w:t xml:space="preserve">reže, informativne publikacije online i na </w:t>
            </w:r>
            <w:r w:rsidRPr="005B6717">
              <w:rPr>
                <w:rFonts w:ascii="Arial" w:hAnsi="Arial" w:cs="Arial"/>
                <w:sz w:val="22"/>
                <w:lang w:val="sr-Latn-ME"/>
              </w:rPr>
              <w:lastRenderedPageBreak/>
              <w:t>društvenim mrežama, koje ne zahtijevaju dodatna sredstva.</w:t>
            </w:r>
          </w:p>
          <w:p w:rsidR="005B6717" w:rsidRPr="00710C89" w:rsidRDefault="005B6717" w:rsidP="005B6717">
            <w:pPr>
              <w:rPr>
                <w:rFonts w:ascii="Arial" w:hAnsi="Arial" w:cs="Arial"/>
                <w:b/>
                <w:sz w:val="22"/>
                <w:lang w:val="sr-Latn-ME"/>
              </w:rPr>
            </w:pPr>
            <w:r w:rsidRPr="00710C89">
              <w:rPr>
                <w:rFonts w:ascii="Arial" w:hAnsi="Arial" w:cs="Arial"/>
                <w:b/>
                <w:sz w:val="22"/>
                <w:lang w:val="sr-Latn-ME"/>
              </w:rPr>
              <w:t>Ni</w:t>
            </w:r>
            <w:r w:rsidR="00E06AFF" w:rsidRPr="00710C89">
              <w:rPr>
                <w:rFonts w:ascii="Arial" w:hAnsi="Arial" w:cs="Arial"/>
                <w:b/>
                <w:sz w:val="22"/>
                <w:lang w:val="sr-Latn-ME"/>
              </w:rPr>
              <w:t>je</w:t>
            </w:r>
            <w:r w:rsidRPr="00710C89">
              <w:rPr>
                <w:rFonts w:ascii="Arial" w:hAnsi="Arial" w:cs="Arial"/>
                <w:b/>
                <w:sz w:val="22"/>
                <w:lang w:val="sr-Latn-ME"/>
              </w:rPr>
              <w:t>su potrebne dodatne izmjene nacrta Strategije po ovom pitanju.</w:t>
            </w:r>
          </w:p>
        </w:tc>
      </w:tr>
      <w:tr w:rsidR="005B6717" w:rsidRPr="005B6717" w:rsidTr="005B6717">
        <w:tc>
          <w:tcPr>
            <w:tcW w:w="299"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lastRenderedPageBreak/>
              <w:t>4)</w:t>
            </w:r>
          </w:p>
        </w:tc>
        <w:tc>
          <w:tcPr>
            <w:tcW w:w="3025" w:type="dxa"/>
          </w:tcPr>
          <w:p w:rsidR="003F3D18" w:rsidRPr="005B6717" w:rsidRDefault="005B6717" w:rsidP="005B6717">
            <w:pPr>
              <w:rPr>
                <w:rFonts w:ascii="Arial" w:hAnsi="Arial" w:cs="Arial"/>
                <w:sz w:val="22"/>
                <w:lang w:val="sr-Latn-ME"/>
              </w:rPr>
            </w:pPr>
            <w:r w:rsidRPr="005B6717">
              <w:rPr>
                <w:rFonts w:ascii="Arial" w:hAnsi="Arial" w:cs="Arial"/>
                <w:sz w:val="22"/>
                <w:lang w:val="sr-Latn-ME"/>
              </w:rPr>
              <w:t>Primjedba/predlog/sugestija 4:</w:t>
            </w:r>
          </w:p>
          <w:p w:rsidR="003F3D18" w:rsidRPr="005B6717" w:rsidRDefault="005B6717" w:rsidP="005B6717">
            <w:pPr>
              <w:rPr>
                <w:rFonts w:ascii="Arial" w:hAnsi="Arial" w:cs="Arial"/>
                <w:sz w:val="22"/>
                <w:lang w:val="sr-Latn-ME"/>
              </w:rPr>
            </w:pPr>
            <w:r w:rsidRPr="005B6717">
              <w:rPr>
                <w:rFonts w:ascii="Arial" w:hAnsi="Arial" w:cs="Arial"/>
                <w:b/>
                <w:sz w:val="22"/>
                <w:lang w:val="sr-Latn-ME"/>
              </w:rPr>
              <w:t xml:space="preserve">Uloga i zadaci </w:t>
            </w:r>
            <w:r w:rsidR="00B72F5D">
              <w:rPr>
                <w:rFonts w:ascii="Arial" w:hAnsi="Arial" w:cs="Arial"/>
                <w:b/>
                <w:sz w:val="22"/>
                <w:lang w:val="sr-Latn-ME"/>
              </w:rPr>
              <w:t>R</w:t>
            </w:r>
            <w:r w:rsidRPr="005B6717">
              <w:rPr>
                <w:rFonts w:ascii="Arial" w:hAnsi="Arial" w:cs="Arial"/>
                <w:b/>
                <w:sz w:val="22"/>
                <w:lang w:val="sr-Latn-ME"/>
              </w:rPr>
              <w:t xml:space="preserve">evizorskog tijela </w:t>
            </w:r>
            <w:r w:rsidR="00B72F5D">
              <w:rPr>
                <w:rFonts w:ascii="Arial" w:hAnsi="Arial" w:cs="Arial"/>
                <w:b/>
                <w:sz w:val="22"/>
                <w:lang w:val="sr-Latn-ME"/>
              </w:rPr>
              <w:t>C</w:t>
            </w:r>
            <w:r w:rsidRPr="005B6717">
              <w:rPr>
                <w:rFonts w:ascii="Arial" w:hAnsi="Arial" w:cs="Arial"/>
                <w:b/>
                <w:sz w:val="22"/>
                <w:lang w:val="sr-Latn-ME"/>
              </w:rPr>
              <w:t xml:space="preserve">rne </w:t>
            </w:r>
            <w:r w:rsidR="00B72F5D">
              <w:rPr>
                <w:rFonts w:ascii="Arial" w:hAnsi="Arial" w:cs="Arial"/>
                <w:b/>
                <w:sz w:val="22"/>
                <w:lang w:val="sr-Latn-ME"/>
              </w:rPr>
              <w:t>G</w:t>
            </w:r>
            <w:r w:rsidRPr="005B6717">
              <w:rPr>
                <w:rFonts w:ascii="Arial" w:hAnsi="Arial" w:cs="Arial"/>
                <w:b/>
                <w:sz w:val="22"/>
                <w:lang w:val="sr-Latn-ME"/>
              </w:rPr>
              <w:t xml:space="preserve">ore koje se bavi revizijom </w:t>
            </w:r>
            <w:r w:rsidR="00E06AFF">
              <w:rPr>
                <w:rFonts w:ascii="Arial" w:hAnsi="Arial" w:cs="Arial"/>
                <w:b/>
                <w:sz w:val="22"/>
                <w:lang w:val="sr-Latn-ME"/>
              </w:rPr>
              <w:t xml:space="preserve">EU </w:t>
            </w:r>
            <w:r w:rsidRPr="005B6717">
              <w:rPr>
                <w:rFonts w:ascii="Arial" w:hAnsi="Arial" w:cs="Arial"/>
                <w:b/>
                <w:sz w:val="22"/>
                <w:lang w:val="sr-Latn-ME"/>
              </w:rPr>
              <w:t xml:space="preserve">sredstva </w:t>
            </w:r>
          </w:p>
        </w:tc>
        <w:tc>
          <w:tcPr>
            <w:tcW w:w="2957"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t xml:space="preserve">Definisati konkretne zadatke </w:t>
            </w:r>
            <w:r w:rsidR="00B72F5D">
              <w:rPr>
                <w:rFonts w:ascii="Arial" w:hAnsi="Arial" w:cs="Arial"/>
                <w:sz w:val="22"/>
                <w:lang w:val="sr-Latn-ME"/>
              </w:rPr>
              <w:t>R</w:t>
            </w:r>
            <w:r w:rsidRPr="005B6717">
              <w:rPr>
                <w:rFonts w:ascii="Arial" w:hAnsi="Arial" w:cs="Arial"/>
                <w:sz w:val="22"/>
                <w:lang w:val="sr-Latn-ME"/>
              </w:rPr>
              <w:t>evizorskog tijela i planirati pormjene postojeceg zakona</w:t>
            </w:r>
            <w:r w:rsidR="00E06AFF">
              <w:rPr>
                <w:rFonts w:ascii="Arial" w:hAnsi="Arial" w:cs="Arial"/>
                <w:sz w:val="22"/>
                <w:lang w:val="sr-Latn-ME"/>
              </w:rPr>
              <w:t>.</w:t>
            </w:r>
          </w:p>
        </w:tc>
        <w:tc>
          <w:tcPr>
            <w:tcW w:w="3439"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t>Revizorsko tijelo je aktivno učestvovalo u procesu izrade nacrta Strategije uključujući dostavljanje pisanih komentara.</w:t>
            </w:r>
          </w:p>
          <w:p w:rsidR="005B6717" w:rsidRPr="005B6717" w:rsidRDefault="005B6717" w:rsidP="005B6717">
            <w:pPr>
              <w:rPr>
                <w:rFonts w:ascii="Arial" w:hAnsi="Arial" w:cs="Arial"/>
                <w:sz w:val="22"/>
                <w:lang w:val="sr-Latn-ME"/>
              </w:rPr>
            </w:pPr>
            <w:r w:rsidRPr="005B6717">
              <w:rPr>
                <w:rFonts w:ascii="Arial" w:hAnsi="Arial" w:cs="Arial"/>
                <w:sz w:val="22"/>
                <w:lang w:val="sr-Latn-ME"/>
              </w:rPr>
              <w:t>„Revizorsko tijelo Crne Gore, kao nezavisno revizorsko tijelo, osnovano je Zakonom o reviziji sredstava Evropske unije („Službeni list Crne Gore“, br. 14/12, 54/16, 37/17 i 70/17). Revizorsko tijelo je nadležno za reviziju sredstava EU (IPA, strukturni fondovi nakon pristupanja Crne Gore Evropskoj uniji i ostala sredstva EU). Prema članu 3 Zakona o reviziji sredstava EU, Revizorsko tijelo je funkcionalno i operativno nezavisno od svih aktera u sistemu upravljanja i kontrole sredstava EU.</w:t>
            </w:r>
          </w:p>
          <w:p w:rsidR="005B6717" w:rsidRPr="005B6717" w:rsidRDefault="005B6717" w:rsidP="005B6717">
            <w:pPr>
              <w:rPr>
                <w:rFonts w:ascii="Arial" w:hAnsi="Arial" w:cs="Arial"/>
                <w:sz w:val="22"/>
                <w:lang w:val="sr-Latn-ME"/>
              </w:rPr>
            </w:pPr>
            <w:r w:rsidRPr="005B6717">
              <w:rPr>
                <w:rFonts w:ascii="Arial" w:hAnsi="Arial" w:cs="Arial"/>
                <w:sz w:val="22"/>
                <w:lang w:val="sr-Latn-ME"/>
              </w:rPr>
              <w:t>Zakonom o reviziji sredstava EU je propisano da su subjekti revizije javne institucije i organizacije, organi i organizacije jedinica lokalne samouprave, fizička i pravna lica koja primaju, koriste i upravljaju sredstvima EU.</w:t>
            </w:r>
          </w:p>
          <w:p w:rsidR="005B6717" w:rsidRPr="00710C89" w:rsidRDefault="005B6717" w:rsidP="005B6717">
            <w:pPr>
              <w:rPr>
                <w:rFonts w:ascii="Arial" w:hAnsi="Arial" w:cs="Arial"/>
                <w:b/>
                <w:sz w:val="22"/>
                <w:lang w:val="sr-Latn-ME"/>
              </w:rPr>
            </w:pPr>
            <w:r w:rsidRPr="00710C89">
              <w:rPr>
                <w:rFonts w:ascii="Arial" w:hAnsi="Arial" w:cs="Arial"/>
                <w:b/>
                <w:sz w:val="22"/>
                <w:lang w:val="sr-Latn-ME"/>
              </w:rPr>
              <w:t>Revizorsko tijelo nije predložilo izmjene zakona</w:t>
            </w:r>
            <w:r w:rsidR="00E06AFF" w:rsidRPr="00710C89">
              <w:rPr>
                <w:rFonts w:ascii="Arial" w:hAnsi="Arial" w:cs="Arial"/>
                <w:b/>
                <w:sz w:val="22"/>
                <w:lang w:val="sr-Latn-ME"/>
              </w:rPr>
              <w:t>, te stoga nijesu</w:t>
            </w:r>
            <w:r w:rsidRPr="00710C89">
              <w:rPr>
                <w:rFonts w:ascii="Arial" w:hAnsi="Arial" w:cs="Arial"/>
                <w:b/>
                <w:sz w:val="22"/>
                <w:lang w:val="sr-Latn-ME"/>
              </w:rPr>
              <w:t xml:space="preserve"> potrebne dodatne izmjene nacrta </w:t>
            </w:r>
            <w:r w:rsidR="00E06AFF" w:rsidRPr="00710C89">
              <w:rPr>
                <w:rFonts w:ascii="Arial" w:hAnsi="Arial" w:cs="Arial"/>
                <w:b/>
                <w:sz w:val="22"/>
                <w:lang w:val="sr-Latn-ME"/>
              </w:rPr>
              <w:t>Strategije po ovom pitanju.</w:t>
            </w:r>
          </w:p>
        </w:tc>
      </w:tr>
      <w:tr w:rsidR="005B6717" w:rsidRPr="005B6717" w:rsidTr="005B6717">
        <w:tc>
          <w:tcPr>
            <w:tcW w:w="299"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t>5)</w:t>
            </w:r>
          </w:p>
        </w:tc>
        <w:tc>
          <w:tcPr>
            <w:tcW w:w="3025" w:type="dxa"/>
          </w:tcPr>
          <w:p w:rsidR="005B6717" w:rsidRPr="00710C89" w:rsidRDefault="005B6717" w:rsidP="005B6717">
            <w:pPr>
              <w:rPr>
                <w:rFonts w:ascii="Arial" w:hAnsi="Arial" w:cs="Arial"/>
                <w:sz w:val="22"/>
                <w:lang w:val="sr-Latn-ME"/>
              </w:rPr>
            </w:pPr>
            <w:r w:rsidRPr="005B6717">
              <w:rPr>
                <w:rFonts w:ascii="Arial" w:hAnsi="Arial" w:cs="Arial"/>
                <w:sz w:val="22"/>
                <w:lang w:val="sr-Latn-ME"/>
              </w:rPr>
              <w:t>Primjedba/predlog/sugestija 5:</w:t>
            </w:r>
          </w:p>
          <w:p w:rsidR="003F3D18" w:rsidRPr="005B6717" w:rsidRDefault="005B6717" w:rsidP="005B6717">
            <w:pPr>
              <w:rPr>
                <w:rFonts w:ascii="Arial" w:hAnsi="Arial" w:cs="Arial"/>
                <w:sz w:val="22"/>
                <w:lang w:val="sr-Latn-ME"/>
              </w:rPr>
            </w:pPr>
            <w:r w:rsidRPr="005B6717">
              <w:rPr>
                <w:rFonts w:ascii="Arial" w:hAnsi="Arial" w:cs="Arial"/>
                <w:b/>
                <w:sz w:val="22"/>
                <w:lang w:val="sr-Latn-ME"/>
              </w:rPr>
              <w:t>Drzavna revizorska institucija</w:t>
            </w:r>
          </w:p>
        </w:tc>
        <w:tc>
          <w:tcPr>
            <w:tcW w:w="2957"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t>Državna revizorska institucija  se,</w:t>
            </w:r>
            <w:r w:rsidR="00B72F5D">
              <w:rPr>
                <w:rFonts w:ascii="Arial" w:hAnsi="Arial" w:cs="Arial"/>
                <w:sz w:val="22"/>
                <w:lang w:val="sr-Latn-ME"/>
              </w:rPr>
              <w:t xml:space="preserve"> </w:t>
            </w:r>
            <w:r w:rsidRPr="005B6717">
              <w:rPr>
                <w:rFonts w:ascii="Arial" w:hAnsi="Arial" w:cs="Arial"/>
                <w:sz w:val="22"/>
                <w:lang w:val="sr-Latn-ME"/>
              </w:rPr>
              <w:t>pored ostal</w:t>
            </w:r>
            <w:r w:rsidR="00E06AFF">
              <w:rPr>
                <w:rFonts w:ascii="Arial" w:hAnsi="Arial" w:cs="Arial"/>
                <w:sz w:val="22"/>
                <w:lang w:val="sr-Latn-ME"/>
              </w:rPr>
              <w:t>og,</w:t>
            </w:r>
            <w:r w:rsidRPr="005B6717">
              <w:rPr>
                <w:rFonts w:ascii="Arial" w:hAnsi="Arial" w:cs="Arial"/>
                <w:sz w:val="22"/>
                <w:lang w:val="sr-Latn-ME"/>
              </w:rPr>
              <w:t xml:space="preserve"> bavi sa svog  aspeketa revizijom sredstva EU iako je to prve</w:t>
            </w:r>
            <w:r w:rsidR="00E06AFF">
              <w:rPr>
                <w:rFonts w:ascii="Arial" w:hAnsi="Arial" w:cs="Arial"/>
                <w:sz w:val="22"/>
                <w:lang w:val="sr-Latn-ME"/>
              </w:rPr>
              <w:t xml:space="preserve">nstveno </w:t>
            </w:r>
            <w:r w:rsidRPr="005B6717">
              <w:rPr>
                <w:rFonts w:ascii="Arial" w:hAnsi="Arial" w:cs="Arial"/>
                <w:sz w:val="22"/>
                <w:lang w:val="sr-Latn-ME"/>
              </w:rPr>
              <w:t xml:space="preserve">zadatak Revizorskog tijela, te je </w:t>
            </w:r>
            <w:r w:rsidRPr="005B6717">
              <w:rPr>
                <w:rFonts w:ascii="Arial" w:hAnsi="Arial" w:cs="Arial"/>
                <w:sz w:val="22"/>
                <w:lang w:val="sr-Latn-ME"/>
              </w:rPr>
              <w:lastRenderedPageBreak/>
              <w:t>potrebno na adekvatan nacin deifInIsati u Strategiji  i njene zadatke</w:t>
            </w:r>
            <w:r w:rsidR="00B72F5D">
              <w:rPr>
                <w:rFonts w:ascii="Arial" w:hAnsi="Arial" w:cs="Arial"/>
                <w:sz w:val="22"/>
                <w:lang w:val="sr-Latn-ME"/>
              </w:rPr>
              <w:t>.</w:t>
            </w:r>
          </w:p>
        </w:tc>
        <w:tc>
          <w:tcPr>
            <w:tcW w:w="3439"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lastRenderedPageBreak/>
              <w:t>U nacrtu Strategije, u odjeljku 2.5. Analiza relevantnih aktera, identifikovana je Državna revizorska institucija (DRI) i mapirana je njena uloga u odnosu na Strategiju:</w:t>
            </w:r>
          </w:p>
          <w:p w:rsidR="005B6717" w:rsidRPr="005B6717" w:rsidRDefault="005B6717" w:rsidP="005B6717">
            <w:pPr>
              <w:rPr>
                <w:rFonts w:ascii="Arial" w:hAnsi="Arial" w:cs="Arial"/>
                <w:sz w:val="22"/>
                <w:lang w:val="sr-Latn-ME"/>
              </w:rPr>
            </w:pPr>
            <w:r w:rsidRPr="005B6717">
              <w:rPr>
                <w:rFonts w:ascii="Arial" w:hAnsi="Arial" w:cs="Arial"/>
                <w:sz w:val="22"/>
                <w:lang w:val="sr-Latn-ME"/>
              </w:rPr>
              <w:lastRenderedPageBreak/>
              <w:t>„Državna revizorska institucija (DRI) je nezavisni i najviši organ državne revizije. Ona predstavlja institucionalnu, eksternu, nezavisnu, profesionalnu i nepristrasnu kontrolu budžetske potrošnje i upravljanja državnom imovinom u Crnoj Gori.”</w:t>
            </w:r>
          </w:p>
          <w:p w:rsidR="005B6717" w:rsidRPr="00710C89" w:rsidRDefault="005B6717" w:rsidP="005B6717">
            <w:pPr>
              <w:rPr>
                <w:rFonts w:ascii="Arial" w:hAnsi="Arial" w:cs="Arial"/>
                <w:b/>
                <w:color w:val="000000" w:themeColor="text1"/>
                <w:sz w:val="22"/>
                <w:lang w:val="sr-Latn-ME"/>
              </w:rPr>
            </w:pPr>
            <w:r w:rsidRPr="00710C89">
              <w:rPr>
                <w:rFonts w:ascii="Arial" w:hAnsi="Arial" w:cs="Arial"/>
                <w:b/>
                <w:color w:val="000000" w:themeColor="text1"/>
                <w:sz w:val="22"/>
                <w:lang w:val="sr-Latn-ME"/>
              </w:rPr>
              <w:t>Dodatn</w:t>
            </w:r>
            <w:r w:rsidR="001E09AE">
              <w:rPr>
                <w:rFonts w:ascii="Arial" w:hAnsi="Arial" w:cs="Arial"/>
                <w:b/>
                <w:color w:val="000000" w:themeColor="text1"/>
                <w:sz w:val="22"/>
                <w:lang w:val="sr-Latn-ME"/>
              </w:rPr>
              <w:t xml:space="preserve">om rečenicom će se </w:t>
            </w:r>
            <w:r w:rsidRPr="00710C89">
              <w:rPr>
                <w:rFonts w:ascii="Arial" w:hAnsi="Arial" w:cs="Arial"/>
                <w:b/>
                <w:color w:val="000000" w:themeColor="text1"/>
                <w:sz w:val="22"/>
                <w:lang w:val="sr-Latn-ME"/>
              </w:rPr>
              <w:t xml:space="preserve"> uključi</w:t>
            </w:r>
            <w:r w:rsidR="001E09AE">
              <w:rPr>
                <w:rFonts w:ascii="Arial" w:hAnsi="Arial" w:cs="Arial"/>
                <w:b/>
                <w:color w:val="000000" w:themeColor="text1"/>
                <w:sz w:val="22"/>
                <w:lang w:val="sr-Latn-ME"/>
              </w:rPr>
              <w:t>ti</w:t>
            </w:r>
            <w:r w:rsidRPr="00710C89">
              <w:rPr>
                <w:rFonts w:ascii="Arial" w:hAnsi="Arial" w:cs="Arial"/>
                <w:b/>
                <w:color w:val="000000" w:themeColor="text1"/>
                <w:sz w:val="22"/>
                <w:lang w:val="sr-Latn-ME"/>
              </w:rPr>
              <w:t xml:space="preserve"> i uloga Državne revizorske institucije u pogledu sredstava EU:</w:t>
            </w:r>
          </w:p>
          <w:p w:rsidR="005B6717" w:rsidRPr="005B6717" w:rsidRDefault="005B6717" w:rsidP="005B6717">
            <w:pPr>
              <w:rPr>
                <w:rFonts w:ascii="Arial" w:hAnsi="Arial" w:cs="Arial"/>
                <w:sz w:val="22"/>
                <w:lang w:val="sr-Latn-ME"/>
              </w:rPr>
            </w:pPr>
            <w:r w:rsidRPr="005B6717">
              <w:rPr>
                <w:rFonts w:ascii="Arial" w:hAnsi="Arial" w:cs="Arial"/>
                <w:sz w:val="22"/>
                <w:lang w:val="sr-Latn-ME"/>
              </w:rPr>
              <w:t>„Budući da su sredstva EU takođe dio budžeta Crne Gore, Državna revizorska institucija u okviru svojih finansijskih i drugih revizija obuhvata i sredstva EU. U kontekstu zaštite finansijskih interesa EU, AFCOS može koristiti rezultate njihovih revizija za procjenu rizika.”</w:t>
            </w:r>
          </w:p>
          <w:p w:rsidR="005B6717" w:rsidRPr="005B6717" w:rsidRDefault="005B6717" w:rsidP="005B6717">
            <w:pPr>
              <w:rPr>
                <w:rFonts w:ascii="Arial" w:hAnsi="Arial" w:cs="Arial"/>
                <w:sz w:val="22"/>
                <w:lang w:val="sr-Latn-ME"/>
              </w:rPr>
            </w:pPr>
          </w:p>
        </w:tc>
      </w:tr>
    </w:tbl>
    <w:p w:rsidR="00EC74FA" w:rsidRDefault="00EC74FA" w:rsidP="00812525">
      <w:pPr>
        <w:rPr>
          <w:rFonts w:ascii="Arial" w:hAnsi="Arial" w:cs="Arial"/>
          <w:sz w:val="22"/>
          <w:lang w:val="sr-Latn-ME"/>
        </w:rPr>
      </w:pPr>
    </w:p>
    <w:p w:rsidR="005B6717" w:rsidRPr="008B595A" w:rsidRDefault="008B595A" w:rsidP="00812525">
      <w:pPr>
        <w:rPr>
          <w:rFonts w:ascii="Arial" w:hAnsi="Arial" w:cs="Arial"/>
          <w:b/>
          <w:sz w:val="22"/>
          <w:lang w:val="sr-Latn-ME"/>
        </w:rPr>
      </w:pPr>
      <w:r w:rsidRPr="008B595A">
        <w:rPr>
          <w:rFonts w:ascii="Arial" w:hAnsi="Arial" w:cs="Arial"/>
          <w:b/>
          <w:sz w:val="22"/>
        </w:rPr>
        <w:t>PITANJA I SUGESTIJE DOSTAVLJENI PISANIM PUTEM I RELEVANTNI ODGOVORI – Ines Mrdović NVO Akcija za socijalnu pravdu</w:t>
      </w:r>
    </w:p>
    <w:p w:rsidR="005B6717" w:rsidRDefault="005B6717" w:rsidP="00812525">
      <w:pPr>
        <w:rPr>
          <w:rFonts w:ascii="Arial" w:hAnsi="Arial" w:cs="Arial"/>
          <w:sz w:val="22"/>
          <w:lang w:val="sr-Latn-ME"/>
        </w:rPr>
      </w:pPr>
    </w:p>
    <w:tbl>
      <w:tblPr>
        <w:tblStyle w:val="TableGrid"/>
        <w:tblW w:w="9720" w:type="dxa"/>
        <w:tblInd w:w="-5" w:type="dxa"/>
        <w:tblLayout w:type="fixed"/>
        <w:tblLook w:val="04A0" w:firstRow="1" w:lastRow="0" w:firstColumn="1" w:lastColumn="0" w:noHBand="0" w:noVBand="1"/>
      </w:tblPr>
      <w:tblGrid>
        <w:gridCol w:w="540"/>
        <w:gridCol w:w="3240"/>
        <w:gridCol w:w="2700"/>
        <w:gridCol w:w="90"/>
        <w:gridCol w:w="3150"/>
      </w:tblGrid>
      <w:tr w:rsidR="008B595A" w:rsidRPr="005B6717" w:rsidTr="006E6241">
        <w:tc>
          <w:tcPr>
            <w:tcW w:w="540" w:type="dxa"/>
            <w:shd w:val="clear" w:color="auto" w:fill="D9D9D9" w:themeFill="background1" w:themeFillShade="D9"/>
          </w:tcPr>
          <w:p w:rsidR="005B6717" w:rsidRPr="008B595A" w:rsidRDefault="005B6717" w:rsidP="005B6717">
            <w:pPr>
              <w:rPr>
                <w:rFonts w:ascii="Arial" w:hAnsi="Arial" w:cs="Arial"/>
                <w:b/>
                <w:sz w:val="22"/>
                <w:lang w:val="sr-Latn-ME"/>
              </w:rPr>
            </w:pPr>
            <w:r w:rsidRPr="008B595A">
              <w:rPr>
                <w:rFonts w:ascii="Arial" w:hAnsi="Arial" w:cs="Arial"/>
                <w:b/>
                <w:sz w:val="22"/>
                <w:lang w:val="sr-Latn-ME"/>
              </w:rPr>
              <w:t>Br.</w:t>
            </w:r>
          </w:p>
        </w:tc>
        <w:tc>
          <w:tcPr>
            <w:tcW w:w="3240" w:type="dxa"/>
            <w:shd w:val="clear" w:color="auto" w:fill="D9D9D9" w:themeFill="background1" w:themeFillShade="D9"/>
          </w:tcPr>
          <w:p w:rsidR="005B6717" w:rsidRPr="008B595A" w:rsidRDefault="005B6717" w:rsidP="005B6717">
            <w:pPr>
              <w:rPr>
                <w:rFonts w:ascii="Arial" w:hAnsi="Arial" w:cs="Arial"/>
                <w:b/>
                <w:sz w:val="22"/>
                <w:lang w:val="sr-Latn-ME"/>
              </w:rPr>
            </w:pPr>
            <w:r w:rsidRPr="008B595A">
              <w:rPr>
                <w:rFonts w:ascii="Arial" w:hAnsi="Arial" w:cs="Arial"/>
                <w:b/>
                <w:sz w:val="22"/>
                <w:lang w:val="sr-Latn-ME"/>
              </w:rPr>
              <w:t>Primjedbe/predlozi/sugestije</w:t>
            </w:r>
          </w:p>
        </w:tc>
        <w:tc>
          <w:tcPr>
            <w:tcW w:w="2700" w:type="dxa"/>
            <w:shd w:val="clear" w:color="auto" w:fill="D9D9D9" w:themeFill="background1" w:themeFillShade="D9"/>
          </w:tcPr>
          <w:p w:rsidR="005B6717" w:rsidRPr="008B595A" w:rsidRDefault="008B595A" w:rsidP="005B6717">
            <w:pPr>
              <w:rPr>
                <w:rFonts w:ascii="Arial" w:hAnsi="Arial" w:cs="Arial"/>
                <w:b/>
                <w:sz w:val="22"/>
                <w:lang w:val="sr-Latn-ME"/>
              </w:rPr>
            </w:pPr>
            <w:r w:rsidRPr="008B595A">
              <w:rPr>
                <w:rFonts w:ascii="Arial" w:hAnsi="Arial" w:cs="Arial"/>
                <w:b/>
                <w:sz w:val="22"/>
                <w:lang w:val="sr-Latn-ME"/>
              </w:rPr>
              <w:t>Obrazloženje lica koje dostavlja primjedbe/ predloge/sugestije</w:t>
            </w:r>
          </w:p>
        </w:tc>
        <w:tc>
          <w:tcPr>
            <w:tcW w:w="3240" w:type="dxa"/>
            <w:gridSpan w:val="2"/>
            <w:shd w:val="clear" w:color="auto" w:fill="D9D9D9" w:themeFill="background1" w:themeFillShade="D9"/>
          </w:tcPr>
          <w:p w:rsidR="005B6717" w:rsidRPr="008B595A" w:rsidRDefault="005B6717" w:rsidP="005B6717">
            <w:pPr>
              <w:rPr>
                <w:rFonts w:ascii="Arial" w:hAnsi="Arial" w:cs="Arial"/>
                <w:b/>
                <w:sz w:val="22"/>
                <w:lang w:val="sr-Latn-ME"/>
              </w:rPr>
            </w:pPr>
            <w:r w:rsidRPr="008B595A">
              <w:rPr>
                <w:rFonts w:ascii="Arial" w:hAnsi="Arial" w:cs="Arial"/>
                <w:b/>
                <w:sz w:val="22"/>
                <w:lang w:val="sr-Latn-ME"/>
              </w:rPr>
              <w:t>Odgovor Ministarstva finansija/ Direktorat za inspekcijski nadzor i zaštitu finansijskih interesa EU/ Direkcija za zaštitu finansijskih interesa EU/AFCOS</w:t>
            </w:r>
          </w:p>
        </w:tc>
      </w:tr>
      <w:tr w:rsidR="008B595A" w:rsidRPr="005B6717" w:rsidTr="006E6241">
        <w:tc>
          <w:tcPr>
            <w:tcW w:w="540"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t>1)</w:t>
            </w:r>
          </w:p>
        </w:tc>
        <w:tc>
          <w:tcPr>
            <w:tcW w:w="3240"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t>Primjedba/predlog/sugestija 1:</w:t>
            </w:r>
          </w:p>
          <w:p w:rsidR="005B6717" w:rsidRPr="005B6717" w:rsidRDefault="005B6717" w:rsidP="005B6717">
            <w:pPr>
              <w:rPr>
                <w:rFonts w:ascii="Arial" w:hAnsi="Arial" w:cs="Arial"/>
                <w:b/>
                <w:sz w:val="22"/>
                <w:lang w:val="sr-Latn-ME"/>
              </w:rPr>
            </w:pPr>
            <w:r w:rsidRPr="005B6717">
              <w:rPr>
                <w:rFonts w:ascii="Arial" w:hAnsi="Arial" w:cs="Arial"/>
                <w:b/>
                <w:sz w:val="22"/>
                <w:lang w:val="sr-Latn-ME"/>
              </w:rPr>
              <w:t xml:space="preserve">Potrebno je razmotriti formiranje posebne agencije kao državnog organa, u što kraćem roku, koja bi bila pod nadležnošću Ministarstva finansija i zadužena za zaštitu finansijskih interesa Evropske Unije. </w:t>
            </w:r>
          </w:p>
          <w:p w:rsidR="005B6717" w:rsidRPr="005B6717" w:rsidRDefault="005B6717" w:rsidP="005B6717">
            <w:pPr>
              <w:rPr>
                <w:rFonts w:ascii="Arial" w:hAnsi="Arial" w:cs="Arial"/>
                <w:sz w:val="22"/>
                <w:lang w:val="sr-Latn-ME"/>
              </w:rPr>
            </w:pPr>
          </w:p>
        </w:tc>
        <w:tc>
          <w:tcPr>
            <w:tcW w:w="2790" w:type="dxa"/>
            <w:gridSpan w:val="2"/>
          </w:tcPr>
          <w:p w:rsidR="005B6717" w:rsidRPr="005B6717" w:rsidRDefault="005B6717" w:rsidP="005B6717">
            <w:pPr>
              <w:rPr>
                <w:rFonts w:ascii="Arial" w:hAnsi="Arial" w:cs="Arial"/>
                <w:sz w:val="22"/>
                <w:lang w:val="sr-Latn-ME"/>
              </w:rPr>
            </w:pPr>
            <w:r w:rsidRPr="005B6717">
              <w:rPr>
                <w:rFonts w:ascii="Arial" w:hAnsi="Arial" w:cs="Arial"/>
                <w:sz w:val="22"/>
                <w:lang w:val="sr-Latn-ME"/>
              </w:rPr>
              <w:t xml:space="preserve">Strategija navodi da Ministarstvo finansija igra ključnu ulogu u promociji i zaštiti finansijskih interesa Evropske Unije, a unutar njega je uspostavljena Direkcija za zaštitu finansijskih interesa EU/AFCOS, kao glavno koordinaciono tijelo AFCOS sistema u Crnoj Gori, a koja je operativni </w:t>
            </w:r>
            <w:r w:rsidRPr="005B6717">
              <w:rPr>
                <w:rFonts w:ascii="Arial" w:hAnsi="Arial" w:cs="Arial"/>
                <w:sz w:val="22"/>
                <w:lang w:val="sr-Latn-ME"/>
              </w:rPr>
              <w:lastRenderedPageBreak/>
              <w:t xml:space="preserve">nosilac politike zaštite finansijskih interesa EU u Crnoj Gori. </w:t>
            </w:r>
          </w:p>
          <w:p w:rsidR="005B6717" w:rsidRPr="005B6717" w:rsidRDefault="005B6717" w:rsidP="005B6717">
            <w:pPr>
              <w:rPr>
                <w:rFonts w:ascii="Arial" w:hAnsi="Arial" w:cs="Arial"/>
                <w:sz w:val="22"/>
                <w:lang w:val="sr-Latn-ME"/>
              </w:rPr>
            </w:pPr>
            <w:r w:rsidRPr="005B6717">
              <w:rPr>
                <w:rFonts w:ascii="Arial" w:hAnsi="Arial" w:cs="Arial"/>
                <w:sz w:val="22"/>
                <w:lang w:val="sr-Latn-ME"/>
              </w:rPr>
              <w:t xml:space="preserve"> Imajući u vidu složenost zaštite finansijskih interesa Evropske Unije i brojnost projekata, koji se </w:t>
            </w:r>
            <w:r w:rsidR="009C107C">
              <w:rPr>
                <w:rFonts w:ascii="Arial" w:hAnsi="Arial" w:cs="Arial"/>
                <w:sz w:val="22"/>
                <w:lang w:val="sr-Latn-ME"/>
              </w:rPr>
              <w:t>s</w:t>
            </w:r>
            <w:r w:rsidRPr="005B6717">
              <w:rPr>
                <w:rFonts w:ascii="Arial" w:hAnsi="Arial" w:cs="Arial"/>
                <w:sz w:val="22"/>
                <w:lang w:val="sr-Latn-ME"/>
              </w:rPr>
              <w:t>provode u Crnoj Gori, naročito u domenu radova i javne infrastrukture, a u isto vrijeme ogroman rizik od korupcije i prevara, to se čini institucionalno opravdanijim formiranje posebne agencije, čija će isključiva nadležnost biti u vezi sa prednjim pitanjem, a koja bi bila pod ingerencijom Ministarstva finansija. Upravo iz razloga obimnosti i složenosti upravljanja ovom oblašću smatramo da bi potpuniji, sveobuhvatniji i institucionalno opravdaniji pristup bio da se ovim pitanjem bavi poseban državni organ, a ne direkcija u okviru Ministarstva finansija.</w:t>
            </w:r>
          </w:p>
          <w:p w:rsidR="005B6717" w:rsidRPr="005B6717" w:rsidRDefault="005B6717" w:rsidP="005B6717">
            <w:pPr>
              <w:rPr>
                <w:rFonts w:ascii="Arial" w:hAnsi="Arial" w:cs="Arial"/>
                <w:sz w:val="22"/>
                <w:lang w:val="sr-Latn-ME"/>
              </w:rPr>
            </w:pPr>
            <w:r w:rsidRPr="005B6717">
              <w:rPr>
                <w:rFonts w:ascii="Arial" w:hAnsi="Arial" w:cs="Arial"/>
                <w:sz w:val="22"/>
                <w:lang w:val="sr-Latn-ME"/>
              </w:rPr>
              <w:t xml:space="preserve"> Agenciju i/ili sličan odgovarajući državni organ bilo bi neophodno formirati u što kraćem roku, a imajući u vidu trenutnu fazu crnogorskog integracionog procesa.</w:t>
            </w:r>
          </w:p>
        </w:tc>
        <w:tc>
          <w:tcPr>
            <w:tcW w:w="3150"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lastRenderedPageBreak/>
              <w:t>Odlukom Vlade Crne Gore formiran je AFCOS (Anti Fraud Coordination Service) unutar Ministarstva finansija kao Direktorat za zaštitu finansijskih interesa EU / AFCOS</w:t>
            </w:r>
            <w:r w:rsidR="009C107C">
              <w:rPr>
                <w:rFonts w:ascii="Arial" w:hAnsi="Arial" w:cs="Arial"/>
                <w:sz w:val="22"/>
                <w:lang w:val="sr-Latn-ME"/>
              </w:rPr>
              <w:t>.</w:t>
            </w:r>
            <w:r w:rsidRPr="005B6717">
              <w:rPr>
                <w:rFonts w:ascii="Arial" w:hAnsi="Arial" w:cs="Arial"/>
                <w:sz w:val="22"/>
                <w:lang w:val="sr-Latn-ME"/>
              </w:rPr>
              <w:t xml:space="preserve"> kao što je to slučaj </w:t>
            </w:r>
            <w:r w:rsidR="009C107C">
              <w:rPr>
                <w:rFonts w:ascii="Arial" w:hAnsi="Arial" w:cs="Arial"/>
                <w:sz w:val="22"/>
                <w:lang w:val="sr-Latn-ME"/>
              </w:rPr>
              <w:t>i</w:t>
            </w:r>
            <w:r w:rsidRPr="005B6717">
              <w:rPr>
                <w:rFonts w:ascii="Arial" w:hAnsi="Arial" w:cs="Arial"/>
                <w:sz w:val="22"/>
                <w:lang w:val="sr-Latn-ME"/>
              </w:rPr>
              <w:t xml:space="preserve"> sa drugim zemljama članicama i potencijalnim </w:t>
            </w:r>
            <w:r w:rsidR="009C107C">
              <w:rPr>
                <w:rFonts w:ascii="Arial" w:hAnsi="Arial" w:cs="Arial"/>
                <w:sz w:val="22"/>
                <w:lang w:val="sr-Latn-ME"/>
              </w:rPr>
              <w:t xml:space="preserve">kandidatima za članstvo u </w:t>
            </w:r>
            <w:r w:rsidRPr="005B6717">
              <w:rPr>
                <w:rFonts w:ascii="Arial" w:hAnsi="Arial" w:cs="Arial"/>
                <w:sz w:val="22"/>
                <w:lang w:val="sr-Latn-ME"/>
              </w:rPr>
              <w:t xml:space="preserve"> EU. Iako je u državama članicama EU i zemljama </w:t>
            </w:r>
            <w:r w:rsidRPr="005B6717">
              <w:rPr>
                <w:rFonts w:ascii="Arial" w:hAnsi="Arial" w:cs="Arial"/>
                <w:sz w:val="22"/>
                <w:lang w:val="sr-Latn-ME"/>
              </w:rPr>
              <w:lastRenderedPageBreak/>
              <w:t>kandidatima AFCOS uspostavljen u okviru različitih ministarstava (Ministarstvo unutrašnjih poslova, Ministarstvo ekonomije, Ministarstvo pravde, Ministarstvo finansija itd.), ona je uobičajeno sastavni dio jedne institucije/ministarstva, a ne posebna agencija.</w:t>
            </w:r>
          </w:p>
          <w:p w:rsidR="005B6717" w:rsidRPr="005B6717" w:rsidRDefault="005B6717" w:rsidP="005B6717">
            <w:pPr>
              <w:rPr>
                <w:rFonts w:ascii="Arial" w:hAnsi="Arial" w:cs="Arial"/>
                <w:sz w:val="22"/>
                <w:lang w:val="sr-Latn-ME"/>
              </w:rPr>
            </w:pPr>
          </w:p>
          <w:p w:rsidR="005B6717" w:rsidRPr="009C107C" w:rsidRDefault="005B6717" w:rsidP="005B6717">
            <w:pPr>
              <w:rPr>
                <w:rFonts w:ascii="Arial" w:hAnsi="Arial" w:cs="Arial"/>
                <w:b/>
                <w:sz w:val="22"/>
                <w:lang w:val="sr-Latn-ME"/>
              </w:rPr>
            </w:pPr>
            <w:r w:rsidRPr="009C107C">
              <w:rPr>
                <w:rFonts w:ascii="Arial" w:hAnsi="Arial" w:cs="Arial"/>
                <w:b/>
                <w:sz w:val="22"/>
                <w:lang w:val="sr-Latn-ME"/>
              </w:rPr>
              <w:t>Ni</w:t>
            </w:r>
            <w:r w:rsidR="009C107C">
              <w:rPr>
                <w:rFonts w:ascii="Arial" w:hAnsi="Arial" w:cs="Arial"/>
                <w:b/>
                <w:sz w:val="22"/>
                <w:lang w:val="sr-Latn-ME"/>
              </w:rPr>
              <w:t>je</w:t>
            </w:r>
            <w:r w:rsidRPr="009C107C">
              <w:rPr>
                <w:rFonts w:ascii="Arial" w:hAnsi="Arial" w:cs="Arial"/>
                <w:b/>
                <w:sz w:val="22"/>
                <w:lang w:val="sr-Latn-ME"/>
              </w:rPr>
              <w:t>su potrebne dodatne izmjene nacrta Strategije po ovom pitanju.</w:t>
            </w:r>
          </w:p>
          <w:p w:rsidR="005B6717" w:rsidRPr="005B6717" w:rsidRDefault="005B6717" w:rsidP="005B6717">
            <w:pPr>
              <w:rPr>
                <w:rFonts w:ascii="Arial" w:hAnsi="Arial" w:cs="Arial"/>
                <w:sz w:val="22"/>
                <w:lang w:val="sr-Latn-ME"/>
              </w:rPr>
            </w:pPr>
          </w:p>
        </w:tc>
      </w:tr>
      <w:tr w:rsidR="008B595A" w:rsidRPr="005B6717" w:rsidTr="006E6241">
        <w:tc>
          <w:tcPr>
            <w:tcW w:w="540"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lastRenderedPageBreak/>
              <w:t>2)</w:t>
            </w:r>
          </w:p>
        </w:tc>
        <w:tc>
          <w:tcPr>
            <w:tcW w:w="3240"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t>Primjedba/predlog/sugestija 2:</w:t>
            </w:r>
          </w:p>
          <w:p w:rsidR="005B6717" w:rsidRPr="005B6717" w:rsidRDefault="005B6717" w:rsidP="005B6717">
            <w:pPr>
              <w:rPr>
                <w:rFonts w:ascii="Arial" w:hAnsi="Arial" w:cs="Arial"/>
                <w:b/>
                <w:sz w:val="22"/>
                <w:lang w:val="sr-Latn-ME"/>
              </w:rPr>
            </w:pPr>
            <w:r w:rsidRPr="005B6717">
              <w:rPr>
                <w:rFonts w:ascii="Arial" w:hAnsi="Arial" w:cs="Arial"/>
                <w:b/>
                <w:sz w:val="22"/>
                <w:lang w:val="sr-Latn-ME"/>
              </w:rPr>
              <w:t xml:space="preserve">Potrebno je razmotriti osnivanje posebnog savjeta na nivou Vlade Crne Gore, koji bi bio uključen u pitanje </w:t>
            </w:r>
            <w:r w:rsidR="009C107C">
              <w:rPr>
                <w:rFonts w:ascii="Arial" w:hAnsi="Arial" w:cs="Arial"/>
                <w:b/>
                <w:sz w:val="22"/>
                <w:lang w:val="sr-Latn-ME"/>
              </w:rPr>
              <w:t>s</w:t>
            </w:r>
            <w:r w:rsidRPr="005B6717">
              <w:rPr>
                <w:rFonts w:ascii="Arial" w:hAnsi="Arial" w:cs="Arial"/>
                <w:b/>
                <w:sz w:val="22"/>
                <w:lang w:val="sr-Latn-ME"/>
              </w:rPr>
              <w:t xml:space="preserve">provođenja Strategije i povezanih aktivnosti, a bio bi otvoren ne samo za predstavnike izvršne vlasti, već i stručne, akademske i </w:t>
            </w:r>
            <w:r w:rsidRPr="005B6717">
              <w:rPr>
                <w:rFonts w:ascii="Arial" w:hAnsi="Arial" w:cs="Arial"/>
                <w:b/>
                <w:sz w:val="22"/>
                <w:lang w:val="sr-Latn-ME"/>
              </w:rPr>
              <w:lastRenderedPageBreak/>
              <w:t>poslovne zajednice, kao i civilnog sektora.</w:t>
            </w:r>
          </w:p>
          <w:p w:rsidR="005B6717" w:rsidRPr="005B6717" w:rsidRDefault="005B6717" w:rsidP="005B6717">
            <w:pPr>
              <w:rPr>
                <w:rFonts w:ascii="Arial" w:hAnsi="Arial" w:cs="Arial"/>
                <w:sz w:val="22"/>
                <w:lang w:val="sr-Latn-ME"/>
              </w:rPr>
            </w:pPr>
          </w:p>
        </w:tc>
        <w:tc>
          <w:tcPr>
            <w:tcW w:w="2790" w:type="dxa"/>
            <w:gridSpan w:val="2"/>
          </w:tcPr>
          <w:p w:rsidR="005B6717" w:rsidRPr="005B6717" w:rsidRDefault="005B6717" w:rsidP="005B6717">
            <w:pPr>
              <w:rPr>
                <w:rFonts w:ascii="Arial" w:hAnsi="Arial" w:cs="Arial"/>
                <w:sz w:val="22"/>
                <w:lang w:val="sr-Latn-ME"/>
              </w:rPr>
            </w:pPr>
            <w:r w:rsidRPr="005B6717">
              <w:rPr>
                <w:rFonts w:ascii="Arial" w:hAnsi="Arial" w:cs="Arial"/>
                <w:sz w:val="22"/>
                <w:lang w:val="sr-Latn-ME"/>
              </w:rPr>
              <w:lastRenderedPageBreak/>
              <w:t xml:space="preserve">Rješenje se predlaže imajući u vidu potrebu bolje kontrole i praćenja realizacije planiranih aktivnosti, ali i postizanja veće transparentnosti u ovoj oblasti. </w:t>
            </w:r>
          </w:p>
          <w:p w:rsidR="005B6717" w:rsidRPr="005B6717" w:rsidRDefault="005B6717" w:rsidP="005B6717">
            <w:pPr>
              <w:rPr>
                <w:rFonts w:ascii="Arial" w:hAnsi="Arial" w:cs="Arial"/>
                <w:sz w:val="22"/>
                <w:lang w:val="sr-Latn-ME"/>
              </w:rPr>
            </w:pPr>
            <w:r w:rsidRPr="005B6717">
              <w:rPr>
                <w:rFonts w:ascii="Arial" w:hAnsi="Arial" w:cs="Arial"/>
                <w:sz w:val="22"/>
                <w:lang w:val="sr-Latn-ME"/>
              </w:rPr>
              <w:t xml:space="preserve"> Savjet bi bio formiran od predstavnika izvršne vlasti, ali bi bio otvoren i za predstavnike stručne, poslovne i akademske </w:t>
            </w:r>
            <w:r w:rsidRPr="005B6717">
              <w:rPr>
                <w:rFonts w:ascii="Arial" w:hAnsi="Arial" w:cs="Arial"/>
                <w:sz w:val="22"/>
                <w:lang w:val="sr-Latn-ME"/>
              </w:rPr>
              <w:lastRenderedPageBreak/>
              <w:t>zajednice, kao i civilnog sektora. Rad savjeta bi bio javan i cijenio da bi se kroz osnivanje posebnog tijela, koje bi pratilo realizaciju Strategije i povezanih aktivnosti, ostvarila u praksa veća transparentnost, ali i dao doprinos podizanju svijesti javnosti o ovim pitanjima.</w:t>
            </w:r>
          </w:p>
        </w:tc>
        <w:tc>
          <w:tcPr>
            <w:tcW w:w="3150"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lastRenderedPageBreak/>
              <w:t>Direkcija za zaštit</w:t>
            </w:r>
            <w:r w:rsidR="009C107C">
              <w:rPr>
                <w:rFonts w:ascii="Arial" w:hAnsi="Arial" w:cs="Arial"/>
                <w:sz w:val="22"/>
                <w:lang w:val="sr-Latn-ME"/>
              </w:rPr>
              <w:t>u</w:t>
            </w:r>
            <w:r w:rsidRPr="005B6717">
              <w:rPr>
                <w:rFonts w:ascii="Arial" w:hAnsi="Arial" w:cs="Arial"/>
                <w:sz w:val="22"/>
                <w:lang w:val="sr-Latn-ME"/>
              </w:rPr>
              <w:t xml:space="preserve"> finansijskih interesa EU/AFCOS uključuje NVO sektor u Radne grupe za izradu Strategije u skladu sa članom 3 Uredbe o izboru predstavnika nevladinih organizacija u radna tijela organa državne  uprave i sprovođenju javne rasprave u pripremi zakona i strategija („Službeni list Crne Gore“ broj 41/18).</w:t>
            </w:r>
          </w:p>
          <w:p w:rsidR="005B6717" w:rsidRPr="005B6717" w:rsidRDefault="005B6717" w:rsidP="005B6717">
            <w:pPr>
              <w:rPr>
                <w:rFonts w:ascii="Arial" w:hAnsi="Arial" w:cs="Arial"/>
                <w:sz w:val="22"/>
                <w:lang w:val="sr-Latn-ME"/>
              </w:rPr>
            </w:pPr>
            <w:r w:rsidRPr="005B6717">
              <w:rPr>
                <w:rFonts w:ascii="Arial" w:hAnsi="Arial" w:cs="Arial"/>
                <w:sz w:val="22"/>
                <w:lang w:val="sr-Latn-ME"/>
              </w:rPr>
              <w:lastRenderedPageBreak/>
              <w:t>Takođe, godišnje izvještava Vladu o realizovanim aktivnostima i dokumenti su dostupni javnosti.</w:t>
            </w:r>
          </w:p>
          <w:p w:rsidR="005B6717" w:rsidRPr="009C107C" w:rsidRDefault="005B6717" w:rsidP="005B6717">
            <w:pPr>
              <w:rPr>
                <w:rFonts w:ascii="Arial" w:hAnsi="Arial" w:cs="Arial"/>
                <w:b/>
                <w:sz w:val="22"/>
                <w:lang w:val="sr-Latn-ME"/>
              </w:rPr>
            </w:pPr>
            <w:r w:rsidRPr="009C107C">
              <w:rPr>
                <w:rFonts w:ascii="Arial" w:hAnsi="Arial" w:cs="Arial"/>
                <w:b/>
                <w:color w:val="000000" w:themeColor="text1"/>
                <w:sz w:val="22"/>
                <w:lang w:val="sr-Latn-ME"/>
              </w:rPr>
              <w:t xml:space="preserve">U narednom periodu biće razmotrena mogućnost uključivanje NVO sektora u radna tijela koja prate procese zaštite finansijskih interesa EU.  </w:t>
            </w:r>
          </w:p>
        </w:tc>
      </w:tr>
      <w:tr w:rsidR="008B595A" w:rsidRPr="005B6717" w:rsidTr="006E6241">
        <w:tc>
          <w:tcPr>
            <w:tcW w:w="540"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lastRenderedPageBreak/>
              <w:t>3)</w:t>
            </w:r>
          </w:p>
        </w:tc>
        <w:tc>
          <w:tcPr>
            <w:tcW w:w="3240"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t>Primjedba/predlog/sugestija 3:</w:t>
            </w:r>
          </w:p>
          <w:p w:rsidR="005B6717" w:rsidRPr="005B6717" w:rsidRDefault="005B6717" w:rsidP="005B6717">
            <w:pPr>
              <w:rPr>
                <w:rFonts w:ascii="Arial" w:hAnsi="Arial" w:cs="Arial"/>
                <w:b/>
                <w:sz w:val="22"/>
                <w:lang w:val="sr-Latn-ME"/>
              </w:rPr>
            </w:pPr>
            <w:r w:rsidRPr="005B6717">
              <w:rPr>
                <w:rFonts w:ascii="Arial" w:hAnsi="Arial" w:cs="Arial"/>
                <w:b/>
                <w:sz w:val="22"/>
                <w:lang w:val="sr-Latn-ME"/>
              </w:rPr>
              <w:t>Nejasno je zašto Strategija izvođače, korisnike projekata finansiranih od Evropske Unije ili crnogorsko društvo uopšte, ne prepoznaje kao zainteresovane strane u odnosu na Strategiju.</w:t>
            </w:r>
          </w:p>
          <w:p w:rsidR="005B6717" w:rsidRPr="005B6717" w:rsidRDefault="005B6717" w:rsidP="005B6717">
            <w:pPr>
              <w:rPr>
                <w:rFonts w:ascii="Arial" w:hAnsi="Arial" w:cs="Arial"/>
                <w:sz w:val="22"/>
                <w:lang w:val="sr-Latn-ME"/>
              </w:rPr>
            </w:pPr>
          </w:p>
          <w:p w:rsidR="005B6717" w:rsidRPr="005B6717" w:rsidRDefault="005B6717" w:rsidP="005B6717">
            <w:pPr>
              <w:rPr>
                <w:rFonts w:ascii="Arial" w:hAnsi="Arial" w:cs="Arial"/>
                <w:sz w:val="22"/>
                <w:lang w:val="sr-Latn-ME"/>
              </w:rPr>
            </w:pPr>
          </w:p>
        </w:tc>
        <w:tc>
          <w:tcPr>
            <w:tcW w:w="2790" w:type="dxa"/>
            <w:gridSpan w:val="2"/>
          </w:tcPr>
          <w:p w:rsidR="005B6717" w:rsidRPr="005B6717" w:rsidRDefault="005B6717" w:rsidP="005B6717">
            <w:pPr>
              <w:rPr>
                <w:rFonts w:ascii="Arial" w:hAnsi="Arial" w:cs="Arial"/>
                <w:sz w:val="22"/>
                <w:lang w:val="sr-Latn-ME"/>
              </w:rPr>
            </w:pPr>
            <w:r w:rsidRPr="005B6717">
              <w:rPr>
                <w:rFonts w:ascii="Arial" w:hAnsi="Arial" w:cs="Arial"/>
                <w:sz w:val="22"/>
                <w:lang w:val="sr-Latn-ME"/>
              </w:rPr>
              <w:t>Strategija navodi da izvođači, korisnici projekata finansiranih sredstvima Evropske Unije, poreski obveznici Evropske Unije i Crne Gore, kao i crnogorsko društvo uopšte, nijesu smatrani zainteresovanim stranama u odnosu na Strategiju, jer nijesu direktno odgovorni za njenu implementaciju i ispunjavanje zadataka iz njenog Akcionog plana.</w:t>
            </w:r>
          </w:p>
          <w:p w:rsidR="005B6717" w:rsidRPr="005B6717" w:rsidRDefault="005B6717" w:rsidP="005B6717">
            <w:pPr>
              <w:rPr>
                <w:rFonts w:ascii="Arial" w:hAnsi="Arial" w:cs="Arial"/>
                <w:sz w:val="22"/>
                <w:lang w:val="sr-Latn-ME"/>
              </w:rPr>
            </w:pPr>
            <w:r w:rsidRPr="005B6717">
              <w:rPr>
                <w:rFonts w:ascii="Arial" w:hAnsi="Arial" w:cs="Arial"/>
                <w:sz w:val="22"/>
                <w:lang w:val="sr-Latn-ME"/>
              </w:rPr>
              <w:t>Potpuno je nejasno zašto Strategija ne prepoznaje prednje navedene subjekte kao zainteresovane strane, makar dio njih, a bez obzira što nijesu odgovorni za ispunjavanje obaveza iz Akcionog plana, jer crnogorsko društvo, naročito pojedini njegovi dijelovi, jesu zainteresovane strane. Uostalom, ni konkretna javna rasprava za Strategiju ne bi imala smisla da crnogorsko društvo nije zainteresovana strana.</w:t>
            </w:r>
          </w:p>
        </w:tc>
        <w:tc>
          <w:tcPr>
            <w:tcW w:w="3150" w:type="dxa"/>
            <w:shd w:val="clear" w:color="auto" w:fill="auto"/>
          </w:tcPr>
          <w:p w:rsidR="005B6717" w:rsidRPr="005B6717" w:rsidRDefault="005B6717" w:rsidP="005B6717">
            <w:pPr>
              <w:rPr>
                <w:rFonts w:ascii="Arial" w:hAnsi="Arial" w:cs="Arial"/>
                <w:sz w:val="22"/>
                <w:lang w:val="sr-Latn-ME"/>
              </w:rPr>
            </w:pPr>
            <w:r w:rsidRPr="005B6717">
              <w:rPr>
                <w:rFonts w:ascii="Arial" w:hAnsi="Arial" w:cs="Arial"/>
                <w:sz w:val="22"/>
                <w:lang w:val="sr-Latn-ME"/>
              </w:rPr>
              <w:t>Akteri Strategije su prvobitno definisani u smislu onih koji će biti direktno uključeni u njeno sprovođenje ili na koje se njena implementacija direktno odnosi.</w:t>
            </w:r>
          </w:p>
          <w:p w:rsidR="005B6717" w:rsidRPr="009C107C" w:rsidRDefault="005B6717" w:rsidP="005B6717">
            <w:pPr>
              <w:rPr>
                <w:rFonts w:ascii="Arial" w:hAnsi="Arial" w:cs="Arial"/>
                <w:b/>
                <w:sz w:val="22"/>
                <w:lang w:val="sr-Latn-ME"/>
              </w:rPr>
            </w:pPr>
            <w:r w:rsidRPr="009C107C">
              <w:rPr>
                <w:rFonts w:ascii="Arial" w:hAnsi="Arial" w:cs="Arial"/>
                <w:b/>
                <w:sz w:val="22"/>
                <w:lang w:val="sr-Latn-ME"/>
              </w:rPr>
              <w:t>S obzirom na interes iskazan tokom javnih konsultacija, dodatni akteri biće dodati</w:t>
            </w:r>
            <w:r w:rsidR="009C107C">
              <w:rPr>
                <w:rFonts w:ascii="Arial" w:hAnsi="Arial" w:cs="Arial"/>
                <w:b/>
                <w:sz w:val="22"/>
                <w:lang w:val="sr-Latn-ME"/>
              </w:rPr>
              <w:t>.</w:t>
            </w:r>
          </w:p>
          <w:p w:rsidR="005B6717" w:rsidRPr="009C107C" w:rsidRDefault="005B6717" w:rsidP="005B6717">
            <w:pPr>
              <w:rPr>
                <w:rFonts w:ascii="Arial" w:hAnsi="Arial" w:cs="Arial"/>
                <w:b/>
                <w:sz w:val="22"/>
                <w:lang w:val="sr-Latn-ME"/>
              </w:rPr>
            </w:pPr>
            <w:r w:rsidRPr="009C107C">
              <w:rPr>
                <w:rFonts w:ascii="Arial" w:hAnsi="Arial" w:cs="Arial"/>
                <w:b/>
                <w:sz w:val="22"/>
                <w:lang w:val="sr-Latn-ME"/>
              </w:rPr>
              <w:t>Ova dopuna doprinosi inkluzivnosti i prepoznavanju šireg društvenog značaja sprovođenja ove Strategije i pratećeg Akcionog plana.</w:t>
            </w:r>
          </w:p>
          <w:p w:rsidR="005B6717" w:rsidRPr="005B6717" w:rsidRDefault="005B6717" w:rsidP="005B6717">
            <w:pPr>
              <w:rPr>
                <w:rFonts w:ascii="Arial" w:hAnsi="Arial" w:cs="Arial"/>
                <w:sz w:val="22"/>
                <w:lang w:val="sr-Latn-ME"/>
              </w:rPr>
            </w:pPr>
          </w:p>
        </w:tc>
      </w:tr>
      <w:tr w:rsidR="008B595A" w:rsidRPr="005B6717" w:rsidTr="006E6241">
        <w:tc>
          <w:tcPr>
            <w:tcW w:w="540"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t>4)</w:t>
            </w:r>
          </w:p>
        </w:tc>
        <w:tc>
          <w:tcPr>
            <w:tcW w:w="3240"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t>Primjedba/predlog/sugestija 4:</w:t>
            </w:r>
          </w:p>
          <w:p w:rsidR="005B6717" w:rsidRPr="005B6717" w:rsidRDefault="005B6717" w:rsidP="005B6717">
            <w:pPr>
              <w:rPr>
                <w:rFonts w:ascii="Arial" w:hAnsi="Arial" w:cs="Arial"/>
                <w:sz w:val="22"/>
                <w:lang w:val="sr-Latn-ME"/>
              </w:rPr>
            </w:pPr>
          </w:p>
          <w:p w:rsidR="005B6717" w:rsidRPr="005B6717" w:rsidRDefault="005B6717" w:rsidP="005B6717">
            <w:pPr>
              <w:rPr>
                <w:rFonts w:ascii="Arial" w:hAnsi="Arial" w:cs="Arial"/>
                <w:b/>
                <w:sz w:val="22"/>
                <w:lang w:val="sr-Latn-ME"/>
              </w:rPr>
            </w:pPr>
            <w:r w:rsidRPr="005B6717">
              <w:rPr>
                <w:rFonts w:ascii="Arial" w:hAnsi="Arial" w:cs="Arial"/>
                <w:b/>
                <w:sz w:val="22"/>
                <w:lang w:val="sr-Latn-ME"/>
              </w:rPr>
              <w:t xml:space="preserve">U Strategiji je neophodno detaljno navesti realizovane </w:t>
            </w:r>
            <w:r w:rsidRPr="005B6717">
              <w:rPr>
                <w:rFonts w:ascii="Arial" w:hAnsi="Arial" w:cs="Arial"/>
                <w:b/>
                <w:sz w:val="22"/>
                <w:lang w:val="sr-Latn-ME"/>
              </w:rPr>
              <w:lastRenderedPageBreak/>
              <w:t>aktivnosti po operativnim ciljevima za Strategiju 2019-2022 godina</w:t>
            </w:r>
          </w:p>
          <w:p w:rsidR="005B6717" w:rsidRPr="005B6717" w:rsidRDefault="005B6717" w:rsidP="005B6717">
            <w:pPr>
              <w:rPr>
                <w:rFonts w:ascii="Arial" w:hAnsi="Arial" w:cs="Arial"/>
                <w:sz w:val="22"/>
                <w:lang w:val="sr-Latn-ME"/>
              </w:rPr>
            </w:pPr>
          </w:p>
        </w:tc>
        <w:tc>
          <w:tcPr>
            <w:tcW w:w="2790" w:type="dxa"/>
            <w:gridSpan w:val="2"/>
          </w:tcPr>
          <w:p w:rsidR="005B6717" w:rsidRPr="005B6717" w:rsidRDefault="005B6717" w:rsidP="005B6717">
            <w:pPr>
              <w:rPr>
                <w:rFonts w:ascii="Arial" w:hAnsi="Arial" w:cs="Arial"/>
                <w:sz w:val="22"/>
                <w:lang w:val="sr-Latn-ME"/>
              </w:rPr>
            </w:pPr>
            <w:r w:rsidRPr="005B6717">
              <w:rPr>
                <w:rFonts w:ascii="Arial" w:hAnsi="Arial" w:cs="Arial"/>
                <w:sz w:val="22"/>
                <w:lang w:val="sr-Latn-ME"/>
              </w:rPr>
              <w:lastRenderedPageBreak/>
              <w:t>U Strategiji se na prilično opšti način navode realizovane aktivnosti po operativnim ciljevima za Strategiju</w:t>
            </w:r>
            <w:r w:rsidR="009C107C">
              <w:rPr>
                <w:rFonts w:ascii="Arial" w:hAnsi="Arial" w:cs="Arial"/>
                <w:sz w:val="22"/>
                <w:lang w:val="sr-Latn-ME"/>
              </w:rPr>
              <w:t xml:space="preserve"> </w:t>
            </w:r>
            <w:r w:rsidRPr="005B6717">
              <w:rPr>
                <w:rFonts w:ascii="Arial" w:hAnsi="Arial" w:cs="Arial"/>
                <w:sz w:val="22"/>
                <w:lang w:val="sr-Latn-ME"/>
              </w:rPr>
              <w:t>201</w:t>
            </w:r>
            <w:r w:rsidR="009C107C">
              <w:rPr>
                <w:rFonts w:ascii="Arial" w:hAnsi="Arial" w:cs="Arial"/>
                <w:sz w:val="22"/>
                <w:lang w:val="sr-Latn-ME"/>
              </w:rPr>
              <w:t>9</w:t>
            </w:r>
            <w:r w:rsidRPr="005B6717">
              <w:rPr>
                <w:rFonts w:ascii="Arial" w:hAnsi="Arial" w:cs="Arial"/>
                <w:sz w:val="22"/>
                <w:lang w:val="sr-Latn-ME"/>
              </w:rPr>
              <w:t xml:space="preserve">-2022 </w:t>
            </w:r>
            <w:r w:rsidRPr="005B6717">
              <w:rPr>
                <w:rFonts w:ascii="Arial" w:hAnsi="Arial" w:cs="Arial"/>
                <w:sz w:val="22"/>
                <w:lang w:val="sr-Latn-ME"/>
              </w:rPr>
              <w:lastRenderedPageBreak/>
              <w:t xml:space="preserve">godina, te je neophodno taksativno navesti realizovane aktivnosti. </w:t>
            </w:r>
          </w:p>
          <w:p w:rsidR="005B6717" w:rsidRPr="005B6717" w:rsidRDefault="005B6717" w:rsidP="005B6717">
            <w:pPr>
              <w:rPr>
                <w:rFonts w:ascii="Arial" w:hAnsi="Arial" w:cs="Arial"/>
                <w:sz w:val="22"/>
                <w:lang w:val="sr-Latn-ME"/>
              </w:rPr>
            </w:pPr>
            <w:r w:rsidRPr="005B6717">
              <w:rPr>
                <w:rFonts w:ascii="Arial" w:hAnsi="Arial" w:cs="Arial"/>
                <w:sz w:val="22"/>
                <w:lang w:val="sr-Latn-ME"/>
              </w:rPr>
              <w:t>Prednje se predlaže iz razloga što je neophodno ponuditi potpune i jasne informacije o svim realizovanim aktivnostima. Ovo posebno što upravo realizovane aktivnosti iz ranijih godina predstavljaju nastavak i praktično su polazna osnova za dalje aktivnosti koje se planiraju, pa je cjelishodno ponuditi cjelovit i sadržajno potpun dokument.</w:t>
            </w:r>
          </w:p>
        </w:tc>
        <w:tc>
          <w:tcPr>
            <w:tcW w:w="3150"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lastRenderedPageBreak/>
              <w:t xml:space="preserve">Prethodna Strategija i prateći Akcioni plan predstavljaju zaseban dokument i dostupni su svim zainteresovanim stranama. Izvještaj o </w:t>
            </w:r>
            <w:r w:rsidRPr="005B6717">
              <w:rPr>
                <w:rFonts w:ascii="Arial" w:hAnsi="Arial" w:cs="Arial"/>
                <w:sz w:val="22"/>
                <w:lang w:val="sr-Latn-ME"/>
              </w:rPr>
              <w:lastRenderedPageBreak/>
              <w:t>sprovođenju je usvojen na Vladi i sadrži detaljan pregled aktivnosti i status njihove realizacije. Nova Strategija za period 2025–2028 ne navodi sve te detalje kako se ne bi ponavljale informacije koje su već dostupne u drugim dokumentima.</w:t>
            </w:r>
          </w:p>
          <w:p w:rsidR="005B6717" w:rsidRPr="005B6717" w:rsidRDefault="005B6717" w:rsidP="005B6717">
            <w:pPr>
              <w:rPr>
                <w:rFonts w:ascii="Arial" w:hAnsi="Arial" w:cs="Arial"/>
                <w:sz w:val="22"/>
                <w:lang w:val="sr-Latn-ME"/>
              </w:rPr>
            </w:pPr>
          </w:p>
          <w:p w:rsidR="005B6717" w:rsidRPr="009C107C" w:rsidRDefault="005B6717" w:rsidP="005B6717">
            <w:pPr>
              <w:rPr>
                <w:rFonts w:ascii="Arial" w:hAnsi="Arial" w:cs="Arial"/>
                <w:b/>
                <w:sz w:val="22"/>
                <w:lang w:val="sr-Latn-ME"/>
              </w:rPr>
            </w:pPr>
            <w:r w:rsidRPr="009C107C">
              <w:rPr>
                <w:rFonts w:ascii="Arial" w:hAnsi="Arial" w:cs="Arial"/>
                <w:b/>
                <w:sz w:val="22"/>
                <w:lang w:val="sr-Latn-ME"/>
              </w:rPr>
              <w:t>Ni</w:t>
            </w:r>
            <w:r w:rsidR="009C107C" w:rsidRPr="009C107C">
              <w:rPr>
                <w:rFonts w:ascii="Arial" w:hAnsi="Arial" w:cs="Arial"/>
                <w:b/>
                <w:sz w:val="22"/>
                <w:lang w:val="sr-Latn-ME"/>
              </w:rPr>
              <w:t>je</w:t>
            </w:r>
            <w:r w:rsidRPr="009C107C">
              <w:rPr>
                <w:rFonts w:ascii="Arial" w:hAnsi="Arial" w:cs="Arial"/>
                <w:b/>
                <w:sz w:val="22"/>
                <w:lang w:val="sr-Latn-ME"/>
              </w:rPr>
              <w:t>su potrebne dodatne izmjene nacrta Strategije po ovom pitanju.</w:t>
            </w:r>
          </w:p>
          <w:p w:rsidR="005B6717" w:rsidRPr="005B6717" w:rsidRDefault="005B6717" w:rsidP="005B6717">
            <w:pPr>
              <w:rPr>
                <w:rFonts w:ascii="Arial" w:hAnsi="Arial" w:cs="Arial"/>
                <w:sz w:val="22"/>
                <w:lang w:val="sr-Latn-ME"/>
              </w:rPr>
            </w:pPr>
          </w:p>
        </w:tc>
      </w:tr>
      <w:tr w:rsidR="008B595A" w:rsidRPr="005B6717" w:rsidTr="006E6241">
        <w:tc>
          <w:tcPr>
            <w:tcW w:w="540"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lastRenderedPageBreak/>
              <w:t>5)</w:t>
            </w:r>
          </w:p>
        </w:tc>
        <w:tc>
          <w:tcPr>
            <w:tcW w:w="3240"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t>Primjedba/predlog/sugestija 5:</w:t>
            </w:r>
          </w:p>
          <w:p w:rsidR="005B6717" w:rsidRPr="005B6717" w:rsidRDefault="005B6717" w:rsidP="005B6717">
            <w:pPr>
              <w:rPr>
                <w:rFonts w:ascii="Arial" w:hAnsi="Arial" w:cs="Arial"/>
                <w:b/>
                <w:sz w:val="22"/>
                <w:lang w:val="sr-Latn-ME"/>
              </w:rPr>
            </w:pPr>
            <w:r w:rsidRPr="005B6717">
              <w:rPr>
                <w:rFonts w:ascii="Arial" w:hAnsi="Arial" w:cs="Arial"/>
                <w:b/>
                <w:sz w:val="22"/>
                <w:lang w:val="sr-Latn-ME"/>
              </w:rPr>
              <w:t>U Strategiji je potrebno precizno navesti koja je dodatna finansijska sredstva privukao AFCOS van državnog budžeta Crne Gore.</w:t>
            </w:r>
          </w:p>
          <w:p w:rsidR="005B6717" w:rsidRPr="005B6717" w:rsidRDefault="005B6717" w:rsidP="005B6717">
            <w:pPr>
              <w:rPr>
                <w:rFonts w:ascii="Arial" w:hAnsi="Arial" w:cs="Arial"/>
                <w:sz w:val="22"/>
                <w:lang w:val="sr-Latn-ME"/>
              </w:rPr>
            </w:pPr>
          </w:p>
        </w:tc>
        <w:tc>
          <w:tcPr>
            <w:tcW w:w="2790" w:type="dxa"/>
            <w:gridSpan w:val="2"/>
          </w:tcPr>
          <w:p w:rsidR="005B6717" w:rsidRPr="005B6717" w:rsidRDefault="005B6717" w:rsidP="005B6717">
            <w:pPr>
              <w:rPr>
                <w:rFonts w:ascii="Arial" w:hAnsi="Arial" w:cs="Arial"/>
                <w:sz w:val="22"/>
                <w:lang w:val="sr-Latn-ME"/>
              </w:rPr>
            </w:pPr>
            <w:r w:rsidRPr="005B6717">
              <w:rPr>
                <w:rFonts w:ascii="Arial" w:hAnsi="Arial" w:cs="Arial"/>
                <w:sz w:val="22"/>
                <w:lang w:val="sr-Latn-ME"/>
              </w:rPr>
              <w:t xml:space="preserve">U Strategiji se napominje da treba priznati sposobnost AFCOS-a da privuče dodatna finansijska sredstva van državnog budžeta Crne Gore. </w:t>
            </w:r>
          </w:p>
          <w:p w:rsidR="005B6717" w:rsidRPr="005B6717" w:rsidRDefault="005B6717" w:rsidP="005B6717">
            <w:pPr>
              <w:rPr>
                <w:rFonts w:ascii="Arial" w:hAnsi="Arial" w:cs="Arial"/>
                <w:sz w:val="22"/>
                <w:lang w:val="sr-Latn-ME"/>
              </w:rPr>
            </w:pPr>
            <w:r w:rsidRPr="005B6717">
              <w:rPr>
                <w:rFonts w:ascii="Arial" w:hAnsi="Arial" w:cs="Arial"/>
                <w:sz w:val="22"/>
                <w:lang w:val="sr-Latn-ME"/>
              </w:rPr>
              <w:t xml:space="preserve"> U vezi sa prednjim, a kako bi dokument bio cjelovit i sadržajno potpun, predlaže se da se precizno navede koja su sve finansijska sredstva privučena van državnog budžeta Crne Gore. Na taj način dokument ne bi obilovao opštim mjestima, već preciznim informacijama.</w:t>
            </w:r>
          </w:p>
        </w:tc>
        <w:tc>
          <w:tcPr>
            <w:tcW w:w="3150"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t>Dodatna sredstva za planirane aktivnosti tokom procesa izrade Strategije, obezbijeđena su kroz projekat odobren od strane Evropske komisije Twinning Light projekat pod nazivom</w:t>
            </w:r>
            <w:r w:rsidR="00A36289">
              <w:rPr>
                <w:rFonts w:ascii="Arial" w:hAnsi="Arial" w:cs="Arial"/>
                <w:sz w:val="22"/>
                <w:lang w:val="sr-Latn-ME"/>
              </w:rPr>
              <w:t xml:space="preserve"> </w:t>
            </w:r>
            <w:r w:rsidRPr="005B6717">
              <w:rPr>
                <w:rFonts w:ascii="Arial" w:hAnsi="Arial" w:cs="Arial"/>
                <w:sz w:val="22"/>
                <w:lang w:val="sr-Latn-ME"/>
              </w:rPr>
              <w:t>„Dalje unapređenje funkcionisanja crnogorskog AFCOS sistema u cilju efikasne zaštite finansijskih interesa EU“ br. MN 22 IPA FI 01 24 TWL, 2024/457-481, u vrijednosti od 250.000 EUR.</w:t>
            </w:r>
            <w:r w:rsidR="00A36289">
              <w:rPr>
                <w:rFonts w:ascii="Arial" w:hAnsi="Arial" w:cs="Arial"/>
                <w:sz w:val="22"/>
                <w:lang w:val="sr-Latn-ME"/>
              </w:rPr>
              <w:t xml:space="preserve"> Što je navedeno u Strategiji.</w:t>
            </w:r>
            <w:r w:rsidRPr="005B6717">
              <w:rPr>
                <w:rFonts w:ascii="Arial" w:hAnsi="Arial" w:cs="Arial"/>
                <w:sz w:val="22"/>
                <w:lang w:val="sr-Latn-ME"/>
              </w:rPr>
              <w:t xml:space="preserve"> To je treći projekat koji sprovodi Direkcija za zaštitu finansijskih interesa/AFCOS</w:t>
            </w:r>
            <w:r w:rsidR="00A36289">
              <w:rPr>
                <w:rFonts w:ascii="Arial" w:hAnsi="Arial" w:cs="Arial"/>
                <w:sz w:val="22"/>
                <w:lang w:val="sr-Latn-ME"/>
              </w:rPr>
              <w:t xml:space="preserve"> i obezbjeđuje dodatna sredstva za realizaciju definisanih ciljeva.</w:t>
            </w:r>
          </w:p>
          <w:p w:rsidR="005B6717" w:rsidRPr="00A36289" w:rsidRDefault="00A36289" w:rsidP="005B6717">
            <w:pPr>
              <w:rPr>
                <w:rFonts w:ascii="Arial" w:hAnsi="Arial" w:cs="Arial"/>
                <w:b/>
                <w:sz w:val="22"/>
                <w:lang w:val="sr-Latn-ME"/>
              </w:rPr>
            </w:pPr>
            <w:r w:rsidRPr="00A36289">
              <w:rPr>
                <w:rFonts w:ascii="Arial" w:hAnsi="Arial" w:cs="Arial"/>
                <w:b/>
                <w:sz w:val="22"/>
                <w:lang w:val="sr-Latn-ME"/>
              </w:rPr>
              <w:t>Nijesu potrebne dodatne izmjene nacrta Strategije po ovom pitanju.</w:t>
            </w:r>
          </w:p>
        </w:tc>
      </w:tr>
      <w:tr w:rsidR="008B595A" w:rsidRPr="005B6717" w:rsidTr="006E6241">
        <w:tc>
          <w:tcPr>
            <w:tcW w:w="540"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t>6)</w:t>
            </w:r>
          </w:p>
        </w:tc>
        <w:tc>
          <w:tcPr>
            <w:tcW w:w="3240"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t xml:space="preserve">Primjedba/predlog/sugestija 6: </w:t>
            </w:r>
          </w:p>
          <w:p w:rsidR="005B6717" w:rsidRPr="005B6717" w:rsidRDefault="005B6717" w:rsidP="005B6717">
            <w:pPr>
              <w:rPr>
                <w:rFonts w:ascii="Arial" w:hAnsi="Arial" w:cs="Arial"/>
                <w:b/>
                <w:sz w:val="22"/>
                <w:lang w:val="sr-Latn-ME"/>
              </w:rPr>
            </w:pPr>
            <w:r w:rsidRPr="005B6717">
              <w:rPr>
                <w:rFonts w:ascii="Arial" w:hAnsi="Arial" w:cs="Arial"/>
                <w:b/>
                <w:sz w:val="22"/>
                <w:lang w:val="sr-Latn-ME"/>
              </w:rPr>
              <w:t xml:space="preserve">Strategija u opisu postojećeg stanja mora jasno da navede koliko je, zbog izostanka političke podrške zakonodavnim procesima i nesaradnje između institucija, došlo do </w:t>
            </w:r>
            <w:r w:rsidRPr="005B6717">
              <w:rPr>
                <w:rFonts w:ascii="Arial" w:hAnsi="Arial" w:cs="Arial"/>
                <w:b/>
                <w:sz w:val="22"/>
                <w:lang w:val="sr-Latn-ME"/>
              </w:rPr>
              <w:lastRenderedPageBreak/>
              <w:t>fluktuacije kadra i kolika se šteta u tom smislu može procijeniti.</w:t>
            </w:r>
          </w:p>
          <w:p w:rsidR="005B6717" w:rsidRPr="005B6717" w:rsidRDefault="005B6717" w:rsidP="005B6717">
            <w:pPr>
              <w:rPr>
                <w:rFonts w:ascii="Arial" w:hAnsi="Arial" w:cs="Arial"/>
                <w:sz w:val="22"/>
                <w:lang w:val="sr-Latn-ME"/>
              </w:rPr>
            </w:pPr>
          </w:p>
        </w:tc>
        <w:tc>
          <w:tcPr>
            <w:tcW w:w="2790" w:type="dxa"/>
            <w:gridSpan w:val="2"/>
          </w:tcPr>
          <w:p w:rsidR="005B6717" w:rsidRPr="005B6717" w:rsidRDefault="005B6717" w:rsidP="005B6717">
            <w:pPr>
              <w:rPr>
                <w:rFonts w:ascii="Arial" w:hAnsi="Arial" w:cs="Arial"/>
                <w:sz w:val="22"/>
                <w:lang w:val="sr-Latn-ME"/>
              </w:rPr>
            </w:pPr>
            <w:r w:rsidRPr="005B6717">
              <w:rPr>
                <w:rFonts w:ascii="Arial" w:hAnsi="Arial" w:cs="Arial"/>
                <w:sz w:val="22"/>
                <w:lang w:val="sr-Latn-ME"/>
              </w:rPr>
              <w:lastRenderedPageBreak/>
              <w:t xml:space="preserve">U Strategiji se u opisu stanja ukazuje da su glavni izazovi u realizaciji aktivnosti za prethodnu Strategiju, a za vremenski period 2019-2022 bili i nedostatak političke podrške zakonodavnim </w:t>
            </w:r>
            <w:r w:rsidRPr="005B6717">
              <w:rPr>
                <w:rFonts w:ascii="Arial" w:hAnsi="Arial" w:cs="Arial"/>
                <w:sz w:val="22"/>
                <w:lang w:val="sr-Latn-ME"/>
              </w:rPr>
              <w:lastRenderedPageBreak/>
              <w:t xml:space="preserve">promjenama i izostanak volje za saradnjom među institucijama, uz ocjenu da su institucionalni kontinuitet i timska motivacija, uključujući IPA strukturu, pretrpjeli štetu i rezultirali visokim stopama fluktuacije tokom poslednjih godina. </w:t>
            </w:r>
          </w:p>
          <w:p w:rsidR="005B6717" w:rsidRPr="005B6717" w:rsidRDefault="005B6717" w:rsidP="005B6717">
            <w:pPr>
              <w:rPr>
                <w:rFonts w:ascii="Arial" w:hAnsi="Arial" w:cs="Arial"/>
                <w:sz w:val="22"/>
                <w:lang w:val="sr-Latn-ME"/>
              </w:rPr>
            </w:pPr>
            <w:r w:rsidRPr="005B6717">
              <w:rPr>
                <w:rFonts w:ascii="Arial" w:hAnsi="Arial" w:cs="Arial"/>
                <w:sz w:val="22"/>
                <w:lang w:val="sr-Latn-ME"/>
              </w:rPr>
              <w:t>Neophodno je jasno navesti kolika je bila fluktuacija u brojkama, umjesto opšte ocjene o „visokim stopama fluktuacije“ i precizirati kakva i kolika je šteta nastupila, umjesto opšteg mjesta da je „pretrpljena šteta“, a prednje iz razloga što je u procesu integracija nedopustivo da nesaradnja među institucijama bude razlog za neispunjavanje obaveza zemlje, ali i kako bi se za budući period moglo kvalitetnije upravljati rizicima ove vrste.</w:t>
            </w:r>
          </w:p>
        </w:tc>
        <w:tc>
          <w:tcPr>
            <w:tcW w:w="3150"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lastRenderedPageBreak/>
              <w:t>U poglavlju</w:t>
            </w:r>
            <w:r w:rsidR="00580ED1" w:rsidRPr="005B6717">
              <w:rPr>
                <w:rFonts w:ascii="Arial" w:hAnsi="Arial" w:cs="Arial"/>
                <w:sz w:val="22"/>
                <w:lang w:val="sr-Latn-ME"/>
              </w:rPr>
              <w:t xml:space="preserve"> poglavlju 2.1.1. u dijelu </w:t>
            </w:r>
            <w:r w:rsidR="00A36289">
              <w:rPr>
                <w:rFonts w:ascii="Arial" w:hAnsi="Arial" w:cs="Arial"/>
                <w:sz w:val="22"/>
                <w:lang w:val="sr-Latn-ME"/>
              </w:rPr>
              <w:t xml:space="preserve">gdje se opisuje </w:t>
            </w:r>
            <w:r w:rsidR="00580ED1" w:rsidRPr="005B6717">
              <w:rPr>
                <w:rFonts w:ascii="Arial" w:hAnsi="Arial" w:cs="Arial"/>
                <w:sz w:val="22"/>
                <w:lang w:val="sr-Latn-ME"/>
              </w:rPr>
              <w:t>nedostat</w:t>
            </w:r>
            <w:r w:rsidR="00A36289">
              <w:rPr>
                <w:rFonts w:ascii="Arial" w:hAnsi="Arial" w:cs="Arial"/>
                <w:sz w:val="22"/>
                <w:lang w:val="sr-Latn-ME"/>
              </w:rPr>
              <w:t xml:space="preserve">ak </w:t>
            </w:r>
            <w:r w:rsidR="00580ED1" w:rsidRPr="005B6717">
              <w:rPr>
                <w:rFonts w:ascii="Arial" w:hAnsi="Arial" w:cs="Arial"/>
                <w:sz w:val="22"/>
                <w:lang w:val="sr-Latn-ME"/>
              </w:rPr>
              <w:t>političke podrške,</w:t>
            </w:r>
            <w:r w:rsidRPr="005B6717">
              <w:rPr>
                <w:rFonts w:ascii="Arial" w:hAnsi="Arial" w:cs="Arial"/>
                <w:sz w:val="22"/>
                <w:lang w:val="sr-Latn-ME"/>
              </w:rPr>
              <w:t xml:space="preserve"> </w:t>
            </w:r>
            <w:r w:rsidR="00A36289">
              <w:rPr>
                <w:rFonts w:ascii="Arial" w:hAnsi="Arial" w:cs="Arial"/>
                <w:sz w:val="22"/>
                <w:lang w:val="sr-Latn-ME"/>
              </w:rPr>
              <w:t xml:space="preserve">objašnjeno </w:t>
            </w:r>
            <w:r w:rsidRPr="005B6717">
              <w:rPr>
                <w:rFonts w:ascii="Arial" w:hAnsi="Arial" w:cs="Arial"/>
                <w:sz w:val="22"/>
                <w:lang w:val="sr-Latn-ME"/>
              </w:rPr>
              <w:t xml:space="preserve"> je</w:t>
            </w:r>
            <w:r w:rsidR="00580ED1" w:rsidRPr="005B6717">
              <w:rPr>
                <w:rFonts w:ascii="Arial" w:hAnsi="Arial" w:cs="Arial"/>
                <w:sz w:val="22"/>
                <w:lang w:val="sr-Latn-ME"/>
              </w:rPr>
              <w:t xml:space="preserve"> </w:t>
            </w:r>
            <w:r w:rsidRPr="005B6717">
              <w:rPr>
                <w:rFonts w:ascii="Arial" w:hAnsi="Arial" w:cs="Arial"/>
                <w:sz w:val="22"/>
                <w:lang w:val="sr-Latn-ME"/>
              </w:rPr>
              <w:t xml:space="preserve">da se misli na česte promjene rukovodećeg kadra i starješina organa, što je usporilo procese </w:t>
            </w:r>
            <w:r w:rsidR="00A36289">
              <w:rPr>
                <w:rFonts w:ascii="Arial" w:hAnsi="Arial" w:cs="Arial"/>
                <w:sz w:val="22"/>
                <w:lang w:val="sr-Latn-ME"/>
              </w:rPr>
              <w:t>i</w:t>
            </w:r>
            <w:r w:rsidRPr="005B6717">
              <w:rPr>
                <w:rFonts w:ascii="Arial" w:hAnsi="Arial" w:cs="Arial"/>
                <w:sz w:val="22"/>
                <w:lang w:val="sr-Latn-ME"/>
              </w:rPr>
              <w:t xml:space="preserve"> izazvalo promjene koje su uticale na </w:t>
            </w:r>
            <w:r w:rsidRPr="005B6717">
              <w:rPr>
                <w:rFonts w:ascii="Arial" w:hAnsi="Arial" w:cs="Arial"/>
                <w:sz w:val="22"/>
                <w:lang w:val="sr-Latn-ME"/>
              </w:rPr>
              <w:lastRenderedPageBreak/>
              <w:t>prioritete u donošenju odluka, te stoga nijesu usvojeni pravni akti koji se pominju u Strategiji, a koji uređuju oblast zaštite finansijskih interesa EU. Usvajanje ovih pravnih akata  je predviđeno i ovim Akcionim planom za period 2025-2026 godine.</w:t>
            </w:r>
          </w:p>
          <w:p w:rsidR="005B6717" w:rsidRPr="005B6717" w:rsidRDefault="005B6717" w:rsidP="005B6717">
            <w:pPr>
              <w:rPr>
                <w:rFonts w:ascii="Arial" w:hAnsi="Arial" w:cs="Arial"/>
                <w:sz w:val="22"/>
                <w:lang w:val="sr-Latn-ME"/>
              </w:rPr>
            </w:pPr>
          </w:p>
          <w:p w:rsidR="00FC2872" w:rsidRPr="005B6717" w:rsidRDefault="005B6717" w:rsidP="005B6717">
            <w:pPr>
              <w:rPr>
                <w:rFonts w:ascii="Arial" w:hAnsi="Arial" w:cs="Arial"/>
                <w:sz w:val="22"/>
                <w:lang w:val="sr-Latn-ME"/>
              </w:rPr>
            </w:pPr>
            <w:r w:rsidRPr="005B6717">
              <w:rPr>
                <w:rFonts w:ascii="Arial" w:hAnsi="Arial" w:cs="Arial"/>
                <w:sz w:val="22"/>
                <w:lang w:val="sr-Latn-ME"/>
              </w:rPr>
              <w:t>Termin pretrpljena šteta, kao takav biće uklonjen iz dokumenta, i da</w:t>
            </w:r>
            <w:r w:rsidR="00A36289">
              <w:rPr>
                <w:rFonts w:ascii="Arial" w:hAnsi="Arial" w:cs="Arial"/>
                <w:sz w:val="22"/>
                <w:lang w:val="sr-Latn-ME"/>
              </w:rPr>
              <w:t>ć</w:t>
            </w:r>
            <w:r w:rsidRPr="005B6717">
              <w:rPr>
                <w:rFonts w:ascii="Arial" w:hAnsi="Arial" w:cs="Arial"/>
                <w:sz w:val="22"/>
                <w:lang w:val="sr-Latn-ME"/>
              </w:rPr>
              <w:t xml:space="preserve">e se objašnjenje da zbog promjena u kadrovima, dolazi do zastoja u procesima, usljed potrebe za dodatnim obukama i usavršavanja novih kadrova, kao i upoznavanja sa ovom tematikom. U skladu sa tim prepoznatim rizikom su i predložene aktivnosti vezane za izradu plana obuka koji će se kontinuirano sprovoditi. </w:t>
            </w:r>
          </w:p>
          <w:p w:rsidR="005B6717" w:rsidRPr="005B6717" w:rsidRDefault="005B6717" w:rsidP="005B6717">
            <w:pPr>
              <w:rPr>
                <w:rFonts w:ascii="Arial" w:hAnsi="Arial" w:cs="Arial"/>
                <w:sz w:val="22"/>
                <w:lang w:val="sr-Latn-ME"/>
              </w:rPr>
            </w:pPr>
          </w:p>
          <w:p w:rsidR="005B6717" w:rsidRPr="005B6717" w:rsidRDefault="005B6717" w:rsidP="005B6717">
            <w:pPr>
              <w:rPr>
                <w:rFonts w:ascii="Arial" w:hAnsi="Arial" w:cs="Arial"/>
                <w:sz w:val="22"/>
                <w:lang w:val="sr-Latn-ME"/>
              </w:rPr>
            </w:pPr>
          </w:p>
          <w:p w:rsidR="005B6717" w:rsidRPr="005B6717" w:rsidRDefault="005B6717" w:rsidP="00A36289">
            <w:pPr>
              <w:rPr>
                <w:rFonts w:ascii="Arial" w:hAnsi="Arial" w:cs="Arial"/>
                <w:sz w:val="22"/>
                <w:lang w:val="sr-Latn-ME"/>
              </w:rPr>
            </w:pPr>
          </w:p>
        </w:tc>
      </w:tr>
      <w:tr w:rsidR="008B595A" w:rsidRPr="005B6717" w:rsidTr="006E6241">
        <w:tc>
          <w:tcPr>
            <w:tcW w:w="540"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lastRenderedPageBreak/>
              <w:t>7)</w:t>
            </w:r>
          </w:p>
        </w:tc>
        <w:tc>
          <w:tcPr>
            <w:tcW w:w="3240"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t xml:space="preserve">Primjedba/predlog/sugestija 7: </w:t>
            </w:r>
          </w:p>
          <w:p w:rsidR="005B6717" w:rsidRPr="005B6717" w:rsidRDefault="005B6717" w:rsidP="005B6717">
            <w:pPr>
              <w:rPr>
                <w:rFonts w:ascii="Arial" w:hAnsi="Arial" w:cs="Arial"/>
                <w:b/>
                <w:sz w:val="22"/>
                <w:lang w:val="sr-Latn-ME"/>
              </w:rPr>
            </w:pPr>
            <w:r w:rsidRPr="005B6717">
              <w:rPr>
                <w:rFonts w:ascii="Arial" w:hAnsi="Arial" w:cs="Arial"/>
                <w:b/>
                <w:sz w:val="22"/>
                <w:lang w:val="sr-Latn-ME"/>
              </w:rPr>
              <w:t>Nejasno je zašto je Ministarstvo finansija, kao nosilac aktivnosti, u mapi zainteresovanih subjekata, u pogledu interesa ocijenjeno ocjenom „4“, a u pogledu uticaja ocjenom „3“</w:t>
            </w:r>
          </w:p>
          <w:p w:rsidR="005B6717" w:rsidRPr="005B6717" w:rsidRDefault="005B6717" w:rsidP="005B6717">
            <w:pPr>
              <w:rPr>
                <w:rFonts w:ascii="Arial" w:hAnsi="Arial" w:cs="Arial"/>
                <w:sz w:val="22"/>
                <w:lang w:val="sr-Latn-ME"/>
              </w:rPr>
            </w:pPr>
          </w:p>
        </w:tc>
        <w:tc>
          <w:tcPr>
            <w:tcW w:w="2790" w:type="dxa"/>
            <w:gridSpan w:val="2"/>
          </w:tcPr>
          <w:p w:rsidR="005B6717" w:rsidRPr="005B6717" w:rsidRDefault="005B6717" w:rsidP="005B6717">
            <w:pPr>
              <w:rPr>
                <w:rFonts w:ascii="Arial" w:hAnsi="Arial" w:cs="Arial"/>
                <w:sz w:val="22"/>
                <w:lang w:val="sr-Latn-ME"/>
              </w:rPr>
            </w:pPr>
            <w:r w:rsidRPr="005B6717">
              <w:rPr>
                <w:rFonts w:ascii="Arial" w:hAnsi="Arial" w:cs="Arial"/>
                <w:sz w:val="22"/>
                <w:lang w:val="sr-Latn-ME"/>
              </w:rPr>
              <w:t>U mapi zainteresovanih subjekata se navodi da je Ministarstvo finansija, kao nosilac aktivnosti, u pogledu interesa prikazano sa ocjenom „4“, a u pogledu uticaja prikazano sa ocjenom „3“.</w:t>
            </w:r>
          </w:p>
          <w:p w:rsidR="005B6717" w:rsidRPr="005B6717" w:rsidRDefault="005B6717" w:rsidP="005B6717">
            <w:pPr>
              <w:rPr>
                <w:rFonts w:ascii="Arial" w:hAnsi="Arial" w:cs="Arial"/>
                <w:sz w:val="22"/>
                <w:lang w:val="sr-Latn-ME"/>
              </w:rPr>
            </w:pPr>
            <w:r w:rsidRPr="005B6717">
              <w:rPr>
                <w:rFonts w:ascii="Arial" w:hAnsi="Arial" w:cs="Arial"/>
                <w:sz w:val="22"/>
                <w:lang w:val="sr-Latn-ME"/>
              </w:rPr>
              <w:t xml:space="preserve">  Potpuno je nejasno ovo ocjenjivanje imajući u vidu da se radi o subjektu koji je nosilac i koordinator ključnih aktivnosti, dok izostaju kriteriji na bazi kojih je izvršeno ocjenjivanje. Iako se radi o zaštiti interesa Evropske Unije, ali imajući u vidu da je Crna Gora kandidat za članstvo i da želi da </w:t>
            </w:r>
            <w:r w:rsidRPr="005B6717">
              <w:rPr>
                <w:rFonts w:ascii="Arial" w:hAnsi="Arial" w:cs="Arial"/>
                <w:sz w:val="22"/>
                <w:lang w:val="sr-Latn-ME"/>
              </w:rPr>
              <w:lastRenderedPageBreak/>
              <w:t>postane članica Evropske Unije, bilo bi primjereno da obje ocjene – i u pogledu interesa i u pogledu uticaja – budu označene sa najvišom ocjenom „5“. To bi istovremeno bio jasan znak i posvećenosti pristupa naše zemlje evropskom integracionom pristupu.</w:t>
            </w:r>
          </w:p>
        </w:tc>
        <w:tc>
          <w:tcPr>
            <w:tcW w:w="3150" w:type="dxa"/>
          </w:tcPr>
          <w:p w:rsidR="005B6717" w:rsidRPr="005B6717" w:rsidRDefault="005B6717" w:rsidP="005B6717">
            <w:pPr>
              <w:rPr>
                <w:rFonts w:ascii="Arial" w:hAnsi="Arial" w:cs="Arial"/>
                <w:sz w:val="22"/>
                <w:lang w:val="sr-Latn-ME"/>
              </w:rPr>
            </w:pPr>
            <w:r w:rsidRPr="00A36289">
              <w:rPr>
                <w:rFonts w:ascii="Arial" w:hAnsi="Arial" w:cs="Arial"/>
                <w:b/>
                <w:sz w:val="22"/>
                <w:lang w:val="sr-Latn-ME"/>
              </w:rPr>
              <w:lastRenderedPageBreak/>
              <w:t>Dokument je izmijenjen u poglavlju 2.5.2. u skladu sa datom sugestijom, na način da se interes i uticaj Ministarstva finansija povećava na 5</w:t>
            </w:r>
            <w:r w:rsidRPr="005B6717">
              <w:rPr>
                <w:rFonts w:ascii="Arial" w:hAnsi="Arial" w:cs="Arial"/>
                <w:sz w:val="22"/>
                <w:lang w:val="sr-Latn-ME"/>
              </w:rPr>
              <w:t>.</w:t>
            </w:r>
          </w:p>
        </w:tc>
      </w:tr>
      <w:tr w:rsidR="008B595A" w:rsidRPr="005B6717" w:rsidTr="006E6241">
        <w:tc>
          <w:tcPr>
            <w:tcW w:w="540"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t>8)</w:t>
            </w:r>
          </w:p>
        </w:tc>
        <w:tc>
          <w:tcPr>
            <w:tcW w:w="3240"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t xml:space="preserve">Primjedba/predlog/sugestija 8: </w:t>
            </w:r>
          </w:p>
          <w:p w:rsidR="005B6717" w:rsidRPr="005B6717" w:rsidRDefault="005B6717" w:rsidP="005B6717">
            <w:pPr>
              <w:rPr>
                <w:rFonts w:ascii="Arial" w:hAnsi="Arial" w:cs="Arial"/>
                <w:b/>
                <w:sz w:val="22"/>
                <w:lang w:val="sr-Latn-ME"/>
              </w:rPr>
            </w:pPr>
            <w:r w:rsidRPr="005B6717">
              <w:rPr>
                <w:rFonts w:ascii="Arial" w:hAnsi="Arial" w:cs="Arial"/>
                <w:b/>
                <w:sz w:val="22"/>
                <w:lang w:val="sr-Latn-ME"/>
              </w:rPr>
              <w:t>Strategija ne nudi odgovor kako upravljati potencijalnim rizikom političke podrške zakonodavnim promjenama.</w:t>
            </w:r>
          </w:p>
          <w:p w:rsidR="005B6717" w:rsidRPr="005B6717" w:rsidRDefault="005B6717" w:rsidP="005B6717">
            <w:pPr>
              <w:rPr>
                <w:rFonts w:ascii="Arial" w:hAnsi="Arial" w:cs="Arial"/>
                <w:sz w:val="22"/>
                <w:lang w:val="sr-Latn-ME"/>
              </w:rPr>
            </w:pPr>
          </w:p>
        </w:tc>
        <w:tc>
          <w:tcPr>
            <w:tcW w:w="2790" w:type="dxa"/>
            <w:gridSpan w:val="2"/>
          </w:tcPr>
          <w:p w:rsidR="005B6717" w:rsidRPr="005B6717" w:rsidRDefault="005B6717" w:rsidP="005B6717">
            <w:pPr>
              <w:rPr>
                <w:rFonts w:ascii="Arial" w:hAnsi="Arial" w:cs="Arial"/>
                <w:sz w:val="22"/>
                <w:lang w:val="sr-Latn-ME"/>
              </w:rPr>
            </w:pPr>
            <w:r w:rsidRPr="005B6717">
              <w:rPr>
                <w:rFonts w:ascii="Arial" w:hAnsi="Arial" w:cs="Arial"/>
                <w:sz w:val="22"/>
                <w:lang w:val="sr-Latn-ME"/>
              </w:rPr>
              <w:t>Iako navodi da su potrebne odgovarajuće zakonodavne inicijative radi potpune primjene Strategije, poput izmjena Zakona o budžetu i fiskalnoj odgovornosti, te navodi da je u ranijem periodu izazov bila politička podrška zakonskim izmjenama, Strategija ne nudi odgovor kako upravljati potencijalnim rizikom ove vrste.</w:t>
            </w:r>
          </w:p>
          <w:p w:rsidR="005B6717" w:rsidRPr="005B6717" w:rsidRDefault="005B6717" w:rsidP="005B6717">
            <w:pPr>
              <w:rPr>
                <w:rFonts w:ascii="Arial" w:hAnsi="Arial" w:cs="Arial"/>
                <w:sz w:val="22"/>
                <w:lang w:val="sr-Latn-ME"/>
              </w:rPr>
            </w:pPr>
            <w:r w:rsidRPr="005B6717">
              <w:rPr>
                <w:rFonts w:ascii="Arial" w:hAnsi="Arial" w:cs="Arial"/>
                <w:sz w:val="22"/>
                <w:lang w:val="sr-Latn-ME"/>
              </w:rPr>
              <w:t xml:space="preserve">  U vezi sa prednjim, cijenimo neophodnim definisanje upravljanja ovim rizikom.</w:t>
            </w:r>
          </w:p>
        </w:tc>
        <w:tc>
          <w:tcPr>
            <w:tcW w:w="3150"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t>Rizik od nedostatka političke podrške za zakonodavne izmjene predstavlja spoljašnji rizik kojim AFCOS, kao koordinator razvoja i sprovođenja ove Strategije, ne može direktno upravljati. Ipak, ovaj rizik je bio uzet  u obzir prilikom izrade  Strategije</w:t>
            </w:r>
            <w:r w:rsidR="00A36289">
              <w:rPr>
                <w:rFonts w:ascii="Arial" w:hAnsi="Arial" w:cs="Arial"/>
                <w:sz w:val="22"/>
                <w:lang w:val="sr-Latn-ME"/>
              </w:rPr>
              <w:t xml:space="preserve"> </w:t>
            </w:r>
            <w:r w:rsidRPr="005B6717">
              <w:rPr>
                <w:rFonts w:ascii="Arial" w:hAnsi="Arial" w:cs="Arial"/>
                <w:sz w:val="22"/>
                <w:lang w:val="sr-Latn-ME"/>
              </w:rPr>
              <w:t xml:space="preserve">2025–2028, te će biti dodatno razmatran prilikom pripreme i dostavljanja predloga izmjena </w:t>
            </w:r>
            <w:r w:rsidR="00A36289">
              <w:rPr>
                <w:rFonts w:ascii="Arial" w:hAnsi="Arial" w:cs="Arial"/>
                <w:sz w:val="22"/>
                <w:lang w:val="sr-Latn-ME"/>
              </w:rPr>
              <w:t>pravnih</w:t>
            </w:r>
            <w:r w:rsidRPr="005B6717">
              <w:rPr>
                <w:rFonts w:ascii="Arial" w:hAnsi="Arial" w:cs="Arial"/>
                <w:sz w:val="22"/>
                <w:lang w:val="sr-Latn-ME"/>
              </w:rPr>
              <w:t xml:space="preserve"> akata na usvajanje. Sve predložene zakonodavne izmjene biće izrađene na visokom nivou kvaliteta, uz pažljivo obrazloženje njihove neophodnosti, kako bi se obezbijedi</w:t>
            </w:r>
            <w:r w:rsidR="00A36289">
              <w:rPr>
                <w:rFonts w:ascii="Arial" w:hAnsi="Arial" w:cs="Arial"/>
                <w:sz w:val="22"/>
                <w:lang w:val="sr-Latn-ME"/>
              </w:rPr>
              <w:t>lo njihovo uspješno usvajanje</w:t>
            </w:r>
            <w:r w:rsidRPr="005B6717">
              <w:rPr>
                <w:rFonts w:ascii="Arial" w:hAnsi="Arial" w:cs="Arial"/>
                <w:sz w:val="22"/>
                <w:lang w:val="sr-Latn-ME"/>
              </w:rPr>
              <w:t>.</w:t>
            </w:r>
          </w:p>
          <w:p w:rsidR="005B6717" w:rsidRPr="005B6717" w:rsidRDefault="005B6717" w:rsidP="005B6717">
            <w:pPr>
              <w:rPr>
                <w:rFonts w:ascii="Arial" w:hAnsi="Arial" w:cs="Arial"/>
                <w:sz w:val="22"/>
                <w:lang w:val="sr-Latn-ME"/>
              </w:rPr>
            </w:pPr>
          </w:p>
          <w:p w:rsidR="005B6717" w:rsidRPr="00A36289" w:rsidRDefault="005B6717" w:rsidP="005B6717">
            <w:pPr>
              <w:rPr>
                <w:rFonts w:ascii="Arial" w:hAnsi="Arial" w:cs="Arial"/>
                <w:b/>
                <w:sz w:val="22"/>
                <w:lang w:val="sr-Latn-ME"/>
              </w:rPr>
            </w:pPr>
            <w:r w:rsidRPr="00A36289">
              <w:rPr>
                <w:rFonts w:ascii="Arial" w:hAnsi="Arial" w:cs="Arial"/>
                <w:b/>
                <w:sz w:val="22"/>
                <w:lang w:val="sr-Latn-ME"/>
              </w:rPr>
              <w:t>Ni</w:t>
            </w:r>
            <w:r w:rsidR="00A36289" w:rsidRPr="00A36289">
              <w:rPr>
                <w:rFonts w:ascii="Arial" w:hAnsi="Arial" w:cs="Arial"/>
                <w:b/>
                <w:sz w:val="22"/>
                <w:lang w:val="sr-Latn-ME"/>
              </w:rPr>
              <w:t>je</w:t>
            </w:r>
            <w:r w:rsidRPr="00A36289">
              <w:rPr>
                <w:rFonts w:ascii="Arial" w:hAnsi="Arial" w:cs="Arial"/>
                <w:b/>
                <w:sz w:val="22"/>
                <w:lang w:val="sr-Latn-ME"/>
              </w:rPr>
              <w:t>su potrebne dodatne izmjene nacrta Strategije po ovom pitanju.</w:t>
            </w:r>
          </w:p>
        </w:tc>
      </w:tr>
      <w:tr w:rsidR="008B595A" w:rsidRPr="005B6717" w:rsidTr="006E6241">
        <w:tc>
          <w:tcPr>
            <w:tcW w:w="540"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t>9)</w:t>
            </w:r>
          </w:p>
        </w:tc>
        <w:tc>
          <w:tcPr>
            <w:tcW w:w="3240"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t>Primjedba/predlog/sugestija 9:</w:t>
            </w:r>
          </w:p>
          <w:p w:rsidR="005B6717" w:rsidRPr="005B6717" w:rsidRDefault="005B6717" w:rsidP="005B6717">
            <w:pPr>
              <w:rPr>
                <w:rFonts w:ascii="Arial" w:hAnsi="Arial" w:cs="Arial"/>
                <w:b/>
                <w:sz w:val="22"/>
                <w:lang w:val="sr-Latn-ME"/>
              </w:rPr>
            </w:pPr>
            <w:r w:rsidRPr="005B6717">
              <w:rPr>
                <w:rFonts w:ascii="Arial" w:hAnsi="Arial" w:cs="Arial"/>
                <w:b/>
                <w:sz w:val="22"/>
                <w:lang w:val="sr-Latn-ME"/>
              </w:rPr>
              <w:t>Neophodno je formirati jedinstvenu bazu podataka za projekte koji se finansiraju iz fondova Evropske Unije, a koji će biti dostupni na jedinstvenom sajtu i u koje će imati mogućnost uvida najšira zainteresovana javnost na jednostavan način pristupa.</w:t>
            </w:r>
          </w:p>
          <w:p w:rsidR="005B6717" w:rsidRPr="005B6717" w:rsidRDefault="005B6717" w:rsidP="005B6717">
            <w:pPr>
              <w:rPr>
                <w:rFonts w:ascii="Arial" w:hAnsi="Arial" w:cs="Arial"/>
                <w:sz w:val="22"/>
                <w:lang w:val="sr-Latn-ME"/>
              </w:rPr>
            </w:pPr>
          </w:p>
        </w:tc>
        <w:tc>
          <w:tcPr>
            <w:tcW w:w="2790" w:type="dxa"/>
            <w:gridSpan w:val="2"/>
          </w:tcPr>
          <w:p w:rsidR="005B6717" w:rsidRPr="005B6717" w:rsidRDefault="005B6717" w:rsidP="005B6717">
            <w:pPr>
              <w:rPr>
                <w:rFonts w:ascii="Arial" w:hAnsi="Arial" w:cs="Arial"/>
                <w:sz w:val="22"/>
                <w:lang w:val="sr-Latn-ME"/>
              </w:rPr>
            </w:pPr>
            <w:r w:rsidRPr="005B6717">
              <w:rPr>
                <w:rFonts w:ascii="Arial" w:hAnsi="Arial" w:cs="Arial"/>
                <w:sz w:val="22"/>
                <w:lang w:val="sr-Latn-ME"/>
              </w:rPr>
              <w:t>Prednje rješenje se predlaže u cilju povećanja transparentnosti, a koje može uticati preventivno na smanjenje potencijalnih prevarnih radnji ili zloupotrebu sredstava.</w:t>
            </w:r>
          </w:p>
        </w:tc>
        <w:tc>
          <w:tcPr>
            <w:tcW w:w="3150"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t xml:space="preserve">Izrada jedinstvene elektronske baze podataka o projektima finansiranim iz sredstava je predviđena u Ministarstvu finansija, ali nije sadržana u ovom dokumentu, jer nije poznat datum kada se očekuje izrada, a u skladu sa novim informacijama </w:t>
            </w:r>
            <w:r w:rsidR="00A36289">
              <w:rPr>
                <w:rFonts w:ascii="Arial" w:hAnsi="Arial" w:cs="Arial"/>
                <w:sz w:val="22"/>
                <w:lang w:val="sr-Latn-ME"/>
              </w:rPr>
              <w:t>Akcioni plan</w:t>
            </w:r>
            <w:r w:rsidRPr="005B6717">
              <w:rPr>
                <w:rFonts w:ascii="Arial" w:hAnsi="Arial" w:cs="Arial"/>
                <w:sz w:val="22"/>
                <w:lang w:val="sr-Latn-ME"/>
              </w:rPr>
              <w:t xml:space="preserve"> će biti ažuriran</w:t>
            </w:r>
            <w:r w:rsidR="00A36289">
              <w:rPr>
                <w:rFonts w:ascii="Arial" w:hAnsi="Arial" w:cs="Arial"/>
                <w:sz w:val="22"/>
                <w:lang w:val="sr-Latn-ME"/>
              </w:rPr>
              <w:t>.</w:t>
            </w:r>
            <w:r w:rsidRPr="005B6717">
              <w:rPr>
                <w:rFonts w:ascii="Arial" w:hAnsi="Arial" w:cs="Arial"/>
                <w:sz w:val="22"/>
                <w:lang w:val="sr-Latn-ME"/>
              </w:rPr>
              <w:t xml:space="preserve"> </w:t>
            </w:r>
          </w:p>
          <w:p w:rsidR="005B6717" w:rsidRPr="005B6717" w:rsidRDefault="005B6717" w:rsidP="005B6717">
            <w:pPr>
              <w:rPr>
                <w:rFonts w:ascii="Arial" w:hAnsi="Arial" w:cs="Arial"/>
                <w:sz w:val="22"/>
                <w:lang w:val="sr-Latn-ME"/>
              </w:rPr>
            </w:pPr>
            <w:r w:rsidRPr="005B6717">
              <w:rPr>
                <w:rFonts w:ascii="Arial" w:hAnsi="Arial" w:cs="Arial"/>
                <w:sz w:val="22"/>
                <w:lang w:val="sr-Latn-ME"/>
              </w:rPr>
              <w:t xml:space="preserve">Ostali IT sistemi trenutno nijesu planirani za razvoj ili implementaciju zbog ograničenih sredstava, ali će </w:t>
            </w:r>
            <w:r w:rsidRPr="005B6717">
              <w:rPr>
                <w:rFonts w:ascii="Arial" w:hAnsi="Arial" w:cs="Arial"/>
                <w:sz w:val="22"/>
                <w:lang w:val="sr-Latn-ME"/>
              </w:rPr>
              <w:lastRenderedPageBreak/>
              <w:t>svakako biti planirani u budućnosti.</w:t>
            </w:r>
          </w:p>
          <w:p w:rsidR="005B6717" w:rsidRPr="005B6717" w:rsidRDefault="005B6717" w:rsidP="005B6717">
            <w:pPr>
              <w:rPr>
                <w:rFonts w:ascii="Arial" w:hAnsi="Arial" w:cs="Arial"/>
                <w:sz w:val="22"/>
                <w:lang w:val="sr-Latn-ME"/>
              </w:rPr>
            </w:pPr>
            <w:r w:rsidRPr="005B6717">
              <w:rPr>
                <w:rFonts w:ascii="Arial" w:hAnsi="Arial" w:cs="Arial"/>
                <w:sz w:val="22"/>
                <w:lang w:val="sr-Latn-ME"/>
              </w:rPr>
              <w:t>Treba podsjetiti da svaki IT sistem zahtijeva značajna finansijska ulaganja i da nije isključivo u nadležnosti ove Strategije već predstavlja šire pitanje upravljanja IPA/EU fondovima.</w:t>
            </w:r>
          </w:p>
          <w:p w:rsidR="005B6717" w:rsidRPr="005B6717" w:rsidRDefault="005B6717" w:rsidP="005B6717">
            <w:pPr>
              <w:rPr>
                <w:rFonts w:ascii="Arial" w:hAnsi="Arial" w:cs="Arial"/>
                <w:sz w:val="22"/>
                <w:lang w:val="sr-Latn-ME"/>
              </w:rPr>
            </w:pPr>
          </w:p>
          <w:p w:rsidR="005B6717" w:rsidRPr="00A36289" w:rsidRDefault="005B6717" w:rsidP="005B6717">
            <w:pPr>
              <w:rPr>
                <w:rFonts w:ascii="Arial" w:hAnsi="Arial" w:cs="Arial"/>
                <w:b/>
                <w:sz w:val="22"/>
                <w:lang w:val="sr-Latn-ME"/>
              </w:rPr>
            </w:pPr>
            <w:r w:rsidRPr="00A36289">
              <w:rPr>
                <w:rFonts w:ascii="Arial" w:hAnsi="Arial" w:cs="Arial"/>
                <w:b/>
                <w:sz w:val="22"/>
                <w:lang w:val="sr-Latn-ME"/>
              </w:rPr>
              <w:t>Ni</w:t>
            </w:r>
            <w:r w:rsidR="00910162">
              <w:rPr>
                <w:rFonts w:ascii="Arial" w:hAnsi="Arial" w:cs="Arial"/>
                <w:b/>
                <w:sz w:val="22"/>
                <w:lang w:val="sr-Latn-ME"/>
              </w:rPr>
              <w:t>je</w:t>
            </w:r>
            <w:bookmarkStart w:id="2" w:name="_GoBack"/>
            <w:bookmarkEnd w:id="2"/>
            <w:r w:rsidRPr="00A36289">
              <w:rPr>
                <w:rFonts w:ascii="Arial" w:hAnsi="Arial" w:cs="Arial"/>
                <w:b/>
                <w:sz w:val="22"/>
                <w:lang w:val="sr-Latn-ME"/>
              </w:rPr>
              <w:t>su potrebne dodatne izmjene nacrta Strategije po ovom pitanju.</w:t>
            </w:r>
          </w:p>
        </w:tc>
      </w:tr>
      <w:tr w:rsidR="008B595A" w:rsidRPr="005B6717" w:rsidTr="006E6241">
        <w:tc>
          <w:tcPr>
            <w:tcW w:w="540"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lastRenderedPageBreak/>
              <w:t>10)</w:t>
            </w:r>
          </w:p>
        </w:tc>
        <w:tc>
          <w:tcPr>
            <w:tcW w:w="3240"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t xml:space="preserve">Primjedba/predlog/sugestija 10: </w:t>
            </w:r>
          </w:p>
          <w:p w:rsidR="005B6717" w:rsidRPr="005B6717" w:rsidRDefault="005B6717" w:rsidP="005B6717">
            <w:pPr>
              <w:rPr>
                <w:rFonts w:ascii="Arial" w:hAnsi="Arial" w:cs="Arial"/>
                <w:b/>
                <w:sz w:val="22"/>
                <w:lang w:val="sr-Latn-ME"/>
              </w:rPr>
            </w:pPr>
            <w:r w:rsidRPr="005B6717">
              <w:rPr>
                <w:rFonts w:ascii="Arial" w:hAnsi="Arial" w:cs="Arial"/>
                <w:b/>
                <w:sz w:val="22"/>
                <w:lang w:val="sr-Latn-ME"/>
              </w:rPr>
              <w:t>Strategija ne nudi odgovor i rokove povezanosti baza podataka između državnih institucija uključenih u pitanje prevarnih radnji ili zloupotreba sredstava iz Evropske Unije.</w:t>
            </w:r>
          </w:p>
          <w:p w:rsidR="005B6717" w:rsidRPr="005B6717" w:rsidRDefault="005B6717" w:rsidP="005B6717">
            <w:pPr>
              <w:rPr>
                <w:rFonts w:ascii="Arial" w:hAnsi="Arial" w:cs="Arial"/>
                <w:sz w:val="22"/>
                <w:lang w:val="sr-Latn-ME"/>
              </w:rPr>
            </w:pPr>
          </w:p>
        </w:tc>
        <w:tc>
          <w:tcPr>
            <w:tcW w:w="2790" w:type="dxa"/>
            <w:gridSpan w:val="2"/>
          </w:tcPr>
          <w:p w:rsidR="005B6717" w:rsidRPr="005B6717" w:rsidRDefault="005B6717" w:rsidP="005B6717">
            <w:pPr>
              <w:rPr>
                <w:rFonts w:ascii="Arial" w:hAnsi="Arial" w:cs="Arial"/>
                <w:sz w:val="22"/>
                <w:lang w:val="sr-Latn-ME"/>
              </w:rPr>
            </w:pPr>
            <w:r w:rsidRPr="005B6717">
              <w:rPr>
                <w:rFonts w:ascii="Arial" w:hAnsi="Arial" w:cs="Arial"/>
                <w:sz w:val="22"/>
                <w:lang w:val="sr-Latn-ME"/>
              </w:rPr>
              <w:t>Predlaže se da Strategija definiše rokove za povezanost baza podataka između državnih institucija uključenih u pitanje prevarnih radnji ili zloupotreba sredstava iz Evropske Unije. Radi se o izuzetno značajnom pitanju koje ne treba da ostane nedefinisano, a naročito imajući u vidu postojeću fazu integracionih procesa Crne Gore.</w:t>
            </w:r>
          </w:p>
        </w:tc>
        <w:tc>
          <w:tcPr>
            <w:tcW w:w="3150"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t>U trenutku izrade Strategije 2025–2028, nijedna od uključenih institucija nije najavila povezivanje svojih baza podataka kao dio svojih planova rada i budžeta za naredne dvije godine, koliko traje Akcioni plan 2025–2026. Ukoliko u međuvremenu dođe do pomaka u ovoj oblasti, konkretne mjere i budžet mogu biti planirani u okviru Akcionog plana za period 2027–2028. Ovo pitanje može ostati kao jedno od tema za razmatranje u budućnosti.</w:t>
            </w:r>
          </w:p>
          <w:p w:rsidR="005B6717" w:rsidRPr="005B6717" w:rsidRDefault="005B6717" w:rsidP="005B6717">
            <w:pPr>
              <w:rPr>
                <w:rFonts w:ascii="Arial" w:hAnsi="Arial" w:cs="Arial"/>
                <w:sz w:val="22"/>
                <w:lang w:val="sr-Latn-ME"/>
              </w:rPr>
            </w:pPr>
            <w:r w:rsidRPr="005B6717">
              <w:rPr>
                <w:rFonts w:ascii="Arial" w:hAnsi="Arial" w:cs="Arial"/>
                <w:sz w:val="22"/>
                <w:lang w:val="sr-Latn-ME"/>
              </w:rPr>
              <w:t>Trenutno je ovom Strategijom uključena mjera 4.2. (Izrada jedinstvene elektronske baze podataka o projektima finansiranim iz sredstava EU), čija je realizacija predviđena u okviru Akcionog plana 2025–2026.</w:t>
            </w:r>
          </w:p>
          <w:p w:rsidR="005B6717" w:rsidRPr="005B6717" w:rsidRDefault="005B6717" w:rsidP="005B6717">
            <w:pPr>
              <w:rPr>
                <w:rFonts w:ascii="Arial" w:hAnsi="Arial" w:cs="Arial"/>
                <w:sz w:val="22"/>
                <w:lang w:val="sr-Latn-ME"/>
              </w:rPr>
            </w:pPr>
          </w:p>
          <w:p w:rsidR="005B6717" w:rsidRPr="00A36289" w:rsidRDefault="005B6717" w:rsidP="005B6717">
            <w:pPr>
              <w:rPr>
                <w:rFonts w:ascii="Arial" w:hAnsi="Arial" w:cs="Arial"/>
                <w:b/>
                <w:bCs/>
                <w:sz w:val="22"/>
                <w:lang w:val="sr-Latn-ME"/>
              </w:rPr>
            </w:pPr>
            <w:r w:rsidRPr="00A36289">
              <w:rPr>
                <w:rFonts w:ascii="Arial" w:hAnsi="Arial" w:cs="Arial"/>
                <w:b/>
                <w:bCs/>
                <w:sz w:val="22"/>
                <w:lang w:val="sr-Latn-ME"/>
              </w:rPr>
              <w:t>Ni</w:t>
            </w:r>
            <w:r w:rsidR="00A36289" w:rsidRPr="00A36289">
              <w:rPr>
                <w:rFonts w:ascii="Arial" w:hAnsi="Arial" w:cs="Arial"/>
                <w:b/>
                <w:bCs/>
                <w:sz w:val="22"/>
                <w:lang w:val="sr-Latn-ME"/>
              </w:rPr>
              <w:t>je</w:t>
            </w:r>
            <w:r w:rsidRPr="00A36289">
              <w:rPr>
                <w:rFonts w:ascii="Arial" w:hAnsi="Arial" w:cs="Arial"/>
                <w:b/>
                <w:bCs/>
                <w:sz w:val="22"/>
                <w:lang w:val="sr-Latn-ME"/>
              </w:rPr>
              <w:t>su potrebne dodatne izmjene nacrta Strategije po ovom pitanju.</w:t>
            </w:r>
          </w:p>
        </w:tc>
      </w:tr>
      <w:tr w:rsidR="008B595A" w:rsidRPr="005B6717" w:rsidTr="006E6241">
        <w:tc>
          <w:tcPr>
            <w:tcW w:w="540"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t>11)</w:t>
            </w:r>
          </w:p>
        </w:tc>
        <w:tc>
          <w:tcPr>
            <w:tcW w:w="3240"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t xml:space="preserve">Primjedba/predlog/sugestija 11: </w:t>
            </w:r>
          </w:p>
          <w:p w:rsidR="005B6717" w:rsidRPr="005B6717" w:rsidRDefault="005B6717" w:rsidP="005B6717">
            <w:pPr>
              <w:rPr>
                <w:rFonts w:ascii="Arial" w:hAnsi="Arial" w:cs="Arial"/>
                <w:b/>
                <w:sz w:val="22"/>
                <w:lang w:val="sr-Latn-ME"/>
              </w:rPr>
            </w:pPr>
            <w:r w:rsidRPr="005B6717">
              <w:rPr>
                <w:rFonts w:ascii="Arial" w:hAnsi="Arial" w:cs="Arial"/>
                <w:b/>
                <w:sz w:val="22"/>
                <w:lang w:val="sr-Latn-ME"/>
              </w:rPr>
              <w:t>Strategija treba da postavi kvalitetnije indikatore u odnosu na mnoga pitanja i ispunjenost aktivnosti.</w:t>
            </w:r>
          </w:p>
          <w:p w:rsidR="005B6717" w:rsidRPr="005B6717" w:rsidRDefault="005B6717" w:rsidP="005B6717">
            <w:pPr>
              <w:rPr>
                <w:rFonts w:ascii="Arial" w:hAnsi="Arial" w:cs="Arial"/>
                <w:sz w:val="22"/>
                <w:lang w:val="sr-Latn-ME"/>
              </w:rPr>
            </w:pPr>
          </w:p>
        </w:tc>
        <w:tc>
          <w:tcPr>
            <w:tcW w:w="2790" w:type="dxa"/>
            <w:gridSpan w:val="2"/>
          </w:tcPr>
          <w:p w:rsidR="005B6717" w:rsidRPr="005B6717" w:rsidRDefault="005B6717" w:rsidP="005B6717">
            <w:pPr>
              <w:rPr>
                <w:rFonts w:ascii="Arial" w:hAnsi="Arial" w:cs="Arial"/>
                <w:sz w:val="22"/>
                <w:lang w:val="sr-Latn-ME"/>
              </w:rPr>
            </w:pPr>
            <w:r w:rsidRPr="005B6717">
              <w:rPr>
                <w:rFonts w:ascii="Arial" w:hAnsi="Arial" w:cs="Arial"/>
                <w:sz w:val="22"/>
                <w:lang w:val="sr-Latn-ME"/>
              </w:rPr>
              <w:lastRenderedPageBreak/>
              <w:t xml:space="preserve">Indikatori u Strategiji nijesu postavljeni na najkvalitetniji način. Primjera radi, kao jedan od indikatora navodi se „stopa prisustva </w:t>
            </w:r>
            <w:r w:rsidRPr="005B6717">
              <w:rPr>
                <w:rFonts w:ascii="Arial" w:hAnsi="Arial" w:cs="Arial"/>
                <w:sz w:val="22"/>
                <w:lang w:val="sr-Latn-ME"/>
              </w:rPr>
              <w:lastRenderedPageBreak/>
              <w:t>sastancima Radnog tima za sprovođenje aktivnosti za zaštitu finansijskih interesa Evropske Unije u Crnoj Gori.“</w:t>
            </w:r>
          </w:p>
          <w:p w:rsidR="005B6717" w:rsidRPr="005B6717" w:rsidRDefault="005B6717" w:rsidP="005B6717">
            <w:pPr>
              <w:rPr>
                <w:rFonts w:ascii="Arial" w:hAnsi="Arial" w:cs="Arial"/>
                <w:sz w:val="22"/>
                <w:lang w:val="sr-Latn-ME"/>
              </w:rPr>
            </w:pPr>
            <w:r w:rsidRPr="005B6717">
              <w:rPr>
                <w:rFonts w:ascii="Arial" w:hAnsi="Arial" w:cs="Arial"/>
                <w:sz w:val="22"/>
                <w:lang w:val="sr-Latn-ME"/>
              </w:rPr>
              <w:t xml:space="preserve">  Cijenimo da ovako postavljen indikator nije svrsishodan i sam po sebi ne znači mnogo. Stoga se predlaže redefinisanje i optimalnije postavljanje indikatora sa punom svrsishodnošću, a sve u cilju postizanja i isporučivanja optimalnih rezultata.</w:t>
            </w:r>
          </w:p>
        </w:tc>
        <w:tc>
          <w:tcPr>
            <w:tcW w:w="3150" w:type="dxa"/>
          </w:tcPr>
          <w:p w:rsidR="005B6717" w:rsidRPr="005B6717" w:rsidRDefault="005B6717" w:rsidP="005B6717">
            <w:pPr>
              <w:rPr>
                <w:rFonts w:ascii="Arial" w:hAnsi="Arial" w:cs="Arial"/>
                <w:sz w:val="22"/>
                <w:lang w:val="sr-Latn-ME"/>
              </w:rPr>
            </w:pPr>
            <w:r w:rsidRPr="005B6717">
              <w:rPr>
                <w:rFonts w:ascii="Arial" w:hAnsi="Arial" w:cs="Arial"/>
                <w:sz w:val="22"/>
                <w:lang w:val="sr-Latn-ME"/>
              </w:rPr>
              <w:lastRenderedPageBreak/>
              <w:t xml:space="preserve">U trenutku izrade </w:t>
            </w:r>
            <w:r w:rsidR="00A36289">
              <w:rPr>
                <w:rFonts w:ascii="Arial" w:hAnsi="Arial" w:cs="Arial"/>
                <w:sz w:val="22"/>
                <w:lang w:val="sr-Latn-ME"/>
              </w:rPr>
              <w:t xml:space="preserve">nacrta ove Strategije za period </w:t>
            </w:r>
            <w:r w:rsidRPr="005B6717">
              <w:rPr>
                <w:rFonts w:ascii="Arial" w:hAnsi="Arial" w:cs="Arial"/>
                <w:sz w:val="22"/>
                <w:lang w:val="sr-Latn-ME"/>
              </w:rPr>
              <w:t xml:space="preserve">2025–2028, glavni problem unutar AFCOS mreže jeste prisustvo – odnosno interesovanje za temu zaštite finansijskih </w:t>
            </w:r>
            <w:r w:rsidRPr="005B6717">
              <w:rPr>
                <w:rFonts w:ascii="Arial" w:hAnsi="Arial" w:cs="Arial"/>
                <w:sz w:val="22"/>
                <w:lang w:val="sr-Latn-ME"/>
              </w:rPr>
              <w:lastRenderedPageBreak/>
              <w:t>interesa EU i generalno prisustvovanje sastancima. Određena pitanja i izazovi mogu se razmatrati i rješavati tek kada predstavnici institucija zaista učestvuju i kada nadležne institucije počnu aktivno da se predstavljaju u okviru AFCOS mreže.</w:t>
            </w:r>
          </w:p>
          <w:p w:rsidR="005B6717" w:rsidRPr="005B6717" w:rsidRDefault="005B6717" w:rsidP="005B6717">
            <w:pPr>
              <w:rPr>
                <w:rFonts w:ascii="Arial" w:hAnsi="Arial" w:cs="Arial"/>
                <w:sz w:val="22"/>
                <w:lang w:val="sr-Latn-ME"/>
              </w:rPr>
            </w:pPr>
            <w:r w:rsidRPr="005B6717">
              <w:rPr>
                <w:rFonts w:ascii="Arial" w:hAnsi="Arial" w:cs="Arial"/>
                <w:sz w:val="22"/>
                <w:lang w:val="sr-Latn-ME"/>
              </w:rPr>
              <w:t xml:space="preserve">Prilikom izrade nacrta </w:t>
            </w:r>
            <w:r w:rsidR="00A36289">
              <w:rPr>
                <w:rFonts w:ascii="Arial" w:hAnsi="Arial" w:cs="Arial"/>
                <w:sz w:val="22"/>
                <w:lang w:val="sr-Latn-ME"/>
              </w:rPr>
              <w:t>Strategije</w:t>
            </w:r>
            <w:r w:rsidRPr="005B6717">
              <w:rPr>
                <w:rFonts w:ascii="Arial" w:hAnsi="Arial" w:cs="Arial"/>
                <w:sz w:val="22"/>
                <w:lang w:val="sr-Latn-ME"/>
              </w:rPr>
              <w:t>, svaki indikator je pažljivo odabran kako bi jasno pokazao na koji način se konkretni problemi i rizici adresiraju i umanjuju, jer bez toga nije moguće ostvariti napredak.</w:t>
            </w:r>
          </w:p>
          <w:p w:rsidR="005B6717" w:rsidRPr="005B6717" w:rsidRDefault="005B6717" w:rsidP="005B6717">
            <w:pPr>
              <w:rPr>
                <w:rFonts w:ascii="Arial" w:hAnsi="Arial" w:cs="Arial"/>
                <w:sz w:val="22"/>
                <w:lang w:val="sr-Latn-ME"/>
              </w:rPr>
            </w:pPr>
          </w:p>
          <w:p w:rsidR="005B6717" w:rsidRPr="00A36289" w:rsidRDefault="005B6717" w:rsidP="005B6717">
            <w:pPr>
              <w:rPr>
                <w:rFonts w:ascii="Arial" w:hAnsi="Arial" w:cs="Arial"/>
                <w:b/>
                <w:bCs/>
                <w:sz w:val="22"/>
                <w:lang w:val="sr-Latn-ME"/>
              </w:rPr>
            </w:pPr>
            <w:r w:rsidRPr="00A36289">
              <w:rPr>
                <w:rFonts w:ascii="Arial" w:hAnsi="Arial" w:cs="Arial"/>
                <w:b/>
                <w:bCs/>
                <w:sz w:val="22"/>
                <w:lang w:val="sr-Latn-ME"/>
              </w:rPr>
              <w:t>Ni</w:t>
            </w:r>
            <w:r w:rsidR="00A36289" w:rsidRPr="00A36289">
              <w:rPr>
                <w:rFonts w:ascii="Arial" w:hAnsi="Arial" w:cs="Arial"/>
                <w:b/>
                <w:bCs/>
                <w:sz w:val="22"/>
                <w:lang w:val="sr-Latn-ME"/>
              </w:rPr>
              <w:t>je</w:t>
            </w:r>
            <w:r w:rsidRPr="00A36289">
              <w:rPr>
                <w:rFonts w:ascii="Arial" w:hAnsi="Arial" w:cs="Arial"/>
                <w:b/>
                <w:bCs/>
                <w:sz w:val="22"/>
                <w:lang w:val="sr-Latn-ME"/>
              </w:rPr>
              <w:t>su potrebne dodatne izmjene nacrta Strategije po ovom pitanju.</w:t>
            </w:r>
          </w:p>
          <w:p w:rsidR="005B6717" w:rsidRPr="005B6717" w:rsidRDefault="005B6717" w:rsidP="005B6717">
            <w:pPr>
              <w:rPr>
                <w:rFonts w:ascii="Arial" w:hAnsi="Arial" w:cs="Arial"/>
                <w:sz w:val="22"/>
                <w:lang w:val="sr-Latn-ME"/>
              </w:rPr>
            </w:pPr>
          </w:p>
        </w:tc>
      </w:tr>
    </w:tbl>
    <w:p w:rsidR="005B6717" w:rsidRPr="00812525" w:rsidRDefault="005B6717" w:rsidP="00812525">
      <w:pPr>
        <w:rPr>
          <w:rFonts w:ascii="Arial" w:hAnsi="Arial" w:cs="Arial"/>
          <w:sz w:val="22"/>
          <w:lang w:val="sr-Latn-ME"/>
        </w:rPr>
      </w:pPr>
    </w:p>
    <w:p w:rsidR="00EC74FA" w:rsidRDefault="00825064" w:rsidP="00EC74FA">
      <w:pPr>
        <w:rPr>
          <w:rFonts w:ascii="Arial" w:hAnsi="Arial" w:cs="Arial"/>
          <w:sz w:val="22"/>
          <w:lang w:val="sr-Latn-ME"/>
        </w:rPr>
      </w:pPr>
      <w:r>
        <w:rPr>
          <w:rFonts w:ascii="Arial" w:hAnsi="Arial" w:cs="Arial"/>
          <w:sz w:val="22"/>
          <w:lang w:val="sr-Latn-ME"/>
        </w:rPr>
        <w:t xml:space="preserve">                                                                                          </w:t>
      </w:r>
    </w:p>
    <w:p w:rsidR="00427136" w:rsidRDefault="00427136" w:rsidP="00EC74FA">
      <w:pPr>
        <w:rPr>
          <w:rFonts w:ascii="Arial" w:hAnsi="Arial" w:cs="Arial"/>
          <w:sz w:val="22"/>
          <w:lang w:val="sr-Latn-ME"/>
        </w:rPr>
      </w:pPr>
    </w:p>
    <w:p w:rsidR="00427136" w:rsidRDefault="00427136" w:rsidP="00EC74FA">
      <w:pPr>
        <w:rPr>
          <w:rFonts w:ascii="Arial" w:hAnsi="Arial" w:cs="Arial"/>
          <w:sz w:val="22"/>
          <w:lang w:val="sr-Latn-ME"/>
        </w:rPr>
      </w:pPr>
    </w:p>
    <w:p w:rsidR="00427136" w:rsidRDefault="00427136" w:rsidP="00EC74FA">
      <w:pPr>
        <w:rPr>
          <w:rFonts w:ascii="Arial" w:hAnsi="Arial" w:cs="Arial"/>
          <w:sz w:val="22"/>
          <w:lang w:val="sr-Latn-ME"/>
        </w:rPr>
      </w:pPr>
    </w:p>
    <w:p w:rsidR="00427136" w:rsidRDefault="00427136" w:rsidP="00EC74FA">
      <w:pPr>
        <w:rPr>
          <w:rFonts w:ascii="Arial" w:hAnsi="Arial" w:cs="Arial"/>
          <w:sz w:val="22"/>
          <w:lang w:val="sr-Latn-ME"/>
        </w:rPr>
      </w:pPr>
    </w:p>
    <w:p w:rsidR="00812525" w:rsidRDefault="00825064" w:rsidP="00EC74FA">
      <w:pPr>
        <w:rPr>
          <w:rFonts w:ascii="Arial" w:hAnsi="Arial" w:cs="Arial"/>
          <w:sz w:val="22"/>
          <w:lang w:val="sr-Latn-ME"/>
        </w:rPr>
      </w:pPr>
      <w:r>
        <w:rPr>
          <w:rFonts w:ascii="Arial" w:hAnsi="Arial" w:cs="Arial"/>
          <w:sz w:val="22"/>
          <w:lang w:val="sr-Latn-ME"/>
        </w:rPr>
        <w:t xml:space="preserve">                                                                                                                      </w:t>
      </w:r>
      <w:r w:rsidR="004B12E6">
        <w:rPr>
          <w:rFonts w:ascii="Arial" w:hAnsi="Arial" w:cs="Arial"/>
          <w:sz w:val="22"/>
          <w:lang w:val="sr-Latn-ME"/>
        </w:rPr>
        <w:t xml:space="preserve">             </w:t>
      </w:r>
      <w:r>
        <w:rPr>
          <w:rFonts w:ascii="Arial" w:hAnsi="Arial" w:cs="Arial"/>
          <w:sz w:val="22"/>
          <w:lang w:val="sr-Latn-ME"/>
        </w:rPr>
        <w:t xml:space="preserve"> </w:t>
      </w:r>
      <w:r w:rsidR="004B12E6">
        <w:rPr>
          <w:rFonts w:ascii="Arial" w:hAnsi="Arial" w:cs="Arial"/>
          <w:sz w:val="22"/>
          <w:lang w:val="sr-Latn-ME"/>
        </w:rPr>
        <w:t>S poštovanjem,</w:t>
      </w:r>
    </w:p>
    <w:p w:rsidR="004B12E6" w:rsidRPr="00812525" w:rsidRDefault="004B12E6" w:rsidP="00EC74FA">
      <w:pPr>
        <w:rPr>
          <w:rFonts w:ascii="Arial" w:hAnsi="Arial" w:cs="Arial"/>
          <w:sz w:val="22"/>
          <w:lang w:val="sr-Latn-ME"/>
        </w:rPr>
      </w:pPr>
      <w:r>
        <w:rPr>
          <w:rFonts w:ascii="Arial" w:hAnsi="Arial" w:cs="Arial"/>
          <w:sz w:val="22"/>
          <w:lang w:val="sr-Latn-ME"/>
        </w:rPr>
        <w:softHyphen/>
      </w:r>
      <w:r>
        <w:rPr>
          <w:rFonts w:ascii="Arial" w:hAnsi="Arial" w:cs="Arial"/>
          <w:sz w:val="22"/>
          <w:lang w:val="sr-Latn-ME"/>
        </w:rPr>
        <w:softHyphen/>
      </w:r>
      <w:r>
        <w:rPr>
          <w:rFonts w:ascii="Arial" w:hAnsi="Arial" w:cs="Arial"/>
          <w:sz w:val="22"/>
          <w:lang w:val="sr-Latn-ME"/>
        </w:rPr>
        <w:softHyphen/>
      </w:r>
      <w:r>
        <w:rPr>
          <w:rFonts w:ascii="Arial" w:hAnsi="Arial" w:cs="Arial"/>
          <w:sz w:val="22"/>
          <w:lang w:val="sr-Latn-ME"/>
        </w:rPr>
        <w:softHyphen/>
      </w:r>
      <w:r>
        <w:rPr>
          <w:rFonts w:ascii="Arial" w:hAnsi="Arial" w:cs="Arial"/>
          <w:sz w:val="22"/>
          <w:lang w:val="sr-Latn-ME"/>
        </w:rPr>
        <w:softHyphen/>
        <w:t xml:space="preserve">                                                                                                                                   _______________</w:t>
      </w:r>
    </w:p>
    <w:p w:rsidR="00812525" w:rsidRDefault="004B12E6" w:rsidP="004B12E6">
      <w:pPr>
        <w:spacing w:before="0" w:after="0"/>
        <w:jc w:val="center"/>
        <w:rPr>
          <w:rFonts w:ascii="Arial" w:hAnsi="Arial" w:cs="Arial"/>
          <w:sz w:val="22"/>
          <w:lang w:val="sr-Latn-ME"/>
        </w:rPr>
      </w:pPr>
      <w:r>
        <w:rPr>
          <w:rFonts w:ascii="Arial" w:hAnsi="Arial" w:cs="Arial"/>
          <w:sz w:val="22"/>
          <w:lang w:val="sr-Latn-ME"/>
        </w:rPr>
        <w:t xml:space="preserve">                                                                                                                                </w:t>
      </w:r>
      <w:r w:rsidR="00812525" w:rsidRPr="00812525">
        <w:rPr>
          <w:rFonts w:ascii="Arial" w:hAnsi="Arial" w:cs="Arial"/>
          <w:sz w:val="22"/>
          <w:lang w:val="sr-Latn-ME"/>
        </w:rPr>
        <w:t>Novica Vuković</w:t>
      </w:r>
    </w:p>
    <w:p w:rsidR="004B12E6" w:rsidRDefault="004B12E6" w:rsidP="004B12E6">
      <w:pPr>
        <w:spacing w:before="0" w:after="0"/>
        <w:jc w:val="center"/>
        <w:rPr>
          <w:rFonts w:ascii="Arial" w:hAnsi="Arial" w:cs="Arial"/>
          <w:sz w:val="22"/>
          <w:lang w:val="sr-Latn-ME"/>
        </w:rPr>
      </w:pPr>
      <w:r>
        <w:rPr>
          <w:rFonts w:ascii="Arial" w:hAnsi="Arial" w:cs="Arial"/>
          <w:sz w:val="22"/>
          <w:lang w:val="sr-Latn-ME"/>
        </w:rPr>
        <w:t xml:space="preserve">                                                                                                                                 MINISTAR</w:t>
      </w:r>
    </w:p>
    <w:p w:rsidR="004741A5" w:rsidRPr="00812525" w:rsidRDefault="004741A5" w:rsidP="004B12E6">
      <w:pPr>
        <w:spacing w:line="240" w:lineRule="auto"/>
        <w:rPr>
          <w:rFonts w:ascii="Arial" w:hAnsi="Arial" w:cs="Arial"/>
          <w:b/>
          <w:sz w:val="22"/>
          <w:lang w:val="sr-Latn-ME"/>
        </w:rPr>
      </w:pPr>
    </w:p>
    <w:p w:rsidR="00812525" w:rsidRPr="004741A5" w:rsidRDefault="00812525" w:rsidP="00812525">
      <w:pPr>
        <w:tabs>
          <w:tab w:val="left" w:pos="7095"/>
        </w:tabs>
        <w:spacing w:before="0" w:after="0"/>
        <w:jc w:val="left"/>
        <w:rPr>
          <w:rFonts w:ascii="Arial" w:hAnsi="Arial" w:cs="Arial"/>
          <w:b/>
          <w:szCs w:val="24"/>
          <w:lang w:val="sr-Latn-ME"/>
        </w:rPr>
      </w:pPr>
    </w:p>
    <w:sectPr w:rsidR="00812525" w:rsidRPr="004741A5" w:rsidSect="00E87D1A">
      <w:headerReference w:type="default" r:id="rId10"/>
      <w:headerReference w:type="first" r:id="rId11"/>
      <w:pgSz w:w="11906" w:h="16838" w:code="9"/>
      <w:pgMar w:top="1134" w:right="1134" w:bottom="1134" w:left="1134" w:header="567"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939" w:rsidRDefault="00556939" w:rsidP="00A6505B">
      <w:pPr>
        <w:spacing w:before="0" w:after="0" w:line="240" w:lineRule="auto"/>
      </w:pPr>
      <w:r>
        <w:separator/>
      </w:r>
    </w:p>
  </w:endnote>
  <w:endnote w:type="continuationSeparator" w:id="0">
    <w:p w:rsidR="00556939" w:rsidRDefault="00556939"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939" w:rsidRDefault="00556939" w:rsidP="00A6505B">
      <w:pPr>
        <w:spacing w:before="0" w:after="0" w:line="240" w:lineRule="auto"/>
      </w:pPr>
      <w:r>
        <w:separator/>
      </w:r>
    </w:p>
  </w:footnote>
  <w:footnote w:type="continuationSeparator" w:id="0">
    <w:p w:rsidR="00556939" w:rsidRDefault="00556939"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05B" w:rsidRDefault="00A6505B" w:rsidP="00A650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74C" w:rsidRPr="0074574C" w:rsidRDefault="0074574C" w:rsidP="0074574C">
    <w:pPr>
      <w:spacing w:after="80" w:line="192" w:lineRule="auto"/>
      <w:ind w:left="1134"/>
      <w:jc w:val="left"/>
      <w:rPr>
        <w:rFonts w:asciiTheme="majorHAnsi" w:eastAsiaTheme="majorEastAsia" w:hAnsiTheme="majorHAnsi" w:cs="Times New Roman"/>
        <w:noProof/>
        <w:spacing w:val="-10"/>
        <w:kern w:val="28"/>
        <w:sz w:val="28"/>
        <w:szCs w:val="28"/>
        <w:lang w:val="en-US"/>
      </w:rPr>
    </w:pPr>
    <w:r w:rsidRPr="0074574C">
      <w:rPr>
        <w:rFonts w:asciiTheme="majorHAnsi" w:eastAsia="Times New Roman" w:hAnsiTheme="majorHAnsi" w:cs="Times New Roman"/>
        <w:noProof/>
        <w:spacing w:val="-10"/>
        <w:kern w:val="28"/>
        <w:sz w:val="28"/>
        <w:szCs w:val="28"/>
        <w:lang w:val="en-US"/>
      </w:rPr>
      <mc:AlternateContent>
        <mc:Choice Requires="wps">
          <w:drawing>
            <wp:anchor distT="45720" distB="45720" distL="114300" distR="114300" simplePos="0" relativeHeight="251659264" behindDoc="0" locked="0" layoutInCell="1" allowOverlap="1" wp14:anchorId="716CC71E" wp14:editId="751FB6B1">
              <wp:simplePos x="0" y="0"/>
              <wp:positionH relativeFrom="column">
                <wp:posOffset>4436701</wp:posOffset>
              </wp:positionH>
              <wp:positionV relativeFrom="paragraph">
                <wp:posOffset>-126129</wp:posOffset>
              </wp:positionV>
              <wp:extent cx="1945758" cy="838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758" cy="83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574C" w:rsidRPr="00E87D1A" w:rsidRDefault="0074574C" w:rsidP="0074574C">
                          <w:pPr>
                            <w:spacing w:before="0" w:after="0" w:line="240" w:lineRule="auto"/>
                            <w:jc w:val="right"/>
                            <w:rPr>
                              <w:rFonts w:ascii="Times New Roman" w:hAnsi="Times New Roman" w:cs="Times New Roman"/>
                              <w:sz w:val="20"/>
                            </w:rPr>
                          </w:pPr>
                          <w:r w:rsidRPr="00E87D1A">
                            <w:rPr>
                              <w:rFonts w:ascii="Times New Roman" w:hAnsi="Times New Roman" w:cs="Times New Roman"/>
                              <w:sz w:val="20"/>
                            </w:rPr>
                            <w:t xml:space="preserve">Adresa: Ul. Stanka Dragojevića 2, </w:t>
                          </w:r>
                        </w:p>
                        <w:p w:rsidR="0074574C" w:rsidRPr="00E87D1A" w:rsidRDefault="0074574C" w:rsidP="0074574C">
                          <w:pPr>
                            <w:spacing w:before="0" w:after="0" w:line="240" w:lineRule="auto"/>
                            <w:jc w:val="right"/>
                            <w:rPr>
                              <w:rFonts w:ascii="Times New Roman" w:hAnsi="Times New Roman" w:cs="Times New Roman"/>
                              <w:sz w:val="20"/>
                            </w:rPr>
                          </w:pPr>
                          <w:r w:rsidRPr="00E87D1A">
                            <w:rPr>
                              <w:rFonts w:ascii="Times New Roman" w:hAnsi="Times New Roman" w:cs="Times New Roman"/>
                              <w:sz w:val="20"/>
                            </w:rPr>
                            <w:t>81 000 Podgorica, Crna Gora</w:t>
                          </w:r>
                        </w:p>
                        <w:p w:rsidR="0074574C" w:rsidRPr="00E87D1A" w:rsidRDefault="0074574C" w:rsidP="0074574C">
                          <w:pPr>
                            <w:spacing w:before="0" w:after="0" w:line="240" w:lineRule="auto"/>
                            <w:jc w:val="right"/>
                            <w:rPr>
                              <w:rFonts w:ascii="Times New Roman" w:hAnsi="Times New Roman" w:cs="Times New Roman"/>
                              <w:sz w:val="20"/>
                            </w:rPr>
                          </w:pPr>
                          <w:r w:rsidRPr="00E87D1A">
                            <w:rPr>
                              <w:rFonts w:ascii="Times New Roman" w:hAnsi="Times New Roman" w:cs="Times New Roman"/>
                              <w:sz w:val="20"/>
                            </w:rPr>
                            <w:t xml:space="preserve">tel: +382 20 242 835 </w:t>
                          </w:r>
                        </w:p>
                        <w:p w:rsidR="0074574C" w:rsidRPr="00E87D1A" w:rsidRDefault="0074574C" w:rsidP="0074574C">
                          <w:pPr>
                            <w:spacing w:before="0" w:after="0" w:line="240" w:lineRule="auto"/>
                            <w:jc w:val="right"/>
                            <w:rPr>
                              <w:rFonts w:ascii="Times New Roman" w:hAnsi="Times New Roman" w:cs="Times New Roman"/>
                              <w:sz w:val="20"/>
                            </w:rPr>
                          </w:pPr>
                          <w:r w:rsidRPr="00E87D1A">
                            <w:rPr>
                              <w:rFonts w:ascii="Times New Roman" w:hAnsi="Times New Roman" w:cs="Times New Roman"/>
                              <w:sz w:val="20"/>
                            </w:rPr>
                            <w:t>fax: +382 20 224 450</w:t>
                          </w:r>
                        </w:p>
                        <w:p w:rsidR="0074574C" w:rsidRPr="00E87D1A" w:rsidRDefault="0074574C" w:rsidP="0074574C">
                          <w:pPr>
                            <w:spacing w:before="0" w:after="0" w:line="240" w:lineRule="auto"/>
                            <w:jc w:val="right"/>
                            <w:rPr>
                              <w:rFonts w:ascii="Times New Roman" w:hAnsi="Times New Roman" w:cs="Times New Roman"/>
                              <w:color w:val="0070C0"/>
                              <w:sz w:val="20"/>
                            </w:rPr>
                          </w:pPr>
                          <w:r w:rsidRPr="00E87D1A">
                            <w:rPr>
                              <w:rFonts w:ascii="Times New Roman" w:hAnsi="Times New Roman" w:cs="Times New Roman"/>
                              <w:color w:val="0070C0"/>
                              <w:sz w:val="20"/>
                            </w:rPr>
                            <w:t>www.mif.gov.me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6CC71E" id="_x0000_t202" coordsize="21600,21600" o:spt="202" path="m,l,21600r21600,l21600,xe">
              <v:stroke joinstyle="miter"/>
              <v:path gradientshapeok="t" o:connecttype="rect"/>
            </v:shapetype>
            <v:shape id="Text Box 1" o:spid="_x0000_s1026" type="#_x0000_t202" style="position:absolute;left:0;text-align:left;margin-left:349.35pt;margin-top:-9.95pt;width:153.2pt;height:6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" stroked="f">
              <v:textbox>
                <w:txbxContent>
                  <w:p w:rsidR="0074574C" w:rsidRPr="00E87D1A" w:rsidRDefault="0074574C" w:rsidP="0074574C">
                    <w:pPr>
                      <w:spacing w:before="0" w:after="0" w:line="240" w:lineRule="auto"/>
                      <w:jc w:val="right"/>
                      <w:rPr>
                        <w:rFonts w:ascii="Times New Roman" w:hAnsi="Times New Roman" w:cs="Times New Roman"/>
                        <w:sz w:val="20"/>
                      </w:rPr>
                    </w:pPr>
                    <w:r w:rsidRPr="00E87D1A">
                      <w:rPr>
                        <w:rFonts w:ascii="Times New Roman" w:hAnsi="Times New Roman" w:cs="Times New Roman"/>
                        <w:sz w:val="20"/>
                      </w:rPr>
                      <w:t xml:space="preserve">Adresa: Ul. Stanka Dragojevića 2, </w:t>
                    </w:r>
                  </w:p>
                  <w:p w:rsidR="0074574C" w:rsidRPr="00E87D1A" w:rsidRDefault="0074574C" w:rsidP="0074574C">
                    <w:pPr>
                      <w:spacing w:before="0" w:after="0" w:line="240" w:lineRule="auto"/>
                      <w:jc w:val="right"/>
                      <w:rPr>
                        <w:rFonts w:ascii="Times New Roman" w:hAnsi="Times New Roman" w:cs="Times New Roman"/>
                        <w:sz w:val="20"/>
                      </w:rPr>
                    </w:pPr>
                    <w:r w:rsidRPr="00E87D1A">
                      <w:rPr>
                        <w:rFonts w:ascii="Times New Roman" w:hAnsi="Times New Roman" w:cs="Times New Roman"/>
                        <w:sz w:val="20"/>
                      </w:rPr>
                      <w:t>81 000 Podgorica, Crna Gora</w:t>
                    </w:r>
                  </w:p>
                  <w:p w:rsidR="0074574C" w:rsidRPr="00E87D1A" w:rsidRDefault="0074574C" w:rsidP="0074574C">
                    <w:pPr>
                      <w:spacing w:before="0" w:after="0" w:line="240" w:lineRule="auto"/>
                      <w:jc w:val="right"/>
                      <w:rPr>
                        <w:rFonts w:ascii="Times New Roman" w:hAnsi="Times New Roman" w:cs="Times New Roman"/>
                        <w:sz w:val="20"/>
                      </w:rPr>
                    </w:pPr>
                    <w:r w:rsidRPr="00E87D1A">
                      <w:rPr>
                        <w:rFonts w:ascii="Times New Roman" w:hAnsi="Times New Roman" w:cs="Times New Roman"/>
                        <w:sz w:val="20"/>
                      </w:rPr>
                      <w:t xml:space="preserve">tel: +382 20 242 835 </w:t>
                    </w:r>
                  </w:p>
                  <w:p w:rsidR="0074574C" w:rsidRPr="00E87D1A" w:rsidRDefault="0074574C" w:rsidP="0074574C">
                    <w:pPr>
                      <w:spacing w:before="0" w:after="0" w:line="240" w:lineRule="auto"/>
                      <w:jc w:val="right"/>
                      <w:rPr>
                        <w:rFonts w:ascii="Times New Roman" w:hAnsi="Times New Roman" w:cs="Times New Roman"/>
                        <w:sz w:val="20"/>
                      </w:rPr>
                    </w:pPr>
                    <w:r w:rsidRPr="00E87D1A">
                      <w:rPr>
                        <w:rFonts w:ascii="Times New Roman" w:hAnsi="Times New Roman" w:cs="Times New Roman"/>
                        <w:sz w:val="20"/>
                      </w:rPr>
                      <w:t>fax: +382 20 224 450</w:t>
                    </w:r>
                  </w:p>
                  <w:p w:rsidR="0074574C" w:rsidRPr="00E87D1A" w:rsidRDefault="0074574C" w:rsidP="0074574C">
                    <w:pPr>
                      <w:spacing w:before="0" w:after="0" w:line="240" w:lineRule="auto"/>
                      <w:jc w:val="right"/>
                      <w:rPr>
                        <w:rFonts w:ascii="Times New Roman" w:hAnsi="Times New Roman" w:cs="Times New Roman"/>
                        <w:color w:val="0070C0"/>
                        <w:sz w:val="20"/>
                      </w:rPr>
                    </w:pPr>
                    <w:r w:rsidRPr="00E87D1A">
                      <w:rPr>
                        <w:rFonts w:ascii="Times New Roman" w:hAnsi="Times New Roman" w:cs="Times New Roman"/>
                        <w:color w:val="0070C0"/>
                        <w:sz w:val="20"/>
                      </w:rPr>
                      <w:t>www.mif.gov.me</w:t>
                    </w:r>
                  </w:p>
                </w:txbxContent>
              </v:textbox>
            </v:shape>
          </w:pict>
        </mc:Fallback>
      </mc:AlternateContent>
    </w:r>
    <w:r w:rsidRPr="0074574C">
      <w:rPr>
        <w:rFonts w:asciiTheme="majorHAnsi" w:eastAsia="Times New Roman" w:hAnsiTheme="majorHAnsi" w:cs="Times New Roman"/>
        <w:noProof/>
        <w:spacing w:val="-10"/>
        <w:kern w:val="28"/>
        <w:sz w:val="28"/>
        <w:szCs w:val="28"/>
        <w:lang w:val="en-GB" w:eastAsia="en-GB"/>
      </w:rPr>
      <w:drawing>
        <wp:anchor distT="0" distB="0" distL="114300" distR="114300" simplePos="0" relativeHeight="251661312" behindDoc="0" locked="0" layoutInCell="1" allowOverlap="1" wp14:anchorId="7593DC11" wp14:editId="446E6EB6">
          <wp:simplePos x="0" y="0"/>
          <wp:positionH relativeFrom="margin">
            <wp:posOffset>143123</wp:posOffset>
          </wp:positionH>
          <wp:positionV relativeFrom="paragraph">
            <wp:posOffset>138761</wp:posOffset>
          </wp:positionV>
          <wp:extent cx="539115" cy="62166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74574C">
      <w:rPr>
        <w:rFonts w:asciiTheme="majorHAnsi" w:eastAsia="Times New Roman" w:hAnsiTheme="majorHAnsi" w:cs="Calibri"/>
        <w:b/>
        <w:bCs/>
        <w:noProof/>
        <w:spacing w:val="-10"/>
        <w:kern w:val="28"/>
        <w:sz w:val="28"/>
        <w:szCs w:val="28"/>
        <w:lang w:val="en-GB" w:eastAsia="en-GB"/>
      </w:rPr>
      <mc:AlternateContent>
        <mc:Choice Requires="wps">
          <w:drawing>
            <wp:anchor distT="0" distB="0" distL="114299" distR="114299" simplePos="0" relativeHeight="251660288" behindDoc="0" locked="0" layoutInCell="1" allowOverlap="1" wp14:anchorId="5B9A23BE" wp14:editId="435A11E1">
              <wp:simplePos x="0" y="0"/>
              <wp:positionH relativeFrom="margin">
                <wp:posOffset>787179</wp:posOffset>
              </wp:positionH>
              <wp:positionV relativeFrom="paragraph">
                <wp:posOffset>103367</wp:posOffset>
              </wp:positionV>
              <wp:extent cx="9525" cy="64770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647700"/>
                      </a:xfrm>
                      <a:prstGeom prst="line">
                        <a:avLst/>
                      </a:prstGeom>
                      <a:noFill/>
                      <a:ln w="19050" cap="flat" cmpd="sng" algn="ctr">
                        <a:gradFill>
                          <a:gsLst>
                            <a:gs pos="18000">
                              <a:srgbClr val="FF0000"/>
                            </a:gs>
                            <a:gs pos="65000">
                              <a:srgbClr val="FFC000"/>
                            </a:gs>
                          </a:gsLst>
                          <a:lin ang="5400000" scaled="1"/>
                        </a:gra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F91634" id="Straight Connector 2" o:spid="_x0000_s1026" style="position:absolute;flip:x;z-index:25166028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from="62pt,8.15pt" to="62.75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" strokeweight="1.5pt">
              <v:stroke joinstyle="miter"/>
              <o:lock v:ext="edit" shapetype="f"/>
              <w10:wrap anchorx="margin"/>
            </v:line>
          </w:pict>
        </mc:Fallback>
      </mc:AlternateContent>
    </w:r>
    <w:r w:rsidRPr="0074574C">
      <w:rPr>
        <w:rFonts w:asciiTheme="majorHAnsi" w:eastAsia="Times New Roman" w:hAnsiTheme="majorHAnsi" w:cs="Times New Roman"/>
        <w:noProof/>
        <w:spacing w:val="-10"/>
        <w:kern w:val="28"/>
        <w:sz w:val="28"/>
        <w:szCs w:val="28"/>
        <w:lang w:val="en-US"/>
      </w:rPr>
      <w:t xml:space="preserve">    Crna Gora</w:t>
    </w:r>
  </w:p>
  <w:p w:rsidR="0074574C" w:rsidRPr="0074574C" w:rsidRDefault="0074574C" w:rsidP="0074574C">
    <w:pPr>
      <w:spacing w:before="0" w:after="0" w:line="192" w:lineRule="auto"/>
      <w:ind w:left="1134"/>
      <w:jc w:val="left"/>
      <w:rPr>
        <w:rFonts w:asciiTheme="majorHAnsi" w:eastAsia="Times New Roman" w:hAnsiTheme="majorHAnsi" w:cs="Times New Roman"/>
        <w:noProof/>
        <w:spacing w:val="-10"/>
        <w:kern w:val="28"/>
        <w:sz w:val="28"/>
        <w:szCs w:val="28"/>
        <w:lang w:val="en-US"/>
      </w:rPr>
    </w:pPr>
    <w:r w:rsidRPr="0074574C">
      <w:rPr>
        <w:rFonts w:asciiTheme="majorHAnsi" w:eastAsia="Times New Roman" w:hAnsiTheme="majorHAnsi" w:cs="Times New Roman"/>
        <w:noProof/>
        <w:spacing w:val="-10"/>
        <w:kern w:val="28"/>
        <w:sz w:val="28"/>
        <w:szCs w:val="28"/>
        <w:lang w:val="en-US"/>
      </w:rPr>
      <w:t xml:space="preserve">    Ministarstvo finansija</w:t>
    </w:r>
  </w:p>
  <w:p w:rsidR="00727099" w:rsidRDefault="0074574C" w:rsidP="00EC74FA">
    <w:pPr>
      <w:spacing w:before="0" w:after="0"/>
      <w:rPr>
        <w:rFonts w:asciiTheme="majorHAnsi" w:hAnsiTheme="majorHAnsi"/>
        <w:sz w:val="28"/>
        <w:szCs w:val="28"/>
        <w:lang w:val="en-US"/>
      </w:rPr>
    </w:pPr>
    <w:r w:rsidRPr="0074574C">
      <w:rPr>
        <w:rFonts w:asciiTheme="majorHAnsi" w:hAnsiTheme="majorHAnsi"/>
        <w:sz w:val="28"/>
        <w:szCs w:val="28"/>
        <w:lang w:val="en-US"/>
      </w:rPr>
      <w:t xml:space="preserve">                    </w:t>
    </w:r>
    <w:r>
      <w:rPr>
        <w:rFonts w:asciiTheme="majorHAnsi" w:hAnsiTheme="majorHAnsi"/>
        <w:sz w:val="28"/>
        <w:szCs w:val="28"/>
        <w:lang w:val="en-US"/>
      </w:rPr>
      <w:t xml:space="preserve">  </w:t>
    </w:r>
    <w:proofErr w:type="spellStart"/>
    <w:r w:rsidR="00124BB2">
      <w:rPr>
        <w:rFonts w:asciiTheme="majorHAnsi" w:hAnsiTheme="majorHAnsi"/>
        <w:sz w:val="28"/>
        <w:szCs w:val="28"/>
        <w:lang w:val="en-US"/>
      </w:rPr>
      <w:t>Direktorat</w:t>
    </w:r>
    <w:proofErr w:type="spellEnd"/>
    <w:r w:rsidR="00124BB2">
      <w:rPr>
        <w:rFonts w:asciiTheme="majorHAnsi" w:hAnsiTheme="majorHAnsi"/>
        <w:sz w:val="28"/>
        <w:szCs w:val="28"/>
        <w:lang w:val="en-US"/>
      </w:rPr>
      <w:t xml:space="preserve"> za </w:t>
    </w:r>
    <w:proofErr w:type="spellStart"/>
    <w:r w:rsidR="00124BB2">
      <w:rPr>
        <w:rFonts w:asciiTheme="majorHAnsi" w:hAnsiTheme="majorHAnsi"/>
        <w:sz w:val="28"/>
        <w:szCs w:val="28"/>
        <w:lang w:val="en-US"/>
      </w:rPr>
      <w:t>inspekcijski</w:t>
    </w:r>
    <w:proofErr w:type="spellEnd"/>
    <w:r w:rsidR="00124BB2">
      <w:rPr>
        <w:rFonts w:asciiTheme="majorHAnsi" w:hAnsiTheme="majorHAnsi"/>
        <w:sz w:val="28"/>
        <w:szCs w:val="28"/>
        <w:lang w:val="en-US"/>
      </w:rPr>
      <w:t xml:space="preserve"> </w:t>
    </w:r>
    <w:proofErr w:type="spellStart"/>
    <w:r w:rsidR="00124BB2">
      <w:rPr>
        <w:rFonts w:asciiTheme="majorHAnsi" w:hAnsiTheme="majorHAnsi"/>
        <w:sz w:val="28"/>
        <w:szCs w:val="28"/>
        <w:lang w:val="en-US"/>
      </w:rPr>
      <w:t>nadzor</w:t>
    </w:r>
    <w:proofErr w:type="spellEnd"/>
    <w:r w:rsidR="00124BB2">
      <w:rPr>
        <w:rFonts w:asciiTheme="majorHAnsi" w:hAnsiTheme="majorHAnsi"/>
        <w:sz w:val="28"/>
        <w:szCs w:val="28"/>
        <w:lang w:val="en-US"/>
      </w:rPr>
      <w:t xml:space="preserve"> </w:t>
    </w:r>
    <w:r w:rsidR="00034130">
      <w:rPr>
        <w:rFonts w:asciiTheme="majorHAnsi" w:hAnsiTheme="majorHAnsi"/>
        <w:sz w:val="28"/>
        <w:szCs w:val="28"/>
        <w:lang w:val="en-US"/>
      </w:rPr>
      <w:t>i</w:t>
    </w:r>
    <w:r w:rsidR="00124BB2">
      <w:rPr>
        <w:rFonts w:asciiTheme="majorHAnsi" w:hAnsiTheme="majorHAnsi"/>
        <w:sz w:val="28"/>
        <w:szCs w:val="28"/>
        <w:lang w:val="en-US"/>
      </w:rPr>
      <w:t xml:space="preserve"> </w:t>
    </w:r>
    <w:proofErr w:type="spellStart"/>
    <w:r w:rsidR="00124BB2">
      <w:rPr>
        <w:rFonts w:asciiTheme="majorHAnsi" w:hAnsiTheme="majorHAnsi"/>
        <w:sz w:val="28"/>
        <w:szCs w:val="28"/>
        <w:lang w:val="en-US"/>
      </w:rPr>
      <w:t>zaštitu</w:t>
    </w:r>
    <w:proofErr w:type="spellEnd"/>
    <w:r w:rsidR="00124BB2">
      <w:rPr>
        <w:rFonts w:asciiTheme="majorHAnsi" w:hAnsiTheme="majorHAnsi"/>
        <w:sz w:val="28"/>
        <w:szCs w:val="28"/>
        <w:lang w:val="en-US"/>
      </w:rPr>
      <w:t xml:space="preserve"> </w:t>
    </w:r>
  </w:p>
  <w:p w:rsidR="00124BB2" w:rsidRPr="00D960F7" w:rsidRDefault="00124BB2" w:rsidP="00EC74FA">
    <w:pPr>
      <w:spacing w:before="0" w:after="0"/>
      <w:rPr>
        <w:rFonts w:ascii="Cambria" w:eastAsia="Times New Roman" w:hAnsi="Cambria" w:cs="Calibri"/>
        <w:bCs/>
        <w:kern w:val="28"/>
        <w:sz w:val="28"/>
        <w:szCs w:val="28"/>
        <w:lang w:val="en-US" w:eastAsia="sr-Latn-CS"/>
      </w:rPr>
    </w:pPr>
    <w:r>
      <w:rPr>
        <w:rFonts w:ascii="Cambria" w:eastAsia="Times New Roman" w:hAnsi="Cambria" w:cs="Calibri"/>
        <w:bCs/>
        <w:kern w:val="28"/>
        <w:sz w:val="28"/>
        <w:szCs w:val="28"/>
        <w:lang w:val="en-US" w:eastAsia="sr-Latn-CS"/>
      </w:rPr>
      <w:t xml:space="preserve">                      </w:t>
    </w:r>
    <w:proofErr w:type="spellStart"/>
    <w:r w:rsidR="00034130">
      <w:rPr>
        <w:rFonts w:ascii="Cambria" w:eastAsia="Times New Roman" w:hAnsi="Cambria" w:cs="Calibri"/>
        <w:bCs/>
        <w:kern w:val="28"/>
        <w:sz w:val="28"/>
        <w:szCs w:val="28"/>
        <w:lang w:val="en-US" w:eastAsia="sr-Latn-CS"/>
      </w:rPr>
      <w:t>f</w:t>
    </w:r>
    <w:r>
      <w:rPr>
        <w:rFonts w:ascii="Cambria" w:eastAsia="Times New Roman" w:hAnsi="Cambria" w:cs="Calibri"/>
        <w:bCs/>
        <w:kern w:val="28"/>
        <w:sz w:val="28"/>
        <w:szCs w:val="28"/>
        <w:lang w:val="en-US" w:eastAsia="sr-Latn-CS"/>
      </w:rPr>
      <w:t>inansijskih</w:t>
    </w:r>
    <w:proofErr w:type="spellEnd"/>
    <w:r>
      <w:rPr>
        <w:rFonts w:ascii="Cambria" w:eastAsia="Times New Roman" w:hAnsi="Cambria" w:cs="Calibri"/>
        <w:bCs/>
        <w:kern w:val="28"/>
        <w:sz w:val="28"/>
        <w:szCs w:val="28"/>
        <w:lang w:val="en-US" w:eastAsia="sr-Latn-CS"/>
      </w:rPr>
      <w:t xml:space="preserve"> </w:t>
    </w:r>
    <w:proofErr w:type="spellStart"/>
    <w:r>
      <w:rPr>
        <w:rFonts w:ascii="Cambria" w:eastAsia="Times New Roman" w:hAnsi="Cambria" w:cs="Calibri"/>
        <w:bCs/>
        <w:kern w:val="28"/>
        <w:sz w:val="28"/>
        <w:szCs w:val="28"/>
        <w:lang w:val="en-US" w:eastAsia="sr-Latn-CS"/>
      </w:rPr>
      <w:t>interesa</w:t>
    </w:r>
    <w:proofErr w:type="spellEnd"/>
    <w:r>
      <w:rPr>
        <w:rFonts w:ascii="Cambria" w:eastAsia="Times New Roman" w:hAnsi="Cambria" w:cs="Calibri"/>
        <w:bCs/>
        <w:kern w:val="28"/>
        <w:sz w:val="28"/>
        <w:szCs w:val="28"/>
        <w:lang w:val="en-US" w:eastAsia="sr-Latn-CS"/>
      </w:rPr>
      <w:t xml:space="preserve"> EU</w:t>
    </w:r>
  </w:p>
  <w:p w:rsidR="00727099" w:rsidRPr="00F323F6" w:rsidRDefault="00727099" w:rsidP="00727099">
    <w:pPr>
      <w:pStyle w:val="Header"/>
    </w:pPr>
    <w:r>
      <w:t xml:space="preserve">    </w:t>
    </w:r>
  </w:p>
  <w:p w:rsidR="00E74F68" w:rsidRPr="00C26D9E" w:rsidRDefault="00E74F68" w:rsidP="00F127D8">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F89"/>
    <w:multiLevelType w:val="hybridMultilevel"/>
    <w:tmpl w:val="AEBA8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26B04"/>
    <w:multiLevelType w:val="hybridMultilevel"/>
    <w:tmpl w:val="8F52C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D17EA"/>
    <w:multiLevelType w:val="hybridMultilevel"/>
    <w:tmpl w:val="3FD2C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4" w15:restartNumberingAfterBreak="0">
    <w:nsid w:val="39565EDB"/>
    <w:multiLevelType w:val="hybridMultilevel"/>
    <w:tmpl w:val="51B64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22B3E0C"/>
    <w:multiLevelType w:val="hybridMultilevel"/>
    <w:tmpl w:val="099A9E2A"/>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 w15:restartNumberingAfterBreak="0">
    <w:nsid w:val="651D6255"/>
    <w:multiLevelType w:val="hybridMultilevel"/>
    <w:tmpl w:val="05669A9C"/>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 w15:restartNumberingAfterBreak="0">
    <w:nsid w:val="68BA79F2"/>
    <w:multiLevelType w:val="hybridMultilevel"/>
    <w:tmpl w:val="5272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E84F1E"/>
    <w:multiLevelType w:val="hybridMultilevel"/>
    <w:tmpl w:val="2CF4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93093A"/>
    <w:multiLevelType w:val="hybridMultilevel"/>
    <w:tmpl w:val="43BE4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1"/>
  </w:num>
  <w:num w:numId="4">
    <w:abstractNumId w:val="3"/>
  </w:num>
  <w:num w:numId="5">
    <w:abstractNumId w:val="5"/>
  </w:num>
  <w:num w:numId="6">
    <w:abstractNumId w:val="7"/>
  </w:num>
  <w:num w:numId="7">
    <w:abstractNumId w:val="2"/>
  </w:num>
  <w:num w:numId="8">
    <w:abstractNumId w:val="1"/>
  </w:num>
  <w:num w:numId="9">
    <w:abstractNumId w:val="0"/>
  </w:num>
  <w:num w:numId="10">
    <w:abstractNumId w:val="10"/>
  </w:num>
  <w:num w:numId="11">
    <w:abstractNumId w:val="8"/>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5B"/>
    <w:rsid w:val="000009CE"/>
    <w:rsid w:val="00001178"/>
    <w:rsid w:val="00020673"/>
    <w:rsid w:val="00022A48"/>
    <w:rsid w:val="00034130"/>
    <w:rsid w:val="00081C9C"/>
    <w:rsid w:val="00091250"/>
    <w:rsid w:val="00094746"/>
    <w:rsid w:val="000F1BEF"/>
    <w:rsid w:val="000F2AA0"/>
    <w:rsid w:val="000F2B95"/>
    <w:rsid w:val="000F2BFC"/>
    <w:rsid w:val="001053EE"/>
    <w:rsid w:val="00107821"/>
    <w:rsid w:val="001149A9"/>
    <w:rsid w:val="00124BB2"/>
    <w:rsid w:val="001329D2"/>
    <w:rsid w:val="00133311"/>
    <w:rsid w:val="00146E8A"/>
    <w:rsid w:val="00150659"/>
    <w:rsid w:val="00154D42"/>
    <w:rsid w:val="001822FC"/>
    <w:rsid w:val="001847FD"/>
    <w:rsid w:val="0018555F"/>
    <w:rsid w:val="001942A6"/>
    <w:rsid w:val="00196664"/>
    <w:rsid w:val="001A0348"/>
    <w:rsid w:val="001A79B6"/>
    <w:rsid w:val="001A7E96"/>
    <w:rsid w:val="001C2DA5"/>
    <w:rsid w:val="001C4C88"/>
    <w:rsid w:val="001D3909"/>
    <w:rsid w:val="001D64BF"/>
    <w:rsid w:val="001E09AE"/>
    <w:rsid w:val="001F75D5"/>
    <w:rsid w:val="0020065C"/>
    <w:rsid w:val="00205759"/>
    <w:rsid w:val="0021139C"/>
    <w:rsid w:val="002259BA"/>
    <w:rsid w:val="002511E4"/>
    <w:rsid w:val="00252A36"/>
    <w:rsid w:val="00262954"/>
    <w:rsid w:val="00292D5E"/>
    <w:rsid w:val="002A7CB3"/>
    <w:rsid w:val="002F461C"/>
    <w:rsid w:val="003105E5"/>
    <w:rsid w:val="003168DA"/>
    <w:rsid w:val="0032134D"/>
    <w:rsid w:val="00323863"/>
    <w:rsid w:val="003253DE"/>
    <w:rsid w:val="003417B8"/>
    <w:rsid w:val="00350578"/>
    <w:rsid w:val="00354D08"/>
    <w:rsid w:val="0035547A"/>
    <w:rsid w:val="00357FF2"/>
    <w:rsid w:val="00375D08"/>
    <w:rsid w:val="003814BC"/>
    <w:rsid w:val="003A6DB5"/>
    <w:rsid w:val="004112D5"/>
    <w:rsid w:val="00427136"/>
    <w:rsid w:val="00432120"/>
    <w:rsid w:val="0043553C"/>
    <w:rsid w:val="004369F9"/>
    <w:rsid w:val="004378E1"/>
    <w:rsid w:val="00450DFC"/>
    <w:rsid w:val="00451F6C"/>
    <w:rsid w:val="00451FF9"/>
    <w:rsid w:val="004679C3"/>
    <w:rsid w:val="004741A5"/>
    <w:rsid w:val="00476894"/>
    <w:rsid w:val="004B12E6"/>
    <w:rsid w:val="004B4778"/>
    <w:rsid w:val="004C36BF"/>
    <w:rsid w:val="004E0EC5"/>
    <w:rsid w:val="004E3DA7"/>
    <w:rsid w:val="004F24B0"/>
    <w:rsid w:val="00517FDA"/>
    <w:rsid w:val="00523147"/>
    <w:rsid w:val="00523BB8"/>
    <w:rsid w:val="00531FDF"/>
    <w:rsid w:val="00533D10"/>
    <w:rsid w:val="005341ED"/>
    <w:rsid w:val="005413A4"/>
    <w:rsid w:val="0055097F"/>
    <w:rsid w:val="00553D19"/>
    <w:rsid w:val="005547B9"/>
    <w:rsid w:val="00556939"/>
    <w:rsid w:val="00564F97"/>
    <w:rsid w:val="005723C7"/>
    <w:rsid w:val="00580ED1"/>
    <w:rsid w:val="00597825"/>
    <w:rsid w:val="005A4E7E"/>
    <w:rsid w:val="005B44BF"/>
    <w:rsid w:val="005B6717"/>
    <w:rsid w:val="005C6F24"/>
    <w:rsid w:val="005F07F2"/>
    <w:rsid w:val="005F56D9"/>
    <w:rsid w:val="005F7825"/>
    <w:rsid w:val="006053D4"/>
    <w:rsid w:val="00612213"/>
    <w:rsid w:val="00617D63"/>
    <w:rsid w:val="00630A76"/>
    <w:rsid w:val="006372D1"/>
    <w:rsid w:val="006739CA"/>
    <w:rsid w:val="006A24FA"/>
    <w:rsid w:val="006A2C40"/>
    <w:rsid w:val="006B0CEE"/>
    <w:rsid w:val="006C3941"/>
    <w:rsid w:val="006D711E"/>
    <w:rsid w:val="006E262C"/>
    <w:rsid w:val="006E6241"/>
    <w:rsid w:val="006F62CD"/>
    <w:rsid w:val="00710C89"/>
    <w:rsid w:val="0071603F"/>
    <w:rsid w:val="00722040"/>
    <w:rsid w:val="007222E8"/>
    <w:rsid w:val="00727099"/>
    <w:rsid w:val="007278E6"/>
    <w:rsid w:val="00734DD0"/>
    <w:rsid w:val="0073561A"/>
    <w:rsid w:val="00735EAE"/>
    <w:rsid w:val="0074574C"/>
    <w:rsid w:val="00754DE8"/>
    <w:rsid w:val="0077100B"/>
    <w:rsid w:val="00786F2E"/>
    <w:rsid w:val="007904A7"/>
    <w:rsid w:val="00794586"/>
    <w:rsid w:val="007978B6"/>
    <w:rsid w:val="007A5622"/>
    <w:rsid w:val="007B2B13"/>
    <w:rsid w:val="007C3C9B"/>
    <w:rsid w:val="007D51B8"/>
    <w:rsid w:val="007E3A4E"/>
    <w:rsid w:val="008103B1"/>
    <w:rsid w:val="00810444"/>
    <w:rsid w:val="00810592"/>
    <w:rsid w:val="00812525"/>
    <w:rsid w:val="0081425B"/>
    <w:rsid w:val="00816BF5"/>
    <w:rsid w:val="00825064"/>
    <w:rsid w:val="00826F3F"/>
    <w:rsid w:val="00846581"/>
    <w:rsid w:val="0085375B"/>
    <w:rsid w:val="00865061"/>
    <w:rsid w:val="00871BDD"/>
    <w:rsid w:val="00872890"/>
    <w:rsid w:val="0088065F"/>
    <w:rsid w:val="0088156B"/>
    <w:rsid w:val="00885190"/>
    <w:rsid w:val="00891383"/>
    <w:rsid w:val="0089704E"/>
    <w:rsid w:val="008B595A"/>
    <w:rsid w:val="008C7F82"/>
    <w:rsid w:val="008E66CA"/>
    <w:rsid w:val="008F5249"/>
    <w:rsid w:val="00901D57"/>
    <w:rsid w:val="00902E6C"/>
    <w:rsid w:val="00907170"/>
    <w:rsid w:val="00910162"/>
    <w:rsid w:val="009130A0"/>
    <w:rsid w:val="00922A8D"/>
    <w:rsid w:val="00943F04"/>
    <w:rsid w:val="00946A67"/>
    <w:rsid w:val="00946D0F"/>
    <w:rsid w:val="0096107C"/>
    <w:rsid w:val="00983B3E"/>
    <w:rsid w:val="00997C04"/>
    <w:rsid w:val="009A6EB6"/>
    <w:rsid w:val="009B2229"/>
    <w:rsid w:val="009B54B8"/>
    <w:rsid w:val="009C107C"/>
    <w:rsid w:val="009C31DF"/>
    <w:rsid w:val="009D2B05"/>
    <w:rsid w:val="009E797A"/>
    <w:rsid w:val="00A0699F"/>
    <w:rsid w:val="00A36289"/>
    <w:rsid w:val="00A6505B"/>
    <w:rsid w:val="00A9118A"/>
    <w:rsid w:val="00A941F3"/>
    <w:rsid w:val="00A9631A"/>
    <w:rsid w:val="00AC0A9C"/>
    <w:rsid w:val="00AC4958"/>
    <w:rsid w:val="00AC571A"/>
    <w:rsid w:val="00AC6DC7"/>
    <w:rsid w:val="00AF27FF"/>
    <w:rsid w:val="00AF5ADC"/>
    <w:rsid w:val="00B003EE"/>
    <w:rsid w:val="00B104DF"/>
    <w:rsid w:val="00B13AFC"/>
    <w:rsid w:val="00B167AC"/>
    <w:rsid w:val="00B22FC3"/>
    <w:rsid w:val="00B40A06"/>
    <w:rsid w:val="00B473C2"/>
    <w:rsid w:val="00B47D2C"/>
    <w:rsid w:val="00B5639A"/>
    <w:rsid w:val="00B72F5D"/>
    <w:rsid w:val="00B83F7A"/>
    <w:rsid w:val="00B84F08"/>
    <w:rsid w:val="00BC2BEB"/>
    <w:rsid w:val="00BC6666"/>
    <w:rsid w:val="00BE3206"/>
    <w:rsid w:val="00BF464E"/>
    <w:rsid w:val="00C123D2"/>
    <w:rsid w:val="00C176EB"/>
    <w:rsid w:val="00C20E0A"/>
    <w:rsid w:val="00C21441"/>
    <w:rsid w:val="00C25AC5"/>
    <w:rsid w:val="00C2622E"/>
    <w:rsid w:val="00C26D9E"/>
    <w:rsid w:val="00C3586E"/>
    <w:rsid w:val="00C4431F"/>
    <w:rsid w:val="00C84028"/>
    <w:rsid w:val="00C90B23"/>
    <w:rsid w:val="00CA4058"/>
    <w:rsid w:val="00CC2580"/>
    <w:rsid w:val="00CD159D"/>
    <w:rsid w:val="00CF540B"/>
    <w:rsid w:val="00D23B4D"/>
    <w:rsid w:val="00D2455F"/>
    <w:rsid w:val="00D35DC7"/>
    <w:rsid w:val="00D67E8D"/>
    <w:rsid w:val="00D7224E"/>
    <w:rsid w:val="00D73541"/>
    <w:rsid w:val="00DC5DF1"/>
    <w:rsid w:val="00DE01D0"/>
    <w:rsid w:val="00DE0E60"/>
    <w:rsid w:val="00DE1861"/>
    <w:rsid w:val="00DF1807"/>
    <w:rsid w:val="00DF60F7"/>
    <w:rsid w:val="00DF6877"/>
    <w:rsid w:val="00E0329D"/>
    <w:rsid w:val="00E06AFF"/>
    <w:rsid w:val="00E3141C"/>
    <w:rsid w:val="00E319C8"/>
    <w:rsid w:val="00E73A9B"/>
    <w:rsid w:val="00E7474C"/>
    <w:rsid w:val="00E74F68"/>
    <w:rsid w:val="00E75466"/>
    <w:rsid w:val="00E8052D"/>
    <w:rsid w:val="00E811B3"/>
    <w:rsid w:val="00E87D1A"/>
    <w:rsid w:val="00EB4B28"/>
    <w:rsid w:val="00EC74FA"/>
    <w:rsid w:val="00F000CF"/>
    <w:rsid w:val="00F127D8"/>
    <w:rsid w:val="00F14B0C"/>
    <w:rsid w:val="00F16D1B"/>
    <w:rsid w:val="00F21A4A"/>
    <w:rsid w:val="00F323F6"/>
    <w:rsid w:val="00F42784"/>
    <w:rsid w:val="00F57629"/>
    <w:rsid w:val="00F63FBA"/>
    <w:rsid w:val="00F83AA9"/>
    <w:rsid w:val="00F91F15"/>
    <w:rsid w:val="00F933BE"/>
    <w:rsid w:val="00F953E1"/>
    <w:rsid w:val="00FA0F6E"/>
    <w:rsid w:val="00FB2D89"/>
    <w:rsid w:val="00FD495B"/>
    <w:rsid w:val="00FE4CFA"/>
    <w:rsid w:val="00FE680E"/>
    <w:rsid w:val="00FF368D"/>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918BB"/>
  <w15:docId w15:val="{2DF2A86A-B022-4BBC-BF68-6E1C6371C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paragraph" w:styleId="ListParagraph">
    <w:name w:val="List Paragraph"/>
    <w:basedOn w:val="Normal"/>
    <w:uiPriority w:val="34"/>
    <w:qFormat/>
    <w:rsid w:val="00F000CF"/>
    <w:pPr>
      <w:ind w:left="720"/>
      <w:contextualSpacing/>
    </w:pPr>
  </w:style>
  <w:style w:type="paragraph" w:styleId="PlainText">
    <w:name w:val="Plain Text"/>
    <w:basedOn w:val="Normal"/>
    <w:link w:val="PlainTextChar1"/>
    <w:unhideWhenUsed/>
    <w:rsid w:val="00F000CF"/>
    <w:pPr>
      <w:spacing w:before="0" w:after="0" w:line="240" w:lineRule="auto"/>
      <w:jc w:val="left"/>
    </w:pPr>
    <w:rPr>
      <w:rFonts w:ascii="Consolas" w:eastAsia="Calibri" w:hAnsi="Consolas" w:cs="Times New Roman"/>
      <w:sz w:val="22"/>
      <w:lang w:val="en-US"/>
    </w:rPr>
  </w:style>
  <w:style w:type="character" w:customStyle="1" w:styleId="PlainTextChar">
    <w:name w:val="Plain Text Char"/>
    <w:basedOn w:val="DefaultParagraphFont"/>
    <w:uiPriority w:val="99"/>
    <w:semiHidden/>
    <w:rsid w:val="00F000CF"/>
    <w:rPr>
      <w:rFonts w:ascii="Consolas" w:hAnsi="Consolas" w:cs="Consolas"/>
      <w:sz w:val="21"/>
      <w:szCs w:val="21"/>
    </w:rPr>
  </w:style>
  <w:style w:type="character" w:customStyle="1" w:styleId="PlainTextChar1">
    <w:name w:val="Plain Text Char1"/>
    <w:link w:val="PlainText"/>
    <w:locked/>
    <w:rsid w:val="00F000CF"/>
    <w:rPr>
      <w:rFonts w:ascii="Consolas" w:eastAsia="Calibri" w:hAnsi="Consolas" w:cs="Times New Roman"/>
      <w:lang w:val="en-US"/>
    </w:rPr>
  </w:style>
  <w:style w:type="character" w:styleId="UnresolvedMention">
    <w:name w:val="Unresolved Mention"/>
    <w:basedOn w:val="DefaultParagraphFont"/>
    <w:uiPriority w:val="99"/>
    <w:semiHidden/>
    <w:unhideWhenUsed/>
    <w:rsid w:val="00EC74FA"/>
    <w:rPr>
      <w:color w:val="605E5C"/>
      <w:shd w:val="clear" w:color="auto" w:fill="E1DFDD"/>
    </w:rPr>
  </w:style>
  <w:style w:type="table" w:styleId="TableGrid">
    <w:name w:val="Table Grid"/>
    <w:basedOn w:val="TableNormal"/>
    <w:uiPriority w:val="59"/>
    <w:rsid w:val="005B6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92380">
      <w:bodyDiv w:val="1"/>
      <w:marLeft w:val="0"/>
      <w:marRight w:val="0"/>
      <w:marTop w:val="0"/>
      <w:marBottom w:val="0"/>
      <w:divBdr>
        <w:top w:val="none" w:sz="0" w:space="0" w:color="auto"/>
        <w:left w:val="none" w:sz="0" w:space="0" w:color="auto"/>
        <w:bottom w:val="none" w:sz="0" w:space="0" w:color="auto"/>
        <w:right w:val="none" w:sz="0" w:space="0" w:color="auto"/>
      </w:divBdr>
      <w:divsChild>
        <w:div w:id="789015057">
          <w:marLeft w:val="0"/>
          <w:marRight w:val="0"/>
          <w:marTop w:val="0"/>
          <w:marBottom w:val="0"/>
          <w:divBdr>
            <w:top w:val="none" w:sz="0" w:space="0" w:color="auto"/>
            <w:left w:val="none" w:sz="0" w:space="0" w:color="auto"/>
            <w:bottom w:val="none" w:sz="0" w:space="0" w:color="auto"/>
            <w:right w:val="none" w:sz="0" w:space="0" w:color="auto"/>
          </w:divBdr>
        </w:div>
        <w:div w:id="1076785657">
          <w:marLeft w:val="0"/>
          <w:marRight w:val="0"/>
          <w:marTop w:val="0"/>
          <w:marBottom w:val="0"/>
          <w:divBdr>
            <w:top w:val="none" w:sz="0" w:space="0" w:color="auto"/>
            <w:left w:val="none" w:sz="0" w:space="0" w:color="auto"/>
            <w:bottom w:val="none" w:sz="0" w:space="0" w:color="auto"/>
            <w:right w:val="none" w:sz="0" w:space="0" w:color="auto"/>
          </w:divBdr>
        </w:div>
        <w:div w:id="1580212367">
          <w:marLeft w:val="0"/>
          <w:marRight w:val="0"/>
          <w:marTop w:val="0"/>
          <w:marBottom w:val="0"/>
          <w:divBdr>
            <w:top w:val="none" w:sz="0" w:space="0" w:color="auto"/>
            <w:left w:val="none" w:sz="0" w:space="0" w:color="auto"/>
            <w:bottom w:val="none" w:sz="0" w:space="0" w:color="auto"/>
            <w:right w:val="none" w:sz="0" w:space="0" w:color="auto"/>
          </w:divBdr>
        </w:div>
        <w:div w:id="604117244">
          <w:marLeft w:val="0"/>
          <w:marRight w:val="0"/>
          <w:marTop w:val="0"/>
          <w:marBottom w:val="0"/>
          <w:divBdr>
            <w:top w:val="none" w:sz="0" w:space="0" w:color="auto"/>
            <w:left w:val="none" w:sz="0" w:space="0" w:color="auto"/>
            <w:bottom w:val="none" w:sz="0" w:space="0" w:color="auto"/>
            <w:right w:val="none" w:sz="0" w:space="0" w:color="auto"/>
          </w:divBdr>
        </w:div>
        <w:div w:id="1026252426">
          <w:marLeft w:val="0"/>
          <w:marRight w:val="0"/>
          <w:marTop w:val="0"/>
          <w:marBottom w:val="0"/>
          <w:divBdr>
            <w:top w:val="none" w:sz="0" w:space="0" w:color="auto"/>
            <w:left w:val="none" w:sz="0" w:space="0" w:color="auto"/>
            <w:bottom w:val="none" w:sz="0" w:space="0" w:color="auto"/>
            <w:right w:val="none" w:sz="0" w:space="0" w:color="auto"/>
          </w:divBdr>
        </w:div>
      </w:divsChild>
    </w:div>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023945715">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 w:id="201838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nja.carapic@mif.gov.m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D8486B-1B7C-49CC-9021-B47F7DDB0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3427</Words>
  <Characters>19540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Vlada Crne Gore</dc:creator>
  <cp:lastModifiedBy>Natasa Kovacevic</cp:lastModifiedBy>
  <cp:revision>2</cp:revision>
  <cp:lastPrinted>2024-06-05T11:34:00Z</cp:lastPrinted>
  <dcterms:created xsi:type="dcterms:W3CDTF">2025-06-23T07:40:00Z</dcterms:created>
  <dcterms:modified xsi:type="dcterms:W3CDTF">2025-06-23T07:40:00Z</dcterms:modified>
</cp:coreProperties>
</file>