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0B258C5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6F5560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3F06067A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6F5560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6F5560">
        <w:rPr>
          <w:rFonts w:ascii="Arial" w:hAnsi="Arial" w:cs="Arial"/>
          <w:bCs/>
          <w:lang w:val="hr-HR"/>
        </w:rPr>
        <w:t>2210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6F5560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2F64BA">
        <w:rPr>
          <w:rFonts w:ascii="Arial" w:hAnsi="Arial" w:cs="Arial"/>
          <w:bCs/>
          <w:lang w:val="hr-HR"/>
        </w:rPr>
        <w:t>25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F5560">
        <w:rPr>
          <w:rFonts w:ascii="Arial" w:hAnsi="Arial" w:cs="Arial"/>
          <w:bCs/>
          <w:lang w:val="hr-HR"/>
        </w:rPr>
        <w:t>04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6F5560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6CE5CF75" w:rsidR="00BF6BD4" w:rsidRPr="007942A6" w:rsidRDefault="006F5560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>, 22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46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1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sz w:val="22"/>
          <w:lang w:val="sr-Latn-CS"/>
        </w:rPr>
        <w:t xml:space="preserve">člana 2 i 3 Uredbe o naknadi troškova u postupku za pristup informacijama </w:t>
      </w:r>
      <w:r w:rsidR="00686045" w:rsidRPr="00E727DF">
        <w:rPr>
          <w:rFonts w:ascii="Arial" w:hAnsi="Arial" w:cs="Arial"/>
          <w:sz w:val="22"/>
          <w:lang w:val="sr-Latn-CS"/>
        </w:rPr>
        <w:t>(„Službeni list CG“, br.</w:t>
      </w:r>
      <w:r w:rsidR="00686045">
        <w:rPr>
          <w:rFonts w:ascii="Arial" w:hAnsi="Arial" w:cs="Arial"/>
          <w:sz w:val="22"/>
          <w:lang w:val="sr-Latn-CS"/>
        </w:rPr>
        <w:t>66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>16 I 121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 xml:space="preserve">21),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7942A6" w:rsidRPr="007942A6">
        <w:rPr>
          <w:rFonts w:ascii="Arial" w:hAnsi="Arial" w:cs="Arial"/>
          <w:noProof/>
          <w:sz w:val="22"/>
          <w:lang w:val="en-US"/>
        </w:rPr>
        <w:t>NVO Institut Alternativa, Bul. Džordža Vašingotna 57, 1/20, 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2210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12A929FF" w:rsidR="009C06B7" w:rsidRDefault="00625FA5" w:rsidP="009947AA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947AA" w:rsidRPr="00DE78B2">
        <w:rPr>
          <w:rFonts w:ascii="Arial" w:eastAsia="Calibri" w:hAnsi="Arial" w:cs="Arial"/>
          <w:b/>
          <w:sz w:val="22"/>
          <w:lang w:val="pl-PL"/>
        </w:rPr>
        <w:t>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ministarstva pod brojem: 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2210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F556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F5560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omogućuje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62E868A" w14:textId="77777777" w:rsidR="009947AA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62C6042A" w14:textId="0A7784CE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zahtjeva, a nakon dostavljanja dokaza o uplati troškova postupka.</w:t>
      </w:r>
    </w:p>
    <w:p w14:paraId="619AABE7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Theme="minorHAnsi" w:eastAsiaTheme="minorHAnsi" w:hAnsiTheme="minorHAnsi" w:cstheme="minorBidi"/>
        </w:rPr>
      </w:pPr>
    </w:p>
    <w:p w14:paraId="05C1A54C" w14:textId="1169FC80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III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6F5560">
        <w:rPr>
          <w:rFonts w:ascii="Arial" w:hAnsi="Arial" w:cs="Arial"/>
          <w:iCs/>
          <w:color w:val="000000" w:themeColor="text1"/>
        </w:rPr>
        <w:t>12</w:t>
      </w:r>
      <w:r w:rsidRPr="00DC07B9">
        <w:rPr>
          <w:rFonts w:ascii="Arial" w:hAnsi="Arial" w:cs="Arial"/>
          <w:iCs/>
          <w:color w:val="000000" w:themeColor="text1"/>
        </w:rPr>
        <w:t>,</w:t>
      </w:r>
      <w:r w:rsidR="006F5560">
        <w:rPr>
          <w:rFonts w:ascii="Arial" w:hAnsi="Arial" w:cs="Arial"/>
          <w:iCs/>
          <w:color w:val="000000" w:themeColor="text1"/>
        </w:rPr>
        <w:t>20</w:t>
      </w:r>
      <w:r w:rsidRPr="00DC07B9">
        <w:rPr>
          <w:rFonts w:ascii="Arial" w:hAnsi="Arial" w:cs="Arial"/>
          <w:iCs/>
          <w:color w:val="000000" w:themeColor="text1"/>
        </w:rPr>
        <w:t xml:space="preserve"> €,</w:t>
      </w:r>
      <w:r w:rsidRPr="00E727DF">
        <w:rPr>
          <w:rFonts w:ascii="Arial" w:hAnsi="Arial" w:cs="Arial"/>
          <w:iCs/>
          <w:color w:val="000000" w:themeColor="text1"/>
        </w:rPr>
        <w:t xml:space="preserve"> koje je podnosilac zahtjeva dužan uplatiti u korist Budžeta Crne Gore, </w:t>
      </w:r>
      <w:r w:rsidR="006F5560" w:rsidRPr="006F5560">
        <w:rPr>
          <w:rFonts w:ascii="Arial" w:hAnsi="Arial" w:cs="Arial"/>
        </w:rPr>
        <w:t xml:space="preserve">na transakcioni račun broj: </w:t>
      </w:r>
      <w:r w:rsidR="006F5560" w:rsidRPr="006F5560">
        <w:rPr>
          <w:rFonts w:ascii="Arial" w:hAnsi="Arial" w:cs="Arial"/>
          <w:iCs/>
          <w:color w:val="000000" w:themeColor="text1"/>
        </w:rPr>
        <w:t>907-83001-19</w:t>
      </w:r>
      <w:r w:rsidR="006F5560" w:rsidRPr="006F5560">
        <w:rPr>
          <w:rFonts w:ascii="Arial" w:hAnsi="Arial" w:cs="Arial"/>
        </w:rPr>
        <w:t xml:space="preserve"> kod Centralne banke Crne Gore</w:t>
      </w:r>
      <w:r w:rsidRPr="00E727DF"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</w:rPr>
        <w:t>i o tome dostaviti odgovarajući dokaz.</w:t>
      </w:r>
    </w:p>
    <w:p w14:paraId="70EF090E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</w:p>
    <w:p w14:paraId="1D3B63FC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15DC8762" w14:textId="0CACF880" w:rsidR="005E383E" w:rsidRPr="00DE78B2" w:rsidRDefault="005E383E" w:rsidP="009947AA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4A4D55" w14:textId="20289650" w:rsidR="007942A6" w:rsidRPr="00DE78B2" w:rsidRDefault="007942A6" w:rsidP="007942A6">
      <w:pPr>
        <w:spacing w:before="0" w:after="0" w:line="240" w:lineRule="auto"/>
        <w:rPr>
          <w:rFonts w:ascii="Arial" w:hAnsi="Arial" w:cs="Arial"/>
          <w:sz w:val="22"/>
        </w:rPr>
      </w:pPr>
      <w:r w:rsidRPr="007942A6">
        <w:rPr>
          <w:rFonts w:ascii="Arial" w:hAnsi="Arial" w:cs="Arial"/>
          <w:noProof/>
          <w:sz w:val="22"/>
          <w:lang w:val="en-US"/>
        </w:rPr>
        <w:t>NVO Institut Alternativa, Bul. Džordža Vašingotna 57, 1/20, 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76BE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2210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F5560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, kojim je tražen pristup informacijama i to</w:t>
      </w:r>
      <w:r w:rsidR="006F5560">
        <w:rPr>
          <w:rFonts w:ascii="Arial" w:eastAsia="Calibri" w:hAnsi="Arial" w:cs="Arial"/>
          <w:color w:val="000000"/>
          <w:sz w:val="22"/>
          <w:lang w:val="pl-PL"/>
        </w:rPr>
        <w:t>:</w:t>
      </w:r>
      <w:r w:rsidR="006F55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''</w:t>
      </w:r>
      <w:r w:rsidR="006F5560">
        <w:rPr>
          <w:rFonts w:ascii="Arial" w:hAnsi="Arial" w:cs="Arial"/>
          <w:sz w:val="22"/>
        </w:rPr>
        <w:t>Polugodišnjem i godišnjem izvještaju o realizaciji programskog budžeta Ministarstva, u skladu sa članom 7 Odluke o načinu pripreme i sadržaju programskog budžeta potrošačkih jedinica.''</w:t>
      </w:r>
    </w:p>
    <w:p w14:paraId="3F7EA1D7" w14:textId="1DC6C069" w:rsidR="00E51814" w:rsidRPr="007942A6" w:rsidRDefault="007942A6" w:rsidP="007942A6">
      <w:pPr>
        <w:rPr>
          <w:rFonts w:ascii="Arial" w:hAnsi="Arial" w:cs="Arial"/>
          <w:sz w:val="22"/>
          <w:lang w:val="sl-SI"/>
        </w:rPr>
      </w:pPr>
      <w:r w:rsidRPr="00DE78B2">
        <w:rPr>
          <w:rFonts w:ascii="Arial" w:hAnsi="Arial" w:cs="Arial"/>
          <w:sz w:val="22"/>
        </w:rPr>
        <w:t xml:space="preserve">Postupajući po zahtjevu, </w:t>
      </w:r>
      <w:r w:rsidR="00C628F9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 xml:space="preserve">inistarstvo je utvrdilo da je </w:t>
      </w:r>
      <w:r>
        <w:rPr>
          <w:rFonts w:ascii="Arial" w:hAnsi="Arial" w:cs="Arial"/>
          <w:sz w:val="22"/>
        </w:rPr>
        <w:t>u posjedu traženih informacija</w:t>
      </w:r>
      <w:r w:rsidRPr="00DE78B2">
        <w:rPr>
          <w:rFonts w:ascii="Arial" w:hAnsi="Arial" w:cs="Arial"/>
          <w:sz w:val="22"/>
        </w:rPr>
        <w:t xml:space="preserve">, </w:t>
      </w:r>
      <w:r w:rsidR="00C628F9">
        <w:rPr>
          <w:rFonts w:ascii="Arial" w:hAnsi="Arial" w:cs="Arial"/>
          <w:sz w:val="22"/>
        </w:rPr>
        <w:t>a</w:t>
      </w:r>
      <w:r w:rsidRPr="00DE78B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nakon uvida u </w:t>
      </w:r>
      <w:r w:rsidR="00C628F9">
        <w:rPr>
          <w:rFonts w:ascii="Arial" w:hAnsi="Arial" w:cs="Arial"/>
          <w:sz w:val="22"/>
        </w:rPr>
        <w:t xml:space="preserve">predmetnu </w:t>
      </w:r>
      <w:r>
        <w:rPr>
          <w:rFonts w:ascii="Arial" w:hAnsi="Arial" w:cs="Arial"/>
          <w:sz w:val="22"/>
        </w:rPr>
        <w:t xml:space="preserve">dokumentaciju, </w:t>
      </w:r>
      <w:r w:rsidR="00C628F9">
        <w:rPr>
          <w:rFonts w:ascii="Arial" w:hAnsi="Arial" w:cs="Arial"/>
          <w:sz w:val="22"/>
        </w:rPr>
        <w:t>utvrđeno je</w:t>
      </w:r>
      <w:r>
        <w:rPr>
          <w:rFonts w:ascii="Arial" w:hAnsi="Arial" w:cs="Arial"/>
          <w:sz w:val="22"/>
        </w:rPr>
        <w:t xml:space="preserve"> da se cjelokupna informacija nalazi u štampanom</w:t>
      </w:r>
      <w:r>
        <w:rPr>
          <w:rFonts w:ascii="Arial" w:hAnsi="Arial" w:cs="Arial"/>
          <w:sz w:val="22"/>
          <w:lang w:val="sl-SI"/>
        </w:rPr>
        <w:t xml:space="preserve"> formatu</w:t>
      </w:r>
      <w:r w:rsidR="00C628F9">
        <w:rPr>
          <w:rFonts w:ascii="Arial" w:hAnsi="Arial" w:cs="Arial"/>
          <w:sz w:val="22"/>
          <w:lang w:val="sl-SI"/>
        </w:rPr>
        <w:t>.</w:t>
      </w:r>
      <w:r>
        <w:rPr>
          <w:rFonts w:ascii="Arial" w:hAnsi="Arial" w:cs="Arial"/>
          <w:sz w:val="22"/>
          <w:lang w:val="sl-SI"/>
        </w:rPr>
        <w:t xml:space="preserve"> </w:t>
      </w:r>
      <w:r w:rsidR="00C628F9">
        <w:rPr>
          <w:rFonts w:ascii="Arial" w:hAnsi="Arial" w:cs="Arial"/>
          <w:sz w:val="22"/>
          <w:lang w:val="sl-SI"/>
        </w:rPr>
        <w:t>Time</w:t>
      </w:r>
      <w:r w:rsidR="00B11596">
        <w:rPr>
          <w:rFonts w:ascii="Arial" w:hAnsi="Arial" w:cs="Arial"/>
          <w:sz w:val="22"/>
          <w:lang w:val="sl-SI"/>
        </w:rPr>
        <w:t xml:space="preserve"> su se</w:t>
      </w:r>
      <w:r w:rsidR="00B11596" w:rsidRPr="00B11596">
        <w:rPr>
          <w:rFonts w:ascii="Arial" w:hAnsi="Arial" w:cs="Arial"/>
          <w:sz w:val="22"/>
          <w:lang w:val="sl-SI"/>
        </w:rPr>
        <w:t xml:space="preserve"> </w:t>
      </w:r>
      <w:r w:rsidR="00B11596">
        <w:rPr>
          <w:rFonts w:ascii="Arial" w:hAnsi="Arial" w:cs="Arial"/>
          <w:sz w:val="22"/>
          <w:lang w:val="sl-SI"/>
        </w:rPr>
        <w:t>stekli</w:t>
      </w:r>
      <w:r w:rsidR="00B11596" w:rsidRPr="00B11596">
        <w:rPr>
          <w:rFonts w:ascii="Arial" w:hAnsi="Arial" w:cs="Arial"/>
          <w:sz w:val="22"/>
          <w:lang w:val="sl-SI"/>
        </w:rPr>
        <w:t xml:space="preserve"> uslovi za primjenu odredbe člana 30 stav 1 Zakona o slobodnom pristupu informacijama, </w:t>
      </w:r>
      <w:r w:rsidR="00B11596" w:rsidRPr="00B11596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informaciji, odnosno ponovnu upotrebu informacija  ili njenom dijelu ili zahtjev odbija</w:t>
      </w:r>
      <w:r w:rsidR="00152A62">
        <w:rPr>
          <w:rFonts w:ascii="Arial" w:hAnsi="Arial" w:cs="Arial"/>
          <w:lang w:val="sr-Latn-CS"/>
        </w:rPr>
        <w:t>.</w:t>
      </w:r>
    </w:p>
    <w:p w14:paraId="152BCDCF" w14:textId="1AFD13C6" w:rsidR="00B753E2" w:rsidRPr="006F5560" w:rsidRDefault="00B753E2" w:rsidP="00DE78B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6F5560" w:rsidRPr="006F5560">
        <w:rPr>
          <w:rFonts w:ascii="Arial" w:hAnsi="Arial" w:cs="Arial"/>
          <w:color w:val="000000" w:themeColor="text1"/>
          <w:sz w:val="22"/>
          <w:lang w:val="sr-Latn-CS"/>
        </w:rPr>
        <w:t>360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DC07B9" w:rsidRPr="006F556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4 Uredbe o naknadi troškova  u postupku za pristup informacijama („Službeni list CG“, br.66/16 i 121/21), propisano da se fotokopiranje informacije fromata A4 crno-bijeli ne naplaćuje za prvih 20 stranica, troškovi postupka određuju se u ukupnom iznosu od </w:t>
      </w:r>
      <w:r w:rsidR="006F5560" w:rsidRPr="006F5560">
        <w:rPr>
          <w:rFonts w:ascii="Arial" w:hAnsi="Arial" w:cs="Arial"/>
          <w:color w:val="000000" w:themeColor="text1"/>
          <w:sz w:val="22"/>
          <w:lang w:val="sr-Latn-CS"/>
        </w:rPr>
        <w:t>12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F5560" w:rsidRPr="006F5560">
        <w:rPr>
          <w:rFonts w:ascii="Arial" w:hAnsi="Arial" w:cs="Arial"/>
          <w:color w:val="000000" w:themeColor="text1"/>
          <w:sz w:val="22"/>
          <w:lang w:val="sr-Latn-CS"/>
        </w:rPr>
        <w:t>20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 od čega na ime kopiranja stranice po utvrđenoj cijeni od 0,03 € po jednoj strani i na ime dostavljanja preporučenom pošiljkom 2,00 €,  koj</w:t>
      </w:r>
      <w:r w:rsidR="00DC07B9" w:rsidRPr="006F5560">
        <w:rPr>
          <w:rFonts w:ascii="Arial" w:hAnsi="Arial" w:cs="Arial"/>
          <w:color w:val="000000" w:themeColor="text1"/>
          <w:sz w:val="22"/>
          <w:lang w:val="sr-Latn-CS"/>
        </w:rPr>
        <w:t>e je podnosilac zahtjeva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C07B9" w:rsidRPr="006F5560">
        <w:rPr>
          <w:rFonts w:ascii="Arial" w:hAnsi="Arial" w:cs="Arial"/>
          <w:iCs/>
          <w:color w:val="000000" w:themeColor="text1"/>
          <w:sz w:val="22"/>
        </w:rPr>
        <w:t xml:space="preserve">dužan uplatiti u korist Budžeta Crne Gore, </w:t>
      </w:r>
      <w:r w:rsidR="006F5560" w:rsidRPr="006F5560">
        <w:rPr>
          <w:rFonts w:ascii="Arial" w:hAnsi="Arial" w:cs="Arial"/>
          <w:sz w:val="22"/>
        </w:rPr>
        <w:t xml:space="preserve">na transakcioni račun broj: </w:t>
      </w:r>
      <w:r w:rsidR="006F5560"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="006F5560" w:rsidRPr="006F5560">
        <w:rPr>
          <w:rFonts w:ascii="Arial" w:hAnsi="Arial" w:cs="Arial"/>
          <w:sz w:val="22"/>
        </w:rPr>
        <w:t xml:space="preserve"> kod Centralne banke Crne Gore</w:t>
      </w:r>
      <w:r w:rsidR="00DC07B9"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DC07B9" w:rsidRPr="006F5560">
        <w:rPr>
          <w:rFonts w:ascii="Arial" w:hAnsi="Arial" w:cs="Arial"/>
          <w:iCs/>
          <w:sz w:val="22"/>
        </w:rPr>
        <w:t>i o tome dostaviti odgovarajući dokaz,</w:t>
      </w:r>
      <w:r w:rsidR="00DC07B9"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shodno članu </w:t>
      </w:r>
      <w:r w:rsidR="00DC07B9" w:rsidRPr="006F5560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 i 121/21).</w:t>
      </w:r>
    </w:p>
    <w:p w14:paraId="09B222D8" w14:textId="77777777" w:rsidR="009C06B7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lastRenderedPageBreak/>
        <w:t>Žalba na ovo rješenje ne odlaže njegovo izvršenje shodno članu 36 Zakona o slobodnom pristupu informacijama.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28763580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6F5560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DE78B2">
        <w:rPr>
          <w:rFonts w:ascii="Arial" w:hAnsi="Arial" w:cs="Arial"/>
          <w:noProof/>
          <w:color w:val="000000" w:themeColor="text1"/>
          <w:sz w:val="22"/>
        </w:rPr>
        <w:t>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77777777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91205A" w14:textId="77777777" w:rsidR="00894EF0" w:rsidRDefault="00894EF0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bookmarkEnd w:id="1"/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</w:p>
    <w:p w14:paraId="5C6B5C74" w14:textId="3F6BBD0F" w:rsidR="00C628F9" w:rsidRPr="00B27914" w:rsidRDefault="00C628F9" w:rsidP="00C628F9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bookmarkStart w:id="2" w:name="_GoBack"/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7D27C" w14:textId="77777777" w:rsidR="007A0196" w:rsidRDefault="007A0196" w:rsidP="00A6505B">
      <w:pPr>
        <w:spacing w:before="0" w:after="0" w:line="240" w:lineRule="auto"/>
      </w:pPr>
      <w:r>
        <w:separator/>
      </w:r>
    </w:p>
  </w:endnote>
  <w:endnote w:type="continuationSeparator" w:id="0">
    <w:p w14:paraId="13054CA9" w14:textId="77777777" w:rsidR="007A0196" w:rsidRDefault="007A019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7BE34" w14:textId="77777777" w:rsidR="007A0196" w:rsidRDefault="007A019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2EC66DC" w14:textId="77777777" w:rsidR="007A0196" w:rsidRDefault="007A019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14177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6BEC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2F64BA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A4E7E"/>
    <w:rsid w:val="005B0AD1"/>
    <w:rsid w:val="005B44BF"/>
    <w:rsid w:val="005C00D9"/>
    <w:rsid w:val="005C6F24"/>
    <w:rsid w:val="005E12A9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AB9"/>
    <w:rsid w:val="006A2C40"/>
    <w:rsid w:val="006A780D"/>
    <w:rsid w:val="006B0CEE"/>
    <w:rsid w:val="006B126B"/>
    <w:rsid w:val="006C752E"/>
    <w:rsid w:val="006D70F4"/>
    <w:rsid w:val="006D711E"/>
    <w:rsid w:val="006E262C"/>
    <w:rsid w:val="006F297F"/>
    <w:rsid w:val="006F405E"/>
    <w:rsid w:val="006F5560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0196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16D0"/>
    <w:rsid w:val="008528E2"/>
    <w:rsid w:val="00855AC3"/>
    <w:rsid w:val="0086086F"/>
    <w:rsid w:val="008619C0"/>
    <w:rsid w:val="00864CF3"/>
    <w:rsid w:val="008659F6"/>
    <w:rsid w:val="00865EC4"/>
    <w:rsid w:val="0087281A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790"/>
    <w:rsid w:val="00A767EC"/>
    <w:rsid w:val="00A775F6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D51D9"/>
    <w:rsid w:val="00AE4D8B"/>
    <w:rsid w:val="00AE69B5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06C4"/>
    <w:rsid w:val="00B62360"/>
    <w:rsid w:val="00B753E2"/>
    <w:rsid w:val="00B83F7A"/>
    <w:rsid w:val="00B8446B"/>
    <w:rsid w:val="00B84F08"/>
    <w:rsid w:val="00B8640D"/>
    <w:rsid w:val="00B86773"/>
    <w:rsid w:val="00B940ED"/>
    <w:rsid w:val="00BA259F"/>
    <w:rsid w:val="00BA5B08"/>
    <w:rsid w:val="00BA5DCA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1687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4545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069789-F316-48D7-8BE8-9CC816B5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43</cp:revision>
  <cp:lastPrinted>2023-04-24T11:39:00Z</cp:lastPrinted>
  <dcterms:created xsi:type="dcterms:W3CDTF">2022-11-07T12:46:00Z</dcterms:created>
  <dcterms:modified xsi:type="dcterms:W3CDTF">2023-04-27T07:15:00Z</dcterms:modified>
</cp:coreProperties>
</file>