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932" w:rsidRPr="001302F9" w:rsidRDefault="008D5932" w:rsidP="00D23BC2">
      <w:pPr>
        <w:jc w:val="both"/>
        <w:rPr>
          <w:rFonts w:ascii="Arial" w:hAnsi="Arial" w:cs="Arial"/>
          <w:lang w:val="sr-Latn-ME"/>
        </w:rPr>
      </w:pPr>
    </w:p>
    <w:p w:rsidR="008D5932" w:rsidRPr="001302F9" w:rsidRDefault="008D5932" w:rsidP="00D23BC2">
      <w:pPr>
        <w:jc w:val="both"/>
        <w:rPr>
          <w:rFonts w:ascii="Arial" w:hAnsi="Arial" w:cs="Arial"/>
          <w:lang w:val="sr-Latn-ME"/>
        </w:rPr>
      </w:pPr>
    </w:p>
    <w:p w:rsidR="008D5932" w:rsidRPr="001302F9" w:rsidRDefault="008D5932" w:rsidP="00D23BC2">
      <w:pPr>
        <w:jc w:val="both"/>
        <w:rPr>
          <w:rFonts w:ascii="Arial" w:hAnsi="Arial" w:cs="Arial"/>
          <w:lang w:val="sr-Latn-ME"/>
        </w:rPr>
      </w:pPr>
    </w:p>
    <w:p w:rsidR="008D5932" w:rsidRPr="001302F9" w:rsidRDefault="008D5932" w:rsidP="00D23BC2">
      <w:pPr>
        <w:jc w:val="both"/>
        <w:rPr>
          <w:rFonts w:ascii="Arial" w:hAnsi="Arial" w:cs="Arial"/>
          <w:lang w:val="sr-Latn-ME"/>
        </w:rPr>
      </w:pPr>
    </w:p>
    <w:p w:rsidR="008D5932" w:rsidRPr="001302F9" w:rsidRDefault="008D5932" w:rsidP="00D23BC2">
      <w:pPr>
        <w:jc w:val="both"/>
        <w:rPr>
          <w:rFonts w:ascii="Arial" w:hAnsi="Arial" w:cs="Arial"/>
          <w:lang w:val="sr-Latn-ME"/>
        </w:rPr>
      </w:pPr>
    </w:p>
    <w:p w:rsidR="008D5932" w:rsidRPr="001302F9" w:rsidRDefault="008D5932" w:rsidP="00D23BC2">
      <w:pPr>
        <w:jc w:val="both"/>
        <w:rPr>
          <w:rFonts w:ascii="Arial" w:hAnsi="Arial" w:cs="Arial"/>
          <w:lang w:val="sr-Latn-ME"/>
        </w:rPr>
      </w:pPr>
    </w:p>
    <w:p w:rsidR="008D5932" w:rsidRPr="001302F9" w:rsidRDefault="008D5932" w:rsidP="00D23BC2">
      <w:pPr>
        <w:jc w:val="both"/>
        <w:rPr>
          <w:rFonts w:ascii="Arial" w:hAnsi="Arial" w:cs="Arial"/>
          <w:lang w:val="sr-Latn-ME"/>
        </w:rPr>
      </w:pPr>
    </w:p>
    <w:p w:rsidR="008D5932" w:rsidRPr="001302F9" w:rsidRDefault="008D5932" w:rsidP="00D23BC2">
      <w:pPr>
        <w:jc w:val="both"/>
        <w:rPr>
          <w:rFonts w:ascii="Arial" w:hAnsi="Arial" w:cs="Arial"/>
          <w:lang w:val="sr-Latn-ME"/>
        </w:rPr>
      </w:pPr>
    </w:p>
    <w:p w:rsidR="00475DCC" w:rsidRPr="001302F9" w:rsidRDefault="00475DCC" w:rsidP="00D23BC2">
      <w:pPr>
        <w:spacing w:after="0" w:line="240" w:lineRule="auto"/>
        <w:jc w:val="both"/>
        <w:rPr>
          <w:rFonts w:ascii="Arial" w:hAnsi="Arial" w:cs="Arial"/>
          <w:b/>
          <w:lang w:val="sr-Latn-ME"/>
        </w:rPr>
      </w:pPr>
    </w:p>
    <w:p w:rsidR="00475DCC" w:rsidRPr="001302F9" w:rsidRDefault="00475DCC" w:rsidP="00D23BC2">
      <w:pPr>
        <w:spacing w:after="0" w:line="240" w:lineRule="auto"/>
        <w:jc w:val="both"/>
        <w:rPr>
          <w:rFonts w:ascii="Arial" w:hAnsi="Arial" w:cs="Arial"/>
          <w:b/>
          <w:lang w:val="sr-Latn-ME"/>
        </w:rPr>
      </w:pPr>
    </w:p>
    <w:p w:rsidR="00475DCC" w:rsidRPr="001302F9" w:rsidRDefault="00475DCC" w:rsidP="00D23BC2">
      <w:pPr>
        <w:spacing w:after="0" w:line="240" w:lineRule="auto"/>
        <w:jc w:val="both"/>
        <w:rPr>
          <w:rFonts w:ascii="Arial" w:hAnsi="Arial" w:cs="Arial"/>
          <w:b/>
          <w:lang w:val="sr-Latn-ME"/>
        </w:rPr>
      </w:pPr>
    </w:p>
    <w:p w:rsidR="00AF25D3" w:rsidRPr="001302F9" w:rsidRDefault="00AF25D3" w:rsidP="00D23BC2">
      <w:pPr>
        <w:jc w:val="center"/>
        <w:rPr>
          <w:rFonts w:ascii="Arial" w:hAnsi="Arial" w:cs="Arial"/>
          <w:b/>
          <w:lang w:val="sr-Latn-ME"/>
        </w:rPr>
      </w:pPr>
      <w:r w:rsidRPr="001302F9">
        <w:rPr>
          <w:rFonts w:ascii="Arial" w:hAnsi="Arial" w:cs="Arial"/>
          <w:b/>
          <w:lang w:val="sr-Latn-ME"/>
        </w:rPr>
        <w:t>Strategija za borbu protiv prevara i upravljanje nepravilnostima u cilju zaštite finansijskih interesa Evropske unije 2025 - 2028</w:t>
      </w:r>
    </w:p>
    <w:p w:rsidR="008533CC" w:rsidRPr="001302F9" w:rsidRDefault="008533CC" w:rsidP="00D23BC2">
      <w:pPr>
        <w:jc w:val="center"/>
        <w:rPr>
          <w:rFonts w:ascii="Arial" w:hAnsi="Arial" w:cs="Arial"/>
          <w:b/>
          <w:lang w:val="sr-Latn-ME"/>
        </w:rPr>
      </w:pPr>
    </w:p>
    <w:p w:rsidR="008533CC" w:rsidRPr="001302F9" w:rsidRDefault="008533CC" w:rsidP="00D23BC2">
      <w:pPr>
        <w:jc w:val="center"/>
        <w:rPr>
          <w:rFonts w:ascii="Arial" w:hAnsi="Arial" w:cs="Arial"/>
          <w:b/>
          <w:lang w:val="sr-Latn-ME"/>
        </w:rPr>
      </w:pPr>
    </w:p>
    <w:p w:rsidR="008533CC" w:rsidRPr="001302F9" w:rsidRDefault="008533CC" w:rsidP="00D23BC2">
      <w:pPr>
        <w:jc w:val="center"/>
        <w:rPr>
          <w:rFonts w:ascii="Arial" w:hAnsi="Arial" w:cs="Arial"/>
          <w:b/>
          <w:lang w:val="sr-Latn-ME"/>
        </w:rPr>
      </w:pPr>
    </w:p>
    <w:p w:rsidR="008533CC" w:rsidRPr="001302F9" w:rsidRDefault="008533CC" w:rsidP="00D23BC2">
      <w:pPr>
        <w:jc w:val="center"/>
        <w:rPr>
          <w:rFonts w:ascii="Arial" w:hAnsi="Arial" w:cs="Arial"/>
          <w:b/>
          <w:lang w:val="sr-Latn-ME"/>
        </w:rPr>
      </w:pPr>
    </w:p>
    <w:p w:rsidR="008533CC" w:rsidRPr="001302F9" w:rsidRDefault="008533CC" w:rsidP="00D23BC2">
      <w:pPr>
        <w:jc w:val="center"/>
        <w:rPr>
          <w:rFonts w:ascii="Arial" w:hAnsi="Arial" w:cs="Arial"/>
          <w:b/>
          <w:lang w:val="sr-Latn-ME"/>
        </w:rPr>
      </w:pPr>
    </w:p>
    <w:p w:rsidR="008533CC" w:rsidRPr="001302F9" w:rsidRDefault="008533CC" w:rsidP="00D23BC2">
      <w:pPr>
        <w:jc w:val="center"/>
        <w:rPr>
          <w:rFonts w:ascii="Arial" w:hAnsi="Arial" w:cs="Arial"/>
          <w:b/>
          <w:lang w:val="sr-Latn-ME"/>
        </w:rPr>
      </w:pPr>
    </w:p>
    <w:p w:rsidR="00EE65EF" w:rsidRPr="001302F9" w:rsidRDefault="00EE65EF" w:rsidP="00D23BC2">
      <w:pPr>
        <w:jc w:val="center"/>
        <w:rPr>
          <w:rFonts w:ascii="Arial" w:hAnsi="Arial" w:cs="Arial"/>
          <w:b/>
          <w:lang w:val="sr-Latn-ME"/>
        </w:rPr>
      </w:pPr>
    </w:p>
    <w:p w:rsidR="00EE65EF" w:rsidRPr="001302F9" w:rsidRDefault="00EE65EF" w:rsidP="00D23BC2">
      <w:pPr>
        <w:jc w:val="center"/>
        <w:rPr>
          <w:rFonts w:ascii="Arial" w:hAnsi="Arial" w:cs="Arial"/>
          <w:b/>
          <w:lang w:val="sr-Latn-ME"/>
        </w:rPr>
      </w:pPr>
    </w:p>
    <w:p w:rsidR="00EE65EF" w:rsidRDefault="00EE65EF" w:rsidP="00D23BC2">
      <w:pPr>
        <w:jc w:val="center"/>
        <w:rPr>
          <w:rFonts w:ascii="Arial" w:hAnsi="Arial" w:cs="Arial"/>
          <w:b/>
          <w:lang w:val="sr-Latn-ME"/>
        </w:rPr>
      </w:pPr>
    </w:p>
    <w:p w:rsidR="00F40085" w:rsidRDefault="00F40085" w:rsidP="00D23BC2">
      <w:pPr>
        <w:jc w:val="center"/>
        <w:rPr>
          <w:rFonts w:ascii="Arial" w:hAnsi="Arial" w:cs="Arial"/>
          <w:b/>
          <w:lang w:val="sr-Latn-ME"/>
        </w:rPr>
      </w:pPr>
    </w:p>
    <w:p w:rsidR="00F40085" w:rsidRDefault="00F40085" w:rsidP="00D23BC2">
      <w:pPr>
        <w:jc w:val="center"/>
        <w:rPr>
          <w:rFonts w:ascii="Arial" w:hAnsi="Arial" w:cs="Arial"/>
          <w:b/>
          <w:lang w:val="sr-Latn-ME"/>
        </w:rPr>
      </w:pPr>
    </w:p>
    <w:p w:rsidR="00F40085" w:rsidRDefault="00F40085" w:rsidP="00D23BC2">
      <w:pPr>
        <w:jc w:val="center"/>
        <w:rPr>
          <w:rFonts w:ascii="Arial" w:hAnsi="Arial" w:cs="Arial"/>
          <w:b/>
          <w:lang w:val="sr-Latn-ME"/>
        </w:rPr>
      </w:pPr>
    </w:p>
    <w:p w:rsidR="00F40085" w:rsidRDefault="00F40085" w:rsidP="00D23BC2">
      <w:pPr>
        <w:jc w:val="center"/>
        <w:rPr>
          <w:rFonts w:ascii="Arial" w:hAnsi="Arial" w:cs="Arial"/>
          <w:b/>
          <w:lang w:val="sr-Latn-ME"/>
        </w:rPr>
      </w:pPr>
    </w:p>
    <w:p w:rsidR="00F40085" w:rsidRDefault="00F40085" w:rsidP="00D23BC2">
      <w:pPr>
        <w:jc w:val="center"/>
        <w:rPr>
          <w:rFonts w:ascii="Arial" w:hAnsi="Arial" w:cs="Arial"/>
          <w:b/>
          <w:lang w:val="sr-Latn-ME"/>
        </w:rPr>
      </w:pPr>
    </w:p>
    <w:p w:rsidR="00F40085" w:rsidRPr="001302F9" w:rsidRDefault="00F40085" w:rsidP="00D23BC2">
      <w:pPr>
        <w:jc w:val="center"/>
        <w:rPr>
          <w:rFonts w:ascii="Arial" w:hAnsi="Arial" w:cs="Arial"/>
          <w:b/>
          <w:lang w:val="sr-Latn-ME"/>
        </w:rPr>
      </w:pPr>
    </w:p>
    <w:p w:rsidR="008533CC" w:rsidRPr="001302F9" w:rsidRDefault="008533CC" w:rsidP="00D23BC2">
      <w:pPr>
        <w:tabs>
          <w:tab w:val="left" w:pos="7510"/>
        </w:tabs>
        <w:jc w:val="center"/>
        <w:rPr>
          <w:rFonts w:ascii="Arial" w:hAnsi="Arial" w:cs="Arial"/>
          <w:b/>
          <w:lang w:val="sr-Latn-ME"/>
        </w:rPr>
      </w:pPr>
    </w:p>
    <w:p w:rsidR="00EE65EF" w:rsidRPr="001302F9" w:rsidRDefault="00475DCC" w:rsidP="00F40085">
      <w:pPr>
        <w:jc w:val="center"/>
        <w:rPr>
          <w:rFonts w:ascii="Arial" w:hAnsi="Arial" w:cs="Arial"/>
          <w:lang w:val="sr-Latn-ME"/>
        </w:rPr>
      </w:pPr>
      <w:r w:rsidRPr="001302F9">
        <w:rPr>
          <w:rFonts w:ascii="Arial" w:hAnsi="Arial" w:cs="Arial"/>
          <w:lang w:val="sr-Latn-ME"/>
        </w:rPr>
        <w:t>Podgorica,</w:t>
      </w:r>
      <w:r w:rsidR="00EE3C11">
        <w:rPr>
          <w:rFonts w:ascii="Arial" w:hAnsi="Arial" w:cs="Arial"/>
          <w:lang w:val="sr-Latn-ME"/>
        </w:rPr>
        <w:t>maj</w:t>
      </w:r>
      <w:bookmarkStart w:id="0" w:name="_GoBack"/>
      <w:bookmarkEnd w:id="0"/>
      <w:r w:rsidRPr="001302F9">
        <w:rPr>
          <w:rFonts w:ascii="Arial" w:hAnsi="Arial" w:cs="Arial"/>
          <w:lang w:val="sr-Latn-ME"/>
        </w:rPr>
        <w:t xml:space="preserve"> </w:t>
      </w:r>
      <w:r w:rsidR="00F07BF2" w:rsidRPr="001302F9">
        <w:rPr>
          <w:rFonts w:ascii="Arial" w:hAnsi="Arial" w:cs="Arial"/>
          <w:lang w:val="sr-Latn-ME"/>
        </w:rPr>
        <w:t>20</w:t>
      </w:r>
      <w:r w:rsidR="00D35AA0" w:rsidRPr="001302F9">
        <w:rPr>
          <w:rFonts w:ascii="Arial" w:hAnsi="Arial" w:cs="Arial"/>
          <w:lang w:val="sr-Latn-ME"/>
        </w:rPr>
        <w:t>25</w:t>
      </w:r>
      <w:r w:rsidR="00EE65EF" w:rsidRPr="001302F9">
        <w:rPr>
          <w:rFonts w:ascii="Arial" w:hAnsi="Arial" w:cs="Arial"/>
          <w:b/>
          <w:bCs/>
          <w:lang w:val="sr-Latn-ME"/>
        </w:rPr>
        <w:br w:type="page"/>
      </w:r>
    </w:p>
    <w:sdt>
      <w:sdtPr>
        <w:rPr>
          <w:rFonts w:ascii="Arial" w:eastAsia="Calibri" w:hAnsi="Arial" w:cs="Arial"/>
          <w:b w:val="0"/>
          <w:bCs w:val="0"/>
          <w:sz w:val="22"/>
          <w:szCs w:val="22"/>
          <w:lang w:val="sr-Latn-ME" w:eastAsia="en-US"/>
        </w:rPr>
        <w:id w:val="1338196611"/>
        <w:docPartObj>
          <w:docPartGallery w:val="Table of Contents"/>
          <w:docPartUnique/>
        </w:docPartObj>
      </w:sdtPr>
      <w:sdtEndPr>
        <w:rPr>
          <w:rFonts w:eastAsia="Times New Roman"/>
          <w:noProof/>
        </w:rPr>
      </w:sdtEndPr>
      <w:sdtContent>
        <w:p w:rsidR="00C735CF" w:rsidRPr="001302F9" w:rsidRDefault="000023CC" w:rsidP="00D23BC2">
          <w:pPr>
            <w:pStyle w:val="TOCHeading"/>
            <w:spacing w:before="120" w:after="120" w:line="240" w:lineRule="auto"/>
            <w:jc w:val="both"/>
            <w:rPr>
              <w:rFonts w:ascii="Arial" w:hAnsi="Arial" w:cs="Arial"/>
              <w:sz w:val="22"/>
              <w:szCs w:val="22"/>
              <w:lang w:val="sr-Latn-ME"/>
            </w:rPr>
          </w:pPr>
          <w:r>
            <w:rPr>
              <w:rFonts w:ascii="Arial" w:hAnsi="Arial" w:cs="Arial"/>
              <w:sz w:val="22"/>
              <w:szCs w:val="22"/>
              <w:lang w:val="sr-Latn-ME"/>
            </w:rPr>
            <w:t>Sadržaj:</w:t>
          </w:r>
        </w:p>
        <w:p w:rsidR="007F5B63" w:rsidRPr="001302F9" w:rsidRDefault="00C735CF" w:rsidP="00D23BC2">
          <w:pPr>
            <w:pStyle w:val="TOC3"/>
            <w:tabs>
              <w:tab w:val="right" w:leader="dot" w:pos="9016"/>
            </w:tabs>
            <w:spacing w:before="40" w:after="80" w:line="240" w:lineRule="auto"/>
            <w:jc w:val="both"/>
            <w:rPr>
              <w:rFonts w:ascii="Arial" w:eastAsiaTheme="minorEastAsia" w:hAnsi="Arial" w:cs="Arial"/>
              <w:noProof/>
              <w:kern w:val="2"/>
              <w:lang w:val="sr-Latn-ME"/>
              <w14:ligatures w14:val="standardContextual"/>
            </w:rPr>
          </w:pPr>
          <w:r w:rsidRPr="001302F9">
            <w:rPr>
              <w:rFonts w:ascii="Arial" w:hAnsi="Arial" w:cs="Arial"/>
              <w:lang w:val="sr-Latn-ME"/>
            </w:rPr>
            <w:fldChar w:fldCharType="begin"/>
          </w:r>
          <w:r w:rsidRPr="001302F9">
            <w:rPr>
              <w:rFonts w:ascii="Arial" w:hAnsi="Arial" w:cs="Arial"/>
              <w:lang w:val="sr-Latn-ME"/>
            </w:rPr>
            <w:instrText xml:space="preserve"> TOC \o "1-3" \h \z \u </w:instrText>
          </w:r>
          <w:r w:rsidRPr="001302F9">
            <w:rPr>
              <w:rFonts w:ascii="Arial" w:hAnsi="Arial" w:cs="Arial"/>
              <w:lang w:val="sr-Latn-ME"/>
            </w:rPr>
            <w:fldChar w:fldCharType="separate"/>
          </w:r>
          <w:hyperlink w:anchor="_Toc191824734" w:history="1">
            <w:r w:rsidR="00CB4234">
              <w:rPr>
                <w:rStyle w:val="Hyperlink"/>
                <w:rFonts w:ascii="Arial" w:hAnsi="Arial" w:cs="Arial"/>
                <w:noProof/>
                <w:lang w:val="sr-Latn-ME"/>
              </w:rPr>
              <w:t>Skraćenice</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_Toc191824734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3</w:t>
            </w:r>
            <w:r w:rsidR="007F5B63" w:rsidRPr="001302F9">
              <w:rPr>
                <w:rFonts w:ascii="Arial" w:hAnsi="Arial" w:cs="Arial"/>
                <w:noProof/>
                <w:webHidden/>
                <w:lang w:val="sr-Latn-ME"/>
              </w:rPr>
              <w:fldChar w:fldCharType="end"/>
            </w:r>
          </w:hyperlink>
        </w:p>
        <w:p w:rsidR="007F5B63" w:rsidRPr="001302F9" w:rsidRDefault="004067B6" w:rsidP="00D23BC2">
          <w:pPr>
            <w:pStyle w:val="TOC1"/>
            <w:tabs>
              <w:tab w:val="left" w:pos="44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35" w:history="1">
            <w:r w:rsidR="007F5B63" w:rsidRPr="001302F9">
              <w:rPr>
                <w:rStyle w:val="Hyperlink"/>
                <w:rFonts w:ascii="Arial" w:hAnsi="Arial" w:cs="Arial"/>
                <w:noProof/>
                <w:lang w:val="sr-Latn-ME"/>
              </w:rPr>
              <w:t>1.</w:t>
            </w:r>
            <w:r w:rsidR="007F5B63" w:rsidRPr="001302F9">
              <w:rPr>
                <w:rFonts w:ascii="Arial" w:eastAsiaTheme="minorEastAsia" w:hAnsi="Arial" w:cs="Arial"/>
                <w:noProof/>
                <w:kern w:val="2"/>
                <w:lang w:val="sr-Latn-ME"/>
                <w14:ligatures w14:val="standardContextual"/>
              </w:rPr>
              <w:tab/>
            </w:r>
            <w:r w:rsidR="00CB4234">
              <w:rPr>
                <w:rStyle w:val="Hyperlink"/>
                <w:rFonts w:ascii="Arial" w:hAnsi="Arial" w:cs="Arial"/>
                <w:noProof/>
                <w:lang w:val="sr-Latn-ME"/>
              </w:rPr>
              <w:t>Uvod</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_Toc191824735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4</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36" w:history="1">
            <w:r w:rsidR="007F5B63" w:rsidRPr="001302F9">
              <w:rPr>
                <w:rStyle w:val="Hyperlink"/>
                <w:rFonts w:ascii="Arial" w:hAnsi="Arial" w:cs="Arial"/>
                <w:noProof/>
                <w:lang w:val="sr-Latn-ME"/>
              </w:rPr>
              <w:t>1.1.</w:t>
            </w:r>
            <w:r w:rsidR="007F5B63" w:rsidRPr="001302F9">
              <w:rPr>
                <w:rFonts w:ascii="Arial" w:eastAsiaTheme="minorEastAsia" w:hAnsi="Arial" w:cs="Arial"/>
                <w:noProof/>
                <w:kern w:val="2"/>
                <w:lang w:val="sr-Latn-ME"/>
                <w14:ligatures w14:val="standardContextual"/>
              </w:rPr>
              <w:tab/>
            </w:r>
            <w:r w:rsidR="00CB4234">
              <w:rPr>
                <w:rStyle w:val="Hyperlink"/>
                <w:rFonts w:ascii="Arial" w:hAnsi="Arial" w:cs="Arial"/>
                <w:noProof/>
                <w:lang w:val="sr-Latn-ME"/>
              </w:rPr>
              <w:t>Svrha donošenja strateškog dokumenta</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_Toc191824736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4</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37" w:history="1">
            <w:r w:rsidR="007F5B63" w:rsidRPr="001302F9">
              <w:rPr>
                <w:rStyle w:val="Hyperlink"/>
                <w:rFonts w:ascii="Arial" w:hAnsi="Arial" w:cs="Arial"/>
                <w:noProof/>
                <w:lang w:val="sr-Latn-ME"/>
              </w:rPr>
              <w:t>1.2.</w:t>
            </w:r>
            <w:r w:rsidR="00CB4234" w:rsidRPr="00CB4234">
              <w:rPr>
                <w:rStyle w:val="Hyperlink"/>
                <w:rFonts w:ascii="Arial" w:hAnsi="Arial" w:cs="Arial"/>
                <w:noProof/>
                <w:lang w:val="sr-Latn-ME"/>
              </w:rPr>
              <w:tab/>
              <w:t>Usklađenost sa nacionalnim strateškim dokumentima</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_Toc191824737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5</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38" w:history="1">
            <w:r w:rsidR="007F5B63" w:rsidRPr="001302F9">
              <w:rPr>
                <w:rStyle w:val="Hyperlink"/>
                <w:rFonts w:ascii="Arial" w:hAnsi="Arial" w:cs="Arial"/>
                <w:noProof/>
                <w:lang w:val="sr-Latn-ME"/>
              </w:rPr>
              <w:t>1.3.</w:t>
            </w:r>
            <w:r w:rsidR="007F5B63" w:rsidRPr="001302F9">
              <w:rPr>
                <w:rFonts w:ascii="Arial" w:eastAsiaTheme="minorEastAsia" w:hAnsi="Arial" w:cs="Arial"/>
                <w:noProof/>
                <w:kern w:val="2"/>
                <w:lang w:val="sr-Latn-ME"/>
                <w14:ligatures w14:val="standardContextual"/>
              </w:rPr>
              <w:tab/>
            </w:r>
            <w:r w:rsidR="00CB4234" w:rsidRPr="00CB4234">
              <w:rPr>
                <w:rStyle w:val="Hyperlink"/>
                <w:rFonts w:ascii="Arial" w:hAnsi="Arial" w:cs="Arial"/>
                <w:noProof/>
                <w:lang w:val="sr-Latn-ME"/>
              </w:rPr>
              <w:t>Usklađenost sa obavezama iz pregovaračkog procesa između Crne Gore i Evropske unije</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_Toc191824738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7</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39" w:history="1">
            <w:r w:rsidR="007F5B63" w:rsidRPr="001302F9">
              <w:rPr>
                <w:rStyle w:val="Hyperlink"/>
                <w:rFonts w:ascii="Arial" w:hAnsi="Arial" w:cs="Arial"/>
                <w:noProof/>
                <w:lang w:val="sr-Latn-ME"/>
              </w:rPr>
              <w:t>1.4.</w:t>
            </w:r>
            <w:r w:rsidR="007F5B63" w:rsidRPr="001302F9">
              <w:rPr>
                <w:rFonts w:ascii="Arial" w:eastAsiaTheme="minorEastAsia" w:hAnsi="Arial" w:cs="Arial"/>
                <w:noProof/>
                <w:kern w:val="2"/>
                <w:lang w:val="sr-Latn-ME"/>
                <w14:ligatures w14:val="standardContextual"/>
              </w:rPr>
              <w:tab/>
            </w:r>
            <w:r w:rsidR="00CB4234">
              <w:rPr>
                <w:rStyle w:val="Hyperlink"/>
                <w:rFonts w:ascii="Arial" w:hAnsi="Arial" w:cs="Arial"/>
                <w:noProof/>
                <w:lang w:val="sr-Latn-ME"/>
              </w:rPr>
              <w:t>Nacionaln</w:t>
            </w:r>
            <w:r w:rsidR="00EF67BE">
              <w:rPr>
                <w:rStyle w:val="Hyperlink"/>
                <w:rFonts w:ascii="Arial" w:hAnsi="Arial" w:cs="Arial"/>
                <w:noProof/>
                <w:lang w:val="sr-Latn-ME"/>
              </w:rPr>
              <w:t>a legislativa</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_Toc191824739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8</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40" w:history="1">
            <w:r w:rsidR="007F5B63" w:rsidRPr="001302F9">
              <w:rPr>
                <w:rStyle w:val="Hyperlink"/>
                <w:rFonts w:ascii="Arial" w:hAnsi="Arial" w:cs="Arial"/>
                <w:noProof/>
                <w:lang w:val="sr-Latn-ME"/>
              </w:rPr>
              <w:t>1.5.</w:t>
            </w:r>
            <w:r w:rsidR="007F5B63" w:rsidRPr="001302F9">
              <w:rPr>
                <w:rFonts w:ascii="Arial" w:eastAsiaTheme="minorEastAsia" w:hAnsi="Arial" w:cs="Arial"/>
                <w:noProof/>
                <w:kern w:val="2"/>
                <w:lang w:val="sr-Latn-ME"/>
                <w14:ligatures w14:val="standardContextual"/>
              </w:rPr>
              <w:tab/>
            </w:r>
            <w:r w:rsidR="00CB4234">
              <w:rPr>
                <w:rStyle w:val="Hyperlink"/>
                <w:rFonts w:ascii="Arial" w:hAnsi="Arial" w:cs="Arial"/>
                <w:noProof/>
                <w:lang w:val="sr-Latn-ME"/>
              </w:rPr>
              <w:t xml:space="preserve">EU </w:t>
            </w:r>
            <w:r w:rsidR="00EF67BE">
              <w:rPr>
                <w:rStyle w:val="Hyperlink"/>
                <w:rFonts w:ascii="Arial" w:hAnsi="Arial" w:cs="Arial"/>
                <w:noProof/>
                <w:lang w:val="sr-Latn-ME"/>
              </w:rPr>
              <w:t>legislativa</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_Toc191824740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9</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41" w:history="1">
            <w:r w:rsidR="007F5B63" w:rsidRPr="001302F9">
              <w:rPr>
                <w:rStyle w:val="Hyperlink"/>
                <w:rFonts w:ascii="Arial" w:hAnsi="Arial" w:cs="Arial"/>
                <w:noProof/>
                <w:lang w:val="sr-Latn-ME"/>
              </w:rPr>
              <w:t>1.6.</w:t>
            </w:r>
            <w:r w:rsidR="007F5B63" w:rsidRPr="001302F9">
              <w:rPr>
                <w:rFonts w:ascii="Arial" w:eastAsiaTheme="minorEastAsia" w:hAnsi="Arial" w:cs="Arial"/>
                <w:noProof/>
                <w:kern w:val="2"/>
                <w:lang w:val="sr-Latn-ME"/>
                <w14:ligatures w14:val="standardContextual"/>
              </w:rPr>
              <w:tab/>
            </w:r>
            <w:r w:rsidR="007F5B63" w:rsidRPr="001302F9">
              <w:rPr>
                <w:rStyle w:val="Hyperlink"/>
                <w:rFonts w:ascii="Arial" w:hAnsi="Arial" w:cs="Arial"/>
                <w:noProof/>
                <w:lang w:val="sr-Latn-ME"/>
              </w:rPr>
              <w:t>I</w:t>
            </w:r>
            <w:bookmarkStart w:id="1" w:name="_Hlk194407338"/>
            <w:r w:rsidR="007F5B63" w:rsidRPr="001302F9">
              <w:rPr>
                <w:rStyle w:val="Hyperlink"/>
                <w:rFonts w:ascii="Arial" w:hAnsi="Arial" w:cs="Arial"/>
                <w:noProof/>
                <w:lang w:val="sr-Latn-ME"/>
              </w:rPr>
              <w:t>nstit</w:t>
            </w:r>
            <w:r w:rsidR="00EF67BE">
              <w:rPr>
                <w:rStyle w:val="Hyperlink"/>
                <w:rFonts w:ascii="Arial" w:hAnsi="Arial" w:cs="Arial"/>
                <w:noProof/>
                <w:lang w:val="sr-Latn-ME"/>
              </w:rPr>
              <w:t>ucionalni i zakonodavni okvir</w:t>
            </w:r>
            <w:bookmarkEnd w:id="1"/>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_Toc191824741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10</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42" w:history="1">
            <w:r w:rsidR="007F5B63" w:rsidRPr="001302F9">
              <w:rPr>
                <w:rStyle w:val="Hyperlink"/>
                <w:rFonts w:ascii="Arial" w:hAnsi="Arial" w:cs="Arial"/>
                <w:noProof/>
                <w:lang w:val="sr-Latn-ME"/>
              </w:rPr>
              <w:t>1.7.</w:t>
            </w:r>
            <w:r w:rsidR="007F5B63" w:rsidRPr="001302F9">
              <w:rPr>
                <w:rFonts w:ascii="Arial" w:eastAsiaTheme="minorEastAsia" w:hAnsi="Arial" w:cs="Arial"/>
                <w:noProof/>
                <w:kern w:val="2"/>
                <w:lang w:val="sr-Latn-ME"/>
                <w14:ligatures w14:val="standardContextual"/>
              </w:rPr>
              <w:tab/>
            </w:r>
            <w:r w:rsidR="00CB4234">
              <w:rPr>
                <w:rStyle w:val="Hyperlink"/>
                <w:rFonts w:ascii="Arial" w:hAnsi="Arial" w:cs="Arial"/>
                <w:noProof/>
                <w:lang w:val="sr-Latn-ME"/>
              </w:rPr>
              <w:t>Metodologija</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_Toc191824742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12</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43" w:history="1">
            <w:r w:rsidR="007F5B63" w:rsidRPr="001302F9">
              <w:rPr>
                <w:rStyle w:val="Hyperlink"/>
                <w:rFonts w:ascii="Arial" w:hAnsi="Arial" w:cs="Arial"/>
                <w:noProof/>
                <w:lang w:val="sr-Latn-ME"/>
              </w:rPr>
              <w:t>1.8.</w:t>
            </w:r>
            <w:r w:rsidR="007F5B63" w:rsidRPr="001302F9">
              <w:rPr>
                <w:rFonts w:ascii="Arial" w:eastAsiaTheme="minorEastAsia" w:hAnsi="Arial" w:cs="Arial"/>
                <w:noProof/>
                <w:kern w:val="2"/>
                <w:lang w:val="sr-Latn-ME"/>
                <w14:ligatures w14:val="standardContextual"/>
              </w:rPr>
              <w:tab/>
            </w:r>
            <w:r w:rsidR="007F5B63" w:rsidRPr="001302F9">
              <w:rPr>
                <w:rStyle w:val="Hyperlink"/>
                <w:rFonts w:ascii="Arial" w:hAnsi="Arial" w:cs="Arial"/>
                <w:noProof/>
                <w:lang w:val="sr-Latn-ME"/>
              </w:rPr>
              <w:t>Gender mainstreaming</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_Toc191824743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12</w:t>
            </w:r>
            <w:r w:rsidR="007F5B63" w:rsidRPr="001302F9">
              <w:rPr>
                <w:rFonts w:ascii="Arial" w:hAnsi="Arial" w:cs="Arial"/>
                <w:noProof/>
                <w:webHidden/>
                <w:lang w:val="sr-Latn-ME"/>
              </w:rPr>
              <w:fldChar w:fldCharType="end"/>
            </w:r>
          </w:hyperlink>
        </w:p>
        <w:p w:rsidR="007F5B63" w:rsidRPr="001302F9" w:rsidRDefault="004067B6" w:rsidP="00D23BC2">
          <w:pPr>
            <w:pStyle w:val="TOC1"/>
            <w:tabs>
              <w:tab w:val="left" w:pos="44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44" w:history="1">
            <w:r w:rsidR="007F5B63" w:rsidRPr="001302F9">
              <w:rPr>
                <w:rStyle w:val="Hyperlink"/>
                <w:rFonts w:ascii="Arial" w:hAnsi="Arial" w:cs="Arial"/>
                <w:noProof/>
                <w:lang w:val="sr-Latn-ME"/>
              </w:rPr>
              <w:t>2.</w:t>
            </w:r>
            <w:r w:rsidR="007F5B63" w:rsidRPr="001302F9">
              <w:rPr>
                <w:rFonts w:ascii="Arial" w:eastAsiaTheme="minorEastAsia" w:hAnsi="Arial" w:cs="Arial"/>
                <w:noProof/>
                <w:kern w:val="2"/>
                <w:lang w:val="sr-Latn-ME"/>
                <w14:ligatures w14:val="standardContextual"/>
              </w:rPr>
              <w:tab/>
            </w:r>
            <w:r w:rsidR="00EF67BE">
              <w:rPr>
                <w:rStyle w:val="Hyperlink"/>
                <w:rFonts w:ascii="Arial" w:hAnsi="Arial" w:cs="Arial"/>
                <w:noProof/>
                <w:lang w:val="sr-Latn-ME"/>
              </w:rPr>
              <w:t>TRENUTNO STANJE</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_Toc191824744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12</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45" w:history="1">
            <w:r w:rsidR="007F5B63" w:rsidRPr="001302F9">
              <w:rPr>
                <w:rStyle w:val="Hyperlink"/>
                <w:rFonts w:ascii="Arial" w:hAnsi="Arial" w:cs="Arial"/>
                <w:noProof/>
                <w:lang w:val="sr-Latn-ME"/>
              </w:rPr>
              <w:t>2.1.</w:t>
            </w:r>
            <w:r w:rsidR="007F5B63" w:rsidRPr="001302F9">
              <w:rPr>
                <w:rFonts w:ascii="Arial" w:eastAsiaTheme="minorEastAsia" w:hAnsi="Arial" w:cs="Arial"/>
                <w:noProof/>
                <w:kern w:val="2"/>
                <w:lang w:val="sr-Latn-ME"/>
                <w14:ligatures w14:val="standardContextual"/>
              </w:rPr>
              <w:tab/>
            </w:r>
            <w:r w:rsidR="00E3481F" w:rsidRPr="00E3481F">
              <w:rPr>
                <w:rStyle w:val="Hyperlink"/>
                <w:rFonts w:ascii="Arial" w:hAnsi="Arial" w:cs="Arial"/>
                <w:noProof/>
                <w:lang w:val="sr-Latn-ME"/>
              </w:rPr>
              <w:tab/>
              <w:t>Dostignuća i izazovi implementacije Strategije za borbu protiv prevara i upravljanja nepravilnostima za zaštitu finansijskih interesa EU 2019 – 2022.</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_Toc191824745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13</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46" w:history="1">
            <w:r w:rsidR="007F5B63" w:rsidRPr="001302F9">
              <w:rPr>
                <w:rStyle w:val="Hyperlink"/>
                <w:rFonts w:ascii="Arial" w:hAnsi="Arial" w:cs="Arial"/>
                <w:noProof/>
                <w:lang w:val="sr-Latn-ME"/>
              </w:rPr>
              <w:t>2.1.1.</w:t>
            </w:r>
            <w:r w:rsidR="007F5B63" w:rsidRPr="001302F9">
              <w:rPr>
                <w:rFonts w:ascii="Arial" w:eastAsiaTheme="minorEastAsia" w:hAnsi="Arial" w:cs="Arial"/>
                <w:noProof/>
                <w:kern w:val="2"/>
                <w:lang w:val="sr-Latn-ME"/>
                <w14:ligatures w14:val="standardContextual"/>
              </w:rPr>
              <w:tab/>
            </w:r>
            <w:r w:rsidR="00EF67BE">
              <w:rPr>
                <w:rStyle w:val="Hyperlink"/>
                <w:rFonts w:ascii="Arial" w:hAnsi="Arial" w:cs="Arial"/>
                <w:noProof/>
                <w:lang w:val="sr-Latn-ME"/>
              </w:rPr>
              <w:t>Glavni zaključci</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_Toc191824746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13</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47" w:history="1">
            <w:r w:rsidR="007F5B63" w:rsidRPr="001302F9">
              <w:rPr>
                <w:rStyle w:val="Hyperlink"/>
                <w:rFonts w:ascii="Arial" w:hAnsi="Arial" w:cs="Arial"/>
                <w:noProof/>
                <w:lang w:val="sr-Latn-ME"/>
              </w:rPr>
              <w:t>2.1.2.</w:t>
            </w:r>
            <w:r w:rsidR="007F5B63" w:rsidRPr="001302F9">
              <w:rPr>
                <w:rFonts w:ascii="Arial" w:eastAsiaTheme="minorEastAsia" w:hAnsi="Arial" w:cs="Arial"/>
                <w:noProof/>
                <w:kern w:val="2"/>
                <w:lang w:val="sr-Latn-ME"/>
                <w14:ligatures w14:val="standardContextual"/>
              </w:rPr>
              <w:tab/>
            </w:r>
            <w:r w:rsidR="00EF67BE">
              <w:rPr>
                <w:rStyle w:val="Hyperlink"/>
                <w:rFonts w:ascii="Arial" w:hAnsi="Arial" w:cs="Arial"/>
                <w:noProof/>
                <w:lang w:val="sr-Latn-ME"/>
              </w:rPr>
              <w:t xml:space="preserve">Glavne preporuke za Strategiju </w:t>
            </w:r>
            <w:r w:rsidR="007F5B63" w:rsidRPr="001302F9">
              <w:rPr>
                <w:rStyle w:val="Hyperlink"/>
                <w:rFonts w:ascii="Arial" w:hAnsi="Arial" w:cs="Arial"/>
                <w:noProof/>
                <w:lang w:val="sr-Latn-ME"/>
              </w:rPr>
              <w:t>2025-2028</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_Toc191824747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15</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48" w:history="1">
            <w:r w:rsidR="007F5B63" w:rsidRPr="001302F9">
              <w:rPr>
                <w:rStyle w:val="Hyperlink"/>
                <w:rFonts w:ascii="Arial" w:hAnsi="Arial" w:cs="Arial"/>
                <w:noProof/>
                <w:lang w:val="sr-Latn-ME"/>
              </w:rPr>
              <w:t>2.2.</w:t>
            </w:r>
            <w:r w:rsidR="007F5B63" w:rsidRPr="001302F9">
              <w:rPr>
                <w:rFonts w:ascii="Arial" w:eastAsiaTheme="minorEastAsia" w:hAnsi="Arial" w:cs="Arial"/>
                <w:noProof/>
                <w:kern w:val="2"/>
                <w:lang w:val="sr-Latn-ME"/>
                <w14:ligatures w14:val="standardContextual"/>
              </w:rPr>
              <w:tab/>
            </w:r>
            <w:r w:rsidR="00EF67BE">
              <w:rPr>
                <w:rStyle w:val="Hyperlink"/>
                <w:rFonts w:ascii="Arial" w:hAnsi="Arial" w:cs="Arial"/>
                <w:noProof/>
                <w:lang w:val="sr-Latn-ME"/>
              </w:rPr>
              <w:t xml:space="preserve">Rezultati analize rizika od </w:t>
            </w:r>
            <w:r w:rsidR="00796246">
              <w:rPr>
                <w:rStyle w:val="Hyperlink"/>
                <w:rFonts w:ascii="Arial" w:hAnsi="Arial" w:cs="Arial"/>
                <w:noProof/>
                <w:lang w:val="sr-Latn-ME"/>
              </w:rPr>
              <w:t>prevara</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_Toc191824748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17</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49" w:history="1">
            <w:r w:rsidR="007F5B63" w:rsidRPr="001302F9">
              <w:rPr>
                <w:rStyle w:val="Hyperlink"/>
                <w:rFonts w:ascii="Arial" w:hAnsi="Arial" w:cs="Arial"/>
                <w:noProof/>
                <w:lang w:val="sr-Latn-ME"/>
              </w:rPr>
              <w:t>2.3.</w:t>
            </w:r>
            <w:r w:rsidR="007F5B63" w:rsidRPr="001302F9">
              <w:rPr>
                <w:rFonts w:ascii="Arial" w:eastAsiaTheme="minorEastAsia" w:hAnsi="Arial" w:cs="Arial"/>
                <w:noProof/>
                <w:kern w:val="2"/>
                <w:lang w:val="sr-Latn-ME"/>
                <w14:ligatures w14:val="standardContextual"/>
              </w:rPr>
              <w:tab/>
            </w:r>
            <w:r w:rsidR="00EF67BE">
              <w:rPr>
                <w:rStyle w:val="Hyperlink"/>
                <w:rFonts w:ascii="Arial" w:hAnsi="Arial" w:cs="Arial"/>
                <w:noProof/>
                <w:lang w:val="sr-Latn-ME"/>
              </w:rPr>
              <w:t>Rezultati PESTLE analize</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_Toc191824749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20</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50" w:history="1">
            <w:r w:rsidR="007F5B63" w:rsidRPr="001302F9">
              <w:rPr>
                <w:rStyle w:val="Hyperlink"/>
                <w:rFonts w:ascii="Arial" w:hAnsi="Arial" w:cs="Arial"/>
                <w:noProof/>
                <w:lang w:val="sr-Latn-ME"/>
              </w:rPr>
              <w:t>2.4.</w:t>
            </w:r>
            <w:r w:rsidR="007F5B63" w:rsidRPr="001302F9">
              <w:rPr>
                <w:rFonts w:ascii="Arial" w:eastAsiaTheme="minorEastAsia" w:hAnsi="Arial" w:cs="Arial"/>
                <w:noProof/>
                <w:kern w:val="2"/>
                <w:lang w:val="sr-Latn-ME"/>
                <w14:ligatures w14:val="standardContextual"/>
              </w:rPr>
              <w:tab/>
            </w:r>
            <w:r w:rsidR="00EF67BE">
              <w:rPr>
                <w:rStyle w:val="Hyperlink"/>
                <w:rFonts w:ascii="Arial" w:hAnsi="Arial" w:cs="Arial"/>
                <w:noProof/>
                <w:lang w:val="sr-Latn-ME"/>
              </w:rPr>
              <w:t>Rezultati SWOT analize</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_Toc191824750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22</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51" w:history="1">
            <w:r w:rsidR="007F5B63" w:rsidRPr="001302F9">
              <w:rPr>
                <w:rStyle w:val="Hyperlink"/>
                <w:rFonts w:ascii="Arial" w:hAnsi="Arial" w:cs="Arial"/>
                <w:noProof/>
                <w:lang w:val="sr-Latn-ME"/>
              </w:rPr>
              <w:t>2.5.</w:t>
            </w:r>
            <w:r w:rsidR="007F5B63" w:rsidRPr="001302F9">
              <w:rPr>
                <w:rFonts w:ascii="Arial" w:eastAsiaTheme="minorEastAsia" w:hAnsi="Arial" w:cs="Arial"/>
                <w:noProof/>
                <w:kern w:val="2"/>
                <w:lang w:val="sr-Latn-ME"/>
                <w14:ligatures w14:val="standardContextual"/>
              </w:rPr>
              <w:tab/>
            </w:r>
            <w:r w:rsidR="00EF67BE" w:rsidRPr="00EF67BE">
              <w:rPr>
                <w:rStyle w:val="Hyperlink"/>
                <w:rFonts w:ascii="Arial" w:hAnsi="Arial" w:cs="Arial"/>
                <w:noProof/>
                <w:lang w:val="sr-Latn-ME"/>
              </w:rPr>
              <w:t>Analiza zainteresovanih strana (stakeholdera)</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_Toc191824751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23</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52" w:history="1">
            <w:r w:rsidR="007F5B63" w:rsidRPr="001302F9">
              <w:rPr>
                <w:rStyle w:val="Hyperlink"/>
                <w:rFonts w:ascii="Arial" w:hAnsi="Arial" w:cs="Arial"/>
                <w:noProof/>
                <w:lang w:val="sr-Latn-ME"/>
              </w:rPr>
              <w:t>2.5.1.</w:t>
            </w:r>
            <w:r w:rsidR="007F5B63" w:rsidRPr="001302F9">
              <w:rPr>
                <w:rFonts w:ascii="Arial" w:eastAsiaTheme="minorEastAsia" w:hAnsi="Arial" w:cs="Arial"/>
                <w:noProof/>
                <w:kern w:val="2"/>
                <w:lang w:val="sr-Latn-ME"/>
                <w14:ligatures w14:val="standardContextual"/>
              </w:rPr>
              <w:tab/>
            </w:r>
            <w:r w:rsidR="007F5B63" w:rsidRPr="001302F9">
              <w:rPr>
                <w:rStyle w:val="Hyperlink"/>
                <w:rFonts w:ascii="Arial" w:hAnsi="Arial" w:cs="Arial"/>
                <w:noProof/>
                <w:lang w:val="sr-Latn-ME"/>
              </w:rPr>
              <w:t>I</w:t>
            </w:r>
            <w:r w:rsidR="00EF67BE">
              <w:rPr>
                <w:rStyle w:val="Hyperlink"/>
                <w:rFonts w:ascii="Arial" w:hAnsi="Arial" w:cs="Arial"/>
                <w:noProof/>
                <w:lang w:val="sr-Latn-ME"/>
              </w:rPr>
              <w:t>dentifikovanje zainteresovanih strana</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_Toc191824752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23</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53" w:history="1">
            <w:r w:rsidR="007F5B63" w:rsidRPr="001302F9">
              <w:rPr>
                <w:rStyle w:val="Hyperlink"/>
                <w:rFonts w:ascii="Arial" w:hAnsi="Arial" w:cs="Arial"/>
                <w:noProof/>
                <w:lang w:val="sr-Latn-ME"/>
              </w:rPr>
              <w:t>2.5.2.</w:t>
            </w:r>
            <w:r w:rsidR="007F5B63" w:rsidRPr="001302F9">
              <w:rPr>
                <w:rFonts w:ascii="Arial" w:eastAsiaTheme="minorEastAsia" w:hAnsi="Arial" w:cs="Arial"/>
                <w:noProof/>
                <w:kern w:val="2"/>
                <w:lang w:val="sr-Latn-ME"/>
                <w14:ligatures w14:val="standardContextual"/>
              </w:rPr>
              <w:tab/>
            </w:r>
            <w:r w:rsidR="00EF67BE">
              <w:rPr>
                <w:rStyle w:val="Hyperlink"/>
                <w:rFonts w:ascii="Arial" w:hAnsi="Arial" w:cs="Arial"/>
                <w:noProof/>
                <w:lang w:val="sr-Latn-ME"/>
              </w:rPr>
              <w:t>Mapa zainteresovanih strana</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_Toc191824753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24</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54" w:history="1">
            <w:r w:rsidR="007F5B63" w:rsidRPr="001302F9">
              <w:rPr>
                <w:rStyle w:val="Hyperlink"/>
                <w:rFonts w:ascii="Arial" w:hAnsi="Arial" w:cs="Arial"/>
                <w:noProof/>
                <w:lang w:val="sr-Latn-ME"/>
              </w:rPr>
              <w:t>2.6.</w:t>
            </w:r>
            <w:r w:rsidR="007F5B63" w:rsidRPr="001302F9">
              <w:rPr>
                <w:rFonts w:ascii="Arial" w:eastAsiaTheme="minorEastAsia" w:hAnsi="Arial" w:cs="Arial"/>
                <w:noProof/>
                <w:kern w:val="2"/>
                <w:lang w:val="sr-Latn-ME"/>
                <w14:ligatures w14:val="standardContextual"/>
              </w:rPr>
              <w:tab/>
            </w:r>
            <w:r w:rsidR="00EF67BE">
              <w:rPr>
                <w:rStyle w:val="Hyperlink"/>
                <w:rFonts w:ascii="Arial" w:hAnsi="Arial" w:cs="Arial"/>
                <w:noProof/>
                <w:lang w:val="sr-Latn-ME"/>
              </w:rPr>
              <w:t xml:space="preserve">Analiza trenutnog stanja u svim fazama ciklusa borbe protiv nepravilnosti i prevara </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_Toc191824754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29</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55" w:history="1">
            <w:r w:rsidR="007F5B63" w:rsidRPr="001302F9">
              <w:rPr>
                <w:rStyle w:val="Hyperlink"/>
                <w:rFonts w:ascii="Arial" w:hAnsi="Arial" w:cs="Arial"/>
                <w:noProof/>
                <w:lang w:val="sr-Latn-ME"/>
              </w:rPr>
              <w:t>2.6.1.</w:t>
            </w:r>
            <w:r w:rsidR="007F5B63" w:rsidRPr="001302F9">
              <w:rPr>
                <w:rFonts w:ascii="Arial" w:eastAsiaTheme="minorEastAsia" w:hAnsi="Arial" w:cs="Arial"/>
                <w:noProof/>
                <w:kern w:val="2"/>
                <w:lang w:val="sr-Latn-ME"/>
                <w14:ligatures w14:val="standardContextual"/>
              </w:rPr>
              <w:tab/>
            </w:r>
            <w:r w:rsidR="00EF67BE">
              <w:rPr>
                <w:rStyle w:val="Hyperlink"/>
                <w:rFonts w:ascii="Arial" w:hAnsi="Arial" w:cs="Arial"/>
                <w:noProof/>
                <w:lang w:val="sr-Latn-ME"/>
              </w:rPr>
              <w:t>Spriječavanje nepravilnosti i prevara</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_Toc191824755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30</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56" w:history="1">
            <w:r w:rsidR="007F5B63" w:rsidRPr="001302F9">
              <w:rPr>
                <w:rStyle w:val="Hyperlink"/>
                <w:rFonts w:ascii="Arial" w:hAnsi="Arial" w:cs="Arial"/>
                <w:noProof/>
                <w:lang w:val="sr-Latn-ME"/>
              </w:rPr>
              <w:t>2.6.2.</w:t>
            </w:r>
            <w:r w:rsidR="007F5B63" w:rsidRPr="001302F9">
              <w:rPr>
                <w:rFonts w:ascii="Arial" w:eastAsiaTheme="minorEastAsia" w:hAnsi="Arial" w:cs="Arial"/>
                <w:noProof/>
                <w:kern w:val="2"/>
                <w:lang w:val="sr-Latn-ME"/>
                <w14:ligatures w14:val="standardContextual"/>
              </w:rPr>
              <w:tab/>
            </w:r>
            <w:r w:rsidR="00EF67BE">
              <w:rPr>
                <w:rStyle w:val="Hyperlink"/>
                <w:rFonts w:ascii="Arial" w:hAnsi="Arial" w:cs="Arial"/>
                <w:noProof/>
                <w:lang w:val="sr-Latn-ME"/>
              </w:rPr>
              <w:t>Otkrivanje i prijavljivanje nepravilnosti i prevara</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_Toc191824756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32</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57" w:history="1">
            <w:r w:rsidR="007F5B63" w:rsidRPr="001302F9">
              <w:rPr>
                <w:rStyle w:val="Hyperlink"/>
                <w:rFonts w:ascii="Arial" w:hAnsi="Arial" w:cs="Arial"/>
                <w:noProof/>
                <w:lang w:val="sr-Latn-ME"/>
              </w:rPr>
              <w:t>2.6.3.</w:t>
            </w:r>
            <w:r w:rsidR="007F5B63" w:rsidRPr="001302F9">
              <w:rPr>
                <w:rFonts w:ascii="Arial" w:eastAsiaTheme="minorEastAsia" w:hAnsi="Arial" w:cs="Arial"/>
                <w:noProof/>
                <w:kern w:val="2"/>
                <w:lang w:val="sr-Latn-ME"/>
                <w14:ligatures w14:val="standardContextual"/>
              </w:rPr>
              <w:tab/>
            </w:r>
            <w:r w:rsidR="00EF67BE">
              <w:rPr>
                <w:rStyle w:val="Hyperlink"/>
                <w:rFonts w:ascii="Arial" w:hAnsi="Arial" w:cs="Arial"/>
                <w:noProof/>
                <w:lang w:val="sr-Latn-ME"/>
              </w:rPr>
              <w:t>Istraga prevara i krivično gonjenje</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_Toc191824757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35</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58" w:history="1">
            <w:r w:rsidR="007F5B63" w:rsidRPr="001302F9">
              <w:rPr>
                <w:rStyle w:val="Hyperlink"/>
                <w:rFonts w:ascii="Arial" w:hAnsi="Arial" w:cs="Arial"/>
                <w:noProof/>
                <w:lang w:val="sr-Latn-ME"/>
              </w:rPr>
              <w:t>2.6.4.</w:t>
            </w:r>
            <w:r w:rsidR="007F5B63" w:rsidRPr="001302F9">
              <w:rPr>
                <w:rFonts w:ascii="Arial" w:eastAsiaTheme="minorEastAsia" w:hAnsi="Arial" w:cs="Arial"/>
                <w:noProof/>
                <w:kern w:val="2"/>
                <w:lang w:val="sr-Latn-ME"/>
                <w14:ligatures w14:val="standardContextual"/>
              </w:rPr>
              <w:tab/>
            </w:r>
            <w:r w:rsidR="005656D0">
              <w:rPr>
                <w:rStyle w:val="Hyperlink"/>
                <w:rFonts w:ascii="Arial" w:hAnsi="Arial" w:cs="Arial"/>
                <w:noProof/>
                <w:lang w:val="sr-Latn-ME"/>
              </w:rPr>
              <w:t>Povraćaj sredstava i sankcije</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_Toc191824758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37</w:t>
            </w:r>
            <w:r w:rsidR="007F5B63" w:rsidRPr="001302F9">
              <w:rPr>
                <w:rFonts w:ascii="Arial" w:hAnsi="Arial" w:cs="Arial"/>
                <w:noProof/>
                <w:webHidden/>
                <w:lang w:val="sr-Latn-ME"/>
              </w:rPr>
              <w:fldChar w:fldCharType="end"/>
            </w:r>
          </w:hyperlink>
        </w:p>
        <w:p w:rsidR="007F5B63" w:rsidRPr="001302F9" w:rsidRDefault="004067B6" w:rsidP="00D23BC2">
          <w:pPr>
            <w:pStyle w:val="TOC1"/>
            <w:tabs>
              <w:tab w:val="left" w:pos="44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59" w:history="1">
            <w:r w:rsidR="007F5B63" w:rsidRPr="001302F9">
              <w:rPr>
                <w:rStyle w:val="Hyperlink"/>
                <w:rFonts w:ascii="Arial" w:hAnsi="Arial" w:cs="Arial"/>
                <w:noProof/>
                <w:lang w:val="sr-Latn-ME"/>
              </w:rPr>
              <w:t>3.</w:t>
            </w:r>
            <w:r w:rsidR="007F5B63" w:rsidRPr="001302F9">
              <w:rPr>
                <w:rFonts w:ascii="Arial" w:eastAsiaTheme="minorEastAsia" w:hAnsi="Arial" w:cs="Arial"/>
                <w:noProof/>
                <w:kern w:val="2"/>
                <w:lang w:val="sr-Latn-ME"/>
                <w14:ligatures w14:val="standardContextual"/>
              </w:rPr>
              <w:tab/>
            </w:r>
            <w:r w:rsidR="005656D0" w:rsidRPr="005656D0">
              <w:rPr>
                <w:rStyle w:val="Hyperlink"/>
                <w:rFonts w:ascii="Arial" w:hAnsi="Arial" w:cs="Arial"/>
                <w:noProof/>
                <w:lang w:val="sr-Latn-ME"/>
              </w:rPr>
              <w:t>VIZIJA, STRATEŠKI I OPERATIVNI CILJEVI</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_Toc191824759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38</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60" w:history="1">
            <w:r w:rsidR="007F5B63" w:rsidRPr="005656D0">
              <w:rPr>
                <w:rStyle w:val="Hyperlink"/>
                <w:rFonts w:ascii="Arial" w:hAnsi="Arial" w:cs="Arial"/>
                <w:noProof/>
                <w:lang w:val="sr-Latn-ME"/>
              </w:rPr>
              <w:t>3.1.</w:t>
            </w:r>
            <w:r w:rsidR="007F5B63" w:rsidRPr="005656D0">
              <w:rPr>
                <w:rStyle w:val="Hyperlink"/>
                <w:rFonts w:ascii="Arial" w:eastAsiaTheme="minorEastAsia" w:hAnsi="Arial" w:cs="Arial"/>
                <w:noProof/>
                <w:kern w:val="2"/>
                <w:lang w:val="sr-Latn-ME"/>
                <w14:ligatures w14:val="standardContextual"/>
              </w:rPr>
              <w:tab/>
            </w:r>
            <w:r w:rsidR="005656D0">
              <w:rPr>
                <w:rStyle w:val="Hyperlink"/>
                <w:rFonts w:ascii="Arial" w:hAnsi="Arial" w:cs="Arial"/>
                <w:noProof/>
                <w:lang w:val="sr-Latn-ME"/>
              </w:rPr>
              <w:t xml:space="preserve">OBLAST 1: </w:t>
            </w:r>
            <w:r w:rsidR="007F5B63" w:rsidRPr="005656D0">
              <w:rPr>
                <w:rStyle w:val="Hyperlink"/>
                <w:rFonts w:ascii="Arial" w:hAnsi="Arial" w:cs="Arial"/>
                <w:noProof/>
                <w:lang w:val="sr-Latn-ME"/>
              </w:rPr>
              <w:t xml:space="preserve"> </w:t>
            </w:r>
            <w:r w:rsidR="005656D0">
              <w:rPr>
                <w:rStyle w:val="Hyperlink"/>
                <w:rFonts w:ascii="Arial" w:hAnsi="Arial" w:cs="Arial"/>
                <w:noProof/>
                <w:lang w:val="sr-Latn-ME"/>
              </w:rPr>
              <w:t>I</w:t>
            </w:r>
            <w:r w:rsidR="005656D0" w:rsidRPr="005656D0">
              <w:rPr>
                <w:rStyle w:val="Hyperlink"/>
                <w:rFonts w:ascii="Arial" w:hAnsi="Arial" w:cs="Arial"/>
                <w:noProof/>
                <w:lang w:val="sr-Latn-ME"/>
              </w:rPr>
              <w:t>nstitucionalni i zakonodavni okvir</w:t>
            </w:r>
            <w:r w:rsidR="007F5B63" w:rsidRPr="005656D0">
              <w:rPr>
                <w:rStyle w:val="Hyperlink"/>
                <w:rFonts w:ascii="Arial" w:hAnsi="Arial" w:cs="Arial"/>
                <w:noProof/>
                <w:webHidden/>
                <w:lang w:val="sr-Latn-ME"/>
              </w:rPr>
              <w:tab/>
            </w:r>
            <w:r w:rsidR="007F5B63" w:rsidRPr="005656D0">
              <w:rPr>
                <w:rStyle w:val="Hyperlink"/>
                <w:rFonts w:ascii="Arial" w:hAnsi="Arial" w:cs="Arial"/>
                <w:noProof/>
                <w:webHidden/>
                <w:lang w:val="sr-Latn-ME"/>
              </w:rPr>
              <w:fldChar w:fldCharType="begin"/>
            </w:r>
            <w:r w:rsidR="007F5B63" w:rsidRPr="005656D0">
              <w:rPr>
                <w:rStyle w:val="Hyperlink"/>
                <w:rFonts w:ascii="Arial" w:hAnsi="Arial" w:cs="Arial"/>
                <w:noProof/>
                <w:webHidden/>
                <w:lang w:val="sr-Latn-ME"/>
              </w:rPr>
              <w:instrText xml:space="preserve"> PAGEREF _Toc191824760 \h </w:instrText>
            </w:r>
            <w:r w:rsidR="007F5B63" w:rsidRPr="005656D0">
              <w:rPr>
                <w:rStyle w:val="Hyperlink"/>
                <w:rFonts w:ascii="Arial" w:hAnsi="Arial" w:cs="Arial"/>
                <w:noProof/>
                <w:webHidden/>
                <w:lang w:val="sr-Latn-ME"/>
              </w:rPr>
            </w:r>
            <w:r w:rsidR="007F5B63" w:rsidRPr="005656D0">
              <w:rPr>
                <w:rStyle w:val="Hyperlink"/>
                <w:rFonts w:ascii="Arial" w:hAnsi="Arial" w:cs="Arial"/>
                <w:noProof/>
                <w:webHidden/>
                <w:lang w:val="sr-Latn-ME"/>
              </w:rPr>
              <w:fldChar w:fldCharType="separate"/>
            </w:r>
            <w:r w:rsidR="00CB28FA" w:rsidRPr="005656D0">
              <w:rPr>
                <w:rStyle w:val="Hyperlink"/>
                <w:rFonts w:ascii="Arial" w:hAnsi="Arial" w:cs="Arial"/>
                <w:noProof/>
                <w:webHidden/>
                <w:lang w:val="sr-Latn-ME"/>
              </w:rPr>
              <w:t>39</w:t>
            </w:r>
            <w:r w:rsidR="007F5B63" w:rsidRPr="005656D0">
              <w:rPr>
                <w:rStyle w:val="Hyperlink"/>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61" w:history="1">
            <w:r w:rsidR="007F5B63" w:rsidRPr="001302F9">
              <w:rPr>
                <w:rStyle w:val="Hyperlink"/>
                <w:rFonts w:ascii="Arial" w:hAnsi="Arial" w:cs="Arial"/>
                <w:noProof/>
                <w:lang w:val="sr-Latn-ME"/>
              </w:rPr>
              <w:t>3.2.</w:t>
            </w:r>
            <w:r w:rsidR="007F5B63" w:rsidRPr="001302F9">
              <w:rPr>
                <w:rFonts w:ascii="Arial" w:eastAsiaTheme="minorEastAsia" w:hAnsi="Arial" w:cs="Arial"/>
                <w:noProof/>
                <w:kern w:val="2"/>
                <w:lang w:val="sr-Latn-ME"/>
                <w14:ligatures w14:val="standardContextual"/>
              </w:rPr>
              <w:tab/>
            </w:r>
            <w:r w:rsidR="005656D0">
              <w:rPr>
                <w:rStyle w:val="Hyperlink"/>
                <w:rFonts w:ascii="Arial" w:hAnsi="Arial" w:cs="Arial"/>
                <w:noProof/>
                <w:lang w:val="sr-Latn-ME"/>
              </w:rPr>
              <w:t>OBLAST 2: Koordinacija i saradnja</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_Toc191824761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40</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62" w:history="1">
            <w:r w:rsidR="007F5B63" w:rsidRPr="001302F9">
              <w:rPr>
                <w:rStyle w:val="Hyperlink"/>
                <w:rFonts w:ascii="Arial" w:hAnsi="Arial" w:cs="Arial"/>
                <w:noProof/>
                <w:lang w:val="sr-Latn-ME"/>
              </w:rPr>
              <w:t>3.3.</w:t>
            </w:r>
            <w:r w:rsidR="007F5B63" w:rsidRPr="001302F9">
              <w:rPr>
                <w:rFonts w:ascii="Arial" w:eastAsiaTheme="minorEastAsia" w:hAnsi="Arial" w:cs="Arial"/>
                <w:noProof/>
                <w:kern w:val="2"/>
                <w:lang w:val="sr-Latn-ME"/>
                <w14:ligatures w14:val="standardContextual"/>
              </w:rPr>
              <w:tab/>
            </w:r>
            <w:r w:rsidR="005656D0">
              <w:rPr>
                <w:rStyle w:val="Hyperlink"/>
                <w:rFonts w:ascii="Arial" w:hAnsi="Arial" w:cs="Arial"/>
                <w:noProof/>
                <w:lang w:val="sr-Latn-ME"/>
              </w:rPr>
              <w:t>OBLAST 3: Prevencija nepravilnosti i prevara</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_Toc191824762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40</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63" w:history="1">
            <w:r w:rsidR="007F5B63" w:rsidRPr="001302F9">
              <w:rPr>
                <w:rStyle w:val="Hyperlink"/>
                <w:rFonts w:ascii="Arial" w:hAnsi="Arial" w:cs="Arial"/>
                <w:noProof/>
                <w:lang w:val="sr-Latn-ME"/>
              </w:rPr>
              <w:t>3.4.</w:t>
            </w:r>
            <w:r w:rsidR="007F5B63" w:rsidRPr="001302F9">
              <w:rPr>
                <w:rFonts w:ascii="Arial" w:eastAsiaTheme="minorEastAsia" w:hAnsi="Arial" w:cs="Arial"/>
                <w:noProof/>
                <w:kern w:val="2"/>
                <w:lang w:val="sr-Latn-ME"/>
                <w14:ligatures w14:val="standardContextual"/>
              </w:rPr>
              <w:tab/>
            </w:r>
            <w:r w:rsidR="005656D0" w:rsidRPr="005656D0">
              <w:rPr>
                <w:rStyle w:val="Hyperlink"/>
                <w:rFonts w:ascii="Arial" w:hAnsi="Arial" w:cs="Arial"/>
                <w:noProof/>
                <w:lang w:val="sr-Latn-ME"/>
              </w:rPr>
              <w:t>OBLAST 4: Otkrivanje, postupanje i izveštavanje o nepravilnostima i sumnjama na prevaru</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_Toc191824763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40</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64" w:history="1">
            <w:r w:rsidR="007F5B63" w:rsidRPr="001302F9">
              <w:rPr>
                <w:rStyle w:val="Hyperlink"/>
                <w:rFonts w:ascii="Arial" w:hAnsi="Arial" w:cs="Arial"/>
                <w:noProof/>
                <w:lang w:val="sr-Latn-ME"/>
              </w:rPr>
              <w:t>3.5.</w:t>
            </w:r>
            <w:r w:rsidR="007F5B63" w:rsidRPr="001302F9">
              <w:rPr>
                <w:rFonts w:ascii="Arial" w:eastAsiaTheme="minorEastAsia" w:hAnsi="Arial" w:cs="Arial"/>
                <w:noProof/>
                <w:kern w:val="2"/>
                <w:lang w:val="sr-Latn-ME"/>
                <w14:ligatures w14:val="standardContextual"/>
              </w:rPr>
              <w:tab/>
            </w:r>
            <w:r w:rsidR="005656D0">
              <w:rPr>
                <w:rStyle w:val="Hyperlink"/>
                <w:rFonts w:ascii="Arial" w:hAnsi="Arial" w:cs="Arial"/>
                <w:noProof/>
                <w:lang w:val="sr-Latn-ME"/>
              </w:rPr>
              <w:t>OBLAST 5: Istraga prevara i krivično postupanje</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_Toc191824764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40</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left" w:pos="120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65" w:history="1">
            <w:r w:rsidR="007F5B63" w:rsidRPr="001302F9">
              <w:rPr>
                <w:rStyle w:val="Hyperlink"/>
                <w:rFonts w:ascii="Arial" w:hAnsi="Arial" w:cs="Arial"/>
                <w:noProof/>
                <w:lang w:val="sr-Latn-ME"/>
              </w:rPr>
              <w:t>3.6.</w:t>
            </w:r>
            <w:r w:rsidR="007F5B63" w:rsidRPr="001302F9">
              <w:rPr>
                <w:rFonts w:ascii="Arial" w:eastAsiaTheme="minorEastAsia" w:hAnsi="Arial" w:cs="Arial"/>
                <w:noProof/>
                <w:kern w:val="2"/>
                <w:lang w:val="sr-Latn-ME"/>
                <w14:ligatures w14:val="standardContextual"/>
              </w:rPr>
              <w:tab/>
            </w:r>
            <w:r w:rsidR="005656D0">
              <w:rPr>
                <w:rStyle w:val="Hyperlink"/>
                <w:rFonts w:ascii="Arial" w:hAnsi="Arial" w:cs="Arial"/>
                <w:noProof/>
                <w:lang w:val="sr-Latn-ME"/>
              </w:rPr>
              <w:t xml:space="preserve">OBLAST 6: Povraćaj sredstava i sankcije </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_Toc191824765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40</w:t>
            </w:r>
            <w:r w:rsidR="007F5B63" w:rsidRPr="001302F9">
              <w:rPr>
                <w:rFonts w:ascii="Arial" w:hAnsi="Arial" w:cs="Arial"/>
                <w:noProof/>
                <w:webHidden/>
                <w:lang w:val="sr-Latn-ME"/>
              </w:rPr>
              <w:fldChar w:fldCharType="end"/>
            </w:r>
          </w:hyperlink>
        </w:p>
        <w:p w:rsidR="007F5B63" w:rsidRPr="001302F9" w:rsidRDefault="004067B6" w:rsidP="00D23BC2">
          <w:pPr>
            <w:pStyle w:val="TOC1"/>
            <w:tabs>
              <w:tab w:val="left" w:pos="44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66" w:history="1">
            <w:r w:rsidR="007F5B63" w:rsidRPr="001302F9">
              <w:rPr>
                <w:rStyle w:val="Hyperlink"/>
                <w:rFonts w:ascii="Arial" w:hAnsi="Arial" w:cs="Arial"/>
                <w:noProof/>
                <w:lang w:val="sr-Latn-ME"/>
              </w:rPr>
              <w:t>4.</w:t>
            </w:r>
            <w:r w:rsidR="007F5B63" w:rsidRPr="001302F9">
              <w:rPr>
                <w:rFonts w:ascii="Arial" w:eastAsiaTheme="minorEastAsia" w:hAnsi="Arial" w:cs="Arial"/>
                <w:noProof/>
                <w:kern w:val="2"/>
                <w:lang w:val="sr-Latn-ME"/>
                <w14:ligatures w14:val="standardContextual"/>
              </w:rPr>
              <w:tab/>
            </w:r>
            <w:r w:rsidR="005656D0">
              <w:rPr>
                <w:rStyle w:val="Hyperlink"/>
                <w:rFonts w:ascii="Arial" w:hAnsi="Arial" w:cs="Arial"/>
                <w:noProof/>
                <w:lang w:val="sr-Latn-ME"/>
              </w:rPr>
              <w:t>AKCIONI PLAN ZA IMPLEMENTACIJU STRATEGIJE</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_Toc191824766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40</w:t>
            </w:r>
            <w:r w:rsidR="007F5B63" w:rsidRPr="001302F9">
              <w:rPr>
                <w:rFonts w:ascii="Arial" w:hAnsi="Arial" w:cs="Arial"/>
                <w:noProof/>
                <w:webHidden/>
                <w:lang w:val="sr-Latn-ME"/>
              </w:rPr>
              <w:fldChar w:fldCharType="end"/>
            </w:r>
          </w:hyperlink>
        </w:p>
        <w:p w:rsidR="007F5B63" w:rsidRPr="001302F9" w:rsidRDefault="004067B6" w:rsidP="00D23BC2">
          <w:pPr>
            <w:pStyle w:val="TOC1"/>
            <w:tabs>
              <w:tab w:val="left" w:pos="440"/>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67" w:history="1">
            <w:r w:rsidR="007F5B63" w:rsidRPr="001302F9">
              <w:rPr>
                <w:rStyle w:val="Hyperlink"/>
                <w:rFonts w:ascii="Arial" w:hAnsi="Arial" w:cs="Arial"/>
                <w:noProof/>
                <w:lang w:val="sr-Latn-ME"/>
              </w:rPr>
              <w:t>5.</w:t>
            </w:r>
            <w:r w:rsidR="007F5B63" w:rsidRPr="001302F9">
              <w:rPr>
                <w:rFonts w:ascii="Arial" w:eastAsiaTheme="minorEastAsia" w:hAnsi="Arial" w:cs="Arial"/>
                <w:noProof/>
                <w:kern w:val="2"/>
                <w:lang w:val="sr-Latn-ME"/>
                <w14:ligatures w14:val="standardContextual"/>
              </w:rPr>
              <w:tab/>
            </w:r>
            <w:r w:rsidR="005656D0" w:rsidRPr="005656D0">
              <w:rPr>
                <w:rStyle w:val="Hyperlink"/>
                <w:rFonts w:ascii="Arial" w:hAnsi="Arial" w:cs="Arial"/>
                <w:noProof/>
                <w:lang w:val="sr-Latn-ME"/>
              </w:rPr>
              <w:t>PRAĆENJE I EVALUACIJA IMPLEMENTACIJE STRATEGIJE</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_Toc191824767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41</w:t>
            </w:r>
            <w:r w:rsidR="007F5B63" w:rsidRPr="001302F9">
              <w:rPr>
                <w:rFonts w:ascii="Arial" w:hAnsi="Arial" w:cs="Arial"/>
                <w:noProof/>
                <w:webHidden/>
                <w:lang w:val="sr-Latn-ME"/>
              </w:rPr>
              <w:fldChar w:fldCharType="end"/>
            </w:r>
          </w:hyperlink>
        </w:p>
        <w:p w:rsidR="007F5B63" w:rsidRPr="001302F9" w:rsidRDefault="004067B6" w:rsidP="00D23BC2">
          <w:pPr>
            <w:pStyle w:val="TOC3"/>
            <w:tabs>
              <w:tab w:val="right" w:leader="dot" w:pos="9016"/>
            </w:tabs>
            <w:spacing w:before="40" w:after="80" w:line="240" w:lineRule="auto"/>
            <w:jc w:val="both"/>
            <w:rPr>
              <w:rFonts w:ascii="Arial" w:eastAsiaTheme="minorEastAsia" w:hAnsi="Arial" w:cs="Arial"/>
              <w:noProof/>
              <w:kern w:val="2"/>
              <w:lang w:val="sr-Latn-ME"/>
              <w14:ligatures w14:val="standardContextual"/>
            </w:rPr>
          </w:pPr>
          <w:hyperlink w:anchor="_Toc191824768" w:history="1">
            <w:r w:rsidR="005656D0">
              <w:rPr>
                <w:rStyle w:val="Hyperlink"/>
                <w:rFonts w:ascii="Arial" w:hAnsi="Arial" w:cs="Arial"/>
                <w:noProof/>
                <w:lang w:val="sr-Latn-ME"/>
              </w:rPr>
              <w:t>Dodatak</w:t>
            </w:r>
            <w:r w:rsidR="007F5B63" w:rsidRPr="001302F9">
              <w:rPr>
                <w:rStyle w:val="Hyperlink"/>
                <w:rFonts w:ascii="Arial" w:hAnsi="Arial" w:cs="Arial"/>
                <w:noProof/>
                <w:lang w:val="sr-Latn-ME"/>
              </w:rPr>
              <w:t xml:space="preserve"> “</w:t>
            </w:r>
            <w:r w:rsidR="005656D0">
              <w:rPr>
                <w:rStyle w:val="Hyperlink"/>
                <w:rFonts w:ascii="Arial" w:hAnsi="Arial" w:cs="Arial"/>
                <w:noProof/>
                <w:lang w:val="sr-Latn-ME"/>
              </w:rPr>
              <w:t>Pasoš indikatora uspjeha</w:t>
            </w:r>
            <w:r w:rsidR="007F5B63" w:rsidRPr="001302F9">
              <w:rPr>
                <w:rStyle w:val="Hyperlink"/>
                <w:rFonts w:ascii="Arial" w:hAnsi="Arial" w:cs="Arial"/>
                <w:noProof/>
                <w:lang w:val="sr-Latn-ME"/>
              </w:rPr>
              <w:t>”</w:t>
            </w:r>
            <w:r w:rsidR="007F5B63" w:rsidRPr="001302F9">
              <w:rPr>
                <w:rFonts w:ascii="Arial" w:hAnsi="Arial" w:cs="Arial"/>
                <w:noProof/>
                <w:webHidden/>
                <w:lang w:val="sr-Latn-ME"/>
              </w:rPr>
              <w:tab/>
            </w:r>
            <w:r w:rsidR="007F5B63" w:rsidRPr="001302F9">
              <w:rPr>
                <w:rFonts w:ascii="Arial" w:hAnsi="Arial" w:cs="Arial"/>
                <w:noProof/>
                <w:webHidden/>
                <w:lang w:val="sr-Latn-ME"/>
              </w:rPr>
              <w:fldChar w:fldCharType="begin"/>
            </w:r>
            <w:r w:rsidR="007F5B63" w:rsidRPr="001302F9">
              <w:rPr>
                <w:rFonts w:ascii="Arial" w:hAnsi="Arial" w:cs="Arial"/>
                <w:noProof/>
                <w:webHidden/>
                <w:lang w:val="sr-Latn-ME"/>
              </w:rPr>
              <w:instrText xml:space="preserve"> PAGEREF _Toc191824768 \h </w:instrText>
            </w:r>
            <w:r w:rsidR="007F5B63" w:rsidRPr="001302F9">
              <w:rPr>
                <w:rFonts w:ascii="Arial" w:hAnsi="Arial" w:cs="Arial"/>
                <w:noProof/>
                <w:webHidden/>
                <w:lang w:val="sr-Latn-ME"/>
              </w:rPr>
            </w:r>
            <w:r w:rsidR="007F5B63" w:rsidRPr="001302F9">
              <w:rPr>
                <w:rFonts w:ascii="Arial" w:hAnsi="Arial" w:cs="Arial"/>
                <w:noProof/>
                <w:webHidden/>
                <w:lang w:val="sr-Latn-ME"/>
              </w:rPr>
              <w:fldChar w:fldCharType="separate"/>
            </w:r>
            <w:r w:rsidR="00CB28FA" w:rsidRPr="001302F9">
              <w:rPr>
                <w:rFonts w:ascii="Arial" w:hAnsi="Arial" w:cs="Arial"/>
                <w:noProof/>
                <w:webHidden/>
                <w:lang w:val="sr-Latn-ME"/>
              </w:rPr>
              <w:t>41</w:t>
            </w:r>
            <w:r w:rsidR="007F5B63" w:rsidRPr="001302F9">
              <w:rPr>
                <w:rFonts w:ascii="Arial" w:hAnsi="Arial" w:cs="Arial"/>
                <w:noProof/>
                <w:webHidden/>
                <w:lang w:val="sr-Latn-ME"/>
              </w:rPr>
              <w:fldChar w:fldCharType="end"/>
            </w:r>
          </w:hyperlink>
        </w:p>
        <w:p w:rsidR="00C735CF" w:rsidRPr="001302F9" w:rsidRDefault="00C735CF" w:rsidP="00D23BC2">
          <w:pPr>
            <w:pStyle w:val="TOC1"/>
            <w:tabs>
              <w:tab w:val="left" w:pos="440"/>
              <w:tab w:val="right" w:leader="dot" w:pos="9016"/>
            </w:tabs>
            <w:spacing w:before="40" w:after="80" w:line="240" w:lineRule="auto"/>
            <w:jc w:val="both"/>
            <w:rPr>
              <w:rFonts w:ascii="Arial" w:hAnsi="Arial" w:cs="Arial"/>
              <w:lang w:val="sr-Latn-ME"/>
            </w:rPr>
          </w:pPr>
          <w:r w:rsidRPr="001302F9">
            <w:rPr>
              <w:rFonts w:ascii="Arial" w:hAnsi="Arial" w:cs="Arial"/>
              <w:b/>
              <w:bCs/>
              <w:noProof/>
              <w:lang w:val="sr-Latn-ME"/>
            </w:rPr>
            <w:fldChar w:fldCharType="end"/>
          </w:r>
        </w:p>
      </w:sdtContent>
    </w:sdt>
    <w:p w:rsidR="00074FF6" w:rsidRPr="001302F9" w:rsidRDefault="00074FF6" w:rsidP="00D23BC2">
      <w:pPr>
        <w:pStyle w:val="Heading3"/>
        <w:ind w:left="360"/>
        <w:jc w:val="both"/>
        <w:rPr>
          <w:rFonts w:ascii="Arial" w:hAnsi="Arial" w:cs="Arial"/>
          <w:sz w:val="22"/>
          <w:szCs w:val="22"/>
          <w:lang w:val="sr-Latn-ME"/>
        </w:rPr>
        <w:sectPr w:rsidR="00074FF6" w:rsidRPr="001302F9" w:rsidSect="004D79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pPr>
    </w:p>
    <w:p w:rsidR="002C54B6" w:rsidRPr="001302F9" w:rsidRDefault="002E24EA" w:rsidP="00D23BC2">
      <w:pPr>
        <w:pStyle w:val="Heading3"/>
        <w:spacing w:before="120" w:after="120"/>
        <w:ind w:left="360"/>
        <w:jc w:val="both"/>
        <w:rPr>
          <w:rFonts w:ascii="Arial" w:hAnsi="Arial" w:cs="Arial"/>
          <w:sz w:val="22"/>
          <w:szCs w:val="22"/>
          <w:lang w:val="sr-Latn-ME"/>
        </w:rPr>
      </w:pPr>
      <w:r w:rsidRPr="001302F9">
        <w:rPr>
          <w:rFonts w:ascii="Arial" w:hAnsi="Arial" w:cs="Arial"/>
          <w:sz w:val="22"/>
          <w:szCs w:val="22"/>
          <w:lang w:val="sr-Latn-ME"/>
        </w:rPr>
        <w:lastRenderedPageBreak/>
        <w:t>Skraćenice</w:t>
      </w:r>
    </w:p>
    <w:tbl>
      <w:tblPr>
        <w:tblW w:w="0" w:type="auto"/>
        <w:tblLook w:val="04A0" w:firstRow="1" w:lastRow="0" w:firstColumn="1" w:lastColumn="0" w:noHBand="0" w:noVBand="1"/>
      </w:tblPr>
      <w:tblGrid>
        <w:gridCol w:w="1466"/>
        <w:gridCol w:w="7560"/>
      </w:tblGrid>
      <w:tr w:rsidR="0047620D" w:rsidRPr="001302F9" w:rsidTr="00BF6A2F">
        <w:tc>
          <w:tcPr>
            <w:tcW w:w="0" w:type="auto"/>
            <w:shd w:val="clear" w:color="auto" w:fill="auto"/>
          </w:tcPr>
          <w:p w:rsidR="002C54B6" w:rsidRPr="001302F9" w:rsidRDefault="002E24EA" w:rsidP="00D23BC2">
            <w:pPr>
              <w:spacing w:before="60" w:after="60" w:line="240" w:lineRule="auto"/>
              <w:jc w:val="both"/>
              <w:rPr>
                <w:rFonts w:ascii="Arial" w:hAnsi="Arial" w:cs="Arial"/>
                <w:lang w:val="sr-Latn-ME"/>
              </w:rPr>
            </w:pPr>
            <w:r w:rsidRPr="001302F9">
              <w:rPr>
                <w:rFonts w:ascii="Arial" w:hAnsi="Arial" w:cs="Arial"/>
                <w:lang w:val="sr-Latn-ME"/>
              </w:rPr>
              <w:t>RT</w:t>
            </w:r>
          </w:p>
        </w:tc>
        <w:tc>
          <w:tcPr>
            <w:tcW w:w="0" w:type="auto"/>
            <w:shd w:val="clear" w:color="auto" w:fill="auto"/>
          </w:tcPr>
          <w:p w:rsidR="002C54B6" w:rsidRPr="001302F9" w:rsidRDefault="002E24EA" w:rsidP="00D23BC2">
            <w:pPr>
              <w:spacing w:before="60" w:after="60" w:line="240" w:lineRule="auto"/>
              <w:jc w:val="both"/>
              <w:rPr>
                <w:rFonts w:ascii="Arial" w:hAnsi="Arial" w:cs="Arial"/>
                <w:lang w:val="sr-Latn-ME"/>
              </w:rPr>
            </w:pPr>
            <w:r w:rsidRPr="001302F9">
              <w:rPr>
                <w:rFonts w:ascii="Arial" w:hAnsi="Arial" w:cs="Arial"/>
                <w:lang w:val="sr-Latn-ME"/>
              </w:rPr>
              <w:t>Revizorsko tijelo Crne Gore</w:t>
            </w:r>
          </w:p>
        </w:tc>
      </w:tr>
      <w:tr w:rsidR="00BD0C7A" w:rsidRPr="0050642E" w:rsidTr="00BF6A2F">
        <w:tc>
          <w:tcPr>
            <w:tcW w:w="0" w:type="auto"/>
            <w:shd w:val="clear" w:color="auto" w:fill="auto"/>
          </w:tcPr>
          <w:p w:rsidR="00BD0C7A" w:rsidRPr="001302F9" w:rsidRDefault="00BD0C7A" w:rsidP="00BD0C7A">
            <w:pPr>
              <w:spacing w:before="60" w:after="60" w:line="240" w:lineRule="auto"/>
              <w:jc w:val="both"/>
              <w:rPr>
                <w:rFonts w:ascii="Arial" w:hAnsi="Arial" w:cs="Arial"/>
                <w:lang w:val="sr-Latn-ME"/>
              </w:rPr>
            </w:pPr>
            <w:r>
              <w:rPr>
                <w:rFonts w:ascii="Arial" w:hAnsi="Arial" w:cs="Arial"/>
                <w:lang w:val="sr-Latn-ME"/>
              </w:rPr>
              <w:t>AFCOS sistem</w:t>
            </w:r>
          </w:p>
        </w:tc>
        <w:tc>
          <w:tcPr>
            <w:tcW w:w="0" w:type="auto"/>
            <w:shd w:val="clear" w:color="auto" w:fill="auto"/>
          </w:tcPr>
          <w:p w:rsidR="00BD0C7A" w:rsidRPr="001302F9" w:rsidRDefault="00BD0C7A" w:rsidP="00BD0C7A">
            <w:pPr>
              <w:spacing w:before="60" w:after="60" w:line="240" w:lineRule="auto"/>
              <w:jc w:val="both"/>
              <w:rPr>
                <w:rFonts w:ascii="Arial" w:hAnsi="Arial" w:cs="Arial"/>
                <w:lang w:val="sr-Latn-ME"/>
              </w:rPr>
            </w:pPr>
            <w:r>
              <w:rPr>
                <w:rFonts w:ascii="Arial" w:hAnsi="Arial" w:cs="Arial"/>
                <w:lang w:val="sr-Latn-ME"/>
              </w:rPr>
              <w:t>S</w:t>
            </w:r>
            <w:r w:rsidRPr="001302F9">
              <w:rPr>
                <w:rFonts w:ascii="Arial" w:hAnsi="Arial" w:cs="Arial"/>
                <w:lang w:val="sr-Latn-ME"/>
              </w:rPr>
              <w:t>istem zaštite finansijskih interesa EU</w:t>
            </w:r>
            <w:r>
              <w:rPr>
                <w:rFonts w:ascii="Arial" w:hAnsi="Arial" w:cs="Arial"/>
                <w:lang w:val="sr-Latn-ME"/>
              </w:rPr>
              <w:t xml:space="preserve"> u okviru kojeg se vrši koordinacija pravnih, administrativnih i operativnih aktivnosti sa ciljem zaštite nacionalnog i budžeta EU.</w:t>
            </w:r>
          </w:p>
        </w:tc>
      </w:tr>
      <w:tr w:rsidR="00406AB1" w:rsidRPr="0050642E" w:rsidTr="00BF6A2F">
        <w:tc>
          <w:tcPr>
            <w:tcW w:w="0" w:type="auto"/>
            <w:shd w:val="clear" w:color="auto" w:fill="auto"/>
          </w:tcPr>
          <w:p w:rsidR="00406AB1" w:rsidRPr="001302F9" w:rsidRDefault="00BD0C7A" w:rsidP="00D23BC2">
            <w:pPr>
              <w:spacing w:before="60" w:after="60" w:line="240" w:lineRule="auto"/>
              <w:jc w:val="both"/>
              <w:rPr>
                <w:rFonts w:ascii="Arial" w:hAnsi="Arial" w:cs="Arial"/>
                <w:lang w:val="sr-Latn-ME"/>
              </w:rPr>
            </w:pPr>
            <w:r>
              <w:rPr>
                <w:rFonts w:ascii="Arial" w:hAnsi="Arial" w:cs="Arial"/>
                <w:lang w:val="sr-Latn-ME"/>
              </w:rPr>
              <w:t>AFCOS kancelarija</w:t>
            </w:r>
          </w:p>
        </w:tc>
        <w:tc>
          <w:tcPr>
            <w:tcW w:w="0" w:type="auto"/>
            <w:shd w:val="clear" w:color="auto" w:fill="auto"/>
          </w:tcPr>
          <w:p w:rsidR="00406AB1" w:rsidRPr="001302F9" w:rsidRDefault="00BD0C7A" w:rsidP="00D23BC2">
            <w:pPr>
              <w:spacing w:before="60" w:after="60" w:line="240" w:lineRule="auto"/>
              <w:jc w:val="both"/>
              <w:rPr>
                <w:rFonts w:ascii="Arial" w:hAnsi="Arial" w:cs="Arial"/>
                <w:lang w:val="sr-Latn-ME"/>
              </w:rPr>
            </w:pPr>
            <w:r w:rsidRPr="001302F9">
              <w:rPr>
                <w:rFonts w:ascii="Arial" w:hAnsi="Arial" w:cs="Arial"/>
                <w:lang w:val="sr-Latn-ME"/>
              </w:rPr>
              <w:t>Direkcija za zaštitu finansijskih interesa EU u Direktoratu za inspekcijski nadzor i zaštitu finansijskih interesa EU, pri Ministarstvu finansija</w:t>
            </w:r>
          </w:p>
        </w:tc>
      </w:tr>
      <w:tr w:rsidR="00BD0C7A" w:rsidRPr="0050642E" w:rsidTr="00BF6A2F">
        <w:tc>
          <w:tcPr>
            <w:tcW w:w="0" w:type="auto"/>
            <w:shd w:val="clear" w:color="auto" w:fill="auto"/>
          </w:tcPr>
          <w:p w:rsidR="00BD0C7A" w:rsidRPr="001302F9" w:rsidRDefault="00BD0C7A" w:rsidP="00BD0C7A">
            <w:pPr>
              <w:spacing w:before="60" w:after="60" w:line="240" w:lineRule="auto"/>
              <w:jc w:val="both"/>
              <w:rPr>
                <w:rFonts w:ascii="Arial" w:hAnsi="Arial" w:cs="Arial"/>
                <w:lang w:val="sr-Latn-ME"/>
              </w:rPr>
            </w:pPr>
            <w:r w:rsidRPr="001302F9">
              <w:rPr>
                <w:rFonts w:ascii="Arial" w:hAnsi="Arial" w:cs="Arial"/>
                <w:lang w:val="sr-Latn-ME"/>
              </w:rPr>
              <w:t>AFCOS</w:t>
            </w:r>
            <w:r>
              <w:rPr>
                <w:rFonts w:ascii="Arial" w:hAnsi="Arial" w:cs="Arial"/>
                <w:lang w:val="sr-Latn-ME"/>
              </w:rPr>
              <w:t xml:space="preserve"> mreža</w:t>
            </w:r>
          </w:p>
        </w:tc>
        <w:tc>
          <w:tcPr>
            <w:tcW w:w="0" w:type="auto"/>
            <w:shd w:val="clear" w:color="auto" w:fill="auto"/>
          </w:tcPr>
          <w:p w:rsidR="00BD0C7A" w:rsidRPr="00BD0C7A" w:rsidRDefault="00BD0C7A" w:rsidP="00BD0C7A">
            <w:pPr>
              <w:spacing w:before="60" w:after="60" w:line="240" w:lineRule="auto"/>
              <w:jc w:val="both"/>
              <w:rPr>
                <w:rFonts w:ascii="Arial" w:hAnsi="Arial" w:cs="Arial"/>
                <w:lang w:val="sr-Latn-ME"/>
              </w:rPr>
            </w:pPr>
            <w:r w:rsidRPr="00BD0C7A">
              <w:rPr>
                <w:rFonts w:ascii="Arial" w:hAnsi="Arial" w:cs="Arial"/>
                <w:bCs/>
                <w:lang w:val="sr-Latn-BA"/>
              </w:rPr>
              <w:t>Institucij</w:t>
            </w:r>
            <w:r>
              <w:rPr>
                <w:rFonts w:ascii="Arial" w:hAnsi="Arial" w:cs="Arial"/>
                <w:bCs/>
                <w:lang w:val="sr-Latn-BA"/>
              </w:rPr>
              <w:t>e</w:t>
            </w:r>
            <w:r w:rsidRPr="00BD0C7A">
              <w:rPr>
                <w:rFonts w:ascii="Arial" w:hAnsi="Arial" w:cs="Arial"/>
                <w:bCs/>
                <w:lang w:val="sr-Latn-BA"/>
              </w:rPr>
              <w:t xml:space="preserve"> sistema zadužen</w:t>
            </w:r>
            <w:r>
              <w:rPr>
                <w:rFonts w:ascii="Arial" w:hAnsi="Arial" w:cs="Arial"/>
                <w:bCs/>
                <w:lang w:val="sr-Latn-BA"/>
              </w:rPr>
              <w:t>e</w:t>
            </w:r>
            <w:r w:rsidRPr="00BD0C7A">
              <w:rPr>
                <w:rFonts w:ascii="Arial" w:hAnsi="Arial" w:cs="Arial"/>
                <w:bCs/>
                <w:lang w:val="sr-Latn-BA"/>
              </w:rPr>
              <w:t xml:space="preserve"> za borbu protiv prevara, korupcije i drugih oblika nezakonitih aktivnosti</w:t>
            </w:r>
            <w:r w:rsidRPr="00BD0C7A">
              <w:rPr>
                <w:rFonts w:ascii="Arial" w:hAnsi="Arial" w:cs="Arial"/>
                <w:lang w:val="sr-Latn-ME"/>
              </w:rPr>
              <w:t>: Ministarstvo pravde, Ministarstvo unutrašnjih poslova, Uprava policije, Poreska uprava, Uprava carina, Vrhovno državno tužilaštvo, Agencija za borbu protiv korupcije, Revizorsko tijelo, Ministarstvo evropskih poslova, Ministarstvo finansija</w:t>
            </w:r>
            <w:r>
              <w:rPr>
                <w:rFonts w:ascii="Arial" w:hAnsi="Arial" w:cs="Arial"/>
                <w:lang w:val="sr-Latn-ME"/>
              </w:rPr>
              <w:t>.</w:t>
            </w:r>
          </w:p>
        </w:tc>
      </w:tr>
      <w:tr w:rsidR="0047620D" w:rsidRPr="001302F9" w:rsidTr="00BF6A2F">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EK</w:t>
            </w:r>
          </w:p>
        </w:tc>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Evropska komisija</w:t>
            </w:r>
          </w:p>
        </w:tc>
      </w:tr>
      <w:tr w:rsidR="0047620D" w:rsidRPr="001302F9" w:rsidTr="00BF6A2F">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EU</w:t>
            </w:r>
          </w:p>
        </w:tc>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Evropska unija</w:t>
            </w:r>
          </w:p>
        </w:tc>
      </w:tr>
      <w:tr w:rsidR="0047620D" w:rsidRPr="0050642E" w:rsidTr="00BF6A2F">
        <w:tc>
          <w:tcPr>
            <w:tcW w:w="0" w:type="auto"/>
            <w:shd w:val="clear" w:color="auto" w:fill="auto"/>
          </w:tcPr>
          <w:p w:rsidR="00E27B4F" w:rsidRDefault="0047620D" w:rsidP="00D23BC2">
            <w:pPr>
              <w:spacing w:before="60" w:after="60" w:line="240" w:lineRule="auto"/>
              <w:jc w:val="both"/>
              <w:rPr>
                <w:rFonts w:ascii="Arial" w:hAnsi="Arial" w:cs="Arial"/>
                <w:lang w:val="sr-Latn-ME"/>
              </w:rPr>
            </w:pPr>
            <w:r w:rsidRPr="001302F9">
              <w:rPr>
                <w:rFonts w:ascii="Arial" w:hAnsi="Arial" w:cs="Arial"/>
                <w:lang w:val="sr-Latn-ME"/>
              </w:rPr>
              <w:t>S</w:t>
            </w:r>
            <w:r w:rsidR="00E27B4F" w:rsidRPr="001302F9">
              <w:rPr>
                <w:rFonts w:ascii="Arial" w:hAnsi="Arial" w:cs="Arial"/>
                <w:lang w:val="sr-Latn-ME"/>
              </w:rPr>
              <w:t>porazumi</w:t>
            </w:r>
          </w:p>
          <w:p w:rsidR="00E273C6" w:rsidRDefault="00E273C6" w:rsidP="00D23BC2">
            <w:pPr>
              <w:spacing w:before="60" w:after="60" w:line="240" w:lineRule="auto"/>
              <w:jc w:val="both"/>
              <w:rPr>
                <w:rFonts w:ascii="Arial" w:hAnsi="Arial" w:cs="Arial"/>
                <w:lang w:val="sr-Latn-ME"/>
              </w:rPr>
            </w:pPr>
          </w:p>
          <w:p w:rsidR="00E273C6" w:rsidRDefault="00E273C6" w:rsidP="00D23BC2">
            <w:pPr>
              <w:spacing w:before="60" w:after="60" w:line="240" w:lineRule="auto"/>
              <w:jc w:val="both"/>
              <w:rPr>
                <w:rFonts w:ascii="Arial" w:hAnsi="Arial" w:cs="Arial"/>
                <w:lang w:val="sr-Latn-ME"/>
              </w:rPr>
            </w:pPr>
          </w:p>
          <w:p w:rsidR="00E273C6" w:rsidRDefault="00E273C6" w:rsidP="00D23BC2">
            <w:pPr>
              <w:spacing w:before="60" w:after="60" w:line="240" w:lineRule="auto"/>
              <w:jc w:val="both"/>
              <w:rPr>
                <w:rFonts w:ascii="Arial" w:hAnsi="Arial" w:cs="Arial"/>
                <w:lang w:val="sr-Latn-ME"/>
              </w:rPr>
            </w:pPr>
          </w:p>
          <w:p w:rsidR="00E273C6" w:rsidRDefault="00E273C6" w:rsidP="00D23BC2">
            <w:pPr>
              <w:spacing w:before="60" w:after="60" w:line="240" w:lineRule="auto"/>
              <w:jc w:val="both"/>
              <w:rPr>
                <w:rFonts w:ascii="Arial" w:hAnsi="Arial" w:cs="Arial"/>
                <w:lang w:val="sr-Latn-ME"/>
              </w:rPr>
            </w:pPr>
          </w:p>
          <w:p w:rsidR="00E273C6" w:rsidRDefault="00E273C6" w:rsidP="00D23BC2">
            <w:pPr>
              <w:spacing w:before="60" w:after="60" w:line="240" w:lineRule="auto"/>
              <w:jc w:val="both"/>
              <w:rPr>
                <w:rFonts w:ascii="Arial" w:hAnsi="Arial" w:cs="Arial"/>
                <w:lang w:val="sr-Latn-ME"/>
              </w:rPr>
            </w:pPr>
          </w:p>
          <w:p w:rsidR="00E273C6" w:rsidRDefault="00E273C6" w:rsidP="00D23BC2">
            <w:pPr>
              <w:spacing w:before="60" w:after="60" w:line="240" w:lineRule="auto"/>
              <w:jc w:val="both"/>
              <w:rPr>
                <w:rFonts w:ascii="Arial" w:hAnsi="Arial" w:cs="Arial"/>
                <w:lang w:val="sr-Latn-ME"/>
              </w:rPr>
            </w:pPr>
          </w:p>
          <w:p w:rsidR="00E273C6" w:rsidRDefault="00E273C6" w:rsidP="00D23BC2">
            <w:pPr>
              <w:spacing w:before="60" w:after="60" w:line="240" w:lineRule="auto"/>
              <w:jc w:val="both"/>
              <w:rPr>
                <w:rFonts w:ascii="Arial" w:hAnsi="Arial" w:cs="Arial"/>
                <w:lang w:val="sr-Latn-ME"/>
              </w:rPr>
            </w:pPr>
          </w:p>
          <w:p w:rsidR="00E273C6" w:rsidRPr="001302F9" w:rsidRDefault="00E273C6" w:rsidP="00D23BC2">
            <w:pPr>
              <w:spacing w:before="60" w:after="60" w:line="240" w:lineRule="auto"/>
              <w:jc w:val="both"/>
              <w:rPr>
                <w:rFonts w:ascii="Arial" w:hAnsi="Arial" w:cs="Arial"/>
                <w:lang w:val="sr-Latn-ME"/>
              </w:rPr>
            </w:pPr>
            <w:r w:rsidRPr="00C2475E">
              <w:rPr>
                <w:rFonts w:ascii="Arial" w:hAnsi="Arial" w:cs="Arial"/>
                <w:lang w:val="sr-Latn-ME"/>
              </w:rPr>
              <w:t>Finansijska uredba</w:t>
            </w:r>
          </w:p>
        </w:tc>
        <w:tc>
          <w:tcPr>
            <w:tcW w:w="0" w:type="auto"/>
            <w:shd w:val="clear" w:color="auto" w:fill="auto"/>
          </w:tcPr>
          <w:p w:rsidR="00E273C6" w:rsidRDefault="0047620D" w:rsidP="00D23BC2">
            <w:pPr>
              <w:spacing w:before="60" w:after="60" w:line="240" w:lineRule="auto"/>
              <w:jc w:val="both"/>
              <w:rPr>
                <w:rFonts w:ascii="Arial" w:hAnsi="Arial" w:cs="Arial"/>
                <w:lang w:val="sr-Latn-ME"/>
              </w:rPr>
            </w:pPr>
            <w:r w:rsidRPr="001302F9">
              <w:rPr>
                <w:rFonts w:ascii="Arial" w:hAnsi="Arial" w:cs="Arial"/>
                <w:lang w:val="sr-Latn-ME"/>
              </w:rPr>
              <w:t>“</w:t>
            </w:r>
            <w:r w:rsidR="00E27B4F" w:rsidRPr="001302F9">
              <w:rPr>
                <w:rFonts w:ascii="Arial" w:hAnsi="Arial" w:cs="Arial"/>
                <w:lang w:val="sr-Latn-ME"/>
              </w:rPr>
              <w:t>Okvirni sporazum između Crne Gore, koju predstavlja Vlada Crne Gore, i Evropske komisije o pravilima za sprovođenje finansijske pomoći Unije Crnoj Gori u okviru Instrumenta za pretpristupnu pomoć (IPA II)</w:t>
            </w:r>
            <w:r w:rsidRPr="001302F9">
              <w:rPr>
                <w:rFonts w:ascii="Arial" w:hAnsi="Arial" w:cs="Arial"/>
                <w:lang w:val="sr-Latn-ME"/>
              </w:rPr>
              <w:t>”</w:t>
            </w:r>
            <w:r w:rsidR="0008096E" w:rsidRPr="001302F9">
              <w:rPr>
                <w:rFonts w:ascii="Arial" w:hAnsi="Arial" w:cs="Arial"/>
                <w:lang w:val="sr-Latn-ME"/>
              </w:rPr>
              <w:t>;</w:t>
            </w:r>
            <w:r w:rsidR="00E27B4F" w:rsidRPr="001302F9">
              <w:rPr>
                <w:rFonts w:ascii="Arial" w:hAnsi="Arial" w:cs="Arial"/>
                <w:lang w:val="sr-Latn-ME"/>
              </w:rPr>
              <w:t xml:space="preserve"> Finansijski okvirni sporazum o partnerstvu između Evropske komisije i Crne Gore, koju predstavlja Vlada Crne Gore, o posebnim aranžmanima za sprovođenje finansijske pomoći Unije Crnoj Gori u okviru Instrumenta za pretpristupnu pomoć (IPA III)</w:t>
            </w:r>
            <w:r w:rsidRPr="001302F9">
              <w:rPr>
                <w:rFonts w:ascii="Arial" w:hAnsi="Arial" w:cs="Arial"/>
                <w:lang w:val="sr-Latn-ME"/>
              </w:rPr>
              <w:t>”</w:t>
            </w:r>
            <w:r w:rsidR="0008096E" w:rsidRPr="001302F9">
              <w:rPr>
                <w:rFonts w:ascii="Arial" w:hAnsi="Arial" w:cs="Arial"/>
                <w:lang w:val="sr-Latn-ME"/>
              </w:rPr>
              <w:t xml:space="preserve"> i </w:t>
            </w:r>
            <w:r w:rsidRPr="001302F9">
              <w:rPr>
                <w:rFonts w:ascii="Arial" w:hAnsi="Arial" w:cs="Arial"/>
                <w:lang w:val="sr-Latn-ME"/>
              </w:rPr>
              <w:t>“Sporazum o pristupanju instrument</w:t>
            </w:r>
            <w:r w:rsidR="006B37FB" w:rsidRPr="001302F9">
              <w:rPr>
                <w:rFonts w:ascii="Arial" w:hAnsi="Arial" w:cs="Arial"/>
                <w:lang w:val="sr-Latn-ME"/>
              </w:rPr>
              <w:t>u</w:t>
            </w:r>
            <w:r w:rsidRPr="001302F9">
              <w:rPr>
                <w:rFonts w:ascii="Arial" w:hAnsi="Arial" w:cs="Arial"/>
                <w:lang w:val="sr-Latn-ME"/>
              </w:rPr>
              <w:t xml:space="preserve"> između Evropske unije koju predstavlja Komisija i Crne Gore koju predstavlja Vlada Crne Gore o posebnim aranžmanima za sprovođenje podrške Unije Crnoj Gori u okviru Instrumenta za reforme i rast”</w:t>
            </w:r>
          </w:p>
          <w:p w:rsidR="00E273C6" w:rsidRPr="001302F9" w:rsidRDefault="00E273C6" w:rsidP="00D23BC2">
            <w:pPr>
              <w:spacing w:before="60" w:after="60" w:line="240" w:lineRule="auto"/>
              <w:jc w:val="both"/>
              <w:rPr>
                <w:rFonts w:ascii="Arial" w:hAnsi="Arial" w:cs="Arial"/>
                <w:lang w:val="sr-Latn-ME"/>
              </w:rPr>
            </w:pPr>
            <w:r>
              <w:rPr>
                <w:rFonts w:ascii="Arial" w:hAnsi="Arial" w:cs="Arial"/>
                <w:lang w:val="sr-Latn-ME"/>
              </w:rPr>
              <w:t>Uredba (EU, Euratom) 2024/2509 Evropskog parlamenta i Savjeta od 23. septembra 2024. godine o finansijskim pravilima koja se primjenjuju na opšti budžet Unije</w:t>
            </w:r>
          </w:p>
        </w:tc>
      </w:tr>
      <w:tr w:rsidR="0047620D" w:rsidRPr="001302F9" w:rsidTr="00BF6A2F">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IMS</w:t>
            </w:r>
          </w:p>
        </w:tc>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Irregularity Management System - Softver za prijavljivanje nepravilnosti</w:t>
            </w:r>
          </w:p>
        </w:tc>
      </w:tr>
      <w:tr w:rsidR="0047620D" w:rsidRPr="001302F9" w:rsidTr="00BF6A2F">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IPA</w:t>
            </w:r>
          </w:p>
        </w:tc>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Instrument za pretpristupnu pomoć</w:t>
            </w:r>
          </w:p>
        </w:tc>
      </w:tr>
      <w:tr w:rsidR="0047620D" w:rsidRPr="001302F9" w:rsidTr="00BF6A2F">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IPA strukture</w:t>
            </w:r>
          </w:p>
        </w:tc>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Strukture i institucije u sistemu upravljanja i kontrole u slučaju IPA II i IPA III sredstava</w:t>
            </w:r>
          </w:p>
        </w:tc>
      </w:tr>
      <w:tr w:rsidR="0047620D" w:rsidRPr="0050642E" w:rsidTr="00BF6A2F">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NAFS</w:t>
            </w:r>
          </w:p>
        </w:tc>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Nacionalna strategija</w:t>
            </w:r>
            <w:r w:rsidRPr="001302F9">
              <w:rPr>
                <w:rFonts w:ascii="Arial" w:hAnsi="Arial" w:cs="Arial"/>
                <w:lang w:val="sr-Latn-ME" w:eastAsia="x-none"/>
              </w:rPr>
              <w:t xml:space="preserve"> </w:t>
            </w:r>
            <w:r w:rsidRPr="001302F9">
              <w:rPr>
                <w:rFonts w:ascii="Arial" w:hAnsi="Arial" w:cs="Arial"/>
                <w:lang w:val="sr-Latn-ME"/>
              </w:rPr>
              <w:t>za borbu protiv prevara -</w:t>
            </w:r>
            <w:r w:rsidR="00D25B23" w:rsidRPr="001302F9">
              <w:rPr>
                <w:rFonts w:ascii="Arial" w:hAnsi="Arial" w:cs="Arial"/>
                <w:lang w:val="sr-Latn-ME"/>
              </w:rPr>
              <w:t xml:space="preserve"> </w:t>
            </w:r>
            <w:r w:rsidRPr="001302F9">
              <w:rPr>
                <w:rFonts w:ascii="Arial" w:hAnsi="Arial" w:cs="Arial"/>
                <w:lang w:val="sr-Latn-ME"/>
              </w:rPr>
              <w:t>Strategija za borbu protiv prevara i upravljanje nepravilnostima u cilju zaštite finansijskih interesa Evropske unije za period 2025 – 2028</w:t>
            </w:r>
          </w:p>
        </w:tc>
      </w:tr>
      <w:tr w:rsidR="0047620D" w:rsidRPr="001302F9" w:rsidTr="00BF6A2F">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NAO</w:t>
            </w:r>
          </w:p>
        </w:tc>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Nacionalni službenik za ovjeravanje</w:t>
            </w:r>
          </w:p>
        </w:tc>
      </w:tr>
      <w:tr w:rsidR="0047620D" w:rsidRPr="0050642E" w:rsidTr="00BF6A2F">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OLAF</w:t>
            </w:r>
          </w:p>
        </w:tc>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Evropska kancelarija za borbu protiv prevara</w:t>
            </w:r>
          </w:p>
        </w:tc>
      </w:tr>
      <w:tr w:rsidR="0047620D" w:rsidRPr="0050642E" w:rsidTr="00BF6A2F">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 xml:space="preserve">OLAF </w:t>
            </w:r>
            <w:r w:rsidR="00D25B23" w:rsidRPr="001302F9">
              <w:rPr>
                <w:rFonts w:ascii="Arial" w:hAnsi="Arial" w:cs="Arial"/>
                <w:lang w:val="sr-Latn-ME"/>
              </w:rPr>
              <w:t>Uredba</w:t>
            </w:r>
          </w:p>
        </w:tc>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Style w:val="Strong"/>
                <w:rFonts w:ascii="Arial" w:hAnsi="Arial" w:cs="Arial"/>
                <w:lang w:val="sr-Latn-ME"/>
              </w:rPr>
              <w:t>Uredba (EU, Euratom) br. 883/2013</w:t>
            </w:r>
            <w:r w:rsidRPr="001302F9">
              <w:rPr>
                <w:rFonts w:ascii="Arial" w:hAnsi="Arial" w:cs="Arial"/>
                <w:lang w:val="sr-Latn-ME"/>
              </w:rPr>
              <w:t xml:space="preserve"> Evropskog parlamenta i Savjeta od 11. septembra 2013. godine o istragama koje sprovodi Evropska kancelarija za borbu protiv prevara (OLAF) i o stavljanju van snage Uredbe (EZ) br. 1073/1999 Evropskog parlamenta i Savjeta i Uredbe Savjeta (Euratom) br. 1074/1999</w:t>
            </w:r>
          </w:p>
        </w:tc>
      </w:tr>
      <w:tr w:rsidR="0047620D" w:rsidRPr="0050642E" w:rsidTr="00BF6A2F">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t>PACA</w:t>
            </w:r>
          </w:p>
        </w:tc>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Style w:val="Strong"/>
                <w:rFonts w:ascii="Arial" w:hAnsi="Arial" w:cs="Arial"/>
                <w:lang w:val="sr-Latn-ME"/>
              </w:rPr>
              <w:t>Primarni upravni ili sudski zaključak</w:t>
            </w:r>
            <w:r w:rsidRPr="001302F9">
              <w:rPr>
                <w:rFonts w:ascii="Arial" w:hAnsi="Arial" w:cs="Arial"/>
                <w:lang w:val="sr-Latn-ME"/>
              </w:rPr>
              <w:t xml:space="preserve"> – procjena u pisanom obliku donijeta u prvom stepenu od strane nadležnog organa, bilo upravnog ili sudskog, na osnovu određenih činjenica koje ukazuju da je počinjena neka nepravilnost, bez obzira na mogućnost da ovaj zaključak kasnije bude revidiran ili povučen tokom daljeg toka upravnog ili sudskog postupka</w:t>
            </w:r>
          </w:p>
        </w:tc>
      </w:tr>
      <w:tr w:rsidR="0047620D" w:rsidRPr="0050642E" w:rsidTr="00BF6A2F">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Fonts w:ascii="Arial" w:hAnsi="Arial" w:cs="Arial"/>
                <w:lang w:val="sr-Latn-ME"/>
              </w:rPr>
              <w:lastRenderedPageBreak/>
              <w:t xml:space="preserve">PIF Direktiva </w:t>
            </w:r>
          </w:p>
        </w:tc>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r w:rsidRPr="001302F9">
              <w:rPr>
                <w:rStyle w:val="Strong"/>
                <w:rFonts w:ascii="Arial" w:hAnsi="Arial" w:cs="Arial"/>
                <w:lang w:val="sr-Latn-ME"/>
              </w:rPr>
              <w:t>Direktiva (EU) 2017/1371</w:t>
            </w:r>
            <w:r w:rsidRPr="001302F9">
              <w:rPr>
                <w:rFonts w:ascii="Arial" w:hAnsi="Arial" w:cs="Arial"/>
                <w:lang w:val="sr-Latn-ME"/>
              </w:rPr>
              <w:t xml:space="preserve"> Evropskog parlamenta i Savjeta od 5. jula 2017. godine o borbi protiv prevara koje ugrožavaju finansijske interese Unije putem krivičnog prava</w:t>
            </w:r>
          </w:p>
        </w:tc>
      </w:tr>
      <w:tr w:rsidR="0047620D" w:rsidRPr="0050642E" w:rsidTr="00BF6A2F">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p>
        </w:tc>
        <w:tc>
          <w:tcPr>
            <w:tcW w:w="0" w:type="auto"/>
            <w:shd w:val="clear" w:color="auto" w:fill="auto"/>
          </w:tcPr>
          <w:p w:rsidR="00E27B4F" w:rsidRPr="001302F9" w:rsidRDefault="00E27B4F" w:rsidP="00D23BC2">
            <w:pPr>
              <w:spacing w:before="60" w:after="60" w:line="240" w:lineRule="auto"/>
              <w:jc w:val="both"/>
              <w:rPr>
                <w:rFonts w:ascii="Arial" w:hAnsi="Arial" w:cs="Arial"/>
                <w:lang w:val="sr-Latn-ME"/>
              </w:rPr>
            </w:pPr>
          </w:p>
        </w:tc>
      </w:tr>
    </w:tbl>
    <w:p w:rsidR="00EE65EF" w:rsidRPr="001302F9" w:rsidRDefault="00EE65EF" w:rsidP="00D23BC2">
      <w:pPr>
        <w:spacing w:after="160" w:line="259" w:lineRule="auto"/>
        <w:jc w:val="both"/>
        <w:rPr>
          <w:rFonts w:ascii="Arial" w:eastAsia="Times New Roman" w:hAnsi="Arial" w:cs="Arial"/>
          <w:b/>
          <w:bCs/>
          <w:lang w:val="sr-Latn-ME" w:eastAsia="x-none"/>
        </w:rPr>
      </w:pPr>
      <w:r w:rsidRPr="001302F9">
        <w:rPr>
          <w:rFonts w:ascii="Arial" w:hAnsi="Arial" w:cs="Arial"/>
          <w:lang w:val="sr-Latn-ME"/>
        </w:rPr>
        <w:br w:type="page"/>
      </w:r>
    </w:p>
    <w:p w:rsidR="008533CC" w:rsidRPr="001302F9" w:rsidRDefault="00AF7308" w:rsidP="00D23BC2">
      <w:pPr>
        <w:pStyle w:val="Heading1"/>
        <w:numPr>
          <w:ilvl w:val="0"/>
          <w:numId w:val="1"/>
        </w:numPr>
        <w:spacing w:before="120" w:after="120" w:line="240" w:lineRule="auto"/>
        <w:jc w:val="both"/>
        <w:rPr>
          <w:rFonts w:ascii="Arial" w:hAnsi="Arial" w:cs="Arial"/>
          <w:sz w:val="22"/>
          <w:szCs w:val="22"/>
          <w:lang w:val="sr-Latn-ME"/>
        </w:rPr>
      </w:pPr>
      <w:r w:rsidRPr="001302F9">
        <w:rPr>
          <w:rFonts w:ascii="Arial" w:hAnsi="Arial" w:cs="Arial"/>
          <w:sz w:val="22"/>
          <w:szCs w:val="22"/>
          <w:lang w:val="sr-Latn-ME"/>
        </w:rPr>
        <w:lastRenderedPageBreak/>
        <w:t>UVOD</w:t>
      </w:r>
    </w:p>
    <w:p w:rsidR="008C5374" w:rsidRPr="001302F9" w:rsidRDefault="00AF7308" w:rsidP="00D23BC2">
      <w:pPr>
        <w:pStyle w:val="Heading3"/>
        <w:numPr>
          <w:ilvl w:val="1"/>
          <w:numId w:val="1"/>
        </w:numPr>
        <w:spacing w:before="120" w:after="120"/>
        <w:ind w:left="993" w:hanging="633"/>
        <w:jc w:val="both"/>
        <w:rPr>
          <w:rFonts w:ascii="Arial" w:hAnsi="Arial" w:cs="Arial"/>
          <w:sz w:val="22"/>
          <w:szCs w:val="22"/>
          <w:lang w:val="sr-Latn-ME"/>
        </w:rPr>
      </w:pPr>
      <w:r w:rsidRPr="001302F9">
        <w:rPr>
          <w:rFonts w:ascii="Arial" w:hAnsi="Arial" w:cs="Arial"/>
          <w:sz w:val="22"/>
          <w:szCs w:val="22"/>
          <w:lang w:val="sr-Latn-ME"/>
        </w:rPr>
        <w:t>Svrha donošenja strateškog dokumenta</w:t>
      </w:r>
    </w:p>
    <w:p w:rsidR="00A30075" w:rsidRPr="001302F9" w:rsidRDefault="00A30075" w:rsidP="00D23BC2">
      <w:pPr>
        <w:jc w:val="both"/>
        <w:rPr>
          <w:rFonts w:ascii="Arial" w:hAnsi="Arial" w:cs="Arial"/>
          <w:lang w:val="sr-Latn-ME" w:eastAsia="x-none"/>
        </w:rPr>
      </w:pPr>
    </w:p>
    <w:p w:rsidR="00A30075" w:rsidRPr="001302F9" w:rsidRDefault="00A30075" w:rsidP="00D23BC2">
      <w:pPr>
        <w:jc w:val="both"/>
        <w:rPr>
          <w:rFonts w:ascii="Arial" w:hAnsi="Arial" w:cs="Arial"/>
          <w:lang w:val="sr-Latn-ME" w:eastAsia="x-none"/>
        </w:rPr>
      </w:pPr>
      <w:r w:rsidRPr="001302F9">
        <w:rPr>
          <w:rFonts w:ascii="Arial" w:hAnsi="Arial" w:cs="Arial"/>
          <w:lang w:val="sr-Latn-ME" w:eastAsia="x-none"/>
        </w:rPr>
        <w:t>Zadatak država članica EU je da preduzmu sve neophodne mjere za borbu protiv prevara i drugih nezakonitih aktivnosti usmjerenih protiv finansijskih interesa EU</w:t>
      </w:r>
      <w:r w:rsidR="00E83DC5" w:rsidRPr="001302F9">
        <w:rPr>
          <w:rFonts w:ascii="Arial" w:hAnsi="Arial" w:cs="Arial"/>
          <w:lang w:val="sr-Latn-ME" w:eastAsia="x-none"/>
        </w:rPr>
        <w:t xml:space="preserve"> </w:t>
      </w:r>
      <w:r w:rsidR="00934D89" w:rsidRPr="001302F9">
        <w:rPr>
          <w:rFonts w:ascii="Arial" w:hAnsi="Arial" w:cs="Arial"/>
          <w:lang w:val="sr-Latn-ME" w:eastAsia="x-none"/>
        </w:rPr>
        <w:t>i</w:t>
      </w:r>
      <w:r w:rsidR="00E83DC5" w:rsidRPr="001302F9">
        <w:rPr>
          <w:rFonts w:ascii="Arial" w:hAnsi="Arial" w:cs="Arial"/>
          <w:lang w:val="sr-Latn-ME" w:eastAsia="x-none"/>
        </w:rPr>
        <w:t xml:space="preserve"> samim tim</w:t>
      </w:r>
      <w:r w:rsidRPr="001302F9">
        <w:rPr>
          <w:rFonts w:ascii="Arial" w:hAnsi="Arial" w:cs="Arial"/>
          <w:lang w:val="sr-Latn-ME" w:eastAsia="x-none"/>
        </w:rPr>
        <w:t xml:space="preserve"> da ih štite na isti način kao što štite nacionalne finansijske interese. Shodno tome, prevencija, otkrivanje, istraživanje i sankcionisanje prevara predstavlja odgovornost svih institucija koje koriste ne samo sredstva iz nacionalnog budžeta, već i sredstva iz budžeta EU.</w:t>
      </w:r>
    </w:p>
    <w:p w:rsidR="00A30075" w:rsidRPr="001302F9" w:rsidRDefault="00A30075" w:rsidP="005E43F3">
      <w:pPr>
        <w:spacing w:after="0"/>
        <w:jc w:val="both"/>
        <w:rPr>
          <w:rFonts w:ascii="Arial" w:hAnsi="Arial" w:cs="Arial"/>
          <w:lang w:val="sr-Latn-ME" w:eastAsia="x-none"/>
        </w:rPr>
      </w:pPr>
      <w:r w:rsidRPr="001302F9">
        <w:rPr>
          <w:rFonts w:ascii="Arial" w:hAnsi="Arial" w:cs="Arial"/>
          <w:lang w:val="sr-Latn-ME" w:eastAsia="x-none"/>
        </w:rPr>
        <w:t>Crna Gora, kroz Poglavlje 32 – Finansijska kontrola, koje obuhvata četiri ključne oblasti: unutrašnju finansijsku kontrolu u javnom sektoru, eksternu reviziju, zaštitu finansijskih interesa EU i zaštitu eura od falsifikovanja, nastoji da unaprijedi disciplinu i transparentnost u korišćenju javnih sredstava (nacionalnih i EU fondova) i osigura zaštitu finansijskih interesa EU.</w:t>
      </w:r>
    </w:p>
    <w:p w:rsidR="00A30075" w:rsidRPr="001302F9" w:rsidRDefault="00A30075" w:rsidP="005E43F3">
      <w:pPr>
        <w:spacing w:after="0"/>
        <w:jc w:val="both"/>
        <w:rPr>
          <w:rFonts w:ascii="Arial" w:hAnsi="Arial" w:cs="Arial"/>
          <w:lang w:val="sr-Latn-ME" w:eastAsia="x-none"/>
        </w:rPr>
      </w:pPr>
      <w:r w:rsidRPr="001302F9">
        <w:rPr>
          <w:rFonts w:ascii="Arial" w:hAnsi="Arial" w:cs="Arial"/>
          <w:lang w:val="sr-Latn-ME" w:eastAsia="x-none"/>
        </w:rPr>
        <w:t xml:space="preserve">Kao korisnica finansijskih sredstava iz IPA fondova, Crna Gora je dužna da uspostavi efikasan sistem za borbu protiv nepravilnosti i prevara u pretpristupnom </w:t>
      </w:r>
      <w:r w:rsidR="00C91C83" w:rsidRPr="001302F9">
        <w:rPr>
          <w:rFonts w:ascii="Arial" w:hAnsi="Arial" w:cs="Arial"/>
          <w:lang w:val="sr-Latn-ME" w:eastAsia="x-none"/>
        </w:rPr>
        <w:t>periodu i</w:t>
      </w:r>
      <w:r w:rsidRPr="001302F9">
        <w:rPr>
          <w:rFonts w:ascii="Arial" w:hAnsi="Arial" w:cs="Arial"/>
          <w:lang w:val="sr-Latn-ME" w:eastAsia="x-none"/>
        </w:rPr>
        <w:t xml:space="preserve"> da osigura zakonito i namjensko trošenje </w:t>
      </w:r>
      <w:r w:rsidR="00C91C83" w:rsidRPr="001302F9">
        <w:rPr>
          <w:rFonts w:ascii="Arial" w:hAnsi="Arial" w:cs="Arial"/>
          <w:lang w:val="sr-Latn-ME" w:eastAsia="x-none"/>
        </w:rPr>
        <w:t>ovih</w:t>
      </w:r>
      <w:r w:rsidRPr="001302F9">
        <w:rPr>
          <w:rFonts w:ascii="Arial" w:hAnsi="Arial" w:cs="Arial"/>
          <w:lang w:val="sr-Latn-ME" w:eastAsia="x-none"/>
        </w:rPr>
        <w:t xml:space="preserve"> sredstava. Ona su namijenjena podsticanju razvojnih ciljeva Crne Gore, kao i ubrzanju ekonomskog i društvenog rasta. Sva sredstva koja su nenamjenski ili nezakonito utrošena moraju biti vraćena iz nacionalnog budžeta Crne Gore u budžet EU.</w:t>
      </w:r>
    </w:p>
    <w:p w:rsidR="00A30075" w:rsidRPr="001302F9" w:rsidRDefault="00A30075" w:rsidP="00D23BC2">
      <w:pPr>
        <w:jc w:val="both"/>
        <w:rPr>
          <w:rFonts w:ascii="Arial" w:hAnsi="Arial" w:cs="Arial"/>
          <w:lang w:val="sr-Latn-ME" w:eastAsia="x-none"/>
        </w:rPr>
      </w:pPr>
      <w:r w:rsidRPr="001302F9">
        <w:rPr>
          <w:rFonts w:ascii="Arial" w:hAnsi="Arial" w:cs="Arial"/>
          <w:lang w:val="sr-Latn-ME" w:eastAsia="x-none"/>
        </w:rPr>
        <w:t>Crna Gora je jasno odabrala strateški put ka evropskim integracijama</w:t>
      </w:r>
      <w:r w:rsidR="0006079F">
        <w:rPr>
          <w:rFonts w:ascii="Arial" w:hAnsi="Arial" w:cs="Arial"/>
          <w:lang w:val="sr-Latn-ME" w:eastAsia="x-none"/>
        </w:rPr>
        <w:t>, a</w:t>
      </w:r>
      <w:r w:rsidRPr="001302F9">
        <w:rPr>
          <w:rFonts w:ascii="Arial" w:hAnsi="Arial" w:cs="Arial"/>
          <w:lang w:val="sr-Latn-ME" w:eastAsia="x-none"/>
        </w:rPr>
        <w:t xml:space="preserve"> </w:t>
      </w:r>
      <w:r w:rsidR="0006079F">
        <w:rPr>
          <w:rFonts w:ascii="Arial" w:hAnsi="Arial" w:cs="Arial"/>
          <w:lang w:val="sr-Latn-ME" w:eastAsia="x-none"/>
        </w:rPr>
        <w:t>d</w:t>
      </w:r>
      <w:r w:rsidRPr="001302F9">
        <w:rPr>
          <w:rFonts w:ascii="Arial" w:hAnsi="Arial" w:cs="Arial"/>
          <w:lang w:val="sr-Latn-ME" w:eastAsia="x-none"/>
        </w:rPr>
        <w:t>okument “Program pristupanja Crne Gore Evropskoj uniji” precizno definiše obaveze koje je potrebno ispuniti kako bi se uspostavio optimalan institucionalni i zakonodavni okvir i postigli mjerljivi rezultati na evropskom putu.</w:t>
      </w:r>
    </w:p>
    <w:p w:rsidR="00A30075" w:rsidRPr="001302F9" w:rsidRDefault="00A30075" w:rsidP="00D23BC2">
      <w:pPr>
        <w:jc w:val="both"/>
        <w:rPr>
          <w:rFonts w:ascii="Arial" w:hAnsi="Arial" w:cs="Arial"/>
          <w:lang w:val="sr-Latn-ME" w:eastAsia="x-none"/>
        </w:rPr>
      </w:pPr>
      <w:r w:rsidRPr="001302F9">
        <w:rPr>
          <w:rFonts w:ascii="Arial" w:hAnsi="Arial" w:cs="Arial"/>
          <w:lang w:val="sr-Latn-ME" w:eastAsia="x-none"/>
        </w:rPr>
        <w:t>U skladu s navedenim, u okviru ispunjavanja trećeg mjerila iz Poglavlja 32 – Finansijska kontrola, Crna Gora kontinuirano radi na unapr</w:t>
      </w:r>
      <w:r w:rsidR="0006079F">
        <w:rPr>
          <w:rFonts w:ascii="Arial" w:hAnsi="Arial" w:cs="Arial"/>
          <w:lang w:val="sr-Latn-ME" w:eastAsia="x-none"/>
        </w:rPr>
        <w:t>ij</w:t>
      </w:r>
      <w:r w:rsidRPr="001302F9">
        <w:rPr>
          <w:rFonts w:ascii="Arial" w:hAnsi="Arial" w:cs="Arial"/>
          <w:lang w:val="sr-Latn-ME" w:eastAsia="x-none"/>
        </w:rPr>
        <w:t xml:space="preserve">eđenju i usklađivanju zakonodavstva u oblasti zaštite finansijskih interesa EU s </w:t>
      </w:r>
      <w:r w:rsidRPr="001302F9">
        <w:rPr>
          <w:rFonts w:ascii="Arial" w:hAnsi="Arial" w:cs="Arial"/>
          <w:i/>
          <w:iCs/>
          <w:lang w:val="sr-Latn-ME" w:eastAsia="x-none"/>
        </w:rPr>
        <w:t>acquis communautaire</w:t>
      </w:r>
      <w:r w:rsidRPr="001302F9">
        <w:rPr>
          <w:rFonts w:ascii="Arial" w:hAnsi="Arial" w:cs="Arial"/>
          <w:lang w:val="sr-Latn-ME" w:eastAsia="x-none"/>
        </w:rPr>
        <w:t xml:space="preserve">-om. AFCOS, kako je definisano u članu 12a OLAF Uredbe, prošla je kroz određene organizacione promjene i trenutno je uspostavljena </w:t>
      </w:r>
      <w:r w:rsidR="00A95F33" w:rsidRPr="001302F9">
        <w:rPr>
          <w:rFonts w:ascii="Arial" w:hAnsi="Arial" w:cs="Arial"/>
          <w:lang w:val="sr-Latn-ME" w:eastAsia="x-none"/>
        </w:rPr>
        <w:t>u okviru</w:t>
      </w:r>
      <w:r w:rsidRPr="001302F9">
        <w:rPr>
          <w:rFonts w:ascii="Arial" w:hAnsi="Arial" w:cs="Arial"/>
          <w:lang w:val="sr-Latn-ME" w:eastAsia="x-none"/>
        </w:rPr>
        <w:t xml:space="preserve"> Direk</w:t>
      </w:r>
      <w:r w:rsidR="00C1315E" w:rsidRPr="001302F9">
        <w:rPr>
          <w:rFonts w:ascii="Arial" w:hAnsi="Arial" w:cs="Arial"/>
          <w:lang w:val="sr-Latn-ME" w:eastAsia="x-none"/>
        </w:rPr>
        <w:t>torata</w:t>
      </w:r>
      <w:r w:rsidRPr="001302F9">
        <w:rPr>
          <w:rFonts w:ascii="Arial" w:hAnsi="Arial" w:cs="Arial"/>
          <w:lang w:val="sr-Latn-ME" w:eastAsia="x-none"/>
        </w:rPr>
        <w:t xml:space="preserve"> za inspekcijski nadzor i zaštitu finansijskih interesa EU, kao </w:t>
      </w:r>
      <w:r w:rsidR="00C1315E" w:rsidRPr="001302F9">
        <w:rPr>
          <w:rFonts w:ascii="Arial" w:hAnsi="Arial" w:cs="Arial"/>
          <w:lang w:val="sr-Latn-ME" w:eastAsia="x-none"/>
        </w:rPr>
        <w:t>Direkcija</w:t>
      </w:r>
      <w:r w:rsidRPr="001302F9">
        <w:rPr>
          <w:rFonts w:ascii="Arial" w:hAnsi="Arial" w:cs="Arial"/>
          <w:lang w:val="sr-Latn-ME" w:eastAsia="x-none"/>
        </w:rPr>
        <w:t xml:space="preserve"> za zaštitu finansijskih interesa EU/AFCOS pri Ministarstvu finansija</w:t>
      </w:r>
      <w:r w:rsidR="008F0CAD">
        <w:rPr>
          <w:rFonts w:ascii="Arial" w:hAnsi="Arial" w:cs="Arial"/>
          <w:lang w:val="sr-Latn-ME" w:eastAsia="x-none"/>
        </w:rPr>
        <w:t>. U okviru AFCOS sistema definiše se kao AFCOS kancelarija.</w:t>
      </w:r>
    </w:p>
    <w:p w:rsidR="00A30075" w:rsidRPr="001302F9" w:rsidRDefault="00A95F33" w:rsidP="00D23BC2">
      <w:pPr>
        <w:jc w:val="both"/>
        <w:rPr>
          <w:rFonts w:ascii="Arial" w:hAnsi="Arial" w:cs="Arial"/>
          <w:lang w:val="sr-Latn-ME" w:eastAsia="x-none"/>
        </w:rPr>
      </w:pPr>
      <w:r w:rsidRPr="001302F9">
        <w:rPr>
          <w:rFonts w:ascii="Arial" w:hAnsi="Arial" w:cs="Arial"/>
          <w:lang w:val="sr-Latn-ME" w:eastAsia="x-none"/>
        </w:rPr>
        <w:t>Dodatno</w:t>
      </w:r>
      <w:r w:rsidR="00A30075" w:rsidRPr="001302F9">
        <w:rPr>
          <w:rFonts w:ascii="Arial" w:hAnsi="Arial" w:cs="Arial"/>
          <w:lang w:val="sr-Latn-ME" w:eastAsia="x-none"/>
        </w:rPr>
        <w:t xml:space="preserve">, neophodno je nastaviti rad na uspostavljanju odgovarajućeg i održivog pravnog i institucionalnog okvira, kojim će Crna Gora osigurati adekvatnu zaštitu finansijskih interesa EU. To podrazumijeva jasno definisane uloge svih nadležnih </w:t>
      </w:r>
      <w:r w:rsidR="00F618E0" w:rsidRPr="001302F9">
        <w:rPr>
          <w:rFonts w:ascii="Arial" w:hAnsi="Arial" w:cs="Arial"/>
          <w:lang w:val="sr-Latn-ME" w:eastAsia="x-none"/>
        </w:rPr>
        <w:t>institucija</w:t>
      </w:r>
      <w:r w:rsidR="00A30075" w:rsidRPr="001302F9">
        <w:rPr>
          <w:rFonts w:ascii="Arial" w:hAnsi="Arial" w:cs="Arial"/>
          <w:lang w:val="sr-Latn-ME" w:eastAsia="x-none"/>
        </w:rPr>
        <w:t xml:space="preserve"> uključenih u ovu oblast.</w:t>
      </w:r>
    </w:p>
    <w:p w:rsidR="00A30075" w:rsidRPr="001302F9" w:rsidRDefault="00A30075" w:rsidP="00D23BC2">
      <w:pPr>
        <w:jc w:val="both"/>
        <w:rPr>
          <w:rFonts w:ascii="Arial" w:hAnsi="Arial" w:cs="Arial"/>
          <w:lang w:val="sr-Latn-ME" w:eastAsia="x-none"/>
        </w:rPr>
      </w:pPr>
      <w:r w:rsidRPr="001302F9">
        <w:rPr>
          <w:rFonts w:ascii="Arial" w:hAnsi="Arial" w:cs="Arial"/>
          <w:lang w:val="sr-Latn-ME" w:eastAsia="x-none"/>
        </w:rPr>
        <w:t xml:space="preserve">Usvajanjem </w:t>
      </w:r>
      <w:r w:rsidRPr="001302F9">
        <w:rPr>
          <w:rFonts w:ascii="Arial" w:hAnsi="Arial" w:cs="Arial"/>
          <w:i/>
          <w:iCs/>
          <w:lang w:val="sr-Latn-ME" w:eastAsia="x-none"/>
        </w:rPr>
        <w:t>Strategije za borbu protiv prevara i upravljanje nepravilnostima radi zaštite finansijskih interesa Evropske unije 2025–202</w:t>
      </w:r>
      <w:r w:rsidR="00CC7EF0">
        <w:rPr>
          <w:rFonts w:ascii="Arial" w:hAnsi="Arial" w:cs="Arial"/>
          <w:i/>
          <w:iCs/>
          <w:lang w:val="sr-Latn-ME" w:eastAsia="x-none"/>
        </w:rPr>
        <w:t xml:space="preserve">8 </w:t>
      </w:r>
      <w:r w:rsidRPr="001302F9">
        <w:rPr>
          <w:rFonts w:ascii="Arial" w:hAnsi="Arial" w:cs="Arial"/>
          <w:lang w:val="sr-Latn-ME" w:eastAsia="x-none"/>
        </w:rPr>
        <w:t>(Nacionalna strategija za borbu protiv prevara</w:t>
      </w:r>
      <w:r w:rsidR="00CB42A1" w:rsidRPr="001302F9">
        <w:rPr>
          <w:rFonts w:ascii="Arial" w:hAnsi="Arial" w:cs="Arial"/>
          <w:lang w:val="sr-Latn-ME" w:eastAsia="x-none"/>
        </w:rPr>
        <w:t>, u daljem tekstu „Strategija“</w:t>
      </w:r>
      <w:r w:rsidRPr="001302F9">
        <w:rPr>
          <w:rFonts w:ascii="Arial" w:hAnsi="Arial" w:cs="Arial"/>
          <w:lang w:val="sr-Latn-ME" w:eastAsia="x-none"/>
        </w:rPr>
        <w:t>), Crna Gora će pokazati svijest o vrijednostima EU i spremnost za borbu protiv svih oblika nepravilnosti i prevara. Takođe, time će potvrditi svoju posvećenost kontinuiranoj primjeni politike zaštite ne samo finansijskih interesa EU, već i nacionalnog budžeta, s ciljem da u bliskoj budućnosti postane ravnopravan partner državama članicama EU.</w:t>
      </w:r>
    </w:p>
    <w:p w:rsidR="00A30075" w:rsidRPr="001302F9" w:rsidRDefault="00A30075" w:rsidP="00D23BC2">
      <w:pPr>
        <w:jc w:val="both"/>
        <w:rPr>
          <w:rFonts w:ascii="Arial" w:hAnsi="Arial" w:cs="Arial"/>
          <w:lang w:val="sr-Latn-ME" w:eastAsia="x-none"/>
        </w:rPr>
      </w:pPr>
    </w:p>
    <w:p w:rsidR="00A30075" w:rsidRPr="001302F9" w:rsidRDefault="00A30075" w:rsidP="00D23BC2">
      <w:pPr>
        <w:jc w:val="both"/>
        <w:rPr>
          <w:rFonts w:ascii="Arial" w:hAnsi="Arial" w:cs="Arial"/>
          <w:lang w:val="sr-Latn-ME" w:eastAsia="x-none"/>
        </w:rPr>
      </w:pPr>
    </w:p>
    <w:p w:rsidR="008C5374" w:rsidRPr="001302F9" w:rsidRDefault="00AF7308" w:rsidP="00D23BC2">
      <w:pPr>
        <w:pStyle w:val="Heading3"/>
        <w:numPr>
          <w:ilvl w:val="1"/>
          <w:numId w:val="1"/>
        </w:numPr>
        <w:spacing w:before="120" w:after="120"/>
        <w:ind w:left="993" w:hanging="633"/>
        <w:jc w:val="both"/>
        <w:rPr>
          <w:rFonts w:ascii="Arial" w:hAnsi="Arial" w:cs="Arial"/>
          <w:sz w:val="22"/>
          <w:szCs w:val="22"/>
          <w:lang w:val="sr-Latn-ME"/>
        </w:rPr>
      </w:pPr>
      <w:bookmarkStart w:id="2" w:name="_Hlk194401153"/>
      <w:r w:rsidRPr="001302F9">
        <w:rPr>
          <w:rFonts w:ascii="Arial" w:hAnsi="Arial" w:cs="Arial"/>
          <w:sz w:val="22"/>
          <w:szCs w:val="22"/>
          <w:lang w:val="sr-Latn-ME"/>
        </w:rPr>
        <w:lastRenderedPageBreak/>
        <w:t>Usklađenost sa nacionalnim strateškim dokumentima</w:t>
      </w:r>
    </w:p>
    <w:bookmarkEnd w:id="2"/>
    <w:p w:rsidR="00A823A9" w:rsidRPr="001302F9" w:rsidRDefault="00A823A9" w:rsidP="00D23BC2">
      <w:pPr>
        <w:spacing w:before="120" w:after="120" w:line="240" w:lineRule="auto"/>
        <w:jc w:val="both"/>
        <w:rPr>
          <w:rFonts w:ascii="Arial" w:hAnsi="Arial" w:cs="Arial"/>
          <w:lang w:val="sr-Latn-ME"/>
        </w:rPr>
      </w:pPr>
    </w:p>
    <w:p w:rsidR="007B2AAF" w:rsidRPr="001302F9" w:rsidRDefault="007B2AAF" w:rsidP="00D23BC2">
      <w:pPr>
        <w:spacing w:before="120" w:after="120" w:line="240" w:lineRule="auto"/>
        <w:jc w:val="both"/>
        <w:rPr>
          <w:rFonts w:ascii="Arial" w:hAnsi="Arial" w:cs="Arial"/>
          <w:lang w:val="sr-Latn-ME"/>
        </w:rPr>
      </w:pPr>
      <w:r w:rsidRPr="001302F9">
        <w:rPr>
          <w:rFonts w:ascii="Arial" w:hAnsi="Arial" w:cs="Arial"/>
          <w:lang w:val="sr-Latn-ME"/>
        </w:rPr>
        <w:t xml:space="preserve">Kada je riječ o strateškom okviru Crne Gore, posebno je važno istaći da je ovo treći strateški dokument koji se odnosi na zaštitu finansijskih interesa EU u Crnoj Gori. Shodno tome, predstavlja rezultat zajedničkog napora svih relevantnih </w:t>
      </w:r>
      <w:r w:rsidR="00F618E0" w:rsidRPr="001302F9">
        <w:rPr>
          <w:rFonts w:ascii="Arial" w:hAnsi="Arial" w:cs="Arial"/>
          <w:lang w:val="sr-Latn-ME"/>
        </w:rPr>
        <w:t>institucija</w:t>
      </w:r>
      <w:r w:rsidRPr="001302F9">
        <w:rPr>
          <w:rFonts w:ascii="Arial" w:hAnsi="Arial" w:cs="Arial"/>
          <w:lang w:val="sr-Latn-ME"/>
        </w:rPr>
        <w:t xml:space="preserve"> uključenih u ovu oblast, koj</w:t>
      </w:r>
      <w:r w:rsidR="00F618E0" w:rsidRPr="001302F9">
        <w:rPr>
          <w:rFonts w:ascii="Arial" w:hAnsi="Arial" w:cs="Arial"/>
          <w:lang w:val="sr-Latn-ME"/>
        </w:rPr>
        <w:t>e</w:t>
      </w:r>
      <w:r w:rsidRPr="001302F9">
        <w:rPr>
          <w:rFonts w:ascii="Arial" w:hAnsi="Arial" w:cs="Arial"/>
          <w:lang w:val="sr-Latn-ME"/>
        </w:rPr>
        <w:t xml:space="preserve"> svojim djelovanjem mogu doprinijeti efikasnijoj zaštiti finansijskih interesa EU.</w:t>
      </w:r>
    </w:p>
    <w:p w:rsidR="007B2AAF" w:rsidRPr="001302F9" w:rsidRDefault="007B2AAF" w:rsidP="00D23BC2">
      <w:pPr>
        <w:spacing w:before="120" w:after="120" w:line="240" w:lineRule="auto"/>
        <w:jc w:val="both"/>
        <w:rPr>
          <w:rFonts w:ascii="Arial" w:hAnsi="Arial" w:cs="Arial"/>
          <w:lang w:val="sr-Latn-ME"/>
        </w:rPr>
      </w:pPr>
      <w:r w:rsidRPr="001302F9">
        <w:rPr>
          <w:rFonts w:ascii="Arial" w:hAnsi="Arial" w:cs="Arial"/>
          <w:lang w:val="sr-Latn-ME"/>
        </w:rPr>
        <w:t xml:space="preserve">Vlada Crne Gore je usvojila </w:t>
      </w:r>
      <w:r w:rsidRPr="001302F9">
        <w:rPr>
          <w:rFonts w:ascii="Arial" w:hAnsi="Arial" w:cs="Arial"/>
          <w:i/>
          <w:iCs/>
          <w:lang w:val="sr-Latn-ME"/>
        </w:rPr>
        <w:t>Strategiju za borbu protiv prevara i upravljanje nepravilnostima radi zaštite finansijskih interesa EU za period 2015–2017</w:t>
      </w:r>
      <w:r w:rsidRPr="001302F9">
        <w:rPr>
          <w:rFonts w:ascii="Arial" w:hAnsi="Arial" w:cs="Arial"/>
          <w:lang w:val="sr-Latn-ME"/>
        </w:rPr>
        <w:t xml:space="preserve">, kao i </w:t>
      </w:r>
      <w:r w:rsidRPr="001302F9">
        <w:rPr>
          <w:rFonts w:ascii="Arial" w:hAnsi="Arial" w:cs="Arial"/>
          <w:i/>
          <w:iCs/>
          <w:lang w:val="sr-Latn-ME"/>
        </w:rPr>
        <w:t>Strategiju za borbu protiv prevara i upravljanje nepravilnostima radi zaštite finansijskih interesa EU 2019–2022</w:t>
      </w:r>
      <w:r w:rsidRPr="001302F9">
        <w:rPr>
          <w:rFonts w:ascii="Arial" w:hAnsi="Arial" w:cs="Arial"/>
          <w:lang w:val="sr-Latn-ME"/>
        </w:rPr>
        <w:t>, koje su definisale prioritete i mjere za unapr</w:t>
      </w:r>
      <w:r w:rsidR="008F0CAD">
        <w:rPr>
          <w:rFonts w:ascii="Arial" w:hAnsi="Arial" w:cs="Arial"/>
          <w:lang w:val="sr-Latn-ME"/>
        </w:rPr>
        <w:t>ij</w:t>
      </w:r>
      <w:r w:rsidRPr="001302F9">
        <w:rPr>
          <w:rFonts w:ascii="Arial" w:hAnsi="Arial" w:cs="Arial"/>
          <w:lang w:val="sr-Latn-ME"/>
        </w:rPr>
        <w:t xml:space="preserve">eđenje zaštite finansijskih interesa EU. Time </w:t>
      </w:r>
      <w:r w:rsidR="00F618E0" w:rsidRPr="001302F9">
        <w:rPr>
          <w:rFonts w:ascii="Arial" w:hAnsi="Arial" w:cs="Arial"/>
          <w:lang w:val="sr-Latn-ME"/>
        </w:rPr>
        <w:t xml:space="preserve">je </w:t>
      </w:r>
      <w:r w:rsidRPr="001302F9">
        <w:rPr>
          <w:rFonts w:ascii="Arial" w:hAnsi="Arial" w:cs="Arial"/>
          <w:lang w:val="sr-Latn-ME"/>
        </w:rPr>
        <w:t xml:space="preserve">Crna Gora </w:t>
      </w:r>
      <w:r w:rsidR="00F618E0" w:rsidRPr="001302F9">
        <w:rPr>
          <w:rFonts w:ascii="Arial" w:hAnsi="Arial" w:cs="Arial"/>
          <w:lang w:val="sr-Latn-ME"/>
        </w:rPr>
        <w:t>pokazala</w:t>
      </w:r>
      <w:r w:rsidRPr="001302F9">
        <w:rPr>
          <w:rFonts w:ascii="Arial" w:hAnsi="Arial" w:cs="Arial"/>
          <w:lang w:val="sr-Latn-ME"/>
        </w:rPr>
        <w:t xml:space="preserve"> svoju spremnost i političku volju da osigura efikasnu zaštitu finansijskih interesa EU i uskladi nacionalno zakonodavstvo s relevantnim </w:t>
      </w:r>
      <w:r w:rsidRPr="001302F9">
        <w:rPr>
          <w:rFonts w:ascii="Arial" w:hAnsi="Arial" w:cs="Arial"/>
          <w:i/>
          <w:iCs/>
          <w:lang w:val="sr-Latn-ME"/>
        </w:rPr>
        <w:t>acquis communautaire</w:t>
      </w:r>
      <w:r w:rsidRPr="001302F9">
        <w:rPr>
          <w:rFonts w:ascii="Arial" w:hAnsi="Arial" w:cs="Arial"/>
          <w:lang w:val="sr-Latn-ME"/>
        </w:rPr>
        <w:t>-om. U tom kontekstu, Crna Gora je posvećena korišćenju svih raspoloživih kapaciteta u borbi protiv nepravilnosti i prevara povezanih s EU fondovima.</w:t>
      </w:r>
    </w:p>
    <w:p w:rsidR="00A823A9" w:rsidRPr="001302F9" w:rsidRDefault="007B2AAF" w:rsidP="00D23BC2">
      <w:pPr>
        <w:spacing w:before="120" w:after="120" w:line="240" w:lineRule="auto"/>
        <w:jc w:val="both"/>
        <w:rPr>
          <w:rFonts w:ascii="Arial" w:hAnsi="Arial" w:cs="Arial"/>
          <w:lang w:val="sr-Latn-ME"/>
        </w:rPr>
      </w:pPr>
      <w:r w:rsidRPr="001302F9">
        <w:rPr>
          <w:rFonts w:ascii="Arial" w:hAnsi="Arial" w:cs="Arial"/>
          <w:lang w:val="sr-Latn-ME"/>
        </w:rPr>
        <w:t xml:space="preserve">Sredinom 2024. godine, </w:t>
      </w:r>
      <w:r w:rsidR="001F7DB2" w:rsidRPr="001302F9">
        <w:rPr>
          <w:rFonts w:ascii="Arial" w:hAnsi="Arial" w:cs="Arial"/>
          <w:lang w:val="sr-Latn-ME"/>
        </w:rPr>
        <w:t>Direkcija za zaštitu finansijskih interesa EU/</w:t>
      </w:r>
      <w:r w:rsidRPr="001302F9">
        <w:rPr>
          <w:rFonts w:ascii="Arial" w:hAnsi="Arial" w:cs="Arial"/>
          <w:lang w:val="sr-Latn-ME"/>
        </w:rPr>
        <w:t xml:space="preserve">AFCOS je, u okviru Twinning Light projekta </w:t>
      </w:r>
      <w:r w:rsidR="00385897" w:rsidRPr="001302F9">
        <w:rPr>
          <w:rFonts w:ascii="Arial" w:hAnsi="Arial" w:cs="Arial"/>
          <w:lang w:val="sr-Latn-ME"/>
        </w:rPr>
        <w:t>„</w:t>
      </w:r>
      <w:r w:rsidRPr="001302F9">
        <w:rPr>
          <w:rFonts w:ascii="Arial" w:hAnsi="Arial" w:cs="Arial"/>
          <w:i/>
          <w:iCs/>
          <w:lang w:val="sr-Latn-ME"/>
        </w:rPr>
        <w:t>Dalje unapređenje funkcionisanja crnogorskog AFCOS sistema u cilju efikasne zaštite finansijskih interesa EU</w:t>
      </w:r>
      <w:r w:rsidR="00385897" w:rsidRPr="001302F9">
        <w:rPr>
          <w:rFonts w:ascii="Arial" w:hAnsi="Arial" w:cs="Arial"/>
          <w:i/>
          <w:iCs/>
          <w:lang w:val="sr-Latn-ME"/>
        </w:rPr>
        <w:t>“</w:t>
      </w:r>
      <w:r w:rsidRPr="001302F9">
        <w:rPr>
          <w:rFonts w:ascii="Arial" w:hAnsi="Arial" w:cs="Arial"/>
          <w:lang w:val="sr-Latn-ME"/>
        </w:rPr>
        <w:t xml:space="preserve">, pokrenula izradu nove </w:t>
      </w:r>
      <w:r w:rsidR="00385897" w:rsidRPr="001302F9">
        <w:rPr>
          <w:rFonts w:ascii="Arial" w:hAnsi="Arial" w:cs="Arial"/>
          <w:i/>
          <w:iCs/>
          <w:lang w:val="sr-Latn-ME"/>
        </w:rPr>
        <w:t>Strategije</w:t>
      </w:r>
      <w:r w:rsidRPr="001302F9">
        <w:rPr>
          <w:rFonts w:ascii="Arial" w:hAnsi="Arial" w:cs="Arial"/>
          <w:i/>
          <w:iCs/>
          <w:lang w:val="sr-Latn-ME"/>
        </w:rPr>
        <w:t xml:space="preserve"> za period 2025–2028</w:t>
      </w:r>
      <w:r w:rsidRPr="001302F9">
        <w:rPr>
          <w:rFonts w:ascii="Arial" w:hAnsi="Arial" w:cs="Arial"/>
          <w:lang w:val="sr-Latn-ME"/>
        </w:rPr>
        <w:t>, kao i pratećeg Akcionog plana. U razvoju ovog dokumenta uzeti su u obzir aspekti koji zahtijevaju unapređenje u narednom periodu, kao i procedure i prakse uspostavljene s ciljem jačanja zaštite finansijskih interesa EU u Crnoj Gori.</w:t>
      </w:r>
    </w:p>
    <w:p w:rsidR="001F7DB2" w:rsidRPr="001302F9" w:rsidRDefault="001F7DB2" w:rsidP="00D23BC2">
      <w:pPr>
        <w:spacing w:before="120" w:after="120" w:line="240" w:lineRule="auto"/>
        <w:jc w:val="both"/>
        <w:rPr>
          <w:rFonts w:ascii="Arial" w:hAnsi="Arial" w:cs="Arial"/>
          <w:lang w:val="sr-Latn-ME"/>
        </w:rPr>
      </w:pPr>
      <w:r w:rsidRPr="001302F9">
        <w:rPr>
          <w:rFonts w:ascii="Arial" w:hAnsi="Arial" w:cs="Arial"/>
          <w:lang w:val="sr-Latn-ME"/>
        </w:rPr>
        <w:t>Nova Strategija biće usklađena s drugim strateškim dokumentima važnim za zaštitu finansijskih interesa EU, među kojima su:</w:t>
      </w:r>
    </w:p>
    <w:p w:rsidR="001F7DB2" w:rsidRPr="001302F9" w:rsidRDefault="001F7DB2" w:rsidP="00D23BC2">
      <w:pPr>
        <w:spacing w:before="120" w:after="120" w:line="240" w:lineRule="auto"/>
        <w:jc w:val="both"/>
        <w:rPr>
          <w:rFonts w:ascii="Arial" w:hAnsi="Arial" w:cs="Arial"/>
          <w:b/>
          <w:bCs/>
          <w:lang w:val="sr-Latn-ME"/>
        </w:rPr>
      </w:pPr>
      <w:r w:rsidRPr="001302F9">
        <w:rPr>
          <w:rFonts w:ascii="Arial" w:hAnsi="Arial" w:cs="Arial"/>
          <w:b/>
          <w:bCs/>
          <w:lang w:val="sr-Latn-ME"/>
        </w:rPr>
        <w:t>Nacionalna strategija održivog razvoja do 2030. godine</w:t>
      </w:r>
    </w:p>
    <w:p w:rsidR="001F7DB2" w:rsidRPr="001302F9" w:rsidRDefault="001F7DB2" w:rsidP="00D23BC2">
      <w:pPr>
        <w:spacing w:before="120" w:after="120" w:line="240" w:lineRule="auto"/>
        <w:jc w:val="both"/>
        <w:rPr>
          <w:rFonts w:ascii="Arial" w:hAnsi="Arial" w:cs="Arial"/>
          <w:lang w:val="sr-Latn-ME"/>
        </w:rPr>
      </w:pPr>
      <w:r w:rsidRPr="001302F9">
        <w:rPr>
          <w:rFonts w:ascii="Arial" w:hAnsi="Arial" w:cs="Arial"/>
          <w:i/>
          <w:iCs/>
          <w:lang w:val="sr-Latn-ME"/>
        </w:rPr>
        <w:t>Nacionalna strategija održivog razvoja do 2030. godine</w:t>
      </w:r>
      <w:r w:rsidRPr="001302F9">
        <w:rPr>
          <w:rFonts w:ascii="Arial" w:hAnsi="Arial" w:cs="Arial"/>
          <w:lang w:val="sr-Latn-ME"/>
        </w:rPr>
        <w:t xml:space="preserve"> prepoznaje potrebu za borbom protiv organizovanog kriminala. U ovom dokumentu istaknuto je da, uprkos uloženim naporima, efikasna borba protiv korupcije i organizovanog kriminala i dalje predstavlja izazov. S obzirom na to da organizovani kriminal može ugroziti i EU fondove, nov</w:t>
      </w:r>
      <w:r w:rsidR="00F03F4F" w:rsidRPr="001302F9">
        <w:rPr>
          <w:rFonts w:ascii="Arial" w:hAnsi="Arial" w:cs="Arial"/>
          <w:lang w:val="sr-Latn-ME"/>
        </w:rPr>
        <w:t xml:space="preserve">a Strategija </w:t>
      </w:r>
      <w:r w:rsidRPr="001302F9">
        <w:rPr>
          <w:rFonts w:ascii="Arial" w:hAnsi="Arial" w:cs="Arial"/>
          <w:lang w:val="sr-Latn-ME"/>
        </w:rPr>
        <w:t xml:space="preserve">će doprinijeti ostvarivanju ciljeva definisanih u </w:t>
      </w:r>
      <w:r w:rsidRPr="001302F9">
        <w:rPr>
          <w:rFonts w:ascii="Arial" w:hAnsi="Arial" w:cs="Arial"/>
          <w:i/>
          <w:iCs/>
          <w:lang w:val="sr-Latn-ME"/>
        </w:rPr>
        <w:t>Nacionalnoj strategiji održivog razvoja</w:t>
      </w:r>
      <w:r w:rsidRPr="001302F9">
        <w:rPr>
          <w:rFonts w:ascii="Arial" w:hAnsi="Arial" w:cs="Arial"/>
          <w:lang w:val="sr-Latn-ME"/>
        </w:rPr>
        <w:t>.</w:t>
      </w:r>
    </w:p>
    <w:p w:rsidR="001F7DB2" w:rsidRPr="001302F9" w:rsidRDefault="001F7DB2" w:rsidP="00D23BC2">
      <w:pPr>
        <w:spacing w:before="120" w:after="120" w:line="240" w:lineRule="auto"/>
        <w:jc w:val="both"/>
        <w:rPr>
          <w:rFonts w:ascii="Arial" w:hAnsi="Arial" w:cs="Arial"/>
          <w:b/>
          <w:bCs/>
          <w:lang w:val="sr-Latn-ME"/>
        </w:rPr>
      </w:pPr>
      <w:r w:rsidRPr="001302F9">
        <w:rPr>
          <w:rFonts w:ascii="Arial" w:hAnsi="Arial" w:cs="Arial"/>
          <w:b/>
          <w:bCs/>
          <w:lang w:val="sr-Latn-ME"/>
        </w:rPr>
        <w:t>Srednjoročni program rada Vlade Crne Gore za 2024–2027</w:t>
      </w:r>
    </w:p>
    <w:p w:rsidR="001F7DB2" w:rsidRPr="001302F9" w:rsidRDefault="001F7DB2" w:rsidP="00D23BC2">
      <w:pPr>
        <w:spacing w:before="120" w:after="120" w:line="240" w:lineRule="auto"/>
        <w:jc w:val="both"/>
        <w:rPr>
          <w:rFonts w:ascii="Arial" w:hAnsi="Arial" w:cs="Arial"/>
          <w:lang w:val="sr-Latn-ME"/>
        </w:rPr>
      </w:pPr>
      <w:r w:rsidRPr="001302F9">
        <w:rPr>
          <w:rFonts w:ascii="Arial" w:hAnsi="Arial" w:cs="Arial"/>
          <w:lang w:val="sr-Latn-ME"/>
        </w:rPr>
        <w:t xml:space="preserve">Jedan od ključnih prioriteta </w:t>
      </w:r>
      <w:r w:rsidRPr="001302F9">
        <w:rPr>
          <w:rFonts w:ascii="Arial" w:hAnsi="Arial" w:cs="Arial"/>
          <w:i/>
          <w:iCs/>
          <w:lang w:val="sr-Latn-ME"/>
        </w:rPr>
        <w:t>Srednjoročnog programa rada Vlade 2024–2027</w:t>
      </w:r>
      <w:r w:rsidRPr="001302F9">
        <w:rPr>
          <w:rFonts w:ascii="Arial" w:hAnsi="Arial" w:cs="Arial"/>
          <w:lang w:val="sr-Latn-ME"/>
        </w:rPr>
        <w:t xml:space="preserve"> jeste: </w:t>
      </w:r>
      <w:r w:rsidRPr="001302F9">
        <w:rPr>
          <w:rFonts w:ascii="Arial" w:hAnsi="Arial" w:cs="Arial"/>
          <w:b/>
          <w:bCs/>
          <w:lang w:val="sr-Latn-ME"/>
        </w:rPr>
        <w:t>"Crna Gora je država vladavine prava i kredibilan član EU i NATO-a."</w:t>
      </w:r>
      <w:r w:rsidRPr="001302F9">
        <w:rPr>
          <w:rFonts w:ascii="Arial" w:hAnsi="Arial" w:cs="Arial"/>
          <w:lang w:val="sr-Latn-ME"/>
        </w:rPr>
        <w:t xml:space="preserve"> Crna Gora se trenutno nalazi u ključnoj fazi pregovora o pristupanju EU, a usklađivanje nacionalnog zakonodavstva s evropskim </w:t>
      </w:r>
      <w:r w:rsidRPr="001302F9">
        <w:rPr>
          <w:rFonts w:ascii="Arial" w:hAnsi="Arial" w:cs="Arial"/>
          <w:i/>
          <w:iCs/>
          <w:lang w:val="sr-Latn-ME"/>
        </w:rPr>
        <w:t>acquis</w:t>
      </w:r>
      <w:r w:rsidRPr="001302F9">
        <w:rPr>
          <w:rFonts w:ascii="Arial" w:hAnsi="Arial" w:cs="Arial"/>
          <w:lang w:val="sr-Latn-ME"/>
        </w:rPr>
        <w:t>-om od suštinskog je značaja. Usvajanje nov</w:t>
      </w:r>
      <w:r w:rsidR="00F03F4F" w:rsidRPr="001302F9">
        <w:rPr>
          <w:rFonts w:ascii="Arial" w:hAnsi="Arial" w:cs="Arial"/>
          <w:lang w:val="sr-Latn-ME"/>
        </w:rPr>
        <w:t xml:space="preserve">e Strategije </w:t>
      </w:r>
      <w:r w:rsidRPr="001302F9">
        <w:rPr>
          <w:rFonts w:ascii="Arial" w:hAnsi="Arial" w:cs="Arial"/>
          <w:lang w:val="sr-Latn-ME"/>
        </w:rPr>
        <w:t xml:space="preserve">planirano je u okviru drugog prioriteta: </w:t>
      </w:r>
      <w:r w:rsidRPr="001302F9">
        <w:rPr>
          <w:rFonts w:ascii="Arial" w:hAnsi="Arial" w:cs="Arial"/>
          <w:b/>
          <w:bCs/>
          <w:lang w:val="sr-Latn-ME"/>
        </w:rPr>
        <w:t>"Stabilan finansijski i ekonomski sistem za bogatu državu i njene građane."</w:t>
      </w:r>
      <w:r w:rsidRPr="001302F9">
        <w:rPr>
          <w:rFonts w:ascii="Arial" w:hAnsi="Arial" w:cs="Arial"/>
          <w:lang w:val="sr-Latn-ME"/>
        </w:rPr>
        <w:t xml:space="preserve"> Ovim strateškim ciljem predviđeno je jačanje javnih finansija i unapređenje finansijske discipline, što će doprinijeti snažnijem ekonomskom razvoju Crne Gore.</w:t>
      </w:r>
    </w:p>
    <w:p w:rsidR="001F7DB2" w:rsidRPr="001302F9" w:rsidRDefault="00D942FE" w:rsidP="00D23BC2">
      <w:pPr>
        <w:spacing w:before="120" w:after="120" w:line="240" w:lineRule="auto"/>
        <w:jc w:val="both"/>
        <w:rPr>
          <w:rFonts w:ascii="Arial" w:hAnsi="Arial" w:cs="Arial"/>
          <w:b/>
          <w:bCs/>
          <w:lang w:val="sr-Latn-ME"/>
        </w:rPr>
      </w:pPr>
      <w:r>
        <w:rPr>
          <w:rFonts w:ascii="Arial" w:hAnsi="Arial" w:cs="Arial"/>
          <w:b/>
          <w:bCs/>
          <w:lang w:val="sr-Latn-ME"/>
        </w:rPr>
        <w:t>Program ekonomskih reformi</w:t>
      </w:r>
      <w:r w:rsidR="001F7DB2" w:rsidRPr="001302F9">
        <w:rPr>
          <w:rFonts w:ascii="Arial" w:hAnsi="Arial" w:cs="Arial"/>
          <w:b/>
          <w:bCs/>
          <w:lang w:val="sr-Latn-ME"/>
        </w:rPr>
        <w:t xml:space="preserve"> 202</w:t>
      </w:r>
      <w:r>
        <w:rPr>
          <w:rFonts w:ascii="Arial" w:hAnsi="Arial" w:cs="Arial"/>
          <w:b/>
          <w:bCs/>
          <w:lang w:val="sr-Latn-ME"/>
        </w:rPr>
        <w:t>4</w:t>
      </w:r>
      <w:r w:rsidR="001F7DB2" w:rsidRPr="001302F9">
        <w:rPr>
          <w:rFonts w:ascii="Arial" w:hAnsi="Arial" w:cs="Arial"/>
          <w:b/>
          <w:bCs/>
          <w:lang w:val="sr-Latn-ME"/>
        </w:rPr>
        <w:t>–202</w:t>
      </w:r>
      <w:r>
        <w:rPr>
          <w:rFonts w:ascii="Arial" w:hAnsi="Arial" w:cs="Arial"/>
          <w:b/>
          <w:bCs/>
          <w:lang w:val="sr-Latn-ME"/>
        </w:rPr>
        <w:t>6</w:t>
      </w:r>
    </w:p>
    <w:p w:rsidR="001F7DB2" w:rsidRPr="001302F9" w:rsidRDefault="001F7DB2" w:rsidP="00D23BC2">
      <w:pPr>
        <w:spacing w:before="120" w:after="120" w:line="240" w:lineRule="auto"/>
        <w:jc w:val="both"/>
        <w:rPr>
          <w:rFonts w:ascii="Arial" w:hAnsi="Arial" w:cs="Arial"/>
          <w:lang w:val="sr-Latn-ME"/>
        </w:rPr>
      </w:pPr>
      <w:r w:rsidRPr="001302F9">
        <w:rPr>
          <w:rFonts w:ascii="Arial" w:hAnsi="Arial" w:cs="Arial"/>
          <w:i/>
          <w:iCs/>
          <w:lang w:val="sr-Latn-ME"/>
        </w:rPr>
        <w:t>Ekonomski reformski program 2023–2025</w:t>
      </w:r>
      <w:r w:rsidRPr="001302F9">
        <w:rPr>
          <w:rFonts w:ascii="Arial" w:hAnsi="Arial" w:cs="Arial"/>
          <w:lang w:val="sr-Latn-ME"/>
        </w:rPr>
        <w:t xml:space="preserve"> predstavlja najvažniji dokument Crne Gore u ekonomskom dijalogu s EU i ključni strateški okvir za srednjoročno makroekonomsko i fiskalno planiranje. Ovaj program uključuje i agendu strukturnih reformi usmjerenih na uklanjanje prepreka ekonomskom rastu i jačanje konkurentnosti zemlje. Jedna od ključnih prepreka privrednom razvoju je korupcija i ugrožavanje finansijskih interesa EU. Nov</w:t>
      </w:r>
      <w:r w:rsidR="00C267A5" w:rsidRPr="001302F9">
        <w:rPr>
          <w:rFonts w:ascii="Arial" w:hAnsi="Arial" w:cs="Arial"/>
          <w:lang w:val="sr-Latn-ME"/>
        </w:rPr>
        <w:t xml:space="preserve">a Strategija </w:t>
      </w:r>
      <w:r w:rsidRPr="001302F9">
        <w:rPr>
          <w:rFonts w:ascii="Arial" w:hAnsi="Arial" w:cs="Arial"/>
          <w:lang w:val="sr-Latn-ME"/>
        </w:rPr>
        <w:t xml:space="preserve">će doprinijeti jačanju finansijske discipline i transparentnosti, čime će se podržati ciljevi definisani u </w:t>
      </w:r>
      <w:r w:rsidR="00D942FE">
        <w:rPr>
          <w:rFonts w:ascii="Arial" w:hAnsi="Arial" w:cs="Arial"/>
          <w:i/>
          <w:iCs/>
          <w:lang w:val="sr-Latn-ME"/>
        </w:rPr>
        <w:t>Program ekonomskih reformi</w:t>
      </w:r>
      <w:r w:rsidRPr="001302F9">
        <w:rPr>
          <w:rFonts w:ascii="Arial" w:hAnsi="Arial" w:cs="Arial"/>
          <w:i/>
          <w:iCs/>
          <w:lang w:val="sr-Latn-ME"/>
        </w:rPr>
        <w:t xml:space="preserve"> 202</w:t>
      </w:r>
      <w:r w:rsidR="00D942FE">
        <w:rPr>
          <w:rFonts w:ascii="Arial" w:hAnsi="Arial" w:cs="Arial"/>
          <w:i/>
          <w:iCs/>
          <w:lang w:val="sr-Latn-ME"/>
        </w:rPr>
        <w:t>4</w:t>
      </w:r>
      <w:r w:rsidRPr="001302F9">
        <w:rPr>
          <w:rFonts w:ascii="Arial" w:hAnsi="Arial" w:cs="Arial"/>
          <w:i/>
          <w:iCs/>
          <w:lang w:val="sr-Latn-ME"/>
        </w:rPr>
        <w:t>–202</w:t>
      </w:r>
      <w:r w:rsidR="00D942FE">
        <w:rPr>
          <w:rFonts w:ascii="Arial" w:hAnsi="Arial" w:cs="Arial"/>
          <w:i/>
          <w:iCs/>
          <w:lang w:val="sr-Latn-ME"/>
        </w:rPr>
        <w:t>6</w:t>
      </w:r>
      <w:r w:rsidRPr="001302F9">
        <w:rPr>
          <w:rFonts w:ascii="Arial" w:hAnsi="Arial" w:cs="Arial"/>
          <w:lang w:val="sr-Latn-ME"/>
        </w:rPr>
        <w:t>.</w:t>
      </w:r>
    </w:p>
    <w:p w:rsidR="001F7DB2" w:rsidRPr="001302F9" w:rsidRDefault="007B2DA4" w:rsidP="00D23BC2">
      <w:pPr>
        <w:spacing w:before="120" w:after="120" w:line="240" w:lineRule="auto"/>
        <w:jc w:val="both"/>
        <w:rPr>
          <w:rFonts w:ascii="Arial" w:hAnsi="Arial" w:cs="Arial"/>
          <w:b/>
          <w:bCs/>
          <w:lang w:val="sr-Latn-ME"/>
        </w:rPr>
      </w:pPr>
      <w:r w:rsidRPr="001302F9">
        <w:rPr>
          <w:rFonts w:ascii="Arial" w:hAnsi="Arial" w:cs="Arial"/>
          <w:lang w:val="sr-Latn-ME"/>
        </w:rPr>
        <w:t>Takođe, j</w:t>
      </w:r>
      <w:r w:rsidR="001F7DB2" w:rsidRPr="001302F9">
        <w:rPr>
          <w:rFonts w:ascii="Arial" w:hAnsi="Arial" w:cs="Arial"/>
          <w:lang w:val="sr-Latn-ME"/>
        </w:rPr>
        <w:t xml:space="preserve">edna od prepreka ekonomskom rastu su finansijske prevare, zbog čega će </w:t>
      </w:r>
      <w:r w:rsidR="001F7DB2" w:rsidRPr="001302F9">
        <w:rPr>
          <w:rFonts w:ascii="Arial" w:hAnsi="Arial" w:cs="Arial"/>
          <w:i/>
          <w:iCs/>
          <w:lang w:val="sr-Latn-ME"/>
        </w:rPr>
        <w:t xml:space="preserve">Strategija </w:t>
      </w:r>
      <w:r w:rsidR="001F7DB2" w:rsidRPr="001302F9">
        <w:rPr>
          <w:rFonts w:ascii="Arial" w:hAnsi="Arial" w:cs="Arial"/>
          <w:lang w:val="sr-Latn-ME"/>
        </w:rPr>
        <w:t xml:space="preserve">doprinijeti ostvarenju glavnog strateškog cilja ekonomske politike Crne Gore: </w:t>
      </w:r>
      <w:r w:rsidR="001F7DB2" w:rsidRPr="001302F9">
        <w:rPr>
          <w:rFonts w:ascii="Arial" w:hAnsi="Arial" w:cs="Arial"/>
          <w:b/>
          <w:bCs/>
          <w:lang w:val="sr-Latn-ME"/>
        </w:rPr>
        <w:t>"postizanje pametnog, održivog i inkluzivnog ekonomskog rasta koji će poboljšati kvalitet života svih građana."</w:t>
      </w:r>
    </w:p>
    <w:p w:rsidR="00877B4C" w:rsidRPr="001302F9" w:rsidRDefault="00877B4C" w:rsidP="00D23BC2">
      <w:pPr>
        <w:spacing w:before="120" w:after="120" w:line="240" w:lineRule="auto"/>
        <w:jc w:val="both"/>
        <w:rPr>
          <w:rFonts w:ascii="Arial" w:hAnsi="Arial" w:cs="Arial"/>
          <w:lang w:val="sr-Latn-ME"/>
        </w:rPr>
      </w:pPr>
    </w:p>
    <w:p w:rsidR="001F7DB2" w:rsidRPr="001302F9" w:rsidRDefault="001F7DB2" w:rsidP="00D23BC2">
      <w:pPr>
        <w:spacing w:before="120" w:after="120" w:line="240" w:lineRule="auto"/>
        <w:jc w:val="both"/>
        <w:rPr>
          <w:rFonts w:ascii="Arial" w:hAnsi="Arial" w:cs="Arial"/>
          <w:b/>
          <w:bCs/>
          <w:lang w:val="sr-Latn-ME"/>
        </w:rPr>
      </w:pPr>
      <w:r w:rsidRPr="001302F9">
        <w:rPr>
          <w:rFonts w:ascii="Arial" w:hAnsi="Arial" w:cs="Arial"/>
          <w:b/>
          <w:bCs/>
          <w:lang w:val="sr-Latn-ME"/>
        </w:rPr>
        <w:t>Program pristupanja Crne Gore Evropskoj uniji 2024–2027</w:t>
      </w:r>
    </w:p>
    <w:p w:rsidR="001F7DB2" w:rsidRPr="001302F9" w:rsidRDefault="001F7DB2" w:rsidP="00D23BC2">
      <w:pPr>
        <w:spacing w:before="120" w:after="120" w:line="240" w:lineRule="auto"/>
        <w:jc w:val="both"/>
        <w:rPr>
          <w:rFonts w:ascii="Arial" w:hAnsi="Arial" w:cs="Arial"/>
          <w:lang w:val="sr-Latn-ME"/>
        </w:rPr>
      </w:pPr>
      <w:r w:rsidRPr="001302F9">
        <w:rPr>
          <w:rFonts w:ascii="Arial" w:hAnsi="Arial" w:cs="Arial"/>
          <w:i/>
          <w:iCs/>
          <w:lang w:val="sr-Latn-ME"/>
        </w:rPr>
        <w:t>Program pristupanja Crne Gore Evropskoj uniji 2024–2027</w:t>
      </w:r>
      <w:r w:rsidRPr="001302F9">
        <w:rPr>
          <w:rFonts w:ascii="Arial" w:hAnsi="Arial" w:cs="Arial"/>
          <w:lang w:val="sr-Latn-ME"/>
        </w:rPr>
        <w:t xml:space="preserve"> predstavlja sveobuhvatan strateški dokument koji prati reforme u procesu usklađivanja nacionalnog zakonodavstva s evropskim </w:t>
      </w:r>
      <w:r w:rsidRPr="001302F9">
        <w:rPr>
          <w:rFonts w:ascii="Arial" w:hAnsi="Arial" w:cs="Arial"/>
          <w:i/>
          <w:iCs/>
          <w:lang w:val="sr-Latn-ME"/>
        </w:rPr>
        <w:t>acquis</w:t>
      </w:r>
      <w:r w:rsidRPr="001302F9">
        <w:rPr>
          <w:rFonts w:ascii="Arial" w:hAnsi="Arial" w:cs="Arial"/>
          <w:lang w:val="sr-Latn-ME"/>
        </w:rPr>
        <w:t>-om. Takođe, obuhvata reforme u strateškom okviru, koje se odnose na sposobnost Crne Gore da preuzme obaveze proistekle iz članstva u EU u okviru svih 33 pregovaračka poglavlja, kao i na jačanje administrativnih kapaciteta institucija. Usvajanje nov</w:t>
      </w:r>
      <w:r w:rsidR="00D23BC2" w:rsidRPr="001302F9">
        <w:rPr>
          <w:rFonts w:ascii="Arial" w:hAnsi="Arial" w:cs="Arial"/>
          <w:lang w:val="sr-Latn-ME"/>
        </w:rPr>
        <w:t xml:space="preserve">e Strategije </w:t>
      </w:r>
      <w:r w:rsidRPr="001302F9">
        <w:rPr>
          <w:rFonts w:ascii="Arial" w:hAnsi="Arial" w:cs="Arial"/>
          <w:lang w:val="sr-Latn-ME"/>
        </w:rPr>
        <w:t xml:space="preserve">planirano je kroz </w:t>
      </w:r>
      <w:r w:rsidRPr="001302F9">
        <w:rPr>
          <w:rFonts w:ascii="Arial" w:hAnsi="Arial" w:cs="Arial"/>
          <w:b/>
          <w:bCs/>
          <w:lang w:val="sr-Latn-ME"/>
        </w:rPr>
        <w:t>Pregovaračko poglavlje 32 – Finansijska kontrola</w:t>
      </w:r>
      <w:r w:rsidRPr="001302F9">
        <w:rPr>
          <w:rFonts w:ascii="Arial" w:hAnsi="Arial" w:cs="Arial"/>
          <w:lang w:val="sr-Latn-ME"/>
        </w:rPr>
        <w:t>, koje obuhvata oblast zaštite finansijskih interesa EU.</w:t>
      </w:r>
    </w:p>
    <w:p w:rsidR="001F7DB2" w:rsidRPr="001302F9" w:rsidRDefault="00D942FE" w:rsidP="00D23BC2">
      <w:pPr>
        <w:spacing w:before="120" w:after="120" w:line="240" w:lineRule="auto"/>
        <w:jc w:val="both"/>
        <w:rPr>
          <w:rFonts w:ascii="Arial" w:hAnsi="Arial" w:cs="Arial"/>
          <w:b/>
          <w:bCs/>
          <w:lang w:val="sr-Latn-ME"/>
        </w:rPr>
      </w:pPr>
      <w:r>
        <w:rPr>
          <w:rFonts w:ascii="Arial" w:hAnsi="Arial" w:cs="Arial"/>
          <w:b/>
          <w:bCs/>
          <w:lang w:val="sr-Latn-ME"/>
        </w:rPr>
        <w:t xml:space="preserve">Ažurirani </w:t>
      </w:r>
      <w:r w:rsidR="001F7DB2" w:rsidRPr="001302F9">
        <w:rPr>
          <w:rFonts w:ascii="Arial" w:hAnsi="Arial" w:cs="Arial"/>
          <w:b/>
          <w:bCs/>
          <w:lang w:val="sr-Latn-ME"/>
        </w:rPr>
        <w:t>Program reforme upravljanja javnim finansijama 2022–2026</w:t>
      </w:r>
    </w:p>
    <w:p w:rsidR="001F7DB2" w:rsidRPr="001302F9" w:rsidRDefault="001F7DB2" w:rsidP="00D23BC2">
      <w:pPr>
        <w:spacing w:before="120" w:after="120" w:line="240" w:lineRule="auto"/>
        <w:jc w:val="both"/>
        <w:rPr>
          <w:rFonts w:ascii="Arial" w:hAnsi="Arial" w:cs="Arial"/>
          <w:lang w:val="sr-Latn-ME"/>
        </w:rPr>
      </w:pPr>
      <w:r w:rsidRPr="001302F9">
        <w:rPr>
          <w:rFonts w:ascii="Arial" w:hAnsi="Arial" w:cs="Arial"/>
          <w:lang w:val="sr-Latn-ME"/>
        </w:rPr>
        <w:t xml:space="preserve">Jedna od oblasti u okviru strateškog cilja </w:t>
      </w:r>
      <w:r w:rsidRPr="001302F9">
        <w:rPr>
          <w:rFonts w:ascii="Arial" w:hAnsi="Arial" w:cs="Arial"/>
          <w:b/>
          <w:bCs/>
          <w:lang w:val="sr-Latn-ME"/>
        </w:rPr>
        <w:t>"Finansijska kontrola"</w:t>
      </w:r>
      <w:r w:rsidRPr="001302F9">
        <w:rPr>
          <w:rFonts w:ascii="Arial" w:hAnsi="Arial" w:cs="Arial"/>
          <w:lang w:val="sr-Latn-ME"/>
        </w:rPr>
        <w:t xml:space="preserve"> jeste </w:t>
      </w:r>
      <w:r w:rsidRPr="001302F9">
        <w:rPr>
          <w:rFonts w:ascii="Arial" w:hAnsi="Arial" w:cs="Arial"/>
          <w:b/>
          <w:bCs/>
          <w:lang w:val="sr-Latn-ME"/>
        </w:rPr>
        <w:t>"Koordinacija borbe protiv prevara (AFCOS)"</w:t>
      </w:r>
      <w:r w:rsidRPr="001302F9">
        <w:rPr>
          <w:rFonts w:ascii="Arial" w:hAnsi="Arial" w:cs="Arial"/>
          <w:lang w:val="sr-Latn-ME"/>
        </w:rPr>
        <w:t xml:space="preserve">, koja predviđa izradu nove </w:t>
      </w:r>
      <w:r w:rsidRPr="001302F9">
        <w:rPr>
          <w:rFonts w:ascii="Arial" w:hAnsi="Arial" w:cs="Arial"/>
          <w:i/>
          <w:iCs/>
          <w:lang w:val="sr-Latn-ME"/>
        </w:rPr>
        <w:t>Strategije za borbu protiv prevara i upravljanje nepravilnostima radi zaštite finansijskih interesa EU</w:t>
      </w:r>
      <w:r w:rsidRPr="001302F9">
        <w:rPr>
          <w:rFonts w:ascii="Arial" w:hAnsi="Arial" w:cs="Arial"/>
          <w:lang w:val="sr-Latn-ME"/>
        </w:rPr>
        <w:t xml:space="preserve"> za period 202</w:t>
      </w:r>
      <w:r w:rsidR="00D23BC2" w:rsidRPr="001302F9">
        <w:rPr>
          <w:rFonts w:ascii="Arial" w:hAnsi="Arial" w:cs="Arial"/>
          <w:lang w:val="sr-Latn-ME"/>
        </w:rPr>
        <w:t>5</w:t>
      </w:r>
      <w:r w:rsidRPr="001302F9">
        <w:rPr>
          <w:rFonts w:ascii="Arial" w:hAnsi="Arial" w:cs="Arial"/>
          <w:lang w:val="sr-Latn-ME"/>
        </w:rPr>
        <w:t>–202</w:t>
      </w:r>
      <w:r w:rsidR="00D23BC2" w:rsidRPr="001302F9">
        <w:rPr>
          <w:rFonts w:ascii="Arial" w:hAnsi="Arial" w:cs="Arial"/>
          <w:lang w:val="sr-Latn-ME"/>
        </w:rPr>
        <w:t>8</w:t>
      </w:r>
      <w:r w:rsidRPr="001302F9">
        <w:rPr>
          <w:rFonts w:ascii="Arial" w:hAnsi="Arial" w:cs="Arial"/>
          <w:lang w:val="sr-Latn-ME"/>
        </w:rPr>
        <w:t xml:space="preserve">, zajedno s pratećim Akcionim planom. Ova strategija će dodatno ojačati pravni okvir i unaprijediti kapacitete </w:t>
      </w:r>
      <w:r w:rsidRPr="001302F9">
        <w:rPr>
          <w:rFonts w:ascii="Arial" w:hAnsi="Arial" w:cs="Arial"/>
          <w:i/>
          <w:iCs/>
          <w:lang w:val="sr-Latn-ME"/>
        </w:rPr>
        <w:t>AFCOS sistema</w:t>
      </w:r>
      <w:r w:rsidRPr="001302F9">
        <w:rPr>
          <w:rFonts w:ascii="Arial" w:hAnsi="Arial" w:cs="Arial"/>
          <w:lang w:val="sr-Latn-ME"/>
        </w:rPr>
        <w:t>, čime će se osigurati efikasnija zaštita finansijskih interesa EU u Crnoj Gori.</w:t>
      </w:r>
    </w:p>
    <w:p w:rsidR="00D960ED" w:rsidRPr="001302F9" w:rsidRDefault="00D960ED" w:rsidP="00D23BC2">
      <w:pPr>
        <w:spacing w:before="100" w:beforeAutospacing="1" w:after="100" w:afterAutospacing="1" w:line="240" w:lineRule="auto"/>
        <w:jc w:val="both"/>
        <w:outlineLvl w:val="2"/>
        <w:rPr>
          <w:rFonts w:ascii="Arial" w:hAnsi="Arial" w:cs="Arial"/>
          <w:lang w:val="sr-Latn-ME"/>
        </w:rPr>
      </w:pPr>
      <w:r w:rsidRPr="001302F9">
        <w:rPr>
          <w:rFonts w:ascii="Arial" w:hAnsi="Arial" w:cs="Arial"/>
          <w:lang w:val="sr-Latn-ME"/>
        </w:rPr>
        <w:t>Strategija bi obuhvatila:</w:t>
      </w:r>
    </w:p>
    <w:p w:rsidR="00D960ED" w:rsidRPr="001302F9" w:rsidRDefault="00D960ED" w:rsidP="009B6B3B">
      <w:pPr>
        <w:numPr>
          <w:ilvl w:val="0"/>
          <w:numId w:val="14"/>
        </w:numPr>
        <w:spacing w:before="100" w:beforeAutospacing="1" w:after="100" w:afterAutospacing="1" w:line="240" w:lineRule="auto"/>
        <w:jc w:val="both"/>
        <w:outlineLvl w:val="2"/>
        <w:rPr>
          <w:rFonts w:ascii="Arial" w:hAnsi="Arial" w:cs="Arial"/>
          <w:lang w:val="sr-Latn-ME"/>
        </w:rPr>
      </w:pPr>
      <w:r w:rsidRPr="001302F9">
        <w:rPr>
          <w:rFonts w:ascii="Arial" w:hAnsi="Arial" w:cs="Arial"/>
          <w:lang w:val="sr-Latn-ME"/>
        </w:rPr>
        <w:t>razvoj metodologije analize rizika u oblasti upravljanja nepravilnostima,</w:t>
      </w:r>
    </w:p>
    <w:p w:rsidR="00D960ED" w:rsidRPr="001302F9" w:rsidRDefault="00D960ED" w:rsidP="009B6B3B">
      <w:pPr>
        <w:numPr>
          <w:ilvl w:val="0"/>
          <w:numId w:val="14"/>
        </w:numPr>
        <w:spacing w:before="100" w:beforeAutospacing="1" w:after="100" w:afterAutospacing="1" w:line="240" w:lineRule="auto"/>
        <w:jc w:val="both"/>
        <w:outlineLvl w:val="2"/>
        <w:rPr>
          <w:rFonts w:ascii="Arial" w:hAnsi="Arial" w:cs="Arial"/>
          <w:lang w:val="sr-Latn-ME"/>
        </w:rPr>
      </w:pPr>
      <w:r w:rsidRPr="001302F9">
        <w:rPr>
          <w:rFonts w:ascii="Arial" w:hAnsi="Arial" w:cs="Arial"/>
          <w:lang w:val="sr-Latn-ME"/>
        </w:rPr>
        <w:t xml:space="preserve">izradu komunikacione strategije </w:t>
      </w:r>
      <w:r w:rsidR="00D23BC2" w:rsidRPr="001302F9">
        <w:rPr>
          <w:rFonts w:ascii="Arial" w:hAnsi="Arial" w:cs="Arial"/>
          <w:lang w:val="sr-Latn-ME"/>
        </w:rPr>
        <w:t xml:space="preserve">u cilju </w:t>
      </w:r>
      <w:r w:rsidRPr="001302F9">
        <w:rPr>
          <w:rFonts w:ascii="Arial" w:hAnsi="Arial" w:cs="Arial"/>
          <w:lang w:val="sr-Latn-ME"/>
        </w:rPr>
        <w:t>unapr</w:t>
      </w:r>
      <w:r w:rsidR="008F0CAD">
        <w:rPr>
          <w:rFonts w:ascii="Arial" w:hAnsi="Arial" w:cs="Arial"/>
          <w:lang w:val="sr-Latn-ME"/>
        </w:rPr>
        <w:t>ij</w:t>
      </w:r>
      <w:r w:rsidRPr="001302F9">
        <w:rPr>
          <w:rFonts w:ascii="Arial" w:hAnsi="Arial" w:cs="Arial"/>
          <w:lang w:val="sr-Latn-ME"/>
        </w:rPr>
        <w:t xml:space="preserve">eđenja saradnje između </w:t>
      </w:r>
      <w:r w:rsidR="00D23BC2" w:rsidRPr="001302F9">
        <w:rPr>
          <w:rFonts w:ascii="Arial" w:hAnsi="Arial" w:cs="Arial"/>
          <w:lang w:val="sr-Latn-ME"/>
        </w:rPr>
        <w:t>tijela</w:t>
      </w:r>
      <w:r w:rsidR="00D23BC2" w:rsidRPr="001302F9">
        <w:rPr>
          <w:rFonts w:ascii="Arial" w:hAnsi="Arial" w:cs="Arial"/>
          <w:i/>
          <w:iCs/>
          <w:lang w:val="sr-Latn-ME"/>
        </w:rPr>
        <w:t xml:space="preserve"> </w:t>
      </w:r>
      <w:r w:rsidRPr="001302F9">
        <w:rPr>
          <w:rFonts w:ascii="Arial" w:hAnsi="Arial" w:cs="Arial"/>
          <w:i/>
          <w:iCs/>
          <w:lang w:val="sr-Latn-ME"/>
        </w:rPr>
        <w:t>AFCOS</w:t>
      </w:r>
      <w:r w:rsidRPr="001302F9">
        <w:rPr>
          <w:rFonts w:ascii="Arial" w:hAnsi="Arial" w:cs="Arial"/>
          <w:lang w:val="sr-Latn-ME"/>
        </w:rPr>
        <w:t xml:space="preserve"> </w:t>
      </w:r>
      <w:r w:rsidR="00D23BC2" w:rsidRPr="001302F9">
        <w:rPr>
          <w:rFonts w:ascii="Arial" w:hAnsi="Arial" w:cs="Arial"/>
          <w:lang w:val="sr-Latn-ME"/>
        </w:rPr>
        <w:t xml:space="preserve">sistema </w:t>
      </w:r>
      <w:r w:rsidRPr="001302F9">
        <w:rPr>
          <w:rFonts w:ascii="Arial" w:hAnsi="Arial" w:cs="Arial"/>
          <w:lang w:val="sr-Latn-ME"/>
        </w:rPr>
        <w:t>i javnosti,</w:t>
      </w:r>
    </w:p>
    <w:p w:rsidR="00D960ED" w:rsidRPr="001302F9" w:rsidRDefault="00D960ED" w:rsidP="009B6B3B">
      <w:pPr>
        <w:numPr>
          <w:ilvl w:val="0"/>
          <w:numId w:val="14"/>
        </w:numPr>
        <w:spacing w:before="100" w:beforeAutospacing="1" w:after="100" w:afterAutospacing="1" w:line="240" w:lineRule="auto"/>
        <w:jc w:val="both"/>
        <w:outlineLvl w:val="2"/>
        <w:rPr>
          <w:rFonts w:ascii="Arial" w:hAnsi="Arial" w:cs="Arial"/>
          <w:lang w:val="sr-Latn-ME"/>
        </w:rPr>
      </w:pPr>
      <w:r w:rsidRPr="001302F9">
        <w:rPr>
          <w:rFonts w:ascii="Arial" w:hAnsi="Arial" w:cs="Arial"/>
          <w:lang w:val="sr-Latn-ME"/>
        </w:rPr>
        <w:t>sprovođenje obuka za jačanje kapaciteta relevantnih institucija.</w:t>
      </w:r>
    </w:p>
    <w:p w:rsidR="00D960ED" w:rsidRPr="001302F9" w:rsidRDefault="00D960ED" w:rsidP="00D23BC2">
      <w:pPr>
        <w:spacing w:before="100" w:beforeAutospacing="1" w:after="100" w:afterAutospacing="1" w:line="240" w:lineRule="auto"/>
        <w:jc w:val="both"/>
        <w:outlineLvl w:val="2"/>
        <w:rPr>
          <w:rFonts w:ascii="Arial" w:hAnsi="Arial" w:cs="Arial"/>
          <w:lang w:val="sr-Latn-ME"/>
        </w:rPr>
      </w:pPr>
      <w:r w:rsidRPr="001302F9">
        <w:rPr>
          <w:rFonts w:ascii="Arial" w:hAnsi="Arial" w:cs="Arial"/>
          <w:lang w:val="sr-Latn-ME"/>
        </w:rPr>
        <w:t>Nov</w:t>
      </w:r>
      <w:r w:rsidR="00D23BC2" w:rsidRPr="001302F9">
        <w:rPr>
          <w:rFonts w:ascii="Arial" w:hAnsi="Arial" w:cs="Arial"/>
          <w:lang w:val="sr-Latn-ME"/>
        </w:rPr>
        <w:t xml:space="preserve">a Strategija će </w:t>
      </w:r>
      <w:r w:rsidRPr="001302F9">
        <w:rPr>
          <w:rFonts w:ascii="Arial" w:hAnsi="Arial" w:cs="Arial"/>
          <w:lang w:val="sr-Latn-ME"/>
        </w:rPr>
        <w:t>ima</w:t>
      </w:r>
      <w:r w:rsidR="00D23BC2" w:rsidRPr="001302F9">
        <w:rPr>
          <w:rFonts w:ascii="Arial" w:hAnsi="Arial" w:cs="Arial"/>
          <w:lang w:val="sr-Latn-ME"/>
        </w:rPr>
        <w:t>ti</w:t>
      </w:r>
      <w:r w:rsidRPr="001302F9">
        <w:rPr>
          <w:rFonts w:ascii="Arial" w:hAnsi="Arial" w:cs="Arial"/>
          <w:lang w:val="sr-Latn-ME"/>
        </w:rPr>
        <w:t xml:space="preserve"> sinergiju sa svim aktivnostima definisanim u </w:t>
      </w:r>
      <w:r w:rsidRPr="001302F9">
        <w:rPr>
          <w:rFonts w:ascii="Arial" w:hAnsi="Arial" w:cs="Arial"/>
          <w:i/>
          <w:iCs/>
          <w:lang w:val="sr-Latn-ME"/>
        </w:rPr>
        <w:t>Programu reforme upravljanja javnim finansijama 2022–2026</w:t>
      </w:r>
      <w:r w:rsidRPr="001302F9">
        <w:rPr>
          <w:rFonts w:ascii="Arial" w:hAnsi="Arial" w:cs="Arial"/>
          <w:lang w:val="sr-Latn-ME"/>
        </w:rPr>
        <w:t xml:space="preserve">, u okviru oblasti </w:t>
      </w:r>
      <w:r w:rsidRPr="001302F9">
        <w:rPr>
          <w:rFonts w:ascii="Arial" w:hAnsi="Arial" w:cs="Arial"/>
          <w:b/>
          <w:bCs/>
          <w:lang w:val="sr-Latn-ME"/>
        </w:rPr>
        <w:t>"Koordinacija borbe protiv prevara (AFCOS)."</w:t>
      </w:r>
    </w:p>
    <w:p w:rsidR="00D960ED" w:rsidRPr="001302F9" w:rsidRDefault="00D960ED" w:rsidP="00D23BC2">
      <w:pPr>
        <w:spacing w:before="100" w:beforeAutospacing="1" w:after="100" w:afterAutospacing="1" w:line="240" w:lineRule="auto"/>
        <w:jc w:val="both"/>
        <w:outlineLvl w:val="2"/>
        <w:rPr>
          <w:rFonts w:ascii="Arial" w:hAnsi="Arial" w:cs="Arial"/>
          <w:b/>
          <w:bCs/>
          <w:lang w:val="sr-Latn-ME"/>
        </w:rPr>
      </w:pPr>
      <w:r w:rsidRPr="001302F9">
        <w:rPr>
          <w:rFonts w:ascii="Arial" w:hAnsi="Arial" w:cs="Arial"/>
          <w:b/>
          <w:bCs/>
          <w:lang w:val="sr-Latn-ME"/>
        </w:rPr>
        <w:t>Fiskalna strategija Crne Gore za period 2024–2027</w:t>
      </w:r>
    </w:p>
    <w:p w:rsidR="00D960ED" w:rsidRPr="001302F9" w:rsidRDefault="00D960ED" w:rsidP="00D23BC2">
      <w:pPr>
        <w:spacing w:before="100" w:beforeAutospacing="1" w:after="100" w:afterAutospacing="1" w:line="240" w:lineRule="auto"/>
        <w:jc w:val="both"/>
        <w:outlineLvl w:val="2"/>
        <w:rPr>
          <w:rFonts w:ascii="Arial" w:hAnsi="Arial" w:cs="Arial"/>
          <w:lang w:val="sr-Latn-ME"/>
        </w:rPr>
      </w:pPr>
      <w:r w:rsidRPr="001302F9">
        <w:rPr>
          <w:rFonts w:ascii="Arial" w:hAnsi="Arial" w:cs="Arial"/>
          <w:i/>
          <w:iCs/>
          <w:lang w:val="sr-Latn-ME"/>
        </w:rPr>
        <w:t>Fiskalna strategija Crne Gore za period 2024–2027</w:t>
      </w:r>
      <w:r w:rsidRPr="001302F9">
        <w:rPr>
          <w:rFonts w:ascii="Arial" w:hAnsi="Arial" w:cs="Arial"/>
          <w:lang w:val="sr-Latn-ME"/>
        </w:rPr>
        <w:t xml:space="preserve"> predviđa formiranje </w:t>
      </w:r>
      <w:r w:rsidRPr="001302F9">
        <w:rPr>
          <w:rFonts w:ascii="Arial" w:hAnsi="Arial" w:cs="Arial"/>
          <w:b/>
          <w:bCs/>
          <w:lang w:val="sr-Latn-ME"/>
        </w:rPr>
        <w:t>finansijske policije</w:t>
      </w:r>
      <w:r w:rsidRPr="001302F9">
        <w:rPr>
          <w:rFonts w:ascii="Arial" w:hAnsi="Arial" w:cs="Arial"/>
          <w:lang w:val="sr-Latn-ME"/>
        </w:rPr>
        <w:t xml:space="preserve">. Kako bi se stvorilo povoljnije poslovno okruženje kroz prevenciju ilegalnog poslovanja i suzbijanje korupcije, </w:t>
      </w:r>
      <w:r w:rsidRPr="001302F9">
        <w:rPr>
          <w:rFonts w:ascii="Arial" w:hAnsi="Arial" w:cs="Arial"/>
          <w:i/>
          <w:iCs/>
          <w:lang w:val="sr-Latn-ME"/>
        </w:rPr>
        <w:t>Ministarstvo finansija</w:t>
      </w:r>
      <w:r w:rsidRPr="001302F9">
        <w:rPr>
          <w:rFonts w:ascii="Arial" w:hAnsi="Arial" w:cs="Arial"/>
          <w:lang w:val="sr-Latn-ME"/>
        </w:rPr>
        <w:t xml:space="preserve"> će predložiti zakonsko rješenje koje će omogućiti formalne preduslove za osnivanje finansijske policije.</w:t>
      </w:r>
    </w:p>
    <w:p w:rsidR="00D960ED" w:rsidRPr="001302F9" w:rsidRDefault="00D960ED" w:rsidP="00D23BC2">
      <w:pPr>
        <w:spacing w:before="100" w:beforeAutospacing="1" w:after="100" w:afterAutospacing="1" w:line="240" w:lineRule="auto"/>
        <w:jc w:val="both"/>
        <w:outlineLvl w:val="2"/>
        <w:rPr>
          <w:rFonts w:ascii="Arial" w:hAnsi="Arial" w:cs="Arial"/>
          <w:lang w:val="sr-Latn-ME"/>
        </w:rPr>
      </w:pPr>
      <w:r w:rsidRPr="001302F9">
        <w:rPr>
          <w:rFonts w:ascii="Arial" w:hAnsi="Arial" w:cs="Arial"/>
          <w:lang w:val="sr-Latn-ME"/>
        </w:rPr>
        <w:t>S obzirom na trenutnu decentralizaciju institucija nadležnih za kontrolu u ovoj oblasti, Vlada Crne Gore smatra da bi osnivanjem finansijske policije ovaj organ mogao efikasnije suzbijati korupciju na najvišem nivou, kao i sve oblike finansijskih malverzacija.</w:t>
      </w:r>
    </w:p>
    <w:p w:rsidR="00D960ED" w:rsidRPr="001302F9" w:rsidRDefault="00D960ED" w:rsidP="00D23BC2">
      <w:pPr>
        <w:spacing w:before="100" w:beforeAutospacing="1" w:after="100" w:afterAutospacing="1" w:line="240" w:lineRule="auto"/>
        <w:jc w:val="both"/>
        <w:outlineLvl w:val="2"/>
        <w:rPr>
          <w:rFonts w:ascii="Arial" w:hAnsi="Arial" w:cs="Arial"/>
          <w:lang w:val="sr-Latn-ME"/>
        </w:rPr>
      </w:pPr>
      <w:r w:rsidRPr="001302F9">
        <w:rPr>
          <w:rFonts w:ascii="Arial" w:hAnsi="Arial" w:cs="Arial"/>
          <w:lang w:val="sr-Latn-ME"/>
        </w:rPr>
        <w:t xml:space="preserve">Uzimajući u obzir činjenicu da u mnogim državama članicama EU finansijska policija ima nadležnost za istrage prevara koje ugrožavaju finansijske interese EU, neophodno je da se saradnja između </w:t>
      </w:r>
      <w:r w:rsidRPr="001302F9">
        <w:rPr>
          <w:rFonts w:ascii="Arial" w:hAnsi="Arial" w:cs="Arial"/>
          <w:i/>
          <w:iCs/>
          <w:lang w:val="sr-Latn-ME"/>
        </w:rPr>
        <w:t>AFCOS-a</w:t>
      </w:r>
      <w:r w:rsidRPr="001302F9">
        <w:rPr>
          <w:rFonts w:ascii="Arial" w:hAnsi="Arial" w:cs="Arial"/>
          <w:lang w:val="sr-Latn-ME"/>
        </w:rPr>
        <w:t xml:space="preserve"> i finansijske policije uspostavi već tokom njenog formiranja i izrade pravnih akata koji će regulisati njeno funkcionisanje.</w:t>
      </w:r>
    </w:p>
    <w:p w:rsidR="000E2D8E" w:rsidRPr="001302F9" w:rsidRDefault="000E2D8E" w:rsidP="00D23BC2">
      <w:pPr>
        <w:spacing w:before="100" w:beforeAutospacing="1" w:after="100" w:afterAutospacing="1" w:line="240" w:lineRule="auto"/>
        <w:jc w:val="both"/>
        <w:outlineLvl w:val="2"/>
        <w:rPr>
          <w:rFonts w:ascii="Arial" w:eastAsia="Times New Roman" w:hAnsi="Arial" w:cs="Arial"/>
          <w:b/>
          <w:bCs/>
          <w:lang w:val="sr-Latn-ME" w:eastAsia="sr-Latn-ME"/>
        </w:rPr>
      </w:pPr>
      <w:r w:rsidRPr="001302F9">
        <w:rPr>
          <w:rFonts w:ascii="Arial" w:eastAsia="Times New Roman" w:hAnsi="Arial" w:cs="Arial"/>
          <w:b/>
          <w:bCs/>
          <w:lang w:val="sr-Latn-ME" w:eastAsia="sr-Latn-ME"/>
        </w:rPr>
        <w:t>Strategija borbe protiv korupcije 2024–2028</w:t>
      </w:r>
    </w:p>
    <w:p w:rsidR="000E2D8E" w:rsidRPr="001302F9" w:rsidRDefault="000E2D8E" w:rsidP="00D23BC2">
      <w:pPr>
        <w:spacing w:before="100" w:beforeAutospacing="1" w:after="100" w:afterAutospacing="1" w:line="240" w:lineRule="auto"/>
        <w:jc w:val="both"/>
        <w:outlineLvl w:val="2"/>
        <w:rPr>
          <w:rFonts w:ascii="Arial" w:eastAsia="Times New Roman" w:hAnsi="Arial" w:cs="Arial"/>
          <w:bCs/>
          <w:lang w:val="sr-Latn-ME" w:eastAsia="sr-Latn-ME"/>
        </w:rPr>
      </w:pPr>
      <w:r w:rsidRPr="001302F9">
        <w:rPr>
          <w:rFonts w:ascii="Arial" w:eastAsia="Times New Roman" w:hAnsi="Arial" w:cs="Arial"/>
          <w:bCs/>
          <w:lang w:val="sr-Latn-ME" w:eastAsia="sr-Latn-ME"/>
        </w:rPr>
        <w:t xml:space="preserve">U skladu sa </w:t>
      </w:r>
      <w:r w:rsidRPr="001302F9">
        <w:rPr>
          <w:rFonts w:ascii="Arial" w:eastAsia="Times New Roman" w:hAnsi="Arial" w:cs="Arial"/>
          <w:bCs/>
          <w:i/>
          <w:iCs/>
          <w:lang w:val="sr-Latn-ME" w:eastAsia="sr-Latn-ME"/>
        </w:rPr>
        <w:t>PIF Direktivom</w:t>
      </w:r>
      <w:r w:rsidRPr="001302F9">
        <w:rPr>
          <w:rFonts w:ascii="Arial" w:eastAsia="Times New Roman" w:hAnsi="Arial" w:cs="Arial"/>
          <w:bCs/>
          <w:lang w:val="sr-Latn-ME" w:eastAsia="sr-Latn-ME"/>
        </w:rPr>
        <w:t xml:space="preserve">, korupcija se smatra oblikom prevare koja utiče na finansijske interese EU, zbog čega se </w:t>
      </w:r>
      <w:r w:rsidRPr="001302F9">
        <w:rPr>
          <w:rFonts w:ascii="Arial" w:eastAsia="Times New Roman" w:hAnsi="Arial" w:cs="Arial"/>
          <w:bCs/>
          <w:i/>
          <w:iCs/>
          <w:lang w:val="sr-Latn-ME" w:eastAsia="sr-Latn-ME"/>
        </w:rPr>
        <w:t>Strategija borbe protiv korupcije 2024–2028</w:t>
      </w:r>
      <w:r w:rsidRPr="001302F9">
        <w:rPr>
          <w:rFonts w:ascii="Arial" w:eastAsia="Times New Roman" w:hAnsi="Arial" w:cs="Arial"/>
          <w:bCs/>
          <w:lang w:val="sr-Latn-ME" w:eastAsia="sr-Latn-ME"/>
        </w:rPr>
        <w:t xml:space="preserve"> posmatra kao dopuna novoj </w:t>
      </w:r>
      <w:r w:rsidR="00D23BC2" w:rsidRPr="001302F9">
        <w:rPr>
          <w:rFonts w:ascii="Arial" w:eastAsia="Times New Roman" w:hAnsi="Arial" w:cs="Arial"/>
          <w:bCs/>
          <w:lang w:val="sr-Latn-ME" w:eastAsia="sr-Latn-ME"/>
        </w:rPr>
        <w:t>S</w:t>
      </w:r>
      <w:r w:rsidRPr="001302F9">
        <w:rPr>
          <w:rFonts w:ascii="Arial" w:eastAsia="Times New Roman" w:hAnsi="Arial" w:cs="Arial"/>
          <w:bCs/>
          <w:lang w:val="sr-Latn-ME" w:eastAsia="sr-Latn-ME"/>
        </w:rPr>
        <w:t>trategiji. Osigurano je da se ove dvije strategije ne preklapaju, već da djeluju u istom pravcu i međusobno se nadopunjuju.</w:t>
      </w:r>
    </w:p>
    <w:p w:rsidR="000E2D8E" w:rsidRPr="001302F9" w:rsidRDefault="000E2D8E" w:rsidP="00D23BC2">
      <w:pPr>
        <w:spacing w:before="100" w:beforeAutospacing="1" w:after="100" w:afterAutospacing="1" w:line="240" w:lineRule="auto"/>
        <w:jc w:val="both"/>
        <w:outlineLvl w:val="2"/>
        <w:rPr>
          <w:rFonts w:ascii="Arial" w:eastAsia="Times New Roman" w:hAnsi="Arial" w:cs="Arial"/>
          <w:bCs/>
          <w:lang w:val="sr-Latn-ME" w:eastAsia="sr-Latn-ME"/>
        </w:rPr>
      </w:pPr>
      <w:r w:rsidRPr="001302F9">
        <w:rPr>
          <w:rFonts w:ascii="Arial" w:eastAsia="Times New Roman" w:hAnsi="Arial" w:cs="Arial"/>
          <w:bCs/>
          <w:i/>
          <w:iCs/>
          <w:lang w:val="sr-Latn-ME" w:eastAsia="sr-Latn-ME"/>
        </w:rPr>
        <w:t>Strategija borbe protiv korupcije</w:t>
      </w:r>
      <w:r w:rsidRPr="001302F9">
        <w:rPr>
          <w:rFonts w:ascii="Arial" w:eastAsia="Times New Roman" w:hAnsi="Arial" w:cs="Arial"/>
          <w:bCs/>
          <w:lang w:val="sr-Latn-ME" w:eastAsia="sr-Latn-ME"/>
        </w:rPr>
        <w:t xml:space="preserve"> definiše:</w:t>
      </w:r>
    </w:p>
    <w:p w:rsidR="000E2D8E" w:rsidRPr="001302F9" w:rsidRDefault="000E2D8E" w:rsidP="009B6B3B">
      <w:pPr>
        <w:numPr>
          <w:ilvl w:val="0"/>
          <w:numId w:val="15"/>
        </w:numPr>
        <w:spacing w:before="100" w:beforeAutospacing="1" w:after="100" w:afterAutospacing="1" w:line="240" w:lineRule="auto"/>
        <w:jc w:val="both"/>
        <w:outlineLvl w:val="2"/>
        <w:rPr>
          <w:rFonts w:ascii="Arial" w:eastAsia="Times New Roman" w:hAnsi="Arial" w:cs="Arial"/>
          <w:bCs/>
          <w:lang w:val="sr-Latn-ME" w:eastAsia="sr-Latn-ME"/>
        </w:rPr>
      </w:pPr>
      <w:r w:rsidRPr="001302F9">
        <w:rPr>
          <w:rFonts w:ascii="Arial" w:eastAsia="Times New Roman" w:hAnsi="Arial" w:cs="Arial"/>
          <w:bCs/>
          <w:lang w:val="sr-Latn-ME" w:eastAsia="sr-Latn-ME"/>
        </w:rPr>
        <w:t>strateške pravce i ciljeve u borbi protiv korupcije,</w:t>
      </w:r>
    </w:p>
    <w:p w:rsidR="000E2D8E" w:rsidRPr="001302F9" w:rsidRDefault="000E2D8E" w:rsidP="009B6B3B">
      <w:pPr>
        <w:numPr>
          <w:ilvl w:val="0"/>
          <w:numId w:val="15"/>
        </w:numPr>
        <w:spacing w:before="100" w:beforeAutospacing="1" w:after="100" w:afterAutospacing="1" w:line="240" w:lineRule="auto"/>
        <w:jc w:val="both"/>
        <w:outlineLvl w:val="2"/>
        <w:rPr>
          <w:rFonts w:ascii="Arial" w:eastAsia="Times New Roman" w:hAnsi="Arial" w:cs="Arial"/>
          <w:bCs/>
          <w:lang w:val="sr-Latn-ME" w:eastAsia="sr-Latn-ME"/>
        </w:rPr>
      </w:pPr>
      <w:r w:rsidRPr="001302F9">
        <w:rPr>
          <w:rFonts w:ascii="Arial" w:eastAsia="Times New Roman" w:hAnsi="Arial" w:cs="Arial"/>
          <w:bCs/>
          <w:lang w:val="sr-Latn-ME" w:eastAsia="sr-Latn-ME"/>
        </w:rPr>
        <w:t>prioritetne mjere za uspostavljanje efikasnog sistema za suzbijanje korupcije u javnom i privatnom sektoru,</w:t>
      </w:r>
    </w:p>
    <w:p w:rsidR="000E2D8E" w:rsidRPr="001302F9" w:rsidRDefault="000E2D8E" w:rsidP="009B6B3B">
      <w:pPr>
        <w:numPr>
          <w:ilvl w:val="0"/>
          <w:numId w:val="15"/>
        </w:numPr>
        <w:spacing w:before="100" w:beforeAutospacing="1" w:after="100" w:afterAutospacing="1" w:line="240" w:lineRule="auto"/>
        <w:jc w:val="both"/>
        <w:outlineLvl w:val="2"/>
        <w:rPr>
          <w:rFonts w:ascii="Arial" w:eastAsia="Times New Roman" w:hAnsi="Arial" w:cs="Arial"/>
          <w:bCs/>
          <w:lang w:val="sr-Latn-ME" w:eastAsia="sr-Latn-ME"/>
        </w:rPr>
      </w:pPr>
      <w:r w:rsidRPr="001302F9">
        <w:rPr>
          <w:rFonts w:ascii="Arial" w:eastAsia="Times New Roman" w:hAnsi="Arial" w:cs="Arial"/>
          <w:bCs/>
          <w:lang w:val="sr-Latn-ME" w:eastAsia="sr-Latn-ME"/>
        </w:rPr>
        <w:t>uloge i odgovornosti svih subjekata, čime se postavlja osnova za razvoj održivog sistema za praćenje i procjenu nacionalnog odgovora na korupciju.</w:t>
      </w:r>
    </w:p>
    <w:p w:rsidR="000E2D8E" w:rsidRPr="001302F9" w:rsidRDefault="00D23BC2" w:rsidP="002D662C">
      <w:pPr>
        <w:spacing w:before="100" w:beforeAutospacing="1" w:after="100" w:afterAutospacing="1" w:line="240" w:lineRule="auto"/>
        <w:jc w:val="both"/>
        <w:outlineLvl w:val="2"/>
        <w:rPr>
          <w:rFonts w:ascii="Arial" w:eastAsia="Times New Roman" w:hAnsi="Arial" w:cs="Arial"/>
          <w:bCs/>
          <w:lang w:val="sr-Latn-ME" w:eastAsia="sr-Latn-ME"/>
        </w:rPr>
      </w:pPr>
      <w:r w:rsidRPr="001302F9">
        <w:rPr>
          <w:rFonts w:ascii="Arial" w:eastAsia="Times New Roman" w:hAnsi="Arial" w:cs="Arial"/>
          <w:bCs/>
          <w:lang w:val="sr-Latn-ME" w:eastAsia="sr-Latn-ME"/>
        </w:rPr>
        <w:t xml:space="preserve">Takođe, </w:t>
      </w:r>
      <w:r w:rsidR="000E2D8E" w:rsidRPr="001302F9">
        <w:rPr>
          <w:rFonts w:ascii="Arial" w:eastAsia="Times New Roman" w:hAnsi="Arial" w:cs="Arial"/>
          <w:bCs/>
          <w:lang w:val="sr-Latn-ME" w:eastAsia="sr-Latn-ME"/>
        </w:rPr>
        <w:t xml:space="preserve">Strategija </w:t>
      </w:r>
      <w:r w:rsidRPr="001302F9">
        <w:rPr>
          <w:rFonts w:ascii="Arial" w:eastAsia="Times New Roman" w:hAnsi="Arial" w:cs="Arial"/>
          <w:bCs/>
          <w:lang w:val="sr-Latn-ME" w:eastAsia="sr-Latn-ME"/>
        </w:rPr>
        <w:t xml:space="preserve">borbe protiv korupcije 2024–2028 </w:t>
      </w:r>
      <w:r w:rsidR="000E2D8E" w:rsidRPr="001302F9">
        <w:rPr>
          <w:rFonts w:ascii="Arial" w:eastAsia="Times New Roman" w:hAnsi="Arial" w:cs="Arial"/>
          <w:bCs/>
          <w:lang w:val="sr-Latn-ME" w:eastAsia="sr-Latn-ME"/>
        </w:rPr>
        <w:t>se zasniva na tri ključna elementa:</w:t>
      </w:r>
    </w:p>
    <w:p w:rsidR="000E2D8E" w:rsidRPr="001302F9" w:rsidRDefault="000E2D8E" w:rsidP="009B6B3B">
      <w:pPr>
        <w:numPr>
          <w:ilvl w:val="0"/>
          <w:numId w:val="16"/>
        </w:numPr>
        <w:spacing w:before="100" w:beforeAutospacing="1" w:after="100" w:afterAutospacing="1" w:line="240" w:lineRule="auto"/>
        <w:jc w:val="both"/>
        <w:outlineLvl w:val="2"/>
        <w:rPr>
          <w:rFonts w:ascii="Arial" w:eastAsia="Times New Roman" w:hAnsi="Arial" w:cs="Arial"/>
          <w:bCs/>
          <w:lang w:val="sr-Latn-ME" w:eastAsia="sr-Latn-ME"/>
        </w:rPr>
      </w:pPr>
      <w:r w:rsidRPr="001302F9">
        <w:rPr>
          <w:rFonts w:ascii="Arial" w:eastAsia="Times New Roman" w:hAnsi="Arial" w:cs="Arial"/>
          <w:bCs/>
          <w:lang w:val="sr-Latn-ME" w:eastAsia="sr-Latn-ME"/>
        </w:rPr>
        <w:t>Efikasna primjena antikorupcijskih propisa</w:t>
      </w:r>
    </w:p>
    <w:p w:rsidR="000E2D8E" w:rsidRPr="001302F9" w:rsidRDefault="000E2D8E" w:rsidP="009B6B3B">
      <w:pPr>
        <w:numPr>
          <w:ilvl w:val="0"/>
          <w:numId w:val="16"/>
        </w:numPr>
        <w:spacing w:before="100" w:beforeAutospacing="1" w:after="100" w:afterAutospacing="1" w:line="240" w:lineRule="auto"/>
        <w:jc w:val="both"/>
        <w:outlineLvl w:val="2"/>
        <w:rPr>
          <w:rFonts w:ascii="Arial" w:eastAsia="Times New Roman" w:hAnsi="Arial" w:cs="Arial"/>
          <w:bCs/>
          <w:lang w:val="sr-Latn-ME" w:eastAsia="sr-Latn-ME"/>
        </w:rPr>
      </w:pPr>
      <w:r w:rsidRPr="001302F9">
        <w:rPr>
          <w:rFonts w:ascii="Arial" w:eastAsia="Times New Roman" w:hAnsi="Arial" w:cs="Arial"/>
          <w:bCs/>
          <w:lang w:val="sr-Latn-ME" w:eastAsia="sr-Latn-ME"/>
        </w:rPr>
        <w:t>Prevencija, odnosno uklanjanje uslova koji omogućavaju nastanak i razvoj korupcije</w:t>
      </w:r>
    </w:p>
    <w:p w:rsidR="000E2D8E" w:rsidRPr="001302F9" w:rsidRDefault="000E2D8E" w:rsidP="009B6B3B">
      <w:pPr>
        <w:numPr>
          <w:ilvl w:val="0"/>
          <w:numId w:val="16"/>
        </w:numPr>
        <w:spacing w:before="100" w:beforeAutospacing="1" w:after="100" w:afterAutospacing="1" w:line="240" w:lineRule="auto"/>
        <w:jc w:val="both"/>
        <w:outlineLvl w:val="2"/>
        <w:rPr>
          <w:rFonts w:ascii="Arial" w:eastAsia="Times New Roman" w:hAnsi="Arial" w:cs="Arial"/>
          <w:bCs/>
          <w:lang w:val="sr-Latn-ME" w:eastAsia="sr-Latn-ME"/>
        </w:rPr>
      </w:pPr>
      <w:r w:rsidRPr="001302F9">
        <w:rPr>
          <w:rFonts w:ascii="Arial" w:eastAsia="Times New Roman" w:hAnsi="Arial" w:cs="Arial"/>
          <w:bCs/>
          <w:lang w:val="sr-Latn-ME" w:eastAsia="sr-Latn-ME"/>
        </w:rPr>
        <w:t>Podizanje svijesti i edukacija javnosti radi jačanja podrške za sprovođenje strategije</w:t>
      </w:r>
    </w:p>
    <w:p w:rsidR="000E2D8E" w:rsidRPr="001302F9" w:rsidRDefault="000E2D8E" w:rsidP="002D662C">
      <w:pPr>
        <w:spacing w:before="100" w:beforeAutospacing="1" w:after="100" w:afterAutospacing="1" w:line="240" w:lineRule="auto"/>
        <w:jc w:val="both"/>
        <w:outlineLvl w:val="2"/>
        <w:rPr>
          <w:rFonts w:ascii="Arial" w:eastAsia="Times New Roman" w:hAnsi="Arial" w:cs="Arial"/>
          <w:b/>
          <w:bCs/>
          <w:lang w:val="sr-Latn-ME" w:eastAsia="sr-Latn-ME"/>
        </w:rPr>
      </w:pPr>
      <w:r w:rsidRPr="001302F9">
        <w:rPr>
          <w:rFonts w:ascii="Arial" w:eastAsia="Times New Roman" w:hAnsi="Arial" w:cs="Arial"/>
          <w:b/>
          <w:bCs/>
          <w:lang w:val="sr-Latn-ME" w:eastAsia="sr-Latn-ME"/>
        </w:rPr>
        <w:t>Strategija za prevenciju i suzbijanje terorizma, pranja novca i finansiranja terorizma 2022–2025</w:t>
      </w:r>
    </w:p>
    <w:p w:rsidR="000E2D8E" w:rsidRPr="001302F9" w:rsidRDefault="000E2D8E" w:rsidP="002D662C">
      <w:pPr>
        <w:spacing w:before="100" w:beforeAutospacing="1" w:after="100" w:afterAutospacing="1" w:line="240" w:lineRule="auto"/>
        <w:jc w:val="both"/>
        <w:outlineLvl w:val="2"/>
        <w:rPr>
          <w:rFonts w:ascii="Arial" w:eastAsia="Times New Roman" w:hAnsi="Arial" w:cs="Arial"/>
          <w:bCs/>
          <w:lang w:val="sr-Latn-ME" w:eastAsia="sr-Latn-ME"/>
        </w:rPr>
      </w:pPr>
      <w:r w:rsidRPr="001302F9">
        <w:rPr>
          <w:rFonts w:ascii="Arial" w:eastAsia="Times New Roman" w:hAnsi="Arial" w:cs="Arial"/>
          <w:bCs/>
          <w:lang w:val="sr-Latn-ME" w:eastAsia="sr-Latn-ME"/>
        </w:rPr>
        <w:t>Ova strategija ističe da su pranje novca i terorizam oblici organizovanog kriminala sa međunarodnim karakterom. Jedan od njenih ključnih operativnih ciljeva je: "Unaprijediti profesionalni razvoj i ojačati institucije radi povećanja saradnje i efikasnosti organa za sprovođenje zakona."</w:t>
      </w:r>
    </w:p>
    <w:p w:rsidR="000E2D8E" w:rsidRPr="001302F9" w:rsidRDefault="000E2D8E" w:rsidP="002D662C">
      <w:pPr>
        <w:spacing w:before="100" w:beforeAutospacing="1" w:after="100" w:afterAutospacing="1" w:line="240" w:lineRule="auto"/>
        <w:jc w:val="both"/>
        <w:outlineLvl w:val="2"/>
        <w:rPr>
          <w:rFonts w:ascii="Arial" w:eastAsia="Times New Roman" w:hAnsi="Arial" w:cs="Arial"/>
          <w:bCs/>
          <w:lang w:val="sr-Latn-ME" w:eastAsia="sr-Latn-ME"/>
        </w:rPr>
      </w:pPr>
      <w:r w:rsidRPr="001302F9">
        <w:rPr>
          <w:rFonts w:ascii="Arial" w:eastAsia="Times New Roman" w:hAnsi="Arial" w:cs="Arial"/>
          <w:bCs/>
          <w:lang w:val="sr-Latn-ME" w:eastAsia="sr-Latn-ME"/>
        </w:rPr>
        <w:t xml:space="preserve">S obzirom na to da su organi za sprovođenje zakona ključni dio </w:t>
      </w:r>
      <w:r w:rsidRPr="001302F9">
        <w:rPr>
          <w:rFonts w:ascii="Arial" w:eastAsia="Times New Roman" w:hAnsi="Arial" w:cs="Arial"/>
          <w:bCs/>
          <w:i/>
          <w:iCs/>
          <w:lang w:val="sr-Latn-ME" w:eastAsia="sr-Latn-ME"/>
        </w:rPr>
        <w:t>AFCOS</w:t>
      </w:r>
      <w:r w:rsidRPr="001302F9">
        <w:rPr>
          <w:rFonts w:ascii="Arial" w:eastAsia="Times New Roman" w:hAnsi="Arial" w:cs="Arial"/>
          <w:bCs/>
          <w:lang w:val="sr-Latn-ME" w:eastAsia="sr-Latn-ME"/>
        </w:rPr>
        <w:t xml:space="preserve"> sistema, sprovođenje ove strategije imaće pozitivan efekat na implementaciju nove </w:t>
      </w:r>
      <w:r w:rsidR="00D23BC2" w:rsidRPr="001302F9">
        <w:rPr>
          <w:rFonts w:ascii="Arial" w:eastAsia="Times New Roman" w:hAnsi="Arial" w:cs="Arial"/>
          <w:bCs/>
          <w:iCs/>
          <w:lang w:val="sr-Latn-ME" w:eastAsia="sr-Latn-ME"/>
        </w:rPr>
        <w:t>S</w:t>
      </w:r>
      <w:r w:rsidRPr="001302F9">
        <w:rPr>
          <w:rFonts w:ascii="Arial" w:eastAsia="Times New Roman" w:hAnsi="Arial" w:cs="Arial"/>
          <w:bCs/>
          <w:lang w:val="sr-Latn-ME" w:eastAsia="sr-Latn-ME"/>
        </w:rPr>
        <w:t>trategije. Takođe, budući da je pranje novca jedno od krivičnih djela koja mogu ugroziti finansijske interese EU, očekuje se da će postojati brojne sinergije između ove dvije strategije.</w:t>
      </w:r>
    </w:p>
    <w:p w:rsidR="003D2547" w:rsidRPr="001302F9" w:rsidRDefault="00A6693A" w:rsidP="00A6693A">
      <w:pPr>
        <w:spacing w:before="100" w:beforeAutospacing="1" w:after="100" w:afterAutospacing="1" w:line="240" w:lineRule="auto"/>
        <w:outlineLvl w:val="2"/>
        <w:rPr>
          <w:rFonts w:ascii="Arial" w:eastAsia="Times New Roman" w:hAnsi="Arial" w:cs="Arial"/>
          <w:b/>
          <w:bCs/>
          <w:lang w:val="sr-Latn-ME" w:eastAsia="sr-Latn-ME"/>
        </w:rPr>
      </w:pPr>
      <w:r w:rsidRPr="001302F9">
        <w:rPr>
          <w:rFonts w:ascii="Arial" w:eastAsia="Times New Roman" w:hAnsi="Arial" w:cs="Arial"/>
          <w:b/>
          <w:bCs/>
          <w:lang w:val="sr-Latn-ME" w:eastAsia="sr-Latn-ME"/>
        </w:rPr>
        <w:t>1.3. Usklađenost sa obavezama iz pregovaračkog procesa između Crne Gore i Evropske unije</w:t>
      </w:r>
    </w:p>
    <w:p w:rsidR="003D2547" w:rsidRPr="001302F9" w:rsidRDefault="003D2547" w:rsidP="00BC2EFA">
      <w:pPr>
        <w:spacing w:before="100" w:beforeAutospacing="1" w:after="100" w:afterAutospacing="1" w:line="240" w:lineRule="auto"/>
        <w:jc w:val="both"/>
        <w:outlineLvl w:val="2"/>
        <w:rPr>
          <w:rFonts w:ascii="Arial" w:eastAsia="Times New Roman" w:hAnsi="Arial" w:cs="Arial"/>
          <w:b/>
          <w:bCs/>
          <w:lang w:val="sr-Latn-ME" w:eastAsia="sr-Latn-ME"/>
        </w:rPr>
      </w:pPr>
      <w:r w:rsidRPr="001302F9">
        <w:rPr>
          <w:rFonts w:ascii="Arial" w:eastAsia="Times New Roman" w:hAnsi="Arial" w:cs="Arial"/>
          <w:b/>
          <w:bCs/>
          <w:lang w:val="sr-Latn-ME" w:eastAsia="sr-Latn-ME"/>
        </w:rPr>
        <w:t>Izvještaj Evropske komisije za</w:t>
      </w:r>
      <w:r w:rsidR="00F1070B">
        <w:rPr>
          <w:rFonts w:ascii="Arial" w:eastAsia="Times New Roman" w:hAnsi="Arial" w:cs="Arial"/>
          <w:b/>
          <w:bCs/>
          <w:lang w:val="sr-Latn-ME" w:eastAsia="sr-Latn-ME"/>
        </w:rPr>
        <w:t xml:space="preserve"> 2023 i</w:t>
      </w:r>
      <w:r w:rsidRPr="001302F9">
        <w:rPr>
          <w:rFonts w:ascii="Arial" w:eastAsia="Times New Roman" w:hAnsi="Arial" w:cs="Arial"/>
          <w:b/>
          <w:bCs/>
          <w:lang w:val="sr-Latn-ME" w:eastAsia="sr-Latn-ME"/>
        </w:rPr>
        <w:t xml:space="preserve"> 202</w:t>
      </w:r>
      <w:r w:rsidR="00D942FE">
        <w:rPr>
          <w:rFonts w:ascii="Arial" w:eastAsia="Times New Roman" w:hAnsi="Arial" w:cs="Arial"/>
          <w:b/>
          <w:bCs/>
          <w:lang w:val="sr-Latn-ME" w:eastAsia="sr-Latn-ME"/>
        </w:rPr>
        <w:t>4</w:t>
      </w:r>
      <w:r w:rsidRPr="001302F9">
        <w:rPr>
          <w:rFonts w:ascii="Arial" w:eastAsia="Times New Roman" w:hAnsi="Arial" w:cs="Arial"/>
          <w:b/>
          <w:bCs/>
          <w:lang w:val="sr-Latn-ME" w:eastAsia="sr-Latn-ME"/>
        </w:rPr>
        <w:t>. godinu (</w:t>
      </w:r>
      <w:r w:rsidRPr="001302F9">
        <w:rPr>
          <w:rFonts w:ascii="Arial" w:eastAsia="Times New Roman" w:hAnsi="Arial" w:cs="Arial"/>
          <w:b/>
          <w:bCs/>
          <w:i/>
          <w:iCs/>
          <w:lang w:val="sr-Latn-ME" w:eastAsia="sr-Latn-ME"/>
        </w:rPr>
        <w:t>Montenegro 202</w:t>
      </w:r>
      <w:r w:rsidR="00F1070B">
        <w:rPr>
          <w:rFonts w:ascii="Arial" w:eastAsia="Times New Roman" w:hAnsi="Arial" w:cs="Arial"/>
          <w:b/>
          <w:bCs/>
          <w:i/>
          <w:iCs/>
          <w:lang w:val="sr-Latn-ME" w:eastAsia="sr-Latn-ME"/>
        </w:rPr>
        <w:t>3</w:t>
      </w:r>
      <w:r w:rsidRPr="001302F9">
        <w:rPr>
          <w:rFonts w:ascii="Arial" w:eastAsia="Times New Roman" w:hAnsi="Arial" w:cs="Arial"/>
          <w:b/>
          <w:bCs/>
          <w:i/>
          <w:iCs/>
          <w:lang w:val="sr-Latn-ME" w:eastAsia="sr-Latn-ME"/>
        </w:rPr>
        <w:t xml:space="preserve"> Report</w:t>
      </w:r>
      <w:r w:rsidR="00F1070B">
        <w:rPr>
          <w:rFonts w:ascii="Arial" w:eastAsia="Times New Roman" w:hAnsi="Arial" w:cs="Arial"/>
          <w:b/>
          <w:bCs/>
          <w:i/>
          <w:iCs/>
          <w:lang w:val="sr-Latn-ME" w:eastAsia="sr-Latn-ME"/>
        </w:rPr>
        <w:t>,</w:t>
      </w:r>
      <w:r w:rsidR="00F1070B" w:rsidRPr="00F1070B">
        <w:rPr>
          <w:rFonts w:ascii="Arial" w:eastAsia="Times New Roman" w:hAnsi="Arial" w:cs="Arial"/>
          <w:b/>
          <w:bCs/>
          <w:i/>
          <w:iCs/>
          <w:lang w:val="sr-Latn-ME" w:eastAsia="sr-Latn-ME"/>
        </w:rPr>
        <w:t xml:space="preserve"> Montenegro 202</w:t>
      </w:r>
      <w:r w:rsidR="00F1070B">
        <w:rPr>
          <w:rFonts w:ascii="Arial" w:eastAsia="Times New Roman" w:hAnsi="Arial" w:cs="Arial"/>
          <w:b/>
          <w:bCs/>
          <w:i/>
          <w:iCs/>
          <w:lang w:val="sr-Latn-ME" w:eastAsia="sr-Latn-ME"/>
        </w:rPr>
        <w:t>4</w:t>
      </w:r>
      <w:r w:rsidR="00F1070B" w:rsidRPr="00F1070B">
        <w:rPr>
          <w:rFonts w:ascii="Arial" w:eastAsia="Times New Roman" w:hAnsi="Arial" w:cs="Arial"/>
          <w:b/>
          <w:bCs/>
          <w:i/>
          <w:iCs/>
          <w:lang w:val="sr-Latn-ME" w:eastAsia="sr-Latn-ME"/>
        </w:rPr>
        <w:t xml:space="preserve"> Report</w:t>
      </w:r>
      <w:r w:rsidR="00F1070B">
        <w:rPr>
          <w:rFonts w:ascii="Arial" w:eastAsia="Times New Roman" w:hAnsi="Arial" w:cs="Arial"/>
          <w:b/>
          <w:bCs/>
          <w:i/>
          <w:iCs/>
          <w:lang w:val="sr-Latn-ME" w:eastAsia="sr-Latn-ME"/>
        </w:rPr>
        <w:t xml:space="preserve">  </w:t>
      </w:r>
      <w:r w:rsidRPr="001302F9">
        <w:rPr>
          <w:rFonts w:ascii="Arial" w:eastAsia="Times New Roman" w:hAnsi="Arial" w:cs="Arial"/>
          <w:b/>
          <w:bCs/>
          <w:lang w:val="sr-Latn-ME" w:eastAsia="sr-Latn-ME"/>
        </w:rPr>
        <w:t>)</w:t>
      </w:r>
    </w:p>
    <w:p w:rsidR="003D2547" w:rsidRPr="001302F9" w:rsidRDefault="003D2547" w:rsidP="00BC2EFA">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 xml:space="preserve">U dijelu koji se odnosi na </w:t>
      </w:r>
      <w:r w:rsidRPr="001302F9">
        <w:rPr>
          <w:rFonts w:ascii="Arial" w:eastAsia="Times New Roman" w:hAnsi="Arial" w:cs="Arial"/>
          <w:b/>
          <w:bCs/>
          <w:lang w:val="sr-Latn-ME" w:eastAsia="sr-Latn-ME"/>
        </w:rPr>
        <w:t>Poglavlje 32: Finansijska kontrola</w:t>
      </w:r>
      <w:r w:rsidRPr="001302F9">
        <w:rPr>
          <w:rFonts w:ascii="Arial" w:eastAsia="Times New Roman" w:hAnsi="Arial" w:cs="Arial"/>
          <w:lang w:val="sr-Latn-ME" w:eastAsia="sr-Latn-ME"/>
        </w:rPr>
        <w:t>, Evropska komisija je konstatovala:</w:t>
      </w:r>
    </w:p>
    <w:p w:rsidR="003D2547" w:rsidRPr="001302F9" w:rsidRDefault="003D2547" w:rsidP="00BC2EFA">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b/>
          <w:bCs/>
          <w:lang w:val="sr-Latn-ME" w:eastAsia="sr-Latn-ME"/>
        </w:rPr>
        <w:t>"Uz podršku EU-finansiranog Twinning projekta, AFCOS je unaprijedio kapacitete za borbu protiv nepravilnosti i prevara te poboljšao koordinaciju AFCOS mreže za zaštitu finansijskih interesa EU."</w:t>
      </w:r>
    </w:p>
    <w:p w:rsidR="003D2547" w:rsidRPr="001302F9" w:rsidRDefault="003D2547" w:rsidP="00BC2EFA">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Izvještaj preporučuje da Crna Gora u narednom periodu:</w:t>
      </w:r>
    </w:p>
    <w:p w:rsidR="003D2547" w:rsidRPr="001302F9" w:rsidRDefault="003D2547" w:rsidP="009B6B3B">
      <w:pPr>
        <w:numPr>
          <w:ilvl w:val="0"/>
          <w:numId w:val="17"/>
        </w:num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 xml:space="preserve">dodatno uskladi zakonodavstvo sa </w:t>
      </w:r>
      <w:r w:rsidRPr="001302F9">
        <w:rPr>
          <w:rFonts w:ascii="Arial" w:eastAsia="Times New Roman" w:hAnsi="Arial" w:cs="Arial"/>
          <w:i/>
          <w:iCs/>
          <w:lang w:val="sr-Latn-ME" w:eastAsia="sr-Latn-ME"/>
        </w:rPr>
        <w:t>EU acquis</w:t>
      </w:r>
      <w:r w:rsidRPr="001302F9">
        <w:rPr>
          <w:rFonts w:ascii="Arial" w:eastAsia="Times New Roman" w:hAnsi="Arial" w:cs="Arial"/>
          <w:lang w:val="sr-Latn-ME" w:eastAsia="sr-Latn-ME"/>
        </w:rPr>
        <w:t>-om u oblasti borbe protiv prevara koje utiču na finansijske interese EU,</w:t>
      </w:r>
    </w:p>
    <w:p w:rsidR="003D2547" w:rsidRPr="001302F9" w:rsidRDefault="003D2547" w:rsidP="009B6B3B">
      <w:pPr>
        <w:numPr>
          <w:ilvl w:val="0"/>
          <w:numId w:val="17"/>
        </w:num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 xml:space="preserve">ojača </w:t>
      </w:r>
      <w:r w:rsidR="00D23BC2" w:rsidRPr="001302F9">
        <w:rPr>
          <w:rFonts w:ascii="Arial" w:eastAsia="Times New Roman" w:hAnsi="Arial" w:cs="Arial"/>
          <w:lang w:val="sr-Latn-ME" w:eastAsia="sr-Latn-ME"/>
        </w:rPr>
        <w:t xml:space="preserve">koordinacione </w:t>
      </w:r>
      <w:r w:rsidRPr="001302F9">
        <w:rPr>
          <w:rFonts w:ascii="Arial" w:eastAsia="Times New Roman" w:hAnsi="Arial" w:cs="Arial"/>
          <w:lang w:val="sr-Latn-ME" w:eastAsia="sr-Latn-ME"/>
        </w:rPr>
        <w:t>kapacitete AFCOS-a,</w:t>
      </w:r>
    </w:p>
    <w:p w:rsidR="003D2547" w:rsidRPr="001302F9" w:rsidRDefault="003D2547" w:rsidP="009B6B3B">
      <w:pPr>
        <w:numPr>
          <w:ilvl w:val="0"/>
          <w:numId w:val="17"/>
        </w:num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 xml:space="preserve">usvoji izmjene </w:t>
      </w:r>
      <w:r w:rsidRPr="001302F9">
        <w:rPr>
          <w:rFonts w:ascii="Arial" w:eastAsia="Times New Roman" w:hAnsi="Arial" w:cs="Arial"/>
          <w:b/>
          <w:bCs/>
          <w:lang w:val="sr-Latn-ME" w:eastAsia="sr-Latn-ME"/>
        </w:rPr>
        <w:t>Krivičnog zakonika</w:t>
      </w:r>
      <w:r w:rsidRPr="001302F9">
        <w:rPr>
          <w:rFonts w:ascii="Arial" w:eastAsia="Times New Roman" w:hAnsi="Arial" w:cs="Arial"/>
          <w:lang w:val="sr-Latn-ME" w:eastAsia="sr-Latn-ME"/>
        </w:rPr>
        <w:t xml:space="preserve"> i donese </w:t>
      </w:r>
      <w:r w:rsidRPr="001302F9">
        <w:rPr>
          <w:rFonts w:ascii="Arial" w:eastAsia="Times New Roman" w:hAnsi="Arial" w:cs="Arial"/>
          <w:b/>
          <w:bCs/>
          <w:lang w:val="sr-Latn-ME" w:eastAsia="sr-Latn-ME"/>
        </w:rPr>
        <w:t>novu nacionalnu strategiju za borbu protiv prevara</w:t>
      </w:r>
      <w:r w:rsidRPr="001302F9">
        <w:rPr>
          <w:rFonts w:ascii="Arial" w:eastAsia="Times New Roman" w:hAnsi="Arial" w:cs="Arial"/>
          <w:lang w:val="sr-Latn-ME" w:eastAsia="sr-Latn-ME"/>
        </w:rPr>
        <w:t>.</w:t>
      </w:r>
    </w:p>
    <w:p w:rsidR="003D2547" w:rsidRPr="001302F9" w:rsidRDefault="003D2547" w:rsidP="00BC2EFA">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Pored toga, Evropska komisija naglašava da crnogorske institucije treba da nastave sa:</w:t>
      </w:r>
    </w:p>
    <w:p w:rsidR="003D2547" w:rsidRPr="001302F9" w:rsidRDefault="003D2547" w:rsidP="009B6B3B">
      <w:pPr>
        <w:numPr>
          <w:ilvl w:val="0"/>
          <w:numId w:val="18"/>
        </w:num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b/>
          <w:bCs/>
          <w:lang w:val="sr-Latn-ME" w:eastAsia="sr-Latn-ME"/>
        </w:rPr>
        <w:t>jačanjem rezultata u prijavljivanju nepravilnosti</w:t>
      </w:r>
      <w:r w:rsidRPr="001302F9">
        <w:rPr>
          <w:rFonts w:ascii="Arial" w:eastAsia="Times New Roman" w:hAnsi="Arial" w:cs="Arial"/>
          <w:lang w:val="sr-Latn-ME" w:eastAsia="sr-Latn-ME"/>
        </w:rPr>
        <w:t>,</w:t>
      </w:r>
    </w:p>
    <w:p w:rsidR="003D2547" w:rsidRDefault="003D2547" w:rsidP="009B6B3B">
      <w:pPr>
        <w:numPr>
          <w:ilvl w:val="0"/>
          <w:numId w:val="18"/>
        </w:num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b/>
          <w:bCs/>
          <w:lang w:val="sr-Latn-ME" w:eastAsia="sr-Latn-ME"/>
        </w:rPr>
        <w:t>saradnjom sa OLAF-om</w:t>
      </w:r>
      <w:r w:rsidRPr="001302F9">
        <w:rPr>
          <w:rFonts w:ascii="Arial" w:eastAsia="Times New Roman" w:hAnsi="Arial" w:cs="Arial"/>
          <w:lang w:val="sr-Latn-ME" w:eastAsia="sr-Latn-ME"/>
        </w:rPr>
        <w:t xml:space="preserve"> u istragama.</w:t>
      </w:r>
    </w:p>
    <w:p w:rsidR="005B1FA8" w:rsidRPr="001302F9" w:rsidRDefault="005B1FA8" w:rsidP="005B1FA8">
      <w:pPr>
        <w:spacing w:before="100" w:beforeAutospacing="1" w:after="100" w:afterAutospacing="1" w:line="240" w:lineRule="auto"/>
        <w:jc w:val="both"/>
        <w:rPr>
          <w:rFonts w:ascii="Arial" w:eastAsia="Times New Roman" w:hAnsi="Arial" w:cs="Arial"/>
          <w:lang w:val="sr-Latn-ME" w:eastAsia="sr-Latn-ME"/>
        </w:rPr>
      </w:pPr>
    </w:p>
    <w:p w:rsidR="003D2547" w:rsidRPr="001302F9" w:rsidRDefault="003D2547" w:rsidP="00BC2EFA">
      <w:pPr>
        <w:spacing w:before="100" w:beforeAutospacing="1" w:after="100" w:afterAutospacing="1" w:line="240" w:lineRule="auto"/>
        <w:jc w:val="both"/>
        <w:outlineLvl w:val="2"/>
        <w:rPr>
          <w:rFonts w:ascii="Arial" w:eastAsia="Times New Roman" w:hAnsi="Arial" w:cs="Arial"/>
          <w:b/>
          <w:bCs/>
          <w:lang w:val="sr-Latn-ME" w:eastAsia="sr-Latn-ME"/>
        </w:rPr>
      </w:pPr>
      <w:r w:rsidRPr="001302F9">
        <w:rPr>
          <w:rFonts w:ascii="Arial" w:eastAsia="Times New Roman" w:hAnsi="Arial" w:cs="Arial"/>
          <w:b/>
          <w:bCs/>
          <w:lang w:val="sr-Latn-ME" w:eastAsia="sr-Latn-ME"/>
        </w:rPr>
        <w:t>Saopštenje Evropske komisije o politici proširenja EU iz 2023. godine</w:t>
      </w:r>
    </w:p>
    <w:p w:rsidR="003D2547" w:rsidRPr="001302F9" w:rsidRDefault="003D2547" w:rsidP="00BC2EFA">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 xml:space="preserve">U Komunikaciji Evropske komisije o politici proširenja EU iz 2023. godine istaknuto je da crnogorske vlasti treba da </w:t>
      </w:r>
      <w:r w:rsidRPr="001302F9">
        <w:rPr>
          <w:rFonts w:ascii="Arial" w:eastAsia="Times New Roman" w:hAnsi="Arial" w:cs="Arial"/>
          <w:b/>
          <w:bCs/>
          <w:lang w:val="sr-Latn-ME" w:eastAsia="sr-Latn-ME"/>
        </w:rPr>
        <w:t>pojačaju napore u borbi protiv pranja novca i finansijskog kriminala</w:t>
      </w:r>
      <w:r w:rsidRPr="001302F9">
        <w:rPr>
          <w:rFonts w:ascii="Arial" w:eastAsia="Times New Roman" w:hAnsi="Arial" w:cs="Arial"/>
          <w:lang w:val="sr-Latn-ME" w:eastAsia="sr-Latn-ME"/>
        </w:rPr>
        <w:t>.</w:t>
      </w:r>
    </w:p>
    <w:p w:rsidR="003D2547" w:rsidRPr="001302F9" w:rsidRDefault="003D2547" w:rsidP="00BC2EFA">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 xml:space="preserve">Crna Gora je pokazala ohrabrujuće pomake u borbi protiv organizovanog kriminala, uključujući hapšenja visokih članova organizovanih kriminalnih grupa i visokih funkcionera u agencijama za </w:t>
      </w:r>
      <w:r w:rsidR="00D23BC2" w:rsidRPr="001302F9">
        <w:rPr>
          <w:rFonts w:ascii="Arial" w:eastAsia="Times New Roman" w:hAnsi="Arial" w:cs="Arial"/>
          <w:lang w:val="sr-Latn-ME" w:eastAsia="sr-Latn-ME"/>
        </w:rPr>
        <w:t>s</w:t>
      </w:r>
      <w:r w:rsidRPr="001302F9">
        <w:rPr>
          <w:rFonts w:ascii="Arial" w:eastAsia="Times New Roman" w:hAnsi="Arial" w:cs="Arial"/>
          <w:lang w:val="sr-Latn-ME" w:eastAsia="sr-Latn-ME"/>
        </w:rPr>
        <w:t xml:space="preserve">provođenje zakona. Međutim, naglašena je potreba za </w:t>
      </w:r>
      <w:r w:rsidRPr="001302F9">
        <w:rPr>
          <w:rFonts w:ascii="Arial" w:eastAsia="Times New Roman" w:hAnsi="Arial" w:cs="Arial"/>
          <w:b/>
          <w:bCs/>
          <w:lang w:val="sr-Latn-ME" w:eastAsia="sr-Latn-ME"/>
        </w:rPr>
        <w:t>dosljednom i odlučnom borbom protiv infiltracije organizovanog kriminala u policiju i pravosuđe</w:t>
      </w:r>
      <w:r w:rsidRPr="001302F9">
        <w:rPr>
          <w:rFonts w:ascii="Arial" w:eastAsia="Times New Roman" w:hAnsi="Arial" w:cs="Arial"/>
          <w:lang w:val="sr-Latn-ME" w:eastAsia="sr-Latn-ME"/>
        </w:rPr>
        <w:t>.</w:t>
      </w:r>
    </w:p>
    <w:p w:rsidR="003D2547" w:rsidRPr="001302F9" w:rsidRDefault="003D2547" w:rsidP="00BC2EFA">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Evropska komisija izražava zabrinutost zbog:</w:t>
      </w:r>
    </w:p>
    <w:p w:rsidR="003D2547" w:rsidRPr="001302F9" w:rsidRDefault="003D2547" w:rsidP="009B6B3B">
      <w:pPr>
        <w:numPr>
          <w:ilvl w:val="0"/>
          <w:numId w:val="19"/>
        </w:num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b/>
          <w:bCs/>
          <w:lang w:val="sr-Latn-ME" w:eastAsia="sr-Latn-ME"/>
        </w:rPr>
        <w:t>nedostatka osuđujućih presuda</w:t>
      </w:r>
      <w:r w:rsidRPr="001302F9">
        <w:rPr>
          <w:rFonts w:ascii="Arial" w:eastAsia="Times New Roman" w:hAnsi="Arial" w:cs="Arial"/>
          <w:lang w:val="sr-Latn-ME" w:eastAsia="sr-Latn-ME"/>
        </w:rPr>
        <w:t xml:space="preserve"> u oblastima krijumčarenja duvana, pranja novca, trgovine ljudima i sajber kriminala,</w:t>
      </w:r>
    </w:p>
    <w:p w:rsidR="003D2547" w:rsidRPr="001302F9" w:rsidRDefault="003D2547" w:rsidP="009B6B3B">
      <w:pPr>
        <w:numPr>
          <w:ilvl w:val="0"/>
          <w:numId w:val="19"/>
        </w:num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b/>
          <w:bCs/>
          <w:lang w:val="sr-Latn-ME" w:eastAsia="sr-Latn-ME"/>
        </w:rPr>
        <w:t>veoma niskog nivoa oduzimanja imovine</w:t>
      </w:r>
      <w:r w:rsidRPr="001302F9">
        <w:rPr>
          <w:rFonts w:ascii="Arial" w:eastAsia="Times New Roman" w:hAnsi="Arial" w:cs="Arial"/>
          <w:lang w:val="sr-Latn-ME" w:eastAsia="sr-Latn-ME"/>
        </w:rPr>
        <w:t xml:space="preserve"> stečene kriminalnim aktivnostima.</w:t>
      </w:r>
    </w:p>
    <w:p w:rsidR="003D2547" w:rsidRPr="001302F9" w:rsidRDefault="003D2547" w:rsidP="00877882">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 xml:space="preserve">Iako je u 2022. godini povećan broj osuđujućih presuda za finansijske zločine, one su se </w:t>
      </w:r>
      <w:r w:rsidRPr="001302F9">
        <w:rPr>
          <w:rFonts w:ascii="Arial" w:eastAsia="Times New Roman" w:hAnsi="Arial" w:cs="Arial"/>
          <w:b/>
          <w:bCs/>
          <w:lang w:val="sr-Latn-ME" w:eastAsia="sr-Latn-ME"/>
        </w:rPr>
        <w:t>zasnivale isključivo na sporazumima o priznanju krivice</w:t>
      </w:r>
      <w:r w:rsidRPr="001302F9">
        <w:rPr>
          <w:rFonts w:ascii="Arial" w:eastAsia="Times New Roman" w:hAnsi="Arial" w:cs="Arial"/>
          <w:lang w:val="sr-Latn-ME" w:eastAsia="sr-Latn-ME"/>
        </w:rPr>
        <w:t>, što ukazuje na potrebu za jačanjem sudske prakse i efikasnijim procesuiranjem slučajeva.</w:t>
      </w:r>
    </w:p>
    <w:p w:rsidR="00DF5FEC" w:rsidRPr="001302F9" w:rsidRDefault="00DF5FEC" w:rsidP="00DF5FEC">
      <w:pPr>
        <w:spacing w:before="100" w:beforeAutospacing="1" w:after="100" w:afterAutospacing="1" w:line="240" w:lineRule="auto"/>
        <w:outlineLvl w:val="2"/>
        <w:rPr>
          <w:rFonts w:ascii="Arial" w:eastAsia="Times New Roman" w:hAnsi="Arial" w:cs="Arial"/>
          <w:b/>
          <w:bCs/>
          <w:lang w:val="sr-Latn-ME" w:eastAsia="sr-Latn-ME"/>
        </w:rPr>
      </w:pPr>
      <w:r w:rsidRPr="001302F9">
        <w:rPr>
          <w:rFonts w:ascii="Arial" w:eastAsia="Times New Roman" w:hAnsi="Arial" w:cs="Arial"/>
          <w:b/>
          <w:bCs/>
          <w:lang w:val="sr-Latn-ME" w:eastAsia="sr-Latn-ME"/>
        </w:rPr>
        <w:t>Akcioni plan Komisije za borbu protiv prevara – revizija 2023</w:t>
      </w:r>
    </w:p>
    <w:p w:rsidR="00DF5FEC" w:rsidRPr="001302F9" w:rsidRDefault="00DF5FEC" w:rsidP="00502D81">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 xml:space="preserve">Evropska komisija je 2019. godine usvojila </w:t>
      </w:r>
      <w:r w:rsidRPr="001302F9">
        <w:rPr>
          <w:rFonts w:ascii="Arial" w:eastAsia="Times New Roman" w:hAnsi="Arial" w:cs="Arial"/>
          <w:b/>
          <w:bCs/>
          <w:lang w:val="sr-Latn-ME" w:eastAsia="sr-Latn-ME"/>
        </w:rPr>
        <w:t>Strategiju Komisije za borbu protiv prevara</w:t>
      </w:r>
      <w:r w:rsidRPr="001302F9">
        <w:rPr>
          <w:rFonts w:ascii="Arial" w:eastAsia="Times New Roman" w:hAnsi="Arial" w:cs="Arial"/>
          <w:lang w:val="sr-Latn-ME" w:eastAsia="sr-Latn-ME"/>
        </w:rPr>
        <w:t>, koja je usmjerena na zaštitu finansijskih interesa EU od prevara, korupcije i drugih namjernih nepravilnosti.</w:t>
      </w:r>
    </w:p>
    <w:p w:rsidR="00DF5FEC" w:rsidRPr="001302F9" w:rsidRDefault="00DF5FEC" w:rsidP="00502D81">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 xml:space="preserve">U </w:t>
      </w:r>
      <w:r w:rsidRPr="001302F9">
        <w:rPr>
          <w:rFonts w:ascii="Arial" w:eastAsia="Times New Roman" w:hAnsi="Arial" w:cs="Arial"/>
          <w:b/>
          <w:bCs/>
          <w:lang w:val="sr-Latn-ME" w:eastAsia="sr-Latn-ME"/>
        </w:rPr>
        <w:t>2023. godini ažuriran je Akcioni plan</w:t>
      </w:r>
      <w:r w:rsidRPr="001302F9">
        <w:rPr>
          <w:rFonts w:ascii="Arial" w:eastAsia="Times New Roman" w:hAnsi="Arial" w:cs="Arial"/>
          <w:lang w:val="sr-Latn-ME" w:eastAsia="sr-Latn-ME"/>
        </w:rPr>
        <w:t xml:space="preserve"> ove strategije, koji, između ostalog, uključuje aktivnosti za </w:t>
      </w:r>
      <w:r w:rsidRPr="001302F9">
        <w:rPr>
          <w:rFonts w:ascii="Arial" w:eastAsia="Times New Roman" w:hAnsi="Arial" w:cs="Arial"/>
          <w:b/>
          <w:bCs/>
          <w:lang w:val="sr-Latn-ME" w:eastAsia="sr-Latn-ME"/>
        </w:rPr>
        <w:t>jačanje zaštite sredstava pod indirektnim upravljanjem</w:t>
      </w:r>
      <w:r w:rsidRPr="001302F9">
        <w:rPr>
          <w:rFonts w:ascii="Arial" w:eastAsia="Times New Roman" w:hAnsi="Arial" w:cs="Arial"/>
          <w:lang w:val="sr-Latn-ME" w:eastAsia="sr-Latn-ME"/>
        </w:rPr>
        <w:t xml:space="preserve">. Ta sredstva su povjerena partnerskim organizacijama, ali </w:t>
      </w:r>
      <w:r w:rsidRPr="001302F9">
        <w:rPr>
          <w:rFonts w:ascii="Arial" w:eastAsia="Times New Roman" w:hAnsi="Arial" w:cs="Arial"/>
          <w:b/>
          <w:bCs/>
          <w:lang w:val="sr-Latn-ME" w:eastAsia="sr-Latn-ME"/>
        </w:rPr>
        <w:t>Komisija i dalje snosi odgovornost</w:t>
      </w:r>
      <w:r w:rsidRPr="001302F9">
        <w:rPr>
          <w:rFonts w:ascii="Arial" w:eastAsia="Times New Roman" w:hAnsi="Arial" w:cs="Arial"/>
          <w:lang w:val="sr-Latn-ME" w:eastAsia="sr-Latn-ME"/>
        </w:rPr>
        <w:t xml:space="preserve"> i mora garantovati visok nivo njihove zaštite.</w:t>
      </w:r>
    </w:p>
    <w:p w:rsidR="00DF5FEC" w:rsidRPr="001302F9" w:rsidRDefault="00DF5FEC" w:rsidP="00502D81">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 xml:space="preserve">Zbog toga su </w:t>
      </w:r>
      <w:r w:rsidRPr="001302F9">
        <w:rPr>
          <w:rFonts w:ascii="Arial" w:eastAsia="Times New Roman" w:hAnsi="Arial" w:cs="Arial"/>
          <w:b/>
          <w:bCs/>
          <w:lang w:val="sr-Latn-ME" w:eastAsia="sr-Latn-ME"/>
        </w:rPr>
        <w:t>implementacioni partneri dužni da sistematski prijavljuju otkrivene prevare</w:t>
      </w:r>
      <w:r w:rsidRPr="001302F9">
        <w:rPr>
          <w:rFonts w:ascii="Arial" w:eastAsia="Times New Roman" w:hAnsi="Arial" w:cs="Arial"/>
          <w:lang w:val="sr-Latn-ME" w:eastAsia="sr-Latn-ME"/>
        </w:rPr>
        <w:t xml:space="preserve"> Komisiji. U tom cilju, Komisija pruža </w:t>
      </w:r>
      <w:r w:rsidRPr="001302F9">
        <w:rPr>
          <w:rFonts w:ascii="Arial" w:eastAsia="Times New Roman" w:hAnsi="Arial" w:cs="Arial"/>
          <w:b/>
          <w:bCs/>
          <w:lang w:val="sr-Latn-ME" w:eastAsia="sr-Latn-ME"/>
        </w:rPr>
        <w:t>povećanu podršku i podizanje svijesti</w:t>
      </w:r>
      <w:r w:rsidRPr="001302F9">
        <w:rPr>
          <w:rFonts w:ascii="Arial" w:eastAsia="Times New Roman" w:hAnsi="Arial" w:cs="Arial"/>
          <w:lang w:val="sr-Latn-ME" w:eastAsia="sr-Latn-ME"/>
        </w:rPr>
        <w:t xml:space="preserve"> među partnerima, uz insistiranje na njihovim zakonskim obavezama za saradnju.</w:t>
      </w:r>
    </w:p>
    <w:p w:rsidR="00DF5FEC" w:rsidRPr="001302F9" w:rsidRDefault="00DF5FEC" w:rsidP="00502D81">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 xml:space="preserve">Crna Gora, kao </w:t>
      </w:r>
      <w:r w:rsidRPr="001302F9">
        <w:rPr>
          <w:rFonts w:ascii="Arial" w:eastAsia="Times New Roman" w:hAnsi="Arial" w:cs="Arial"/>
          <w:b/>
          <w:bCs/>
          <w:lang w:val="sr-Latn-ME" w:eastAsia="sr-Latn-ME"/>
        </w:rPr>
        <w:t>zemlja korisnica IPA fondova</w:t>
      </w:r>
      <w:r w:rsidRPr="001302F9">
        <w:rPr>
          <w:rFonts w:ascii="Arial" w:eastAsia="Times New Roman" w:hAnsi="Arial" w:cs="Arial"/>
          <w:lang w:val="sr-Latn-ME" w:eastAsia="sr-Latn-ME"/>
        </w:rPr>
        <w:t xml:space="preserve">, takođe koristi </w:t>
      </w:r>
      <w:r w:rsidRPr="001302F9">
        <w:rPr>
          <w:rFonts w:ascii="Arial" w:eastAsia="Times New Roman" w:hAnsi="Arial" w:cs="Arial"/>
          <w:b/>
          <w:bCs/>
          <w:lang w:val="sr-Latn-ME" w:eastAsia="sr-Latn-ME"/>
        </w:rPr>
        <w:t>indirektno upravljanje</w:t>
      </w:r>
      <w:r w:rsidRPr="001302F9">
        <w:rPr>
          <w:rFonts w:ascii="Arial" w:eastAsia="Times New Roman" w:hAnsi="Arial" w:cs="Arial"/>
          <w:lang w:val="sr-Latn-ME" w:eastAsia="sr-Latn-ME"/>
        </w:rPr>
        <w:t xml:space="preserve">, što stvara sinergiju između ove strategije i </w:t>
      </w:r>
      <w:r w:rsidR="008068F3" w:rsidRPr="001302F9">
        <w:rPr>
          <w:rFonts w:ascii="Arial" w:eastAsia="Times New Roman" w:hAnsi="Arial" w:cs="Arial"/>
          <w:lang w:val="sr-Latn-ME" w:eastAsia="sr-Latn-ME"/>
        </w:rPr>
        <w:t>S</w:t>
      </w:r>
      <w:r w:rsidRPr="001302F9">
        <w:rPr>
          <w:rFonts w:ascii="Arial" w:eastAsia="Times New Roman" w:hAnsi="Arial" w:cs="Arial"/>
          <w:lang w:val="sr-Latn-ME" w:eastAsia="sr-Latn-ME"/>
        </w:rPr>
        <w:t>trategije za borbu protiv prevara.</w:t>
      </w:r>
    </w:p>
    <w:p w:rsidR="00DF5FEC" w:rsidRPr="001302F9" w:rsidRDefault="006B37FB" w:rsidP="00DF5FEC">
      <w:pPr>
        <w:spacing w:before="100" w:beforeAutospacing="1" w:after="100" w:afterAutospacing="1" w:line="240" w:lineRule="auto"/>
        <w:outlineLvl w:val="2"/>
        <w:rPr>
          <w:rFonts w:ascii="Arial" w:eastAsia="Times New Roman" w:hAnsi="Arial" w:cs="Arial"/>
          <w:b/>
          <w:bCs/>
          <w:lang w:val="sr-Latn-ME" w:eastAsia="sr-Latn-ME"/>
        </w:rPr>
      </w:pPr>
      <w:r w:rsidRPr="001302F9">
        <w:rPr>
          <w:rFonts w:ascii="Arial" w:eastAsia="Times New Roman" w:hAnsi="Arial" w:cs="Arial"/>
          <w:b/>
          <w:bCs/>
          <w:lang w:val="sr-Latn-ME" w:eastAsia="sr-Latn-ME"/>
        </w:rPr>
        <w:t xml:space="preserve">1.4 </w:t>
      </w:r>
      <w:r w:rsidR="00DF5FEC" w:rsidRPr="001302F9">
        <w:rPr>
          <w:rFonts w:ascii="Arial" w:eastAsia="Times New Roman" w:hAnsi="Arial" w:cs="Arial"/>
          <w:b/>
          <w:bCs/>
          <w:lang w:val="sr-Latn-ME" w:eastAsia="sr-Latn-ME"/>
        </w:rPr>
        <w:t>Nacionalna legislativa</w:t>
      </w:r>
    </w:p>
    <w:p w:rsidR="00DF5FEC" w:rsidRPr="001302F9" w:rsidRDefault="00DF5FEC" w:rsidP="00DF5FEC">
      <w:pPr>
        <w:spacing w:before="100" w:beforeAutospacing="1" w:after="100" w:afterAutospacing="1" w:line="240" w:lineRule="auto"/>
        <w:outlineLvl w:val="3"/>
        <w:rPr>
          <w:rFonts w:ascii="Arial" w:eastAsia="Times New Roman" w:hAnsi="Arial" w:cs="Arial"/>
          <w:b/>
          <w:bCs/>
          <w:lang w:val="sr-Latn-ME" w:eastAsia="sr-Latn-ME"/>
        </w:rPr>
      </w:pPr>
      <w:r w:rsidRPr="001302F9">
        <w:rPr>
          <w:rFonts w:ascii="Arial" w:eastAsia="Times New Roman" w:hAnsi="Arial" w:cs="Arial"/>
          <w:b/>
          <w:bCs/>
          <w:lang w:val="sr-Latn-ME" w:eastAsia="sr-Latn-ME"/>
        </w:rPr>
        <w:t>Okvirni sporazumi sa Evropskom komisijom</w:t>
      </w:r>
    </w:p>
    <w:p w:rsidR="00E007AD" w:rsidRPr="001302F9" w:rsidRDefault="006B37FB" w:rsidP="009B6B3B">
      <w:pPr>
        <w:numPr>
          <w:ilvl w:val="0"/>
          <w:numId w:val="20"/>
        </w:numPr>
        <w:spacing w:before="100" w:beforeAutospacing="1" w:after="100" w:afterAutospacing="1" w:line="240" w:lineRule="auto"/>
        <w:jc w:val="both"/>
        <w:rPr>
          <w:rFonts w:ascii="Arial" w:eastAsia="Times New Roman" w:hAnsi="Arial" w:cs="Arial"/>
          <w:bCs/>
          <w:lang w:val="sr-Latn-ME" w:eastAsia="sr-Latn-ME"/>
        </w:rPr>
      </w:pPr>
      <w:r w:rsidRPr="001302F9">
        <w:rPr>
          <w:rFonts w:ascii="Arial" w:eastAsia="Times New Roman" w:hAnsi="Arial" w:cs="Arial"/>
          <w:b/>
          <w:bCs/>
          <w:lang w:val="sr-Latn-ME" w:eastAsia="sr-Latn-ME"/>
        </w:rPr>
        <w:t>Zakon o potvr</w:t>
      </w:r>
      <w:r w:rsidR="00E007AD" w:rsidRPr="001302F9">
        <w:rPr>
          <w:rFonts w:ascii="Arial" w:eastAsia="Times New Roman" w:hAnsi="Arial" w:cs="Arial"/>
          <w:b/>
          <w:bCs/>
          <w:lang w:val="sr-Latn-ME" w:eastAsia="sr-Latn-ME"/>
        </w:rPr>
        <w:t>đ</w:t>
      </w:r>
      <w:r w:rsidRPr="001302F9">
        <w:rPr>
          <w:rFonts w:ascii="Arial" w:eastAsia="Times New Roman" w:hAnsi="Arial" w:cs="Arial"/>
          <w:b/>
          <w:bCs/>
          <w:lang w:val="sr-Latn-ME" w:eastAsia="sr-Latn-ME"/>
        </w:rPr>
        <w:t>ivanju Okvirnog sporazuma</w:t>
      </w:r>
      <w:r w:rsidRPr="001302F9">
        <w:rPr>
          <w:rFonts w:ascii="Arial" w:eastAsia="Times New Roman" w:hAnsi="Arial" w:cs="Arial"/>
          <w:bCs/>
          <w:lang w:val="sr-Latn-ME" w:eastAsia="sr-Latn-ME"/>
        </w:rPr>
        <w:t xml:space="preserve"> izme</w:t>
      </w:r>
      <w:r w:rsidR="00E007AD" w:rsidRPr="001302F9">
        <w:rPr>
          <w:rFonts w:ascii="Arial" w:eastAsia="Times New Roman" w:hAnsi="Arial" w:cs="Arial"/>
          <w:bCs/>
          <w:lang w:val="sr-Latn-ME" w:eastAsia="sr-Latn-ME"/>
        </w:rPr>
        <w:t>đ</w:t>
      </w:r>
      <w:r w:rsidRPr="001302F9">
        <w:rPr>
          <w:rFonts w:ascii="Arial" w:eastAsia="Times New Roman" w:hAnsi="Arial" w:cs="Arial"/>
          <w:bCs/>
          <w:lang w:val="sr-Latn-ME" w:eastAsia="sr-Latn-ME"/>
        </w:rPr>
        <w:t>u Crne Gore koju predstavlja Vlada Crne Gore i Evropske komisije o pravilima za sprovo</w:t>
      </w:r>
      <w:r w:rsidR="00E007AD" w:rsidRPr="001302F9">
        <w:rPr>
          <w:rFonts w:ascii="Arial" w:eastAsia="Times New Roman" w:hAnsi="Arial" w:cs="Arial"/>
          <w:bCs/>
          <w:lang w:val="sr-Latn-ME" w:eastAsia="sr-Latn-ME"/>
        </w:rPr>
        <w:t>đ</w:t>
      </w:r>
      <w:r w:rsidRPr="001302F9">
        <w:rPr>
          <w:rFonts w:ascii="Arial" w:eastAsia="Times New Roman" w:hAnsi="Arial" w:cs="Arial"/>
          <w:bCs/>
          <w:lang w:val="sr-Latn-ME" w:eastAsia="sr-Latn-ME"/>
        </w:rPr>
        <w:t xml:space="preserve">enje finansijske pomoći Unije Crnoj Gori u okviru instrumenta pretpristupne podrške </w:t>
      </w:r>
      <w:r w:rsidRPr="001302F9">
        <w:rPr>
          <w:rFonts w:ascii="Arial" w:eastAsia="Times New Roman" w:hAnsi="Arial" w:cs="Arial"/>
          <w:b/>
          <w:bCs/>
          <w:lang w:val="sr-Latn-ME" w:eastAsia="sr-Latn-ME"/>
        </w:rPr>
        <w:t>(IPA II)</w:t>
      </w:r>
      <w:r w:rsidRPr="001302F9">
        <w:rPr>
          <w:rFonts w:ascii="Arial" w:eastAsia="Times New Roman" w:hAnsi="Arial" w:cs="Arial"/>
          <w:bCs/>
          <w:lang w:val="sr-Latn-ME" w:eastAsia="sr-Latn-ME"/>
        </w:rPr>
        <w:t xml:space="preserve"> („Službeni list CG – Me</w:t>
      </w:r>
      <w:r w:rsidR="00E007AD" w:rsidRPr="001302F9">
        <w:rPr>
          <w:rFonts w:ascii="Arial" w:eastAsia="Times New Roman" w:hAnsi="Arial" w:cs="Arial"/>
          <w:bCs/>
          <w:lang w:val="sr-Latn-ME" w:eastAsia="sr-Latn-ME"/>
        </w:rPr>
        <w:t>đ</w:t>
      </w:r>
      <w:r w:rsidRPr="001302F9">
        <w:rPr>
          <w:rFonts w:ascii="Arial" w:eastAsia="Times New Roman" w:hAnsi="Arial" w:cs="Arial"/>
          <w:bCs/>
          <w:lang w:val="sr-Latn-ME" w:eastAsia="sr-Latn-ME"/>
        </w:rPr>
        <w:t>unarodni ugovori“, broj 5/15)</w:t>
      </w:r>
    </w:p>
    <w:p w:rsidR="00DF5FEC" w:rsidRPr="001302F9" w:rsidRDefault="006B37FB" w:rsidP="009B6B3B">
      <w:pPr>
        <w:numPr>
          <w:ilvl w:val="0"/>
          <w:numId w:val="20"/>
        </w:num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b/>
          <w:bCs/>
          <w:lang w:val="sr-Latn-ME" w:eastAsia="sr-Latn-ME"/>
        </w:rPr>
        <w:t xml:space="preserve">Zakon o potvrđivanju Okvirnog </w:t>
      </w:r>
      <w:r w:rsidR="00DF5FEC" w:rsidRPr="001302F9">
        <w:rPr>
          <w:rFonts w:ascii="Arial" w:eastAsia="Times New Roman" w:hAnsi="Arial" w:cs="Arial"/>
          <w:b/>
          <w:bCs/>
          <w:lang w:val="sr-Latn-ME" w:eastAsia="sr-Latn-ME"/>
        </w:rPr>
        <w:t>Finansijsk</w:t>
      </w:r>
      <w:r w:rsidRPr="001302F9">
        <w:rPr>
          <w:rFonts w:ascii="Arial" w:eastAsia="Times New Roman" w:hAnsi="Arial" w:cs="Arial"/>
          <w:b/>
          <w:bCs/>
          <w:lang w:val="sr-Latn-ME" w:eastAsia="sr-Latn-ME"/>
        </w:rPr>
        <w:t>og sporazuma o</w:t>
      </w:r>
      <w:r w:rsidR="00DF5FEC" w:rsidRPr="001302F9">
        <w:rPr>
          <w:rFonts w:ascii="Arial" w:eastAsia="Times New Roman" w:hAnsi="Arial" w:cs="Arial"/>
          <w:b/>
          <w:bCs/>
          <w:lang w:val="sr-Latn-ME" w:eastAsia="sr-Latn-ME"/>
        </w:rPr>
        <w:t xml:space="preserve"> partners</w:t>
      </w:r>
      <w:r w:rsidRPr="001302F9">
        <w:rPr>
          <w:rFonts w:ascii="Arial" w:eastAsia="Times New Roman" w:hAnsi="Arial" w:cs="Arial"/>
          <w:b/>
          <w:bCs/>
          <w:lang w:val="sr-Latn-ME" w:eastAsia="sr-Latn-ME"/>
        </w:rPr>
        <w:t>tvu</w:t>
      </w:r>
      <w:r w:rsidR="00DF5FEC" w:rsidRPr="001302F9">
        <w:rPr>
          <w:rFonts w:ascii="Arial" w:eastAsia="Times New Roman" w:hAnsi="Arial" w:cs="Arial"/>
          <w:lang w:val="sr-Latn-ME" w:eastAsia="sr-Latn-ME"/>
        </w:rPr>
        <w:t xml:space="preserve"> između Crne Gore i Evropske komisije </w:t>
      </w:r>
      <w:r w:rsidRPr="001302F9">
        <w:rPr>
          <w:rFonts w:ascii="Arial" w:eastAsia="Times New Roman" w:hAnsi="Arial" w:cs="Arial"/>
          <w:lang w:val="sr-Latn-ME" w:eastAsia="sr-Latn-ME"/>
        </w:rPr>
        <w:t xml:space="preserve">koju predstavlja Vlada Crne Gore </w:t>
      </w:r>
      <w:r w:rsidR="00DF5FEC" w:rsidRPr="001302F9">
        <w:rPr>
          <w:rFonts w:ascii="Arial" w:eastAsia="Times New Roman" w:hAnsi="Arial" w:cs="Arial"/>
          <w:lang w:val="sr-Latn-ME" w:eastAsia="sr-Latn-ME"/>
        </w:rPr>
        <w:t xml:space="preserve">o </w:t>
      </w:r>
      <w:r w:rsidRPr="001302F9">
        <w:rPr>
          <w:rFonts w:ascii="Arial" w:eastAsia="Times New Roman" w:hAnsi="Arial" w:cs="Arial"/>
          <w:lang w:val="sr-Latn-ME" w:eastAsia="sr-Latn-ME"/>
        </w:rPr>
        <w:t xml:space="preserve">modelima sprovođenja </w:t>
      </w:r>
      <w:r w:rsidR="00DF5FEC" w:rsidRPr="001302F9">
        <w:rPr>
          <w:rFonts w:ascii="Arial" w:eastAsia="Times New Roman" w:hAnsi="Arial" w:cs="Arial"/>
          <w:lang w:val="sr-Latn-ME" w:eastAsia="sr-Latn-ME"/>
        </w:rPr>
        <w:t xml:space="preserve">finansijske pomoći </w:t>
      </w:r>
      <w:r w:rsidRPr="001302F9">
        <w:rPr>
          <w:rFonts w:ascii="Arial" w:eastAsia="Times New Roman" w:hAnsi="Arial" w:cs="Arial"/>
          <w:lang w:val="sr-Latn-ME" w:eastAsia="sr-Latn-ME"/>
        </w:rPr>
        <w:t xml:space="preserve">EU Crnoj Gori u </w:t>
      </w:r>
      <w:r w:rsidR="00DF5FEC" w:rsidRPr="001302F9">
        <w:rPr>
          <w:rFonts w:ascii="Arial" w:eastAsia="Times New Roman" w:hAnsi="Arial" w:cs="Arial"/>
          <w:lang w:val="sr-Latn-ME" w:eastAsia="sr-Latn-ME"/>
        </w:rPr>
        <w:t xml:space="preserve">okviru </w:t>
      </w:r>
      <w:r w:rsidRPr="001302F9">
        <w:rPr>
          <w:rFonts w:ascii="Arial" w:eastAsia="Times New Roman" w:hAnsi="Arial" w:cs="Arial"/>
          <w:lang w:val="sr-Latn-ME" w:eastAsia="sr-Latn-ME"/>
        </w:rPr>
        <w:t xml:space="preserve">Instrumenta za pretpristupnu podršku </w:t>
      </w:r>
      <w:r w:rsidRPr="001302F9">
        <w:rPr>
          <w:rFonts w:ascii="Arial" w:eastAsia="Times New Roman" w:hAnsi="Arial" w:cs="Arial"/>
          <w:b/>
          <w:lang w:val="sr-Latn-ME" w:eastAsia="sr-Latn-ME"/>
        </w:rPr>
        <w:t>(</w:t>
      </w:r>
      <w:r w:rsidR="00DF5FEC" w:rsidRPr="001302F9">
        <w:rPr>
          <w:rFonts w:ascii="Arial" w:eastAsia="Times New Roman" w:hAnsi="Arial" w:cs="Arial"/>
          <w:b/>
          <w:bCs/>
          <w:lang w:val="sr-Latn-ME" w:eastAsia="sr-Latn-ME"/>
        </w:rPr>
        <w:t>IPA III</w:t>
      </w:r>
      <w:r w:rsidRPr="001302F9">
        <w:rPr>
          <w:rFonts w:ascii="Arial" w:eastAsia="Times New Roman" w:hAnsi="Arial" w:cs="Arial"/>
          <w:b/>
          <w:bCs/>
          <w:lang w:val="sr-Latn-ME" w:eastAsia="sr-Latn-ME"/>
        </w:rPr>
        <w:t>)</w:t>
      </w:r>
      <w:r w:rsidRPr="001302F9">
        <w:rPr>
          <w:rFonts w:ascii="Arial" w:eastAsia="Times New Roman" w:hAnsi="Arial" w:cs="Arial"/>
          <w:lang w:val="sr-Latn-ME" w:eastAsia="sr-Latn-ME"/>
        </w:rPr>
        <w:t xml:space="preserve"> (</w:t>
      </w:r>
      <w:r w:rsidR="00E007AD" w:rsidRPr="001302F9">
        <w:rPr>
          <w:rFonts w:ascii="Arial" w:eastAsia="Times New Roman" w:hAnsi="Arial" w:cs="Arial"/>
          <w:lang w:val="sr-Latn-ME" w:eastAsia="sr-Latn-ME"/>
        </w:rPr>
        <w:t>„</w:t>
      </w:r>
      <w:r w:rsidRPr="001302F9">
        <w:rPr>
          <w:rFonts w:ascii="Arial" w:eastAsia="Times New Roman" w:hAnsi="Arial" w:cs="Arial"/>
          <w:lang w:val="sr-Latn-ME" w:eastAsia="sr-Latn-ME"/>
        </w:rPr>
        <w:t>Službeni list CG</w:t>
      </w:r>
      <w:r w:rsidR="00E007AD" w:rsidRPr="001302F9">
        <w:rPr>
          <w:rFonts w:ascii="Arial" w:eastAsia="Times New Roman" w:hAnsi="Arial" w:cs="Arial"/>
          <w:lang w:val="sr-Latn-ME" w:eastAsia="sr-Latn-ME"/>
        </w:rPr>
        <w:t xml:space="preserve"> - </w:t>
      </w:r>
      <w:r w:rsidRPr="001302F9">
        <w:rPr>
          <w:rFonts w:ascii="Arial" w:eastAsia="Times New Roman" w:hAnsi="Arial" w:cs="Arial"/>
          <w:lang w:val="sr-Latn-ME" w:eastAsia="sr-Latn-ME"/>
        </w:rPr>
        <w:t>Međunarodni ugovori</w:t>
      </w:r>
      <w:r w:rsidR="00E007AD" w:rsidRPr="001302F9">
        <w:rPr>
          <w:rFonts w:ascii="Arial" w:eastAsia="Times New Roman" w:hAnsi="Arial" w:cs="Arial"/>
          <w:lang w:val="sr-Latn-ME" w:eastAsia="sr-Latn-ME"/>
        </w:rPr>
        <w:t>“,</w:t>
      </w:r>
      <w:r w:rsidRPr="001302F9">
        <w:rPr>
          <w:rFonts w:ascii="Arial" w:eastAsia="Times New Roman" w:hAnsi="Arial" w:cs="Arial"/>
          <w:lang w:val="sr-Latn-ME" w:eastAsia="sr-Latn-ME"/>
        </w:rPr>
        <w:t xml:space="preserve"> br</w:t>
      </w:r>
      <w:r w:rsidR="00E007AD" w:rsidRPr="001302F9">
        <w:rPr>
          <w:rFonts w:ascii="Arial" w:eastAsia="Times New Roman" w:hAnsi="Arial" w:cs="Arial"/>
          <w:lang w:val="sr-Latn-ME" w:eastAsia="sr-Latn-ME"/>
        </w:rPr>
        <w:t>oj</w:t>
      </w:r>
      <w:r w:rsidRPr="001302F9">
        <w:rPr>
          <w:rFonts w:ascii="Arial" w:eastAsia="Times New Roman" w:hAnsi="Arial" w:cs="Arial"/>
          <w:lang w:val="sr-Latn-ME" w:eastAsia="sr-Latn-ME"/>
        </w:rPr>
        <w:t xml:space="preserve"> 6/22)</w:t>
      </w:r>
    </w:p>
    <w:p w:rsidR="006B37FB" w:rsidRPr="001302F9" w:rsidRDefault="00DF5FEC" w:rsidP="00BC2EFA">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 xml:space="preserve">Članovi </w:t>
      </w:r>
      <w:r w:rsidRPr="001302F9">
        <w:rPr>
          <w:rFonts w:ascii="Arial" w:eastAsia="Times New Roman" w:hAnsi="Arial" w:cs="Arial"/>
          <w:b/>
          <w:bCs/>
          <w:lang w:val="sr-Latn-ME" w:eastAsia="sr-Latn-ME"/>
        </w:rPr>
        <w:t>50 i 51</w:t>
      </w:r>
      <w:r w:rsidRPr="001302F9">
        <w:rPr>
          <w:rFonts w:ascii="Arial" w:eastAsia="Times New Roman" w:hAnsi="Arial" w:cs="Arial"/>
          <w:lang w:val="sr-Latn-ME" w:eastAsia="sr-Latn-ME"/>
        </w:rPr>
        <w:t xml:space="preserve"> ovih sporazuma propisuju </w:t>
      </w:r>
      <w:r w:rsidRPr="001302F9">
        <w:rPr>
          <w:rFonts w:ascii="Arial" w:eastAsia="Times New Roman" w:hAnsi="Arial" w:cs="Arial"/>
          <w:b/>
          <w:bCs/>
          <w:lang w:val="sr-Latn-ME" w:eastAsia="sr-Latn-ME"/>
        </w:rPr>
        <w:t>obavezu Crne Gore da štiti finansijske interese EU</w:t>
      </w:r>
      <w:r w:rsidRPr="001302F9">
        <w:rPr>
          <w:rFonts w:ascii="Arial" w:eastAsia="Times New Roman" w:hAnsi="Arial" w:cs="Arial"/>
          <w:lang w:val="sr-Latn-ME" w:eastAsia="sr-Latn-ME"/>
        </w:rPr>
        <w:t xml:space="preserve"> i daju definicije koje treba primijeniti u tu svrhu.</w:t>
      </w:r>
    </w:p>
    <w:p w:rsidR="008C58AC" w:rsidRPr="005869C4" w:rsidRDefault="0089527D" w:rsidP="009B6B3B">
      <w:pPr>
        <w:pStyle w:val="ListParagraph"/>
        <w:numPr>
          <w:ilvl w:val="0"/>
          <w:numId w:val="24"/>
        </w:numPr>
        <w:spacing w:before="100" w:beforeAutospacing="1" w:after="100" w:afterAutospacing="1" w:line="240" w:lineRule="auto"/>
        <w:rPr>
          <w:rFonts w:cs="Arial"/>
          <w:sz w:val="22"/>
          <w:szCs w:val="22"/>
          <w:lang w:val="sr-Latn-ME" w:eastAsia="sr-Latn-ME"/>
        </w:rPr>
      </w:pPr>
      <w:r w:rsidRPr="005869C4">
        <w:rPr>
          <w:rFonts w:cs="Arial"/>
          <w:b/>
          <w:sz w:val="22"/>
          <w:szCs w:val="22"/>
          <w:lang w:val="sr-Latn-ME" w:eastAsia="sr-Latn-ME"/>
        </w:rPr>
        <w:t>Zakon o potvrđivanju Sporazuma o pristupanju Instrumentu</w:t>
      </w:r>
      <w:r w:rsidRPr="005869C4">
        <w:rPr>
          <w:rFonts w:cs="Arial"/>
          <w:sz w:val="22"/>
          <w:szCs w:val="22"/>
          <w:lang w:val="sr-Latn-ME" w:eastAsia="sr-Latn-ME"/>
        </w:rPr>
        <w:t xml:space="preserve"> između Evropske unije koju predstavlja Komisija i Crne Gore koju predstavlja Vlada Crne Gore o posebnim aranžmanima za sprovođenje podrške Unije Crnoj Gori u okviru Instrumenta za Reforme i Rast („Službeni list CG - Međunarodni ugovori“, broj </w:t>
      </w:r>
      <w:r w:rsidR="00D62564" w:rsidRPr="005869C4">
        <w:rPr>
          <w:rFonts w:cs="Arial"/>
          <w:sz w:val="22"/>
          <w:szCs w:val="22"/>
          <w:lang w:val="sr-Latn-ME" w:eastAsia="sr-Latn-ME"/>
        </w:rPr>
        <w:t>2</w:t>
      </w:r>
      <w:r w:rsidRPr="005869C4">
        <w:rPr>
          <w:rFonts w:cs="Arial"/>
          <w:sz w:val="22"/>
          <w:szCs w:val="22"/>
          <w:lang w:val="sr-Latn-ME" w:eastAsia="sr-Latn-ME"/>
        </w:rPr>
        <w:t>/25)</w:t>
      </w:r>
    </w:p>
    <w:p w:rsidR="006B37FB" w:rsidRPr="001302F9" w:rsidRDefault="00AB49CD" w:rsidP="00BC2EFA">
      <w:pPr>
        <w:spacing w:before="100" w:beforeAutospacing="1" w:after="100" w:afterAutospacing="1" w:line="240" w:lineRule="auto"/>
        <w:jc w:val="both"/>
        <w:outlineLvl w:val="3"/>
        <w:rPr>
          <w:rFonts w:ascii="Arial" w:eastAsia="Times New Roman" w:hAnsi="Arial" w:cs="Arial"/>
          <w:b/>
          <w:bCs/>
          <w:lang w:val="sr-Latn-ME" w:eastAsia="sr-Latn-ME"/>
        </w:rPr>
      </w:pPr>
      <w:r w:rsidRPr="005869C4">
        <w:rPr>
          <w:rFonts w:ascii="Arial" w:eastAsia="Times New Roman" w:hAnsi="Arial" w:cs="Arial"/>
          <w:bCs/>
          <w:lang w:val="sr-Latn-ME" w:eastAsia="sr-Latn-ME"/>
        </w:rPr>
        <w:t>Članovi</w:t>
      </w:r>
      <w:r w:rsidRPr="005869C4">
        <w:rPr>
          <w:rFonts w:ascii="Arial" w:eastAsia="Times New Roman" w:hAnsi="Arial" w:cs="Arial"/>
          <w:b/>
          <w:bCs/>
          <w:lang w:val="sr-Latn-ME" w:eastAsia="sr-Latn-ME"/>
        </w:rPr>
        <w:t xml:space="preserve"> 9, 10, 11 i 12  </w:t>
      </w:r>
      <w:r w:rsidRPr="005869C4">
        <w:rPr>
          <w:rFonts w:ascii="Arial" w:eastAsia="Times New Roman" w:hAnsi="Arial" w:cs="Arial"/>
          <w:bCs/>
          <w:lang w:val="sr-Latn-ME" w:eastAsia="sr-Latn-ME"/>
        </w:rPr>
        <w:t>ovog sporazuma</w:t>
      </w:r>
      <w:r w:rsidRPr="005869C4">
        <w:rPr>
          <w:rFonts w:ascii="Arial" w:eastAsia="Times New Roman" w:hAnsi="Arial" w:cs="Arial"/>
          <w:b/>
          <w:bCs/>
          <w:lang w:val="sr-Latn-ME" w:eastAsia="sr-Latn-ME"/>
        </w:rPr>
        <w:t xml:space="preserve"> </w:t>
      </w:r>
      <w:r w:rsidRPr="005869C4">
        <w:rPr>
          <w:rFonts w:ascii="Arial" w:eastAsia="Times New Roman" w:hAnsi="Arial" w:cs="Arial"/>
          <w:bCs/>
          <w:lang w:val="sr-Latn-ME" w:eastAsia="sr-Latn-ME"/>
        </w:rPr>
        <w:t>propisuju</w:t>
      </w:r>
      <w:r w:rsidRPr="005869C4">
        <w:rPr>
          <w:rFonts w:ascii="Arial" w:eastAsia="Times New Roman" w:hAnsi="Arial" w:cs="Arial"/>
          <w:b/>
          <w:bCs/>
          <w:lang w:val="sr-Latn-ME" w:eastAsia="sr-Latn-ME"/>
        </w:rPr>
        <w:t xml:space="preserve"> obavezu Crne Gore da štiti finansijske interese EU</w:t>
      </w:r>
      <w:r w:rsidR="0006174A" w:rsidRPr="005869C4">
        <w:rPr>
          <w:rFonts w:ascii="Arial" w:eastAsia="Times New Roman" w:hAnsi="Arial" w:cs="Arial"/>
          <w:b/>
          <w:bCs/>
          <w:lang w:val="sr-Latn-ME" w:eastAsia="sr-Latn-ME"/>
        </w:rPr>
        <w:t xml:space="preserve"> </w:t>
      </w:r>
      <w:r w:rsidR="0006174A" w:rsidRPr="005869C4">
        <w:rPr>
          <w:rFonts w:ascii="Arial" w:eastAsia="Times New Roman" w:hAnsi="Arial" w:cs="Arial"/>
          <w:bCs/>
          <w:lang w:val="sr-Latn-ME" w:eastAsia="sr-Latn-ME"/>
        </w:rPr>
        <w:t>i poboljšava efikasnost i efektivnost u kontekstu usklađivanja sa pravnom tekovinom EU, gdje ključnu, koordinativnu ulogu, ima Direkcija za suzbijanje nepravilnosti i prevara/AFCOS u Ministarstvu finansija.</w:t>
      </w:r>
    </w:p>
    <w:p w:rsidR="00DF5FEC" w:rsidRPr="001302F9" w:rsidRDefault="00DF5FEC" w:rsidP="00BC2EFA">
      <w:pPr>
        <w:spacing w:before="100" w:beforeAutospacing="1" w:after="100" w:afterAutospacing="1" w:line="240" w:lineRule="auto"/>
        <w:jc w:val="both"/>
        <w:outlineLvl w:val="3"/>
        <w:rPr>
          <w:rFonts w:ascii="Arial" w:eastAsia="Times New Roman" w:hAnsi="Arial" w:cs="Arial"/>
          <w:b/>
          <w:bCs/>
          <w:lang w:val="sr-Latn-ME" w:eastAsia="sr-Latn-ME"/>
        </w:rPr>
      </w:pPr>
      <w:r w:rsidRPr="001302F9">
        <w:rPr>
          <w:rFonts w:ascii="Arial" w:eastAsia="Times New Roman" w:hAnsi="Arial" w:cs="Arial"/>
          <w:b/>
          <w:bCs/>
          <w:lang w:val="sr-Latn-ME" w:eastAsia="sr-Latn-ME"/>
        </w:rPr>
        <w:t>Zakon o budžetu i fiskalnoj odgovornosti</w:t>
      </w:r>
    </w:p>
    <w:p w:rsidR="00DF5FEC" w:rsidRPr="001302F9" w:rsidRDefault="00DF5FEC" w:rsidP="003E485D">
      <w:pPr>
        <w:spacing w:before="100" w:beforeAutospacing="1" w:after="100" w:afterAutospacing="1" w:line="240" w:lineRule="auto"/>
        <w:jc w:val="both"/>
        <w:rPr>
          <w:rFonts w:ascii="Arial" w:eastAsia="Times New Roman" w:hAnsi="Arial" w:cs="Arial"/>
          <w:lang w:val="sr-Latn-ME" w:eastAsia="sr-Latn-ME"/>
        </w:rPr>
      </w:pPr>
      <w:r w:rsidRPr="001302F9">
        <w:rPr>
          <w:rFonts w:ascii="Arial" w:eastAsia="Times New Roman" w:hAnsi="Arial" w:cs="Arial"/>
          <w:lang w:val="sr-Latn-ME" w:eastAsia="sr-Latn-ME"/>
        </w:rPr>
        <w:t xml:space="preserve">Član </w:t>
      </w:r>
      <w:r w:rsidRPr="001302F9">
        <w:rPr>
          <w:rFonts w:ascii="Arial" w:eastAsia="Times New Roman" w:hAnsi="Arial" w:cs="Arial"/>
          <w:b/>
          <w:bCs/>
          <w:lang w:val="sr-Latn-ME" w:eastAsia="sr-Latn-ME"/>
        </w:rPr>
        <w:t>76a</w:t>
      </w:r>
      <w:r w:rsidRPr="001302F9">
        <w:rPr>
          <w:rFonts w:ascii="Arial" w:eastAsia="Times New Roman" w:hAnsi="Arial" w:cs="Arial"/>
          <w:lang w:val="sr-Latn-ME" w:eastAsia="sr-Latn-ME"/>
        </w:rPr>
        <w:t xml:space="preserve"> ovog zakona propisuje da Crna Gora, kao korisnik EU fondova, obezbjeđuje </w:t>
      </w:r>
      <w:r w:rsidRPr="001302F9">
        <w:rPr>
          <w:rFonts w:ascii="Arial" w:eastAsia="Times New Roman" w:hAnsi="Arial" w:cs="Arial"/>
          <w:b/>
          <w:bCs/>
          <w:lang w:val="sr-Latn-ME" w:eastAsia="sr-Latn-ME"/>
        </w:rPr>
        <w:t>indirektno upravljanje IPA fondovima</w:t>
      </w:r>
      <w:r w:rsidRPr="001302F9">
        <w:rPr>
          <w:rFonts w:ascii="Arial" w:eastAsia="Times New Roman" w:hAnsi="Arial" w:cs="Arial"/>
          <w:lang w:val="sr-Latn-ME" w:eastAsia="sr-Latn-ME"/>
        </w:rPr>
        <w:t xml:space="preserve"> i zaštitu finansijskih interesa EU kroz </w:t>
      </w:r>
      <w:r w:rsidRPr="001302F9">
        <w:rPr>
          <w:rFonts w:ascii="Arial" w:eastAsia="Times New Roman" w:hAnsi="Arial" w:cs="Arial"/>
          <w:b/>
          <w:bCs/>
          <w:lang w:val="sr-Latn-ME" w:eastAsia="sr-Latn-ME"/>
        </w:rPr>
        <w:t>uspostavljanje sistema za prevenciju nepravilnosti i prevara</w:t>
      </w:r>
      <w:r w:rsidR="003E485D" w:rsidRPr="001302F9">
        <w:rPr>
          <w:rFonts w:ascii="Arial" w:eastAsia="Times New Roman" w:hAnsi="Arial" w:cs="Arial"/>
          <w:lang w:val="sr-Latn-ME" w:eastAsia="sr-Latn-ME"/>
        </w:rPr>
        <w:t xml:space="preserve"> koji</w:t>
      </w:r>
      <w:r w:rsidRPr="001302F9">
        <w:rPr>
          <w:rFonts w:ascii="Arial" w:eastAsia="Times New Roman" w:hAnsi="Arial" w:cs="Arial"/>
          <w:lang w:val="sr-Latn-ME" w:eastAsia="sr-Latn-ME"/>
        </w:rPr>
        <w:t xml:space="preserve"> koordini</w:t>
      </w:r>
      <w:r w:rsidR="00846DC4" w:rsidRPr="001302F9">
        <w:rPr>
          <w:rFonts w:ascii="Arial" w:eastAsia="Times New Roman" w:hAnsi="Arial" w:cs="Arial"/>
          <w:lang w:val="sr-Latn-ME" w:eastAsia="sr-Latn-ME"/>
        </w:rPr>
        <w:t>še</w:t>
      </w:r>
      <w:r w:rsidRPr="001302F9">
        <w:rPr>
          <w:rFonts w:ascii="Arial" w:eastAsia="Times New Roman" w:hAnsi="Arial" w:cs="Arial"/>
          <w:lang w:val="sr-Latn-ME" w:eastAsia="sr-Latn-ME"/>
        </w:rPr>
        <w:t xml:space="preserve"> </w:t>
      </w:r>
      <w:r w:rsidRPr="001302F9">
        <w:rPr>
          <w:rFonts w:ascii="Arial" w:eastAsia="Times New Roman" w:hAnsi="Arial" w:cs="Arial"/>
          <w:b/>
          <w:bCs/>
          <w:lang w:val="sr-Latn-ME" w:eastAsia="sr-Latn-ME"/>
        </w:rPr>
        <w:t>pravne, administrativne i operativne aktivnosti</w:t>
      </w:r>
      <w:r w:rsidRPr="001302F9">
        <w:rPr>
          <w:rFonts w:ascii="Arial" w:eastAsia="Times New Roman" w:hAnsi="Arial" w:cs="Arial"/>
          <w:lang w:val="sr-Latn-ME" w:eastAsia="sr-Latn-ME"/>
        </w:rPr>
        <w:t xml:space="preserve"> i direktno sarađuje sa </w:t>
      </w:r>
      <w:r w:rsidRPr="001302F9">
        <w:rPr>
          <w:rFonts w:ascii="Arial" w:eastAsia="Times New Roman" w:hAnsi="Arial" w:cs="Arial"/>
          <w:b/>
          <w:bCs/>
          <w:lang w:val="sr-Latn-ME" w:eastAsia="sr-Latn-ME"/>
        </w:rPr>
        <w:t>OLAF-om</w:t>
      </w:r>
      <w:r w:rsidRPr="001302F9">
        <w:rPr>
          <w:rFonts w:ascii="Arial" w:eastAsia="Times New Roman" w:hAnsi="Arial" w:cs="Arial"/>
          <w:lang w:val="sr-Latn-ME" w:eastAsia="sr-Latn-ME"/>
        </w:rPr>
        <w:t xml:space="preserve"> (</w:t>
      </w:r>
      <w:r w:rsidRPr="001302F9">
        <w:rPr>
          <w:rFonts w:ascii="Arial" w:eastAsia="Times New Roman" w:hAnsi="Arial" w:cs="Arial"/>
          <w:i/>
          <w:iCs/>
          <w:lang w:val="sr-Latn-ME" w:eastAsia="sr-Latn-ME"/>
        </w:rPr>
        <w:t>Evropsk</w:t>
      </w:r>
      <w:r w:rsidR="00846DC4" w:rsidRPr="001302F9">
        <w:rPr>
          <w:rFonts w:ascii="Arial" w:eastAsia="Times New Roman" w:hAnsi="Arial" w:cs="Arial"/>
          <w:i/>
          <w:iCs/>
          <w:lang w:val="sr-Latn-ME" w:eastAsia="sr-Latn-ME"/>
        </w:rPr>
        <w:t>o</w:t>
      </w:r>
      <w:r w:rsidRPr="001302F9">
        <w:rPr>
          <w:rFonts w:ascii="Arial" w:eastAsia="Times New Roman" w:hAnsi="Arial" w:cs="Arial"/>
          <w:i/>
          <w:iCs/>
          <w:lang w:val="sr-Latn-ME" w:eastAsia="sr-Latn-ME"/>
        </w:rPr>
        <w:t xml:space="preserve">m </w:t>
      </w:r>
      <w:r w:rsidR="00846DC4" w:rsidRPr="001302F9">
        <w:rPr>
          <w:rFonts w:ascii="Arial" w:eastAsia="Times New Roman" w:hAnsi="Arial" w:cs="Arial"/>
          <w:i/>
          <w:iCs/>
          <w:lang w:val="sr-Latn-ME" w:eastAsia="sr-Latn-ME"/>
        </w:rPr>
        <w:t>kancelarijom</w:t>
      </w:r>
      <w:r w:rsidRPr="001302F9">
        <w:rPr>
          <w:rFonts w:ascii="Arial" w:eastAsia="Times New Roman" w:hAnsi="Arial" w:cs="Arial"/>
          <w:i/>
          <w:iCs/>
          <w:lang w:val="sr-Latn-ME" w:eastAsia="sr-Latn-ME"/>
        </w:rPr>
        <w:t xml:space="preserve"> za borbu protiv prevara</w:t>
      </w:r>
      <w:r w:rsidRPr="001302F9">
        <w:rPr>
          <w:rFonts w:ascii="Arial" w:eastAsia="Times New Roman" w:hAnsi="Arial" w:cs="Arial"/>
          <w:lang w:val="sr-Latn-ME" w:eastAsia="sr-Latn-ME"/>
        </w:rPr>
        <w:t>).</w:t>
      </w:r>
    </w:p>
    <w:p w:rsidR="00440094" w:rsidRPr="001302F9" w:rsidRDefault="00440094" w:rsidP="00BC2EFA">
      <w:pPr>
        <w:tabs>
          <w:tab w:val="num" w:pos="720"/>
        </w:tabs>
        <w:jc w:val="both"/>
        <w:rPr>
          <w:rFonts w:ascii="Arial" w:hAnsi="Arial" w:cs="Arial"/>
          <w:b/>
          <w:bCs/>
          <w:lang w:val="sr-Latn-ME" w:eastAsia="x-none"/>
        </w:rPr>
      </w:pPr>
      <w:r w:rsidRPr="001302F9">
        <w:rPr>
          <w:rFonts w:ascii="Arial" w:hAnsi="Arial" w:cs="Arial"/>
          <w:b/>
          <w:bCs/>
          <w:lang w:val="sr-Latn-ME" w:eastAsia="x-none"/>
        </w:rPr>
        <w:t xml:space="preserve">Odluka o izmjenama Odluke o osnivanju Koordinacionog tijela za praćenje i upravljanje politikom prevencije i borbe protiv nepravilnosti radi zaštite finansijskih interesa EU (AFCOS </w:t>
      </w:r>
      <w:r w:rsidR="008C55EB" w:rsidRPr="001302F9">
        <w:rPr>
          <w:rFonts w:ascii="Arial" w:hAnsi="Arial" w:cs="Arial"/>
          <w:b/>
          <w:bCs/>
          <w:lang w:val="sr-Latn-ME" w:eastAsia="x-none"/>
        </w:rPr>
        <w:t>m</w:t>
      </w:r>
      <w:r w:rsidRPr="001302F9">
        <w:rPr>
          <w:rFonts w:ascii="Arial" w:hAnsi="Arial" w:cs="Arial"/>
          <w:b/>
          <w:bCs/>
          <w:lang w:val="sr-Latn-ME" w:eastAsia="x-none"/>
        </w:rPr>
        <w:t>reža)</w:t>
      </w:r>
    </w:p>
    <w:p w:rsidR="00440094" w:rsidRPr="001302F9" w:rsidRDefault="00440094" w:rsidP="00BC2EFA">
      <w:pPr>
        <w:tabs>
          <w:tab w:val="num" w:pos="720"/>
        </w:tabs>
        <w:jc w:val="both"/>
        <w:rPr>
          <w:rFonts w:ascii="Arial" w:hAnsi="Arial" w:cs="Arial"/>
          <w:bCs/>
          <w:lang w:val="sr-Latn-ME" w:eastAsia="x-none"/>
        </w:rPr>
      </w:pPr>
      <w:r w:rsidRPr="001302F9">
        <w:rPr>
          <w:rFonts w:ascii="Arial" w:hAnsi="Arial" w:cs="Arial"/>
          <w:bCs/>
          <w:lang w:val="sr-Latn-ME" w:eastAsia="x-none"/>
        </w:rPr>
        <w:t xml:space="preserve">Ovom odlukom propisano je osnivanje Koordinacionog tijela, koje čine predstavnici različitih institucija, uključujući: Ministarstvo pravde, Ministarstvo unutrašnjih poslova, Upravu policije, </w:t>
      </w:r>
      <w:r w:rsidR="006F25E2" w:rsidRPr="001302F9">
        <w:rPr>
          <w:rFonts w:ascii="Arial" w:hAnsi="Arial" w:cs="Arial"/>
          <w:bCs/>
          <w:lang w:val="sr-Latn-ME" w:eastAsia="x-none"/>
        </w:rPr>
        <w:t>Upravu prihoda i carina</w:t>
      </w:r>
      <w:r w:rsidRPr="001302F9">
        <w:rPr>
          <w:rFonts w:ascii="Arial" w:hAnsi="Arial" w:cs="Arial"/>
          <w:bCs/>
          <w:lang w:val="sr-Latn-ME" w:eastAsia="x-none"/>
        </w:rPr>
        <w:t>,</w:t>
      </w:r>
      <w:r w:rsidR="006F25E2" w:rsidRPr="001302F9">
        <w:rPr>
          <w:rFonts w:ascii="Arial" w:hAnsi="Arial" w:cs="Arial"/>
          <w:bCs/>
          <w:lang w:val="sr-Latn-ME" w:eastAsia="x-none"/>
        </w:rPr>
        <w:t xml:space="preserve"> </w:t>
      </w:r>
      <w:r w:rsidRPr="001302F9">
        <w:rPr>
          <w:rFonts w:ascii="Arial" w:hAnsi="Arial" w:cs="Arial"/>
          <w:bCs/>
          <w:lang w:val="sr-Latn-ME" w:eastAsia="x-none"/>
        </w:rPr>
        <w:t>Vrhovno državno tužilaštvo, Agenciju za sprječavanje korupcije, Ministarstvo evropskih poslova, Ministarstvo finansija. U okviru ove odluke takođe su definisani zadaci ovih institucija.</w:t>
      </w:r>
    </w:p>
    <w:p w:rsidR="00440094" w:rsidRPr="001302F9" w:rsidRDefault="00440094" w:rsidP="00BC2EFA">
      <w:pPr>
        <w:tabs>
          <w:tab w:val="num" w:pos="720"/>
        </w:tabs>
        <w:jc w:val="both"/>
        <w:rPr>
          <w:rFonts w:ascii="Arial" w:hAnsi="Arial" w:cs="Arial"/>
          <w:bCs/>
          <w:lang w:val="sr-Latn-ME" w:eastAsia="x-none"/>
        </w:rPr>
      </w:pPr>
      <w:r w:rsidRPr="001302F9">
        <w:rPr>
          <w:rFonts w:ascii="Arial" w:hAnsi="Arial" w:cs="Arial"/>
          <w:b/>
          <w:bCs/>
          <w:lang w:val="sr-Latn-ME" w:eastAsia="x-none"/>
        </w:rPr>
        <w:t>Uredb</w:t>
      </w:r>
      <w:r w:rsidR="00D700DE" w:rsidRPr="001302F9">
        <w:rPr>
          <w:rFonts w:ascii="Arial" w:hAnsi="Arial" w:cs="Arial"/>
          <w:b/>
          <w:bCs/>
          <w:lang w:val="sr-Latn-ME" w:eastAsia="x-none"/>
        </w:rPr>
        <w:t>a</w:t>
      </w:r>
      <w:r w:rsidRPr="001302F9">
        <w:rPr>
          <w:rFonts w:ascii="Arial" w:hAnsi="Arial" w:cs="Arial"/>
          <w:b/>
          <w:bCs/>
          <w:lang w:val="sr-Latn-ME" w:eastAsia="x-none"/>
        </w:rPr>
        <w:t xml:space="preserve"> o detaljnom procesu organizacije indirektnog upravljanja za sprovođenje finansijske pomoći Unije u okviru Instrumenta za pretpristupnu pomoć (IPA III)</w:t>
      </w:r>
      <w:r w:rsidR="00D700DE" w:rsidRPr="001302F9">
        <w:rPr>
          <w:rFonts w:ascii="Arial" w:hAnsi="Arial" w:cs="Arial"/>
          <w:b/>
          <w:bCs/>
          <w:lang w:val="sr-Latn-ME" w:eastAsia="x-none"/>
        </w:rPr>
        <w:t>,</w:t>
      </w:r>
      <w:r w:rsidRPr="001302F9">
        <w:rPr>
          <w:rFonts w:ascii="Arial" w:hAnsi="Arial" w:cs="Arial"/>
          <w:bCs/>
          <w:lang w:val="sr-Latn-ME" w:eastAsia="x-none"/>
        </w:rPr>
        <w:t xml:space="preserve"> </w:t>
      </w:r>
      <w:r w:rsidR="00D700DE" w:rsidRPr="001302F9">
        <w:rPr>
          <w:rFonts w:ascii="Arial" w:hAnsi="Arial" w:cs="Arial"/>
          <w:bCs/>
          <w:lang w:val="sr-Latn-ME" w:eastAsia="x-none"/>
        </w:rPr>
        <w:t>poglavljem</w:t>
      </w:r>
      <w:r w:rsidR="00D700DE" w:rsidRPr="001302F9">
        <w:rPr>
          <w:rFonts w:ascii="Arial" w:hAnsi="Arial" w:cs="Arial"/>
          <w:b/>
          <w:bCs/>
          <w:lang w:val="sr-Latn-ME" w:eastAsia="x-none"/>
        </w:rPr>
        <w:t xml:space="preserve"> </w:t>
      </w:r>
      <w:r w:rsidR="00D700DE" w:rsidRPr="001302F9">
        <w:rPr>
          <w:rFonts w:ascii="Arial" w:hAnsi="Arial" w:cs="Arial"/>
          <w:bCs/>
          <w:lang w:val="sr-Latn-ME" w:eastAsia="x-none"/>
        </w:rPr>
        <w:t>9.2.</w:t>
      </w:r>
      <w:r w:rsidR="00D700DE" w:rsidRPr="001302F9">
        <w:rPr>
          <w:rFonts w:ascii="Arial" w:hAnsi="Arial" w:cs="Arial"/>
          <w:b/>
          <w:bCs/>
          <w:lang w:val="sr-Latn-ME" w:eastAsia="x-none"/>
        </w:rPr>
        <w:t xml:space="preserve"> </w:t>
      </w:r>
      <w:r w:rsidRPr="001302F9">
        <w:rPr>
          <w:rFonts w:ascii="Arial" w:hAnsi="Arial" w:cs="Arial"/>
          <w:bCs/>
          <w:lang w:val="sr-Latn-ME" w:eastAsia="x-none"/>
        </w:rPr>
        <w:t>propisuje zadat</w:t>
      </w:r>
      <w:r w:rsidR="00007A9E" w:rsidRPr="001302F9">
        <w:rPr>
          <w:rFonts w:ascii="Arial" w:hAnsi="Arial" w:cs="Arial"/>
          <w:bCs/>
          <w:lang w:val="sr-Latn-ME" w:eastAsia="x-none"/>
        </w:rPr>
        <w:t>k</w:t>
      </w:r>
      <w:r w:rsidRPr="001302F9">
        <w:rPr>
          <w:rFonts w:ascii="Arial" w:hAnsi="Arial" w:cs="Arial"/>
          <w:bCs/>
          <w:lang w:val="sr-Latn-ME" w:eastAsia="x-none"/>
        </w:rPr>
        <w:t>e AFCOS-a.</w:t>
      </w:r>
    </w:p>
    <w:p w:rsidR="00440094" w:rsidRPr="001302F9" w:rsidRDefault="00440094" w:rsidP="00440094">
      <w:pPr>
        <w:tabs>
          <w:tab w:val="num" w:pos="720"/>
        </w:tabs>
        <w:jc w:val="both"/>
        <w:rPr>
          <w:rFonts w:ascii="Arial" w:hAnsi="Arial" w:cs="Arial"/>
          <w:bCs/>
          <w:lang w:val="sr-Latn-ME" w:eastAsia="x-none"/>
        </w:rPr>
      </w:pPr>
      <w:r w:rsidRPr="001302F9">
        <w:rPr>
          <w:rFonts w:ascii="Arial" w:hAnsi="Arial" w:cs="Arial"/>
          <w:bCs/>
          <w:lang w:val="sr-Latn-ME" w:eastAsia="x-none"/>
        </w:rPr>
        <w:t xml:space="preserve">Dodatno, </w:t>
      </w:r>
      <w:r w:rsidRPr="001302F9">
        <w:rPr>
          <w:rFonts w:ascii="Arial" w:hAnsi="Arial" w:cs="Arial"/>
          <w:b/>
          <w:bCs/>
          <w:lang w:val="sr-Latn-ME" w:eastAsia="x-none"/>
        </w:rPr>
        <w:t>Pravilnik o unutrašnjoj organizaciji i sistematizaciji Ministarstva finansija</w:t>
      </w:r>
      <w:r w:rsidR="00D700DE" w:rsidRPr="001302F9">
        <w:rPr>
          <w:rFonts w:ascii="Arial" w:hAnsi="Arial" w:cs="Arial"/>
          <w:bCs/>
          <w:lang w:val="sr-Latn-ME" w:eastAsia="x-none"/>
        </w:rPr>
        <w:t xml:space="preserve">, </w:t>
      </w:r>
      <w:r w:rsidRPr="001302F9">
        <w:rPr>
          <w:rFonts w:ascii="Arial" w:hAnsi="Arial" w:cs="Arial"/>
          <w:bCs/>
          <w:lang w:val="sr-Latn-ME" w:eastAsia="x-none"/>
        </w:rPr>
        <w:t xml:space="preserve"> </w:t>
      </w:r>
      <w:r w:rsidR="00D700DE" w:rsidRPr="001302F9">
        <w:rPr>
          <w:rFonts w:ascii="Arial" w:hAnsi="Arial" w:cs="Arial"/>
          <w:bCs/>
          <w:lang w:val="sr-Latn-ME" w:eastAsia="x-none"/>
        </w:rPr>
        <w:t xml:space="preserve">članom 14. </w:t>
      </w:r>
      <w:r w:rsidRPr="001302F9">
        <w:rPr>
          <w:rFonts w:ascii="Arial" w:hAnsi="Arial" w:cs="Arial"/>
          <w:bCs/>
          <w:lang w:val="sr-Latn-ME" w:eastAsia="x-none"/>
        </w:rPr>
        <w:t>precizira nadležnosti AFCOS-a.</w:t>
      </w:r>
    </w:p>
    <w:p w:rsidR="00D700DE" w:rsidRPr="001302F9" w:rsidRDefault="00440094" w:rsidP="00440094">
      <w:pPr>
        <w:tabs>
          <w:tab w:val="num" w:pos="720"/>
        </w:tabs>
        <w:jc w:val="both"/>
        <w:rPr>
          <w:rFonts w:ascii="Arial" w:hAnsi="Arial" w:cs="Arial"/>
          <w:b/>
          <w:bCs/>
          <w:lang w:val="sr-Latn-ME" w:eastAsia="x-none"/>
        </w:rPr>
      </w:pPr>
      <w:r w:rsidRPr="001302F9">
        <w:rPr>
          <w:rFonts w:ascii="Arial" w:hAnsi="Arial" w:cs="Arial"/>
          <w:b/>
          <w:bCs/>
          <w:lang w:val="sr-Latn-ME" w:eastAsia="x-none"/>
        </w:rPr>
        <w:t>Krivični zakonik</w:t>
      </w:r>
      <w:r w:rsidR="00D700DE" w:rsidRPr="001302F9">
        <w:rPr>
          <w:rFonts w:ascii="Arial" w:hAnsi="Arial" w:cs="Arial"/>
          <w:b/>
          <w:bCs/>
          <w:lang w:val="sr-Latn-ME" w:eastAsia="x-none"/>
        </w:rPr>
        <w:t xml:space="preserve"> Crne Gore</w:t>
      </w:r>
    </w:p>
    <w:p w:rsidR="00D700DE" w:rsidRPr="001302F9" w:rsidRDefault="00440094" w:rsidP="00440094">
      <w:pPr>
        <w:tabs>
          <w:tab w:val="num" w:pos="720"/>
        </w:tabs>
        <w:jc w:val="both"/>
        <w:rPr>
          <w:rFonts w:ascii="Arial" w:hAnsi="Arial" w:cs="Arial"/>
          <w:bCs/>
          <w:lang w:val="sr-Latn-ME" w:eastAsia="x-none"/>
        </w:rPr>
      </w:pPr>
      <w:r w:rsidRPr="001302F9">
        <w:rPr>
          <w:rFonts w:ascii="Arial" w:hAnsi="Arial" w:cs="Arial"/>
          <w:bCs/>
          <w:lang w:val="sr-Latn-ME" w:eastAsia="x-none"/>
        </w:rPr>
        <w:t>Crna Gora osigurava zaštitu finansijskih interesa EU kroz Krivični zakonik, koji je djelimično usklađen sa Direktivom (EU) 2017/1371 Evropskog parlamenta i Savjeta od 5. jula 2017. godine o borbi protiv prevara koje štete finansijskim interesima EU putem krivičnog prava</w:t>
      </w:r>
      <w:r w:rsidR="00D700DE" w:rsidRPr="001302F9">
        <w:rPr>
          <w:rFonts w:ascii="Arial" w:hAnsi="Arial" w:cs="Arial"/>
          <w:bCs/>
          <w:lang w:val="sr-Latn-ME" w:eastAsia="x-none"/>
        </w:rPr>
        <w:t xml:space="preserve"> (PIF Direktiva)</w:t>
      </w:r>
      <w:r w:rsidRPr="001302F9">
        <w:rPr>
          <w:rFonts w:ascii="Arial" w:hAnsi="Arial" w:cs="Arial"/>
          <w:bCs/>
          <w:lang w:val="sr-Latn-ME" w:eastAsia="x-none"/>
        </w:rPr>
        <w:t>.</w:t>
      </w:r>
    </w:p>
    <w:p w:rsidR="00440094" w:rsidRPr="001302F9" w:rsidRDefault="00440094" w:rsidP="00440094">
      <w:pPr>
        <w:tabs>
          <w:tab w:val="num" w:pos="720"/>
        </w:tabs>
        <w:jc w:val="both"/>
        <w:rPr>
          <w:rFonts w:ascii="Arial" w:hAnsi="Arial" w:cs="Arial"/>
          <w:bCs/>
          <w:lang w:val="sr-Latn-ME" w:eastAsia="x-none"/>
        </w:rPr>
      </w:pPr>
      <w:r w:rsidRPr="001302F9">
        <w:rPr>
          <w:rFonts w:ascii="Arial" w:hAnsi="Arial" w:cs="Arial"/>
          <w:bCs/>
          <w:lang w:val="sr-Latn-ME" w:eastAsia="x-none"/>
        </w:rPr>
        <w:t>Krivični zakonik sadrži</w:t>
      </w:r>
      <w:r w:rsidR="00B00961" w:rsidRPr="001302F9">
        <w:rPr>
          <w:rFonts w:ascii="Arial" w:hAnsi="Arial" w:cs="Arial"/>
          <w:bCs/>
          <w:lang w:val="sr-Latn-ME" w:eastAsia="x-none"/>
        </w:rPr>
        <w:t xml:space="preserve"> d</w:t>
      </w:r>
      <w:r w:rsidRPr="001302F9">
        <w:rPr>
          <w:rFonts w:ascii="Arial" w:hAnsi="Arial" w:cs="Arial"/>
          <w:bCs/>
          <w:lang w:val="sr-Latn-ME" w:eastAsia="x-none"/>
        </w:rPr>
        <w:t>efiniciju prevare</w:t>
      </w:r>
      <w:r w:rsidR="00D700DE" w:rsidRPr="001302F9">
        <w:rPr>
          <w:rFonts w:ascii="Arial" w:hAnsi="Arial" w:cs="Arial"/>
          <w:bCs/>
          <w:lang w:val="sr-Latn-ME" w:eastAsia="x-none"/>
        </w:rPr>
        <w:t xml:space="preserve"> i </w:t>
      </w:r>
      <w:r w:rsidRPr="001302F9">
        <w:rPr>
          <w:rFonts w:ascii="Arial" w:hAnsi="Arial" w:cs="Arial"/>
          <w:bCs/>
          <w:lang w:val="sr-Latn-ME" w:eastAsia="x-none"/>
        </w:rPr>
        <w:t>krivične sankcije za izvršenje prevarnih radnji protiv finansijskih interesa EU.</w:t>
      </w:r>
    </w:p>
    <w:p w:rsidR="00071AA2" w:rsidRPr="001302F9" w:rsidRDefault="00EF43E5" w:rsidP="00071AA2">
      <w:pPr>
        <w:tabs>
          <w:tab w:val="num" w:pos="720"/>
        </w:tabs>
        <w:jc w:val="both"/>
        <w:rPr>
          <w:rFonts w:ascii="Arial" w:hAnsi="Arial" w:cs="Arial"/>
          <w:b/>
          <w:lang w:val="sr-Latn-ME" w:eastAsia="x-none"/>
        </w:rPr>
      </w:pPr>
      <w:r w:rsidRPr="001302F9">
        <w:rPr>
          <w:rFonts w:ascii="Arial" w:hAnsi="Arial" w:cs="Arial"/>
          <w:b/>
          <w:lang w:val="sr-Latn-ME" w:eastAsia="x-none"/>
        </w:rPr>
        <w:t>1.5. EU legislativa</w:t>
      </w:r>
    </w:p>
    <w:p w:rsidR="006D15B5" w:rsidRPr="001302F9" w:rsidRDefault="001A55EA" w:rsidP="004C07B1">
      <w:pPr>
        <w:spacing w:before="120" w:after="120" w:line="240" w:lineRule="auto"/>
        <w:jc w:val="both"/>
        <w:rPr>
          <w:rFonts w:ascii="Arial" w:hAnsi="Arial" w:cs="Arial"/>
          <w:lang w:val="sr-Latn-ME"/>
        </w:rPr>
      </w:pPr>
      <w:r w:rsidRPr="001302F9">
        <w:rPr>
          <w:rFonts w:ascii="Arial" w:hAnsi="Arial" w:cs="Arial"/>
          <w:b/>
          <w:bCs/>
          <w:lang w:val="sr-Latn-ME"/>
        </w:rPr>
        <w:t>Član 325. Ugovora o funkcioni</w:t>
      </w:r>
      <w:r w:rsidR="00A834A5" w:rsidRPr="001302F9">
        <w:rPr>
          <w:rFonts w:ascii="Arial" w:hAnsi="Arial" w:cs="Arial"/>
          <w:b/>
          <w:bCs/>
          <w:lang w:val="sr-Latn-ME"/>
        </w:rPr>
        <w:t>s</w:t>
      </w:r>
      <w:r w:rsidRPr="001302F9">
        <w:rPr>
          <w:rFonts w:ascii="Arial" w:hAnsi="Arial" w:cs="Arial"/>
          <w:b/>
          <w:bCs/>
          <w:lang w:val="sr-Latn-ME"/>
        </w:rPr>
        <w:t>anju EU</w:t>
      </w:r>
      <w:r w:rsidRPr="001302F9">
        <w:rPr>
          <w:rFonts w:ascii="Arial" w:hAnsi="Arial" w:cs="Arial"/>
          <w:bCs/>
          <w:lang w:val="sr-Latn-ME"/>
        </w:rPr>
        <w:t xml:space="preserve"> zahtijeva od država članica da štite finansijske interese </w:t>
      </w:r>
      <w:r w:rsidR="009C086E" w:rsidRPr="001302F9">
        <w:rPr>
          <w:rFonts w:ascii="Arial" w:hAnsi="Arial" w:cs="Arial"/>
          <w:bCs/>
          <w:lang w:val="sr-Latn-ME"/>
        </w:rPr>
        <w:t>Unije</w:t>
      </w:r>
      <w:r w:rsidRPr="001302F9">
        <w:rPr>
          <w:rFonts w:ascii="Arial" w:hAnsi="Arial" w:cs="Arial"/>
          <w:bCs/>
          <w:lang w:val="sr-Latn-ME"/>
        </w:rPr>
        <w:t xml:space="preserve"> na isti način kao i nacionalne finansijske interese:</w:t>
      </w:r>
    </w:p>
    <w:p w:rsidR="006D15B5" w:rsidRPr="001302F9" w:rsidRDefault="006D15B5" w:rsidP="004C07B1">
      <w:pPr>
        <w:spacing w:before="120" w:after="120" w:line="240" w:lineRule="auto"/>
        <w:jc w:val="both"/>
        <w:rPr>
          <w:rFonts w:ascii="Arial" w:hAnsi="Arial" w:cs="Arial"/>
          <w:lang w:val="sr-Latn-ME"/>
        </w:rPr>
      </w:pPr>
      <w:r w:rsidRPr="001302F9">
        <w:rPr>
          <w:rFonts w:ascii="Arial" w:hAnsi="Arial" w:cs="Arial"/>
          <w:lang w:val="sr-Latn-ME"/>
        </w:rPr>
        <w:t xml:space="preserve">“1. </w:t>
      </w:r>
      <w:r w:rsidR="001A55EA" w:rsidRPr="001302F9">
        <w:rPr>
          <w:rFonts w:ascii="Arial" w:hAnsi="Arial" w:cs="Arial"/>
          <w:lang w:val="sr-Latn-ME"/>
        </w:rPr>
        <w:t>Unija i države članice će se suprotstaviti prevari i svim drugim nezakonitim aktivnostima koje ut</w:t>
      </w:r>
      <w:r w:rsidR="00846DC4" w:rsidRPr="001302F9">
        <w:rPr>
          <w:rFonts w:ascii="Arial" w:hAnsi="Arial" w:cs="Arial"/>
          <w:lang w:val="sr-Latn-ME"/>
        </w:rPr>
        <w:t>i</w:t>
      </w:r>
      <w:r w:rsidR="001A55EA" w:rsidRPr="001302F9">
        <w:rPr>
          <w:rFonts w:ascii="Arial" w:hAnsi="Arial" w:cs="Arial"/>
          <w:lang w:val="sr-Latn-ME"/>
        </w:rPr>
        <w:t>ču na finansijske interese EU kroz mjere koje treba p</w:t>
      </w:r>
      <w:r w:rsidR="00846DC4" w:rsidRPr="001302F9">
        <w:rPr>
          <w:rFonts w:ascii="Arial" w:hAnsi="Arial" w:cs="Arial"/>
          <w:lang w:val="sr-Latn-ME"/>
        </w:rPr>
        <w:t>re</w:t>
      </w:r>
      <w:r w:rsidR="001A55EA" w:rsidRPr="001302F9">
        <w:rPr>
          <w:rFonts w:ascii="Arial" w:hAnsi="Arial" w:cs="Arial"/>
          <w:lang w:val="sr-Latn-ME"/>
        </w:rPr>
        <w:t xml:space="preserve">duzeti u skladu s ovim članom, koje će djelovati kao odvraćanje i biti takve da pružaju </w:t>
      </w:r>
      <w:r w:rsidR="00A834A5" w:rsidRPr="001302F9">
        <w:rPr>
          <w:rFonts w:ascii="Arial" w:hAnsi="Arial" w:cs="Arial"/>
          <w:lang w:val="sr-Latn-ME"/>
        </w:rPr>
        <w:t>efikasn</w:t>
      </w:r>
      <w:r w:rsidR="001A55EA" w:rsidRPr="001302F9">
        <w:rPr>
          <w:rFonts w:ascii="Arial" w:hAnsi="Arial" w:cs="Arial"/>
          <w:lang w:val="sr-Latn-ME"/>
        </w:rPr>
        <w:t xml:space="preserve">u zaštitu u državama članicama, </w:t>
      </w:r>
      <w:r w:rsidR="009C086E" w:rsidRPr="001302F9">
        <w:rPr>
          <w:rFonts w:ascii="Arial" w:hAnsi="Arial" w:cs="Arial"/>
          <w:lang w:val="sr-Latn-ME"/>
        </w:rPr>
        <w:t>kao i</w:t>
      </w:r>
      <w:r w:rsidR="001A55EA" w:rsidRPr="001302F9">
        <w:rPr>
          <w:rFonts w:ascii="Arial" w:hAnsi="Arial" w:cs="Arial"/>
          <w:lang w:val="sr-Latn-ME"/>
        </w:rPr>
        <w:t xml:space="preserve"> u svim institucijama, tijelima, </w:t>
      </w:r>
      <w:r w:rsidR="009C086E" w:rsidRPr="001302F9">
        <w:rPr>
          <w:rFonts w:ascii="Arial" w:hAnsi="Arial" w:cs="Arial"/>
          <w:lang w:val="sr-Latn-ME"/>
        </w:rPr>
        <w:t>kancelarijama</w:t>
      </w:r>
      <w:r w:rsidR="001A55EA" w:rsidRPr="001302F9">
        <w:rPr>
          <w:rFonts w:ascii="Arial" w:hAnsi="Arial" w:cs="Arial"/>
          <w:lang w:val="sr-Latn-ME"/>
        </w:rPr>
        <w:t xml:space="preserve"> i agencijama Unije.</w:t>
      </w:r>
    </w:p>
    <w:p w:rsidR="006D15B5" w:rsidRPr="001302F9" w:rsidRDefault="001A55EA" w:rsidP="00EE65EF">
      <w:pPr>
        <w:spacing w:before="120" w:after="120" w:line="240" w:lineRule="auto"/>
        <w:jc w:val="both"/>
        <w:rPr>
          <w:rFonts w:ascii="Arial" w:hAnsi="Arial" w:cs="Arial"/>
          <w:lang w:val="sr-Latn-ME"/>
        </w:rPr>
      </w:pPr>
      <w:r w:rsidRPr="001302F9">
        <w:rPr>
          <w:rFonts w:ascii="Arial" w:hAnsi="Arial" w:cs="Arial"/>
          <w:lang w:val="sr-Latn-ME"/>
        </w:rPr>
        <w:t>2. Države članice p</w:t>
      </w:r>
      <w:r w:rsidR="00A424FF" w:rsidRPr="001302F9">
        <w:rPr>
          <w:rFonts w:ascii="Arial" w:hAnsi="Arial" w:cs="Arial"/>
          <w:lang w:val="sr-Latn-ME"/>
        </w:rPr>
        <w:t>re</w:t>
      </w:r>
      <w:r w:rsidRPr="001302F9">
        <w:rPr>
          <w:rFonts w:ascii="Arial" w:hAnsi="Arial" w:cs="Arial"/>
          <w:lang w:val="sr-Latn-ME"/>
        </w:rPr>
        <w:t>duzimaju iste mjere za suzbijanje prevara koje pogađaju finansijske interese EU kao što p</w:t>
      </w:r>
      <w:r w:rsidR="00846DC4" w:rsidRPr="001302F9">
        <w:rPr>
          <w:rFonts w:ascii="Arial" w:hAnsi="Arial" w:cs="Arial"/>
          <w:lang w:val="sr-Latn-ME"/>
        </w:rPr>
        <w:t>re</w:t>
      </w:r>
      <w:r w:rsidRPr="001302F9">
        <w:rPr>
          <w:rFonts w:ascii="Arial" w:hAnsi="Arial" w:cs="Arial"/>
          <w:lang w:val="sr-Latn-ME"/>
        </w:rPr>
        <w:t>duzimaju za suzbijanje prevara koje pogađaju njihove finansijske interese</w:t>
      </w:r>
      <w:r w:rsidR="006D15B5" w:rsidRPr="001302F9">
        <w:rPr>
          <w:rFonts w:ascii="Arial" w:hAnsi="Arial" w:cs="Arial"/>
          <w:lang w:val="sr-Latn-ME"/>
        </w:rPr>
        <w:t>.</w:t>
      </w:r>
    </w:p>
    <w:p w:rsidR="001A55EA" w:rsidRPr="001302F9" w:rsidRDefault="006D15B5" w:rsidP="00EE65EF">
      <w:pPr>
        <w:spacing w:before="120" w:after="120" w:line="240" w:lineRule="auto"/>
        <w:jc w:val="both"/>
        <w:rPr>
          <w:rFonts w:ascii="Arial" w:hAnsi="Arial" w:cs="Arial"/>
          <w:lang w:val="sr-Latn-ME"/>
        </w:rPr>
      </w:pPr>
      <w:r w:rsidRPr="001302F9">
        <w:rPr>
          <w:rFonts w:ascii="Arial" w:hAnsi="Arial" w:cs="Arial"/>
          <w:lang w:val="sr-Latn-ME"/>
        </w:rPr>
        <w:t xml:space="preserve">3. </w:t>
      </w:r>
      <w:r w:rsidR="001A55EA" w:rsidRPr="001302F9">
        <w:rPr>
          <w:rFonts w:ascii="Arial" w:hAnsi="Arial" w:cs="Arial"/>
          <w:lang w:val="sr-Latn-ME"/>
        </w:rPr>
        <w:t>Ne dovodeći u pitanje druge odredbe Ugovora,</w:t>
      </w:r>
      <w:r w:rsidR="005B0DA1">
        <w:rPr>
          <w:rFonts w:ascii="Arial" w:hAnsi="Arial" w:cs="Arial"/>
          <w:lang w:val="sr-Latn-ME"/>
        </w:rPr>
        <w:t xml:space="preserve"> </w:t>
      </w:r>
      <w:r w:rsidR="001A55EA" w:rsidRPr="001302F9">
        <w:rPr>
          <w:rFonts w:ascii="Arial" w:hAnsi="Arial" w:cs="Arial"/>
          <w:lang w:val="sr-Latn-ME"/>
        </w:rPr>
        <w:t>države članice će koordinirati svoje djelovanje u cilju zaštite finansijskih interesa EU od prevare. U tu svrhu organizovaće, zajedno sa Komisijom, blisku i redovnu saradnju između nadležnih organa”.</w:t>
      </w:r>
    </w:p>
    <w:p w:rsidR="001A55EA" w:rsidRPr="001302F9" w:rsidRDefault="001A55EA" w:rsidP="00EE65EF">
      <w:pPr>
        <w:spacing w:before="120" w:after="120" w:line="240" w:lineRule="auto"/>
        <w:jc w:val="both"/>
        <w:rPr>
          <w:rFonts w:ascii="Arial" w:hAnsi="Arial" w:cs="Arial"/>
          <w:lang w:val="sr-Latn-ME"/>
        </w:rPr>
      </w:pPr>
      <w:r w:rsidRPr="001302F9">
        <w:rPr>
          <w:rFonts w:ascii="Arial" w:hAnsi="Arial" w:cs="Arial"/>
          <w:b/>
          <w:lang w:val="sr-Latn-ME"/>
        </w:rPr>
        <w:t>Uredba (EU, Euratom) br. 883/2013</w:t>
      </w:r>
      <w:r w:rsidRPr="001302F9">
        <w:rPr>
          <w:rFonts w:ascii="Arial" w:hAnsi="Arial" w:cs="Arial"/>
          <w:lang w:val="sr-Latn-ME"/>
        </w:rPr>
        <w:t xml:space="preserve"> Evropskog parlamenta i </w:t>
      </w:r>
      <w:r w:rsidR="00A424FF" w:rsidRPr="001302F9">
        <w:rPr>
          <w:rFonts w:ascii="Arial" w:hAnsi="Arial" w:cs="Arial"/>
          <w:lang w:val="sr-Latn-ME"/>
        </w:rPr>
        <w:t>Savjet</w:t>
      </w:r>
      <w:r w:rsidRPr="001302F9">
        <w:rPr>
          <w:rFonts w:ascii="Arial" w:hAnsi="Arial" w:cs="Arial"/>
          <w:lang w:val="sr-Latn-ME"/>
        </w:rPr>
        <w:t>a od 11. septembra 2013. o istragama koje vodi E</w:t>
      </w:r>
      <w:r w:rsidR="00A424FF" w:rsidRPr="001302F9">
        <w:rPr>
          <w:rFonts w:ascii="Arial" w:hAnsi="Arial" w:cs="Arial"/>
          <w:lang w:val="sr-Latn-ME"/>
        </w:rPr>
        <w:t>v</w:t>
      </w:r>
      <w:r w:rsidRPr="001302F9">
        <w:rPr>
          <w:rFonts w:ascii="Arial" w:hAnsi="Arial" w:cs="Arial"/>
          <w:lang w:val="sr-Latn-ME"/>
        </w:rPr>
        <w:t>ropsk</w:t>
      </w:r>
      <w:r w:rsidR="00A424FF" w:rsidRPr="001302F9">
        <w:rPr>
          <w:rFonts w:ascii="Arial" w:hAnsi="Arial" w:cs="Arial"/>
          <w:lang w:val="sr-Latn-ME"/>
        </w:rPr>
        <w:t xml:space="preserve">a kancelarija </w:t>
      </w:r>
      <w:r w:rsidRPr="001302F9">
        <w:rPr>
          <w:rFonts w:ascii="Arial" w:hAnsi="Arial" w:cs="Arial"/>
          <w:lang w:val="sr-Latn-ME"/>
        </w:rPr>
        <w:t xml:space="preserve">za borbu protiv prevara (OLAF) i stavljanju van snage Uredbe (EZ) br. Uredbom (EU, Euratom) 2016/2030 Evropskog parlamenta i </w:t>
      </w:r>
      <w:r w:rsidR="00A424FF" w:rsidRPr="001302F9">
        <w:rPr>
          <w:rFonts w:ascii="Arial" w:hAnsi="Arial" w:cs="Arial"/>
          <w:lang w:val="sr-Latn-ME"/>
        </w:rPr>
        <w:t>Savjet</w:t>
      </w:r>
      <w:r w:rsidRPr="001302F9">
        <w:rPr>
          <w:rFonts w:ascii="Arial" w:hAnsi="Arial" w:cs="Arial"/>
          <w:lang w:val="sr-Latn-ME"/>
        </w:rPr>
        <w:t xml:space="preserve">a od 26. oktobra 2016. i Uredbom (EU, Euratom) 2020/2223 Evropskog parlamenta i </w:t>
      </w:r>
      <w:r w:rsidR="00A424FF" w:rsidRPr="001302F9">
        <w:rPr>
          <w:rFonts w:ascii="Arial" w:hAnsi="Arial" w:cs="Arial"/>
          <w:lang w:val="sr-Latn-ME"/>
        </w:rPr>
        <w:t>Savjet</w:t>
      </w:r>
      <w:r w:rsidRPr="001302F9">
        <w:rPr>
          <w:rFonts w:ascii="Arial" w:hAnsi="Arial" w:cs="Arial"/>
          <w:lang w:val="sr-Latn-ME"/>
        </w:rPr>
        <w:t xml:space="preserve">a od 23. decembra 2020.) propisuje funkcije AFCOS-a i obavezu saradnje sa OLAF-om. </w:t>
      </w:r>
    </w:p>
    <w:p w:rsidR="001A55EA" w:rsidRPr="001302F9" w:rsidRDefault="001A55EA" w:rsidP="00EE65EF">
      <w:pPr>
        <w:spacing w:before="120" w:after="120" w:line="240" w:lineRule="auto"/>
        <w:jc w:val="both"/>
        <w:rPr>
          <w:rFonts w:ascii="Arial" w:hAnsi="Arial" w:cs="Arial"/>
          <w:lang w:val="sr-Latn-ME"/>
        </w:rPr>
      </w:pPr>
      <w:r w:rsidRPr="001302F9">
        <w:rPr>
          <w:rFonts w:ascii="Arial" w:hAnsi="Arial" w:cs="Arial"/>
          <w:b/>
          <w:lang w:val="sr-Latn-ME"/>
        </w:rPr>
        <w:t>Uredba (EC, Euratom) br. 2988/1995</w:t>
      </w:r>
      <w:r w:rsidRPr="001302F9">
        <w:rPr>
          <w:rFonts w:ascii="Arial" w:hAnsi="Arial" w:cs="Arial"/>
          <w:lang w:val="sr-Latn-ME"/>
        </w:rPr>
        <w:t xml:space="preserve"> od 18. decembra 1995. godine o zaštiti finansijskih interesa Evropske zajednice predviđa definiciju nepravilnosti i zajedničke odredbe u vezi sa administrativnim mjerama i kaznama koje treba primijeniti. </w:t>
      </w:r>
    </w:p>
    <w:p w:rsidR="00D90181" w:rsidRPr="001302F9" w:rsidRDefault="001A55EA" w:rsidP="00EE65EF">
      <w:pPr>
        <w:spacing w:before="120" w:after="120" w:line="240" w:lineRule="auto"/>
        <w:jc w:val="both"/>
        <w:rPr>
          <w:rFonts w:ascii="Arial" w:hAnsi="Arial" w:cs="Arial"/>
          <w:lang w:val="sr-Latn-ME"/>
        </w:rPr>
      </w:pPr>
      <w:r w:rsidRPr="001302F9">
        <w:rPr>
          <w:rFonts w:ascii="Arial" w:hAnsi="Arial" w:cs="Arial"/>
          <w:b/>
          <w:lang w:val="sr-Latn-ME"/>
        </w:rPr>
        <w:t>Uredba (EC, Euratom) br. 2185/1996</w:t>
      </w:r>
      <w:r w:rsidRPr="001302F9">
        <w:rPr>
          <w:rFonts w:ascii="Arial" w:hAnsi="Arial" w:cs="Arial"/>
          <w:lang w:val="sr-Latn-ME"/>
        </w:rPr>
        <w:t xml:space="preserve"> od 11. novembra 1996. odnosi se na provjere na licu mjesta i inspekcije koje </w:t>
      </w:r>
      <w:r w:rsidR="00A424FF" w:rsidRPr="001302F9">
        <w:rPr>
          <w:rFonts w:ascii="Arial" w:hAnsi="Arial" w:cs="Arial"/>
          <w:lang w:val="sr-Latn-ME"/>
        </w:rPr>
        <w:t>s</w:t>
      </w:r>
      <w:r w:rsidRPr="001302F9">
        <w:rPr>
          <w:rFonts w:ascii="Arial" w:hAnsi="Arial" w:cs="Arial"/>
          <w:lang w:val="sr-Latn-ME"/>
        </w:rPr>
        <w:t>provodi Komisija u cilju zaštite finansijskih interesa E</w:t>
      </w:r>
      <w:r w:rsidR="00A424FF" w:rsidRPr="001302F9">
        <w:rPr>
          <w:rFonts w:ascii="Arial" w:hAnsi="Arial" w:cs="Arial"/>
          <w:lang w:val="sr-Latn-ME"/>
        </w:rPr>
        <w:t>v</w:t>
      </w:r>
      <w:r w:rsidRPr="001302F9">
        <w:rPr>
          <w:rFonts w:ascii="Arial" w:hAnsi="Arial" w:cs="Arial"/>
          <w:lang w:val="sr-Latn-ME"/>
        </w:rPr>
        <w:t xml:space="preserve">ropske </w:t>
      </w:r>
      <w:r w:rsidR="009C086E" w:rsidRPr="001302F9">
        <w:rPr>
          <w:rFonts w:ascii="Arial" w:hAnsi="Arial" w:cs="Arial"/>
          <w:lang w:val="sr-Latn-ME"/>
        </w:rPr>
        <w:t>unije</w:t>
      </w:r>
      <w:r w:rsidRPr="001302F9">
        <w:rPr>
          <w:rFonts w:ascii="Arial" w:hAnsi="Arial" w:cs="Arial"/>
          <w:lang w:val="sr-Latn-ME"/>
        </w:rPr>
        <w:t xml:space="preserve"> od prevar</w:t>
      </w:r>
      <w:r w:rsidR="009C086E" w:rsidRPr="001302F9">
        <w:rPr>
          <w:rFonts w:ascii="Arial" w:hAnsi="Arial" w:cs="Arial"/>
          <w:lang w:val="sr-Latn-ME"/>
        </w:rPr>
        <w:t>a</w:t>
      </w:r>
      <w:r w:rsidRPr="001302F9">
        <w:rPr>
          <w:rFonts w:ascii="Arial" w:hAnsi="Arial" w:cs="Arial"/>
          <w:lang w:val="sr-Latn-ME"/>
        </w:rPr>
        <w:t xml:space="preserve"> i drugih nepravilnosti. On</w:t>
      </w:r>
      <w:r w:rsidR="009C086E" w:rsidRPr="001302F9">
        <w:rPr>
          <w:rFonts w:ascii="Arial" w:hAnsi="Arial" w:cs="Arial"/>
          <w:lang w:val="sr-Latn-ME"/>
        </w:rPr>
        <w:t>a</w:t>
      </w:r>
      <w:r w:rsidRPr="001302F9">
        <w:rPr>
          <w:rFonts w:ascii="Arial" w:hAnsi="Arial" w:cs="Arial"/>
          <w:lang w:val="sr-Latn-ME"/>
        </w:rPr>
        <w:t xml:space="preserve"> predviđa elemente koji se odnose na saradnju i koordinaciju između Komisije i država članica. </w:t>
      </w:r>
    </w:p>
    <w:p w:rsidR="00221075" w:rsidRPr="001302F9" w:rsidRDefault="001A55EA" w:rsidP="00EE65EF">
      <w:pPr>
        <w:spacing w:before="120" w:after="120" w:line="240" w:lineRule="auto"/>
        <w:jc w:val="both"/>
        <w:rPr>
          <w:rFonts w:ascii="Arial" w:hAnsi="Arial" w:cs="Arial"/>
          <w:lang w:val="sr-Latn-ME"/>
        </w:rPr>
      </w:pPr>
      <w:r w:rsidRPr="001302F9">
        <w:rPr>
          <w:rFonts w:ascii="Arial" w:hAnsi="Arial" w:cs="Arial"/>
          <w:b/>
          <w:lang w:val="sr-Latn-ME"/>
        </w:rPr>
        <w:t xml:space="preserve">Uredba </w:t>
      </w:r>
      <w:r w:rsidR="00A424FF" w:rsidRPr="001302F9">
        <w:rPr>
          <w:rFonts w:ascii="Arial" w:hAnsi="Arial" w:cs="Arial"/>
          <w:b/>
          <w:lang w:val="sr-Latn-ME"/>
        </w:rPr>
        <w:t>Savjet</w:t>
      </w:r>
      <w:r w:rsidRPr="001302F9">
        <w:rPr>
          <w:rFonts w:ascii="Arial" w:hAnsi="Arial" w:cs="Arial"/>
          <w:b/>
          <w:lang w:val="sr-Latn-ME"/>
        </w:rPr>
        <w:t>a (EU) 2017/1939</w:t>
      </w:r>
      <w:r w:rsidRPr="001302F9">
        <w:rPr>
          <w:rFonts w:ascii="Arial" w:hAnsi="Arial" w:cs="Arial"/>
          <w:lang w:val="sr-Latn-ME"/>
        </w:rPr>
        <w:t xml:space="preserve"> od 12. oktobra 2017. o </w:t>
      </w:r>
      <w:r w:rsidR="00061C22" w:rsidRPr="001302F9">
        <w:rPr>
          <w:rFonts w:ascii="Arial" w:hAnsi="Arial" w:cs="Arial"/>
          <w:lang w:val="sr-Latn-ME"/>
        </w:rPr>
        <w:t>s</w:t>
      </w:r>
      <w:r w:rsidRPr="001302F9">
        <w:rPr>
          <w:rFonts w:ascii="Arial" w:hAnsi="Arial" w:cs="Arial"/>
          <w:lang w:val="sr-Latn-ME"/>
        </w:rPr>
        <w:t xml:space="preserve">provođenju poboljšane saradnje na uspostavljanju </w:t>
      </w:r>
      <w:r w:rsidR="006A06BA" w:rsidRPr="001302F9">
        <w:rPr>
          <w:rFonts w:ascii="Arial" w:hAnsi="Arial" w:cs="Arial"/>
          <w:lang w:val="sr-Latn-ME"/>
        </w:rPr>
        <w:t>Kancelarije</w:t>
      </w:r>
      <w:r w:rsidRPr="001302F9">
        <w:rPr>
          <w:rFonts w:ascii="Arial" w:hAnsi="Arial" w:cs="Arial"/>
          <w:lang w:val="sr-Latn-ME"/>
        </w:rPr>
        <w:t xml:space="preserve"> Evropskog javnog tužilaštva (EPPO) defini</w:t>
      </w:r>
      <w:r w:rsidR="006A06BA" w:rsidRPr="001302F9">
        <w:rPr>
          <w:rFonts w:ascii="Arial" w:hAnsi="Arial" w:cs="Arial"/>
          <w:lang w:val="sr-Latn-ME"/>
        </w:rPr>
        <w:t>še</w:t>
      </w:r>
      <w:r w:rsidRPr="001302F9">
        <w:rPr>
          <w:rFonts w:ascii="Arial" w:hAnsi="Arial" w:cs="Arial"/>
          <w:lang w:val="sr-Latn-ME"/>
        </w:rPr>
        <w:t xml:space="preserve"> funkcije i nadležnosti EPPO-a. Evropski parlament i </w:t>
      </w:r>
      <w:r w:rsidR="006A06BA" w:rsidRPr="001302F9">
        <w:rPr>
          <w:rFonts w:ascii="Arial" w:hAnsi="Arial" w:cs="Arial"/>
          <w:lang w:val="sr-Latn-ME"/>
        </w:rPr>
        <w:t>Savjet</w:t>
      </w:r>
      <w:r w:rsidRPr="001302F9">
        <w:rPr>
          <w:rFonts w:ascii="Arial" w:hAnsi="Arial" w:cs="Arial"/>
          <w:lang w:val="sr-Latn-ME"/>
        </w:rPr>
        <w:t xml:space="preserve"> su 5. jula 2017. usvojili Direktivu (EU) 2017/1371 o borbi protiv prevare finansijskih interesa Unije putem krivičnog prava. Takozvana „PIF – Direktiva” daje definiciju prevare i definiše krivične sankcije za </w:t>
      </w:r>
      <w:r w:rsidR="0056601D" w:rsidRPr="001302F9">
        <w:rPr>
          <w:rFonts w:ascii="Arial" w:hAnsi="Arial" w:cs="Arial"/>
          <w:lang w:val="sr-Latn-ME"/>
        </w:rPr>
        <w:t>s</w:t>
      </w:r>
      <w:r w:rsidRPr="001302F9">
        <w:rPr>
          <w:rFonts w:ascii="Arial" w:hAnsi="Arial" w:cs="Arial"/>
          <w:lang w:val="sr-Latn-ME"/>
        </w:rPr>
        <w:t xml:space="preserve">provođenje </w:t>
      </w:r>
      <w:r w:rsidR="0056601D" w:rsidRPr="001302F9">
        <w:rPr>
          <w:rFonts w:ascii="Arial" w:hAnsi="Arial" w:cs="Arial"/>
          <w:lang w:val="sr-Latn-ME"/>
        </w:rPr>
        <w:t>krivič</w:t>
      </w:r>
      <w:r w:rsidRPr="001302F9">
        <w:rPr>
          <w:rFonts w:ascii="Arial" w:hAnsi="Arial" w:cs="Arial"/>
          <w:lang w:val="sr-Latn-ME"/>
        </w:rPr>
        <w:t>nih radnji protiv finansijskih interesa EU.</w:t>
      </w:r>
    </w:p>
    <w:p w:rsidR="00791AC7" w:rsidRPr="001302F9" w:rsidRDefault="005A35EB" w:rsidP="009B6B3B">
      <w:pPr>
        <w:pStyle w:val="Heading3"/>
        <w:numPr>
          <w:ilvl w:val="1"/>
          <w:numId w:val="10"/>
        </w:numPr>
        <w:spacing w:before="120" w:after="120"/>
        <w:rPr>
          <w:rFonts w:ascii="Arial" w:hAnsi="Arial" w:cs="Arial"/>
          <w:sz w:val="22"/>
          <w:szCs w:val="22"/>
          <w:lang w:val="sr-Latn-ME"/>
        </w:rPr>
      </w:pPr>
      <w:bookmarkStart w:id="3" w:name="_Toc191824741"/>
      <w:r w:rsidRPr="001302F9">
        <w:rPr>
          <w:rFonts w:ascii="Arial" w:hAnsi="Arial" w:cs="Arial"/>
          <w:sz w:val="22"/>
          <w:szCs w:val="22"/>
          <w:lang w:val="sr-Latn-ME"/>
        </w:rPr>
        <w:t>Institu</w:t>
      </w:r>
      <w:r w:rsidR="008602AD" w:rsidRPr="001302F9">
        <w:rPr>
          <w:rFonts w:ascii="Arial" w:hAnsi="Arial" w:cs="Arial"/>
          <w:sz w:val="22"/>
          <w:szCs w:val="22"/>
          <w:lang w:val="sr-Latn-ME"/>
        </w:rPr>
        <w:t>ci</w:t>
      </w:r>
      <w:r w:rsidRPr="001302F9">
        <w:rPr>
          <w:rFonts w:ascii="Arial" w:hAnsi="Arial" w:cs="Arial"/>
          <w:sz w:val="22"/>
          <w:szCs w:val="22"/>
          <w:lang w:val="sr-Latn-ME"/>
        </w:rPr>
        <w:t>onal</w:t>
      </w:r>
      <w:r w:rsidR="008602AD" w:rsidRPr="001302F9">
        <w:rPr>
          <w:rFonts w:ascii="Arial" w:hAnsi="Arial" w:cs="Arial"/>
          <w:sz w:val="22"/>
          <w:szCs w:val="22"/>
          <w:lang w:val="sr-Latn-ME"/>
        </w:rPr>
        <w:t>ni i zakonodavni okvir</w:t>
      </w:r>
      <w:r w:rsidRPr="001302F9">
        <w:rPr>
          <w:rFonts w:ascii="Arial" w:hAnsi="Arial" w:cs="Arial"/>
          <w:sz w:val="22"/>
          <w:szCs w:val="22"/>
          <w:lang w:val="sr-Latn-ME"/>
        </w:rPr>
        <w:t xml:space="preserve"> </w:t>
      </w:r>
      <w:bookmarkEnd w:id="3"/>
    </w:p>
    <w:p w:rsidR="00F23D60" w:rsidRPr="001302F9" w:rsidRDefault="00F23D60" w:rsidP="00F23D60">
      <w:pPr>
        <w:spacing w:before="60" w:after="60" w:line="240" w:lineRule="auto"/>
        <w:jc w:val="both"/>
        <w:rPr>
          <w:rFonts w:ascii="Arial" w:hAnsi="Arial" w:cs="Arial"/>
          <w:lang w:val="sr-Latn-ME"/>
        </w:rPr>
      </w:pPr>
      <w:bookmarkStart w:id="4" w:name="_Hlk185239678"/>
      <w:r w:rsidRPr="001302F9">
        <w:rPr>
          <w:rFonts w:ascii="Arial" w:hAnsi="Arial" w:cs="Arial"/>
          <w:lang w:val="sr-Latn-ME"/>
        </w:rPr>
        <w:t xml:space="preserve">U proteklih nekoliko godina učinjeni su značajni napori na uspostavljanju institucionalnog i pravnog okvira za zaštitu finansijskih interesa EU u Crnoj Gori. U članu 76a Zakona o budžetu i fiskalnoj odgovornosti propisano je da Crna Gora, kao korisnik sredstava EU, obezbjeđuje indirektno upravljanje IPA fondovima i zaštitu finansijskih interesa EU uspostavljanjem sistema za sprječavanje nepravilnosti i prevara </w:t>
      </w:r>
      <w:r w:rsidR="00BD0C7A">
        <w:rPr>
          <w:rFonts w:ascii="Arial" w:hAnsi="Arial" w:cs="Arial"/>
          <w:lang w:val="sr-Latn-ME"/>
        </w:rPr>
        <w:t>u okviru kojeg se vrši koordinacija,</w:t>
      </w:r>
      <w:r w:rsidRPr="001302F9">
        <w:rPr>
          <w:rFonts w:ascii="Arial" w:hAnsi="Arial" w:cs="Arial"/>
          <w:lang w:val="sr-Latn-ME"/>
        </w:rPr>
        <w:t xml:space="preserve"> pravn</w:t>
      </w:r>
      <w:r w:rsidR="00BD0C7A">
        <w:rPr>
          <w:rFonts w:ascii="Arial" w:hAnsi="Arial" w:cs="Arial"/>
          <w:lang w:val="sr-Latn-ME"/>
        </w:rPr>
        <w:t>ih</w:t>
      </w:r>
      <w:r w:rsidRPr="001302F9">
        <w:rPr>
          <w:rFonts w:ascii="Arial" w:hAnsi="Arial" w:cs="Arial"/>
          <w:lang w:val="sr-Latn-ME"/>
        </w:rPr>
        <w:t>, administrativn</w:t>
      </w:r>
      <w:r w:rsidR="00BD0C7A">
        <w:rPr>
          <w:rFonts w:ascii="Arial" w:hAnsi="Arial" w:cs="Arial"/>
          <w:lang w:val="sr-Latn-ME"/>
        </w:rPr>
        <w:t>ih</w:t>
      </w:r>
      <w:r w:rsidRPr="001302F9">
        <w:rPr>
          <w:rFonts w:ascii="Arial" w:hAnsi="Arial" w:cs="Arial"/>
          <w:lang w:val="sr-Latn-ME"/>
        </w:rPr>
        <w:t xml:space="preserve"> i operativn</w:t>
      </w:r>
      <w:r w:rsidR="00BD0C7A">
        <w:rPr>
          <w:rFonts w:ascii="Arial" w:hAnsi="Arial" w:cs="Arial"/>
          <w:lang w:val="sr-Latn-ME"/>
        </w:rPr>
        <w:t>ih</w:t>
      </w:r>
      <w:r w:rsidRPr="001302F9">
        <w:rPr>
          <w:rFonts w:ascii="Arial" w:hAnsi="Arial" w:cs="Arial"/>
          <w:lang w:val="sr-Latn-ME"/>
        </w:rPr>
        <w:t xml:space="preserve"> aktivnosti, te direktno sarađuje sa OLAF-om. Međutim, odredbe člana 76a Zakona o budžetu i fiskalnoj odgovornosti su nejasne kako i od kojih elemenata treba formirati ovaj sistem zaštite finansijskih interesa EU. </w:t>
      </w:r>
    </w:p>
    <w:p w:rsidR="00F23D60" w:rsidRPr="001302F9" w:rsidRDefault="00F23D60" w:rsidP="00F23D60">
      <w:pPr>
        <w:spacing w:before="60" w:after="60" w:line="240" w:lineRule="auto"/>
        <w:jc w:val="both"/>
        <w:rPr>
          <w:rFonts w:ascii="Arial" w:hAnsi="Arial" w:cs="Arial"/>
          <w:lang w:val="sr-Latn-ME"/>
        </w:rPr>
      </w:pPr>
      <w:r w:rsidRPr="001302F9">
        <w:rPr>
          <w:rFonts w:ascii="Arial" w:hAnsi="Arial" w:cs="Arial"/>
          <w:lang w:val="sr-Latn-ME"/>
        </w:rPr>
        <w:t>Generalno, sistem zaštite finansijskih interesa EU treba da se sastoji od sledeća tri elementa:</w:t>
      </w:r>
    </w:p>
    <w:bookmarkEnd w:id="4"/>
    <w:p w:rsidR="00DE17A8" w:rsidRPr="00EE1E09" w:rsidRDefault="00EE1E09" w:rsidP="00EE1E09">
      <w:pPr>
        <w:pStyle w:val="ListParagraph"/>
        <w:numPr>
          <w:ilvl w:val="0"/>
          <w:numId w:val="44"/>
        </w:numPr>
        <w:shd w:val="clear" w:color="auto" w:fill="auto"/>
        <w:spacing w:before="100" w:beforeAutospacing="1" w:after="100" w:afterAutospacing="1" w:line="240" w:lineRule="auto"/>
        <w:rPr>
          <w:rFonts w:cs="Arial"/>
          <w:sz w:val="22"/>
          <w:szCs w:val="22"/>
          <w:lang w:val="sr-Latn-BA"/>
        </w:rPr>
      </w:pPr>
      <w:r w:rsidRPr="00EE1E09">
        <w:rPr>
          <w:rFonts w:cs="Arial"/>
          <w:sz w:val="22"/>
          <w:szCs w:val="22"/>
          <w:lang w:val="sr-Latn-BA"/>
        </w:rPr>
        <w:t>Tijela sistema za upravljanje i kontrolu EU fondova (</w:t>
      </w:r>
      <w:bookmarkStart w:id="5" w:name="_Hlk194050217"/>
      <w:r w:rsidR="00E632D0">
        <w:rPr>
          <w:rFonts w:cs="Arial"/>
          <w:sz w:val="22"/>
          <w:szCs w:val="22"/>
          <w:lang w:val="sr-Latn-BA"/>
        </w:rPr>
        <w:t xml:space="preserve"> u daljem tekstu: s</w:t>
      </w:r>
      <w:r w:rsidRPr="00EE1E09">
        <w:rPr>
          <w:rFonts w:cs="Arial"/>
          <w:sz w:val="22"/>
          <w:szCs w:val="22"/>
          <w:lang w:val="sr-Latn-BA"/>
        </w:rPr>
        <w:t>truktura za izvještavanje o nepravilnostima)</w:t>
      </w:r>
      <w:r w:rsidRPr="00EE1E09">
        <w:rPr>
          <w:rFonts w:cs="Arial"/>
          <w:lang w:val="sr-Latn-ME"/>
        </w:rPr>
        <w:t xml:space="preserve"> </w:t>
      </w:r>
      <w:bookmarkEnd w:id="5"/>
    </w:p>
    <w:p w:rsidR="00E23E38" w:rsidRPr="00EE1E09" w:rsidRDefault="008703E5" w:rsidP="00EE1E09">
      <w:pPr>
        <w:pStyle w:val="ListParagraph"/>
        <w:numPr>
          <w:ilvl w:val="0"/>
          <w:numId w:val="44"/>
        </w:numPr>
        <w:spacing w:before="60" w:after="60" w:line="240" w:lineRule="auto"/>
        <w:rPr>
          <w:rFonts w:cs="Arial"/>
          <w:sz w:val="22"/>
          <w:szCs w:val="22"/>
          <w:lang w:val="sr-Latn-ME"/>
        </w:rPr>
      </w:pPr>
      <w:bookmarkStart w:id="6" w:name="_Hlk194051254"/>
      <w:r>
        <w:rPr>
          <w:rFonts w:cs="Arial"/>
          <w:bCs/>
          <w:sz w:val="22"/>
          <w:szCs w:val="22"/>
          <w:lang w:val="sr-Latn-BA"/>
        </w:rPr>
        <w:t>Institucija sistema zaduženih za borbu protiv prevara, korupcije i drugih oblika nezakonitih aktivnosti</w:t>
      </w:r>
      <w:bookmarkEnd w:id="6"/>
      <w:r w:rsidR="00E23E38" w:rsidRPr="00EE1E09">
        <w:rPr>
          <w:rFonts w:cs="Arial"/>
          <w:sz w:val="22"/>
          <w:szCs w:val="22"/>
          <w:lang w:val="sr-Latn-ME"/>
        </w:rPr>
        <w:t>: Ministarstvo pravde, Ministarstvo unutrašnjih poslova, Uprava policije, Poreska uprava, Uprava carina, Vrhovno državno tužilaštvo, Agencija za borbu protiv korupcije, Revizorsko tijelo, Ministarstvo evropskih poslova, Ministarstvo finansija</w:t>
      </w:r>
      <w:r w:rsidR="001302F9" w:rsidRPr="00EE1E09">
        <w:rPr>
          <w:rFonts w:cs="Arial"/>
          <w:sz w:val="22"/>
          <w:szCs w:val="22"/>
          <w:lang w:val="sr-Latn-ME"/>
        </w:rPr>
        <w:t xml:space="preserve"> (AFCOS mreža)</w:t>
      </w:r>
      <w:r w:rsidR="00E23E38" w:rsidRPr="00EE1E09">
        <w:rPr>
          <w:rFonts w:cs="Arial"/>
          <w:sz w:val="22"/>
          <w:szCs w:val="22"/>
          <w:lang w:val="sr-Latn-ME"/>
        </w:rPr>
        <w:t xml:space="preserve"> i</w:t>
      </w:r>
    </w:p>
    <w:p w:rsidR="00DE17A8" w:rsidRPr="00EE1E09" w:rsidRDefault="00073AB2" w:rsidP="00EE1E09">
      <w:pPr>
        <w:pStyle w:val="ListParagraph"/>
        <w:numPr>
          <w:ilvl w:val="0"/>
          <w:numId w:val="44"/>
        </w:numPr>
        <w:spacing w:before="60" w:after="60" w:line="240" w:lineRule="auto"/>
        <w:rPr>
          <w:rFonts w:cs="Arial"/>
          <w:sz w:val="22"/>
          <w:szCs w:val="22"/>
          <w:lang w:val="sr-Latn-ME"/>
        </w:rPr>
      </w:pPr>
      <w:r w:rsidRPr="00EE1E09">
        <w:rPr>
          <w:rFonts w:cs="Arial"/>
          <w:sz w:val="22"/>
          <w:szCs w:val="22"/>
          <w:lang w:val="sr-Latn-ME"/>
        </w:rPr>
        <w:t>Direkcija za zaštitu finansijskih interesa EU/</w:t>
      </w:r>
      <w:r w:rsidR="00754897" w:rsidRPr="00EE1E09">
        <w:rPr>
          <w:rFonts w:cs="Arial"/>
          <w:sz w:val="22"/>
          <w:szCs w:val="22"/>
          <w:lang w:val="sr-Latn-ME"/>
        </w:rPr>
        <w:t>AFCOS</w:t>
      </w:r>
      <w:r w:rsidR="005869C4" w:rsidRPr="00EE1E09">
        <w:rPr>
          <w:rFonts w:cs="Arial"/>
          <w:sz w:val="22"/>
          <w:szCs w:val="22"/>
          <w:lang w:val="sr-Latn-ME"/>
        </w:rPr>
        <w:t xml:space="preserve"> (AFCOS kancelarija)</w:t>
      </w:r>
    </w:p>
    <w:p w:rsidR="00EE1E09" w:rsidRDefault="00EE1E09" w:rsidP="00EE1E09">
      <w:pPr>
        <w:spacing w:before="60" w:after="60" w:line="240" w:lineRule="auto"/>
        <w:rPr>
          <w:rFonts w:cs="Arial"/>
          <w:lang w:val="sr-Latn-ME"/>
        </w:rPr>
      </w:pPr>
    </w:p>
    <w:p w:rsidR="00EE1E09" w:rsidRPr="00EE1E09" w:rsidRDefault="00EE1E09" w:rsidP="00EE1E09">
      <w:pPr>
        <w:spacing w:before="60" w:after="60" w:line="240" w:lineRule="auto"/>
        <w:rPr>
          <w:rFonts w:cs="Arial"/>
          <w:lang w:val="sr-Latn-ME"/>
        </w:rPr>
      </w:pPr>
    </w:p>
    <w:p w:rsidR="005869C4" w:rsidRDefault="005869C4" w:rsidP="005869C4">
      <w:pPr>
        <w:spacing w:before="60" w:after="60" w:line="240" w:lineRule="auto"/>
        <w:rPr>
          <w:rFonts w:cs="Arial"/>
          <w:lang w:val="sr-Latn-ME"/>
        </w:rPr>
      </w:pPr>
    </w:p>
    <w:p w:rsidR="005B0DA1" w:rsidRPr="005869C4" w:rsidRDefault="005B0DA1" w:rsidP="005869C4">
      <w:pPr>
        <w:spacing w:before="60" w:after="60" w:line="240" w:lineRule="auto"/>
        <w:rPr>
          <w:rFonts w:cs="Arial"/>
          <w:lang w:val="sr-Latn-ME"/>
        </w:rPr>
      </w:pPr>
    </w:p>
    <w:p w:rsidR="00EE1E09" w:rsidRPr="00A87DB2" w:rsidRDefault="00EE1E09" w:rsidP="00A87DB2">
      <w:pPr>
        <w:pStyle w:val="ListParagraph"/>
        <w:numPr>
          <w:ilvl w:val="0"/>
          <w:numId w:val="24"/>
        </w:numPr>
        <w:spacing w:before="120" w:after="120" w:line="240" w:lineRule="auto"/>
        <w:rPr>
          <w:rFonts w:cs="Arial"/>
          <w:b/>
          <w:bCs/>
          <w:lang w:val="sr-Latn-ME"/>
        </w:rPr>
      </w:pPr>
      <w:r w:rsidRPr="00A87DB2">
        <w:rPr>
          <w:rFonts w:cs="Arial"/>
          <w:b/>
          <w:bCs/>
          <w:lang w:val="sr-Latn-ME"/>
        </w:rPr>
        <w:t>Struktu</w:t>
      </w:r>
      <w:r w:rsidR="00A87DB2" w:rsidRPr="00A87DB2">
        <w:rPr>
          <w:rFonts w:cs="Arial"/>
          <w:b/>
          <w:bCs/>
          <w:lang w:val="sr-Latn-ME"/>
        </w:rPr>
        <w:t>ra za izvještavanje o nepravilnostima</w:t>
      </w:r>
    </w:p>
    <w:p w:rsidR="00F31D66" w:rsidRPr="001302F9" w:rsidRDefault="008F6C2B" w:rsidP="00EE65EF">
      <w:pPr>
        <w:spacing w:before="120" w:after="120" w:line="240" w:lineRule="auto"/>
        <w:jc w:val="both"/>
        <w:rPr>
          <w:rFonts w:ascii="Arial" w:hAnsi="Arial" w:cs="Arial"/>
          <w:lang w:val="sr-Latn-ME"/>
        </w:rPr>
      </w:pPr>
      <w:r w:rsidRPr="001302F9">
        <w:rPr>
          <w:rFonts w:ascii="Arial" w:hAnsi="Arial" w:cs="Arial"/>
          <w:lang w:val="sr-Latn-ME"/>
        </w:rPr>
        <w:t>IPA strukture tokom pretpristupnog perioda Crne Gore EU, koje uspostavlja korisnik IPA II/III za indirektno upravljanje sredstvima IPA II/III su sljedeć</w:t>
      </w:r>
      <w:r w:rsidR="00B152C5" w:rsidRPr="001302F9">
        <w:rPr>
          <w:rFonts w:ascii="Arial" w:hAnsi="Arial" w:cs="Arial"/>
          <w:lang w:val="sr-Latn-ME"/>
        </w:rPr>
        <w:t>e</w:t>
      </w:r>
      <w:r w:rsidRPr="001302F9">
        <w:rPr>
          <w:rFonts w:ascii="Arial" w:hAnsi="Arial" w:cs="Arial"/>
          <w:lang w:val="sr-Latn-ME"/>
        </w:rPr>
        <w:t>:</w:t>
      </w:r>
    </w:p>
    <w:p w:rsidR="003A193D" w:rsidRPr="001302F9" w:rsidRDefault="003A193D" w:rsidP="009B6B3B">
      <w:pPr>
        <w:pStyle w:val="ListParagraph"/>
        <w:numPr>
          <w:ilvl w:val="0"/>
          <w:numId w:val="5"/>
        </w:numPr>
        <w:spacing w:before="60" w:after="60" w:line="240" w:lineRule="auto"/>
        <w:ind w:left="714" w:hanging="357"/>
        <w:contextualSpacing w:val="0"/>
        <w:rPr>
          <w:rFonts w:cs="Arial"/>
          <w:sz w:val="22"/>
          <w:szCs w:val="22"/>
          <w:lang w:val="sr-Latn-ME"/>
        </w:rPr>
      </w:pPr>
      <w:r w:rsidRPr="001302F9">
        <w:rPr>
          <w:rFonts w:cs="Arial"/>
          <w:sz w:val="22"/>
          <w:szCs w:val="22"/>
          <w:lang w:val="sr-Latn-ME"/>
        </w:rPr>
        <w:t>Na</w:t>
      </w:r>
      <w:r w:rsidR="00E23E38" w:rsidRPr="001302F9">
        <w:rPr>
          <w:rFonts w:cs="Arial"/>
          <w:sz w:val="22"/>
          <w:szCs w:val="22"/>
          <w:lang w:val="sr-Latn-ME"/>
        </w:rPr>
        <w:t>c</w:t>
      </w:r>
      <w:r w:rsidRPr="001302F9">
        <w:rPr>
          <w:rFonts w:cs="Arial"/>
          <w:sz w:val="22"/>
          <w:szCs w:val="22"/>
          <w:lang w:val="sr-Latn-ME"/>
        </w:rPr>
        <w:t>ional</w:t>
      </w:r>
      <w:r w:rsidR="00E23E38" w:rsidRPr="001302F9">
        <w:rPr>
          <w:rFonts w:cs="Arial"/>
          <w:sz w:val="22"/>
          <w:szCs w:val="22"/>
          <w:lang w:val="sr-Latn-ME"/>
        </w:rPr>
        <w:t>ni</w:t>
      </w:r>
      <w:r w:rsidRPr="001302F9">
        <w:rPr>
          <w:rFonts w:cs="Arial"/>
          <w:sz w:val="22"/>
          <w:szCs w:val="22"/>
          <w:lang w:val="sr-Latn-ME"/>
        </w:rPr>
        <w:t xml:space="preserve"> IPA </w:t>
      </w:r>
      <w:r w:rsidR="00E23E38" w:rsidRPr="001302F9">
        <w:rPr>
          <w:rFonts w:cs="Arial"/>
          <w:sz w:val="22"/>
          <w:szCs w:val="22"/>
          <w:lang w:val="sr-Latn-ME"/>
        </w:rPr>
        <w:t>k</w:t>
      </w:r>
      <w:r w:rsidRPr="001302F9">
        <w:rPr>
          <w:rFonts w:cs="Arial"/>
          <w:sz w:val="22"/>
          <w:szCs w:val="22"/>
          <w:lang w:val="sr-Latn-ME"/>
        </w:rPr>
        <w:t>oordinator (NIPA</w:t>
      </w:r>
      <w:r w:rsidR="00CC5E5B" w:rsidRPr="001302F9">
        <w:rPr>
          <w:rFonts w:cs="Arial"/>
          <w:sz w:val="22"/>
          <w:szCs w:val="22"/>
          <w:lang w:val="sr-Latn-ME"/>
        </w:rPr>
        <w:t>C</w:t>
      </w:r>
      <w:r w:rsidRPr="001302F9">
        <w:rPr>
          <w:rFonts w:cs="Arial"/>
          <w:sz w:val="22"/>
          <w:szCs w:val="22"/>
          <w:lang w:val="sr-Latn-ME"/>
        </w:rPr>
        <w:t>);</w:t>
      </w:r>
    </w:p>
    <w:p w:rsidR="003A193D" w:rsidRPr="001302F9" w:rsidRDefault="003A193D" w:rsidP="009B6B3B">
      <w:pPr>
        <w:pStyle w:val="ListParagraph"/>
        <w:numPr>
          <w:ilvl w:val="0"/>
          <w:numId w:val="5"/>
        </w:numPr>
        <w:spacing w:before="60" w:after="60" w:line="240" w:lineRule="auto"/>
        <w:ind w:left="714" w:hanging="357"/>
        <w:contextualSpacing w:val="0"/>
        <w:rPr>
          <w:rFonts w:cs="Arial"/>
          <w:sz w:val="22"/>
          <w:szCs w:val="22"/>
          <w:lang w:val="sr-Latn-ME"/>
        </w:rPr>
      </w:pPr>
      <w:r w:rsidRPr="001302F9">
        <w:rPr>
          <w:rFonts w:cs="Arial"/>
          <w:sz w:val="22"/>
          <w:szCs w:val="22"/>
          <w:lang w:val="sr-Latn-ME"/>
        </w:rPr>
        <w:t>Na</w:t>
      </w:r>
      <w:r w:rsidR="00E23E38" w:rsidRPr="001302F9">
        <w:rPr>
          <w:rFonts w:cs="Arial"/>
          <w:sz w:val="22"/>
          <w:szCs w:val="22"/>
          <w:lang w:val="sr-Latn-ME"/>
        </w:rPr>
        <w:t>c</w:t>
      </w:r>
      <w:r w:rsidRPr="001302F9">
        <w:rPr>
          <w:rFonts w:cs="Arial"/>
          <w:sz w:val="22"/>
          <w:szCs w:val="22"/>
          <w:lang w:val="sr-Latn-ME"/>
        </w:rPr>
        <w:t>ional</w:t>
      </w:r>
      <w:r w:rsidR="00E23E38" w:rsidRPr="001302F9">
        <w:rPr>
          <w:rFonts w:cs="Arial"/>
          <w:sz w:val="22"/>
          <w:szCs w:val="22"/>
          <w:lang w:val="sr-Latn-ME"/>
        </w:rPr>
        <w:t>ni</w:t>
      </w:r>
      <w:r w:rsidRPr="001302F9">
        <w:rPr>
          <w:rFonts w:cs="Arial"/>
          <w:sz w:val="22"/>
          <w:szCs w:val="22"/>
          <w:lang w:val="sr-Latn-ME"/>
        </w:rPr>
        <w:t xml:space="preserve"> </w:t>
      </w:r>
      <w:r w:rsidR="00E23E38" w:rsidRPr="001302F9">
        <w:rPr>
          <w:rFonts w:cs="Arial"/>
          <w:sz w:val="22"/>
          <w:szCs w:val="22"/>
          <w:lang w:val="sr-Latn-ME"/>
        </w:rPr>
        <w:t>službenik za ovjeravanje</w:t>
      </w:r>
      <w:r w:rsidRPr="001302F9">
        <w:rPr>
          <w:rFonts w:cs="Arial"/>
          <w:sz w:val="22"/>
          <w:szCs w:val="22"/>
          <w:lang w:val="sr-Latn-ME"/>
        </w:rPr>
        <w:t xml:space="preserve"> (NAO);</w:t>
      </w:r>
    </w:p>
    <w:p w:rsidR="003A193D" w:rsidRPr="001302F9" w:rsidRDefault="00E23E38" w:rsidP="009B6B3B">
      <w:pPr>
        <w:pStyle w:val="ListParagraph"/>
        <w:numPr>
          <w:ilvl w:val="0"/>
          <w:numId w:val="5"/>
        </w:numPr>
        <w:spacing w:before="60" w:after="60" w:line="240" w:lineRule="auto"/>
        <w:ind w:left="714" w:hanging="357"/>
        <w:contextualSpacing w:val="0"/>
        <w:rPr>
          <w:rFonts w:cs="Arial"/>
          <w:sz w:val="22"/>
          <w:szCs w:val="22"/>
          <w:lang w:val="sr-Latn-ME"/>
        </w:rPr>
      </w:pPr>
      <w:r w:rsidRPr="001302F9">
        <w:rPr>
          <w:rFonts w:cs="Arial"/>
          <w:sz w:val="22"/>
          <w:szCs w:val="22"/>
          <w:lang w:val="sr-Latn-ME"/>
        </w:rPr>
        <w:t xml:space="preserve">Upravljačka struktura koja se sastoji od </w:t>
      </w:r>
      <w:r w:rsidR="00340A43" w:rsidRPr="001302F9">
        <w:rPr>
          <w:rFonts w:cs="Arial"/>
          <w:sz w:val="22"/>
          <w:szCs w:val="22"/>
          <w:lang w:val="sr-Latn-ME"/>
        </w:rPr>
        <w:t>Direkcije za upravljanje kontrolnim okvirom i nadgledanjem sistema i Direkcije za nacionalni fond i upravljanje računima</w:t>
      </w:r>
      <w:r w:rsidRPr="001302F9">
        <w:rPr>
          <w:rFonts w:cs="Arial"/>
          <w:sz w:val="22"/>
          <w:szCs w:val="22"/>
          <w:lang w:val="sr-Latn-ME"/>
        </w:rPr>
        <w:t>;</w:t>
      </w:r>
    </w:p>
    <w:p w:rsidR="00CC5E5B" w:rsidRPr="001302F9" w:rsidRDefault="00E23E38" w:rsidP="009B6B3B">
      <w:pPr>
        <w:pStyle w:val="ListParagraph"/>
        <w:numPr>
          <w:ilvl w:val="0"/>
          <w:numId w:val="5"/>
        </w:numPr>
        <w:spacing w:before="60" w:after="60" w:line="240" w:lineRule="auto"/>
        <w:ind w:left="714" w:hanging="357"/>
        <w:contextualSpacing w:val="0"/>
        <w:rPr>
          <w:rFonts w:cs="Arial"/>
          <w:sz w:val="22"/>
          <w:szCs w:val="22"/>
          <w:lang w:val="sr-Latn-ME"/>
        </w:rPr>
      </w:pPr>
      <w:r w:rsidRPr="001302F9">
        <w:rPr>
          <w:rFonts w:cs="Arial"/>
          <w:sz w:val="22"/>
          <w:szCs w:val="22"/>
          <w:lang w:val="sr-Latn-ME"/>
        </w:rPr>
        <w:t>Upravljačka tijela i posrednička tijela za finansijsko upravljanje/upravljanje politikom za IPA III i Jedinice za implementaciju projekta/</w:t>
      </w:r>
      <w:r w:rsidR="00B22027" w:rsidRPr="001302F9">
        <w:rPr>
          <w:rFonts w:cs="Arial"/>
          <w:sz w:val="22"/>
          <w:szCs w:val="22"/>
          <w:lang w:val="sr-Latn-ME"/>
        </w:rPr>
        <w:t>Implementacione</w:t>
      </w:r>
      <w:r w:rsidRPr="001302F9">
        <w:rPr>
          <w:rFonts w:cs="Arial"/>
          <w:sz w:val="22"/>
          <w:szCs w:val="22"/>
          <w:lang w:val="sr-Latn-ME"/>
        </w:rPr>
        <w:t xml:space="preserve"> agencije/HOS </w:t>
      </w:r>
      <w:r w:rsidR="00B22027" w:rsidRPr="001302F9">
        <w:rPr>
          <w:rFonts w:cs="Arial"/>
          <w:sz w:val="22"/>
          <w:szCs w:val="22"/>
          <w:lang w:val="sr-Latn-ME"/>
        </w:rPr>
        <w:t>kancelarija</w:t>
      </w:r>
      <w:r w:rsidRPr="001302F9">
        <w:rPr>
          <w:rFonts w:cs="Arial"/>
          <w:sz w:val="22"/>
          <w:szCs w:val="22"/>
          <w:lang w:val="sr-Latn-ME"/>
        </w:rPr>
        <w:t>/CBC tijelo za IPA II</w:t>
      </w:r>
      <w:r w:rsidR="00E02373" w:rsidRPr="001302F9">
        <w:rPr>
          <w:rFonts w:cs="Arial"/>
          <w:sz w:val="22"/>
          <w:szCs w:val="22"/>
          <w:lang w:val="sr-Latn-ME"/>
        </w:rPr>
        <w:t>;</w:t>
      </w:r>
    </w:p>
    <w:p w:rsidR="003A193D" w:rsidRPr="001302F9" w:rsidRDefault="00E23E38" w:rsidP="009B6B3B">
      <w:pPr>
        <w:pStyle w:val="ListParagraph"/>
        <w:numPr>
          <w:ilvl w:val="0"/>
          <w:numId w:val="5"/>
        </w:numPr>
        <w:spacing w:before="60" w:after="60" w:line="240" w:lineRule="auto"/>
        <w:ind w:left="714" w:hanging="357"/>
        <w:contextualSpacing w:val="0"/>
        <w:rPr>
          <w:rFonts w:cs="Arial"/>
          <w:sz w:val="22"/>
          <w:szCs w:val="22"/>
          <w:lang w:val="sr-Latn-ME"/>
        </w:rPr>
      </w:pPr>
      <w:r w:rsidRPr="001302F9">
        <w:rPr>
          <w:rFonts w:cs="Arial"/>
          <w:sz w:val="22"/>
          <w:szCs w:val="22"/>
          <w:lang w:val="sr-Latn-ME"/>
        </w:rPr>
        <w:t>Interna revizija EU fondova u javnom sektoru (u okviru Ministarstva finansija</w:t>
      </w:r>
      <w:r w:rsidR="00E12986" w:rsidRPr="001302F9">
        <w:rPr>
          <w:rFonts w:cs="Arial"/>
          <w:sz w:val="22"/>
          <w:szCs w:val="22"/>
          <w:lang w:val="sr-Latn-ME"/>
        </w:rPr>
        <w:t>) ;</w:t>
      </w:r>
    </w:p>
    <w:p w:rsidR="0039708F" w:rsidRPr="001302F9" w:rsidRDefault="0039708F" w:rsidP="0039708F">
      <w:pPr>
        <w:spacing w:before="120" w:after="120" w:line="240" w:lineRule="auto"/>
        <w:rPr>
          <w:rFonts w:ascii="Arial" w:hAnsi="Arial" w:cs="Arial"/>
          <w:b/>
          <w:bCs/>
          <w:lang w:val="sr-Latn-ME"/>
        </w:rPr>
      </w:pPr>
    </w:p>
    <w:p w:rsidR="00C86913" w:rsidRPr="001302F9" w:rsidRDefault="00C86913" w:rsidP="00EE65EF">
      <w:pPr>
        <w:pStyle w:val="ListParagraph"/>
        <w:numPr>
          <w:ilvl w:val="0"/>
          <w:numId w:val="2"/>
        </w:numPr>
        <w:spacing w:before="120" w:after="120" w:line="240" w:lineRule="auto"/>
        <w:contextualSpacing w:val="0"/>
        <w:rPr>
          <w:rFonts w:cs="Arial"/>
          <w:b/>
          <w:bCs/>
          <w:sz w:val="22"/>
          <w:szCs w:val="22"/>
          <w:lang w:val="sr-Latn-ME"/>
        </w:rPr>
      </w:pPr>
      <w:r w:rsidRPr="001302F9">
        <w:rPr>
          <w:rFonts w:cs="Arial"/>
          <w:b/>
          <w:bCs/>
          <w:sz w:val="22"/>
          <w:szCs w:val="22"/>
          <w:lang w:val="sr-Latn-ME"/>
        </w:rPr>
        <w:t xml:space="preserve">AFCOS </w:t>
      </w:r>
      <w:r w:rsidR="00901B07" w:rsidRPr="001302F9">
        <w:rPr>
          <w:rFonts w:cs="Arial"/>
          <w:b/>
          <w:bCs/>
          <w:sz w:val="22"/>
          <w:szCs w:val="22"/>
          <w:lang w:val="sr-Latn-ME"/>
        </w:rPr>
        <w:t>mreža</w:t>
      </w:r>
    </w:p>
    <w:p w:rsidR="003B61FD" w:rsidRPr="001302F9" w:rsidRDefault="003B61FD" w:rsidP="00B152C5">
      <w:pPr>
        <w:spacing w:before="120" w:after="120" w:line="240" w:lineRule="auto"/>
        <w:jc w:val="both"/>
        <w:rPr>
          <w:rFonts w:ascii="Arial" w:hAnsi="Arial" w:cs="Arial"/>
          <w:lang w:val="sr-Latn-ME"/>
        </w:rPr>
      </w:pPr>
      <w:r w:rsidRPr="001302F9">
        <w:rPr>
          <w:rFonts w:ascii="Arial" w:hAnsi="Arial" w:cs="Arial"/>
          <w:lang w:val="sr-Latn-ME"/>
        </w:rPr>
        <w:t xml:space="preserve">Odlukom o izmjenama i dopunama Odluke o obrazovanju Koordinacionog tijela za praćenje i vođenje politike prevencije i borbe protiv nepravilnosti radi zaštite finansijskih interesa EU (AFCOS mreža), propisano je formiranje Koordinacionog tijela koje čine predstavnici više institucija kao što su: Ministarstvo pravde, Ministarstvo unutrašnjih poslova, </w:t>
      </w:r>
      <w:r w:rsidR="005E0986" w:rsidRPr="001302F9">
        <w:rPr>
          <w:rFonts w:ascii="Arial" w:hAnsi="Arial" w:cs="Arial"/>
          <w:lang w:val="sr-Latn-ME"/>
        </w:rPr>
        <w:t>U</w:t>
      </w:r>
      <w:r w:rsidRPr="001302F9">
        <w:rPr>
          <w:rFonts w:ascii="Arial" w:hAnsi="Arial" w:cs="Arial"/>
          <w:lang w:val="sr-Latn-ME"/>
        </w:rPr>
        <w:t>prav</w:t>
      </w:r>
      <w:r w:rsidR="005E0986" w:rsidRPr="001302F9">
        <w:rPr>
          <w:rFonts w:ascii="Arial" w:hAnsi="Arial" w:cs="Arial"/>
          <w:lang w:val="sr-Latn-ME"/>
        </w:rPr>
        <w:t>a</w:t>
      </w:r>
      <w:r w:rsidRPr="001302F9">
        <w:rPr>
          <w:rFonts w:ascii="Arial" w:hAnsi="Arial" w:cs="Arial"/>
          <w:lang w:val="sr-Latn-ME"/>
        </w:rPr>
        <w:t xml:space="preserve"> </w:t>
      </w:r>
      <w:r w:rsidR="00B152C5" w:rsidRPr="001302F9">
        <w:rPr>
          <w:rFonts w:ascii="Arial" w:hAnsi="Arial" w:cs="Arial"/>
          <w:lang w:val="sr-Latn-ME"/>
        </w:rPr>
        <w:t xml:space="preserve">prihoda i </w:t>
      </w:r>
      <w:r w:rsidRPr="001302F9">
        <w:rPr>
          <w:rFonts w:ascii="Arial" w:hAnsi="Arial" w:cs="Arial"/>
          <w:lang w:val="sr-Latn-ME"/>
        </w:rPr>
        <w:t xml:space="preserve">carina, </w:t>
      </w:r>
      <w:r w:rsidR="005E0986" w:rsidRPr="001302F9">
        <w:rPr>
          <w:rFonts w:ascii="Arial" w:hAnsi="Arial" w:cs="Arial"/>
          <w:lang w:val="sr-Latn-ME"/>
        </w:rPr>
        <w:t>U</w:t>
      </w:r>
      <w:r w:rsidRPr="001302F9">
        <w:rPr>
          <w:rFonts w:ascii="Arial" w:hAnsi="Arial" w:cs="Arial"/>
          <w:lang w:val="sr-Latn-ME"/>
        </w:rPr>
        <w:t xml:space="preserve">prava policije, </w:t>
      </w:r>
      <w:r w:rsidR="005E0986" w:rsidRPr="001302F9">
        <w:rPr>
          <w:rFonts w:ascii="Arial" w:hAnsi="Arial" w:cs="Arial"/>
          <w:lang w:val="sr-Latn-ME"/>
        </w:rPr>
        <w:t>Vrhovno d</w:t>
      </w:r>
      <w:r w:rsidRPr="001302F9">
        <w:rPr>
          <w:rFonts w:ascii="Arial" w:hAnsi="Arial" w:cs="Arial"/>
          <w:lang w:val="sr-Latn-ME"/>
        </w:rPr>
        <w:t>ržavn</w:t>
      </w:r>
      <w:r w:rsidR="005E0986" w:rsidRPr="001302F9">
        <w:rPr>
          <w:rFonts w:ascii="Arial" w:hAnsi="Arial" w:cs="Arial"/>
          <w:lang w:val="sr-Latn-ME"/>
        </w:rPr>
        <w:t>o</w:t>
      </w:r>
      <w:r w:rsidRPr="001302F9">
        <w:rPr>
          <w:rFonts w:ascii="Arial" w:hAnsi="Arial" w:cs="Arial"/>
          <w:lang w:val="sr-Latn-ME"/>
        </w:rPr>
        <w:t xml:space="preserve"> Tužilaštvo, Agencija za borbu protiv korupcije, Revizorsko tijelo, Ministarstvo evropskih poslova i Ministarstvo finansija. U okviru ove odluke propisani su i zadaci tih organa.</w:t>
      </w:r>
    </w:p>
    <w:p w:rsidR="003B61FD" w:rsidRPr="001302F9" w:rsidRDefault="003B61FD" w:rsidP="00B152C5">
      <w:pPr>
        <w:spacing w:before="120" w:after="120" w:line="240" w:lineRule="auto"/>
        <w:jc w:val="both"/>
        <w:rPr>
          <w:rFonts w:ascii="Arial" w:hAnsi="Arial" w:cs="Arial"/>
          <w:lang w:val="sr-Latn-ME"/>
        </w:rPr>
      </w:pPr>
      <w:r w:rsidRPr="001302F9">
        <w:rPr>
          <w:rFonts w:ascii="Arial" w:hAnsi="Arial" w:cs="Arial"/>
          <w:lang w:val="sr-Latn-ME"/>
        </w:rPr>
        <w:t xml:space="preserve">Kao što se može vidjeti, u okviru pomenutog Koordinacionog tijela </w:t>
      </w:r>
      <w:r w:rsidR="00B152C5" w:rsidRPr="001302F9">
        <w:rPr>
          <w:rFonts w:ascii="Arial" w:hAnsi="Arial" w:cs="Arial"/>
          <w:lang w:val="sr-Latn-ME"/>
        </w:rPr>
        <w:t>nalaze se institucije</w:t>
      </w:r>
      <w:r w:rsidRPr="001302F9">
        <w:rPr>
          <w:rFonts w:ascii="Arial" w:hAnsi="Arial" w:cs="Arial"/>
          <w:lang w:val="sr-Latn-ME"/>
        </w:rPr>
        <w:t xml:space="preserve"> koj</w:t>
      </w:r>
      <w:r w:rsidR="00B152C5" w:rsidRPr="001302F9">
        <w:rPr>
          <w:rFonts w:ascii="Arial" w:hAnsi="Arial" w:cs="Arial"/>
          <w:lang w:val="sr-Latn-ME"/>
        </w:rPr>
        <w:t>e</w:t>
      </w:r>
      <w:r w:rsidRPr="001302F9">
        <w:rPr>
          <w:rFonts w:ascii="Arial" w:hAnsi="Arial" w:cs="Arial"/>
          <w:lang w:val="sr-Latn-ME"/>
        </w:rPr>
        <w:t xml:space="preserve"> su nezavisn</w:t>
      </w:r>
      <w:r w:rsidR="00B152C5" w:rsidRPr="001302F9">
        <w:rPr>
          <w:rFonts w:ascii="Arial" w:hAnsi="Arial" w:cs="Arial"/>
          <w:lang w:val="sr-Latn-ME"/>
        </w:rPr>
        <w:t>e</w:t>
      </w:r>
      <w:r w:rsidRPr="001302F9">
        <w:rPr>
          <w:rFonts w:ascii="Arial" w:hAnsi="Arial" w:cs="Arial"/>
          <w:lang w:val="sr-Latn-ME"/>
        </w:rPr>
        <w:t xml:space="preserve"> i van IPA struktura </w:t>
      </w:r>
      <w:r w:rsidR="008703E5">
        <w:rPr>
          <w:rFonts w:ascii="Arial" w:hAnsi="Arial" w:cs="Arial"/>
          <w:lang w:val="sr-Latn-ME"/>
        </w:rPr>
        <w:t xml:space="preserve">i </w:t>
      </w:r>
      <w:r w:rsidRPr="001302F9">
        <w:rPr>
          <w:rFonts w:ascii="Arial" w:hAnsi="Arial" w:cs="Arial"/>
          <w:lang w:val="sr-Latn-ME"/>
        </w:rPr>
        <w:t>imaju drugačiju ulogu u zaštiti finansijskih interesa EU od IPA struktura.</w:t>
      </w:r>
    </w:p>
    <w:p w:rsidR="003B61FD" w:rsidRPr="001302F9" w:rsidRDefault="003B61FD" w:rsidP="00B152C5">
      <w:pPr>
        <w:spacing w:before="120" w:after="120" w:line="240" w:lineRule="auto"/>
        <w:jc w:val="both"/>
        <w:rPr>
          <w:rFonts w:ascii="Arial" w:hAnsi="Arial" w:cs="Arial"/>
          <w:lang w:val="sr-Latn-ME"/>
        </w:rPr>
      </w:pPr>
      <w:r w:rsidRPr="001302F9">
        <w:rPr>
          <w:rFonts w:ascii="Arial" w:hAnsi="Arial" w:cs="Arial"/>
          <w:lang w:val="sr-Latn-ME"/>
        </w:rPr>
        <w:t xml:space="preserve">U tom smislu, </w:t>
      </w:r>
      <w:r w:rsidR="008703E5">
        <w:rPr>
          <w:rFonts w:ascii="Arial" w:hAnsi="Arial" w:cs="Arial"/>
          <w:lang w:val="sr-Latn-ME"/>
        </w:rPr>
        <w:t>ove institucije</w:t>
      </w:r>
      <w:r w:rsidRPr="001302F9">
        <w:rPr>
          <w:rFonts w:ascii="Arial" w:hAnsi="Arial" w:cs="Arial"/>
          <w:lang w:val="sr-Latn-ME"/>
        </w:rPr>
        <w:t xml:space="preserve"> nude specijalizovanu, stručnu podršku i olakšavaju razmjenu informacija sa  strukturama</w:t>
      </w:r>
      <w:r w:rsidR="00A76A38">
        <w:rPr>
          <w:rFonts w:ascii="Arial" w:hAnsi="Arial" w:cs="Arial"/>
          <w:lang w:val="sr-Latn-ME"/>
        </w:rPr>
        <w:t xml:space="preserve"> </w:t>
      </w:r>
      <w:r w:rsidR="005B0DA1">
        <w:rPr>
          <w:rFonts w:ascii="Arial" w:hAnsi="Arial" w:cs="Arial"/>
          <w:lang w:val="sr-Latn-ME"/>
        </w:rPr>
        <w:t>za izvještavanje o nepravilnostima</w:t>
      </w:r>
      <w:r w:rsidRPr="001302F9">
        <w:rPr>
          <w:rFonts w:ascii="Arial" w:hAnsi="Arial" w:cs="Arial"/>
          <w:lang w:val="sr-Latn-ME"/>
        </w:rPr>
        <w:t>, posebno u složenim, potencijalno lažnim, slučajevima gdje odgovornosti i ovlaš</w:t>
      </w:r>
      <w:r w:rsidR="005B0DA1">
        <w:rPr>
          <w:rFonts w:ascii="Arial" w:hAnsi="Arial" w:cs="Arial"/>
          <w:lang w:val="sr-Latn-ME"/>
        </w:rPr>
        <w:t>ć</w:t>
      </w:r>
      <w:r w:rsidRPr="001302F9">
        <w:rPr>
          <w:rFonts w:ascii="Arial" w:hAnsi="Arial" w:cs="Arial"/>
          <w:lang w:val="sr-Latn-ME"/>
        </w:rPr>
        <w:t>enja možda ni</w:t>
      </w:r>
      <w:r w:rsidR="005B0DA1">
        <w:rPr>
          <w:rFonts w:ascii="Arial" w:hAnsi="Arial" w:cs="Arial"/>
          <w:lang w:val="sr-Latn-ME"/>
        </w:rPr>
        <w:t>je</w:t>
      </w:r>
      <w:r w:rsidRPr="001302F9">
        <w:rPr>
          <w:rFonts w:ascii="Arial" w:hAnsi="Arial" w:cs="Arial"/>
          <w:lang w:val="sr-Latn-ME"/>
        </w:rPr>
        <w:t xml:space="preserve">su jasno razgraničeni. Pored toga, ovi organi nadležni su za doprinos procjeni rizika od nepravilnosti i prevara, predlaganje i učešće u </w:t>
      </w:r>
      <w:r w:rsidR="00FD52D5" w:rsidRPr="001302F9">
        <w:rPr>
          <w:rFonts w:ascii="Arial" w:hAnsi="Arial" w:cs="Arial"/>
          <w:lang w:val="sr-Latn-ME"/>
        </w:rPr>
        <w:t>s</w:t>
      </w:r>
      <w:r w:rsidRPr="001302F9">
        <w:rPr>
          <w:rFonts w:ascii="Arial" w:hAnsi="Arial" w:cs="Arial"/>
          <w:lang w:val="sr-Latn-ME"/>
        </w:rPr>
        <w:t>provođenju djelotvornih mjera zaštite finansijskih interesa EU, kao i za koordinaciju procjene potreba za obukom u organu koji predstavljaju, te obavještavaju svoje kolege o dostupnim edukativnim aktivnostima koje se odnose na zaštitu finansijskih interesa EU.</w:t>
      </w:r>
    </w:p>
    <w:p w:rsidR="003B61FD" w:rsidRPr="001302F9" w:rsidRDefault="003B61FD" w:rsidP="003B61FD">
      <w:pPr>
        <w:spacing w:before="120" w:after="120" w:line="240" w:lineRule="auto"/>
        <w:rPr>
          <w:rFonts w:ascii="Arial" w:hAnsi="Arial" w:cs="Arial"/>
          <w:b/>
          <w:bCs/>
          <w:lang w:val="sr-Latn-ME"/>
        </w:rPr>
      </w:pPr>
    </w:p>
    <w:p w:rsidR="00BB3B2A" w:rsidRPr="001302F9" w:rsidRDefault="00B61679" w:rsidP="009B6B3B">
      <w:pPr>
        <w:pStyle w:val="ListParagraph"/>
        <w:numPr>
          <w:ilvl w:val="0"/>
          <w:numId w:val="24"/>
        </w:numPr>
        <w:spacing w:before="120" w:after="120" w:line="240" w:lineRule="auto"/>
        <w:rPr>
          <w:rFonts w:cs="Arial"/>
          <w:b/>
          <w:bCs/>
          <w:sz w:val="22"/>
          <w:szCs w:val="22"/>
          <w:lang w:val="sr-Latn-ME"/>
        </w:rPr>
      </w:pPr>
      <w:r w:rsidRPr="001302F9">
        <w:rPr>
          <w:rFonts w:cs="Arial"/>
          <w:b/>
          <w:bCs/>
          <w:sz w:val="22"/>
          <w:szCs w:val="22"/>
          <w:lang w:val="sr-Latn-ME"/>
        </w:rPr>
        <w:t>Direkcija za zaštitu finansijskih interesa EU/</w:t>
      </w:r>
      <w:r w:rsidR="00754897" w:rsidRPr="001302F9">
        <w:rPr>
          <w:rFonts w:cs="Arial"/>
          <w:b/>
          <w:bCs/>
          <w:sz w:val="22"/>
          <w:szCs w:val="22"/>
          <w:lang w:val="sr-Latn-ME"/>
        </w:rPr>
        <w:t xml:space="preserve">AFCOS </w:t>
      </w:r>
      <w:r w:rsidR="00A87DB2">
        <w:rPr>
          <w:rFonts w:cs="Arial"/>
          <w:b/>
          <w:bCs/>
          <w:sz w:val="22"/>
          <w:szCs w:val="22"/>
          <w:lang w:val="sr-Latn-ME"/>
        </w:rPr>
        <w:t>( AFCOS kancelarija)</w:t>
      </w:r>
    </w:p>
    <w:p w:rsidR="00B61679" w:rsidRPr="001302F9" w:rsidRDefault="00B61679" w:rsidP="00B61679">
      <w:pPr>
        <w:spacing w:before="120" w:after="120" w:line="240" w:lineRule="auto"/>
        <w:jc w:val="both"/>
        <w:rPr>
          <w:rFonts w:ascii="Arial" w:hAnsi="Arial" w:cs="Arial"/>
          <w:lang w:val="sr-Latn-ME"/>
        </w:rPr>
      </w:pPr>
      <w:r w:rsidRPr="001302F9">
        <w:rPr>
          <w:rFonts w:ascii="Arial" w:hAnsi="Arial" w:cs="Arial"/>
          <w:lang w:val="sr-Latn-ME"/>
        </w:rPr>
        <w:t>U skladu sa Okvirnim sporazumima, član 50., korisnik IPA II/III će odrediti AFCOS, radi omogućavanja ef</w:t>
      </w:r>
      <w:r w:rsidR="00630A71" w:rsidRPr="001302F9">
        <w:rPr>
          <w:rFonts w:ascii="Arial" w:hAnsi="Arial" w:cs="Arial"/>
          <w:lang w:val="sr-Latn-ME"/>
        </w:rPr>
        <w:t>ikasne</w:t>
      </w:r>
      <w:r w:rsidRPr="001302F9">
        <w:rPr>
          <w:rFonts w:ascii="Arial" w:hAnsi="Arial" w:cs="Arial"/>
          <w:lang w:val="sr-Latn-ME"/>
        </w:rPr>
        <w:t xml:space="preserve"> saradnje i razmjene informacija, uključujući informacije operativne prirode, sa OLAF-om. Ovu obavezu Crna Gora je ispunila tako što je AFCOS pri </w:t>
      </w:r>
      <w:r w:rsidR="00182D2F" w:rsidRPr="001302F9">
        <w:rPr>
          <w:rFonts w:ascii="Arial" w:hAnsi="Arial" w:cs="Arial"/>
          <w:lang w:val="sr-Latn-ME"/>
        </w:rPr>
        <w:t>Direktoratu</w:t>
      </w:r>
      <w:r w:rsidRPr="001302F9">
        <w:rPr>
          <w:rFonts w:ascii="Arial" w:hAnsi="Arial" w:cs="Arial"/>
          <w:lang w:val="sr-Latn-ME"/>
        </w:rPr>
        <w:t xml:space="preserve"> za inspekcij</w:t>
      </w:r>
      <w:r w:rsidR="00677E00" w:rsidRPr="001302F9">
        <w:rPr>
          <w:rFonts w:ascii="Arial" w:hAnsi="Arial" w:cs="Arial"/>
          <w:lang w:val="sr-Latn-ME"/>
        </w:rPr>
        <w:t>ski nadzor</w:t>
      </w:r>
      <w:r w:rsidRPr="001302F9">
        <w:rPr>
          <w:rFonts w:ascii="Arial" w:hAnsi="Arial" w:cs="Arial"/>
          <w:lang w:val="sr-Latn-ME"/>
        </w:rPr>
        <w:t xml:space="preserve"> i zaštitu finansijskih interesa EU odredila kao Direkciju za zaštitu finansijskih interesa EU (AFCOS) pri Ministarstvu finansija. Na taj način je ispunjena i obaveza iz člana 12a Uredbe OLAF-a.</w:t>
      </w:r>
    </w:p>
    <w:p w:rsidR="00B61679" w:rsidRPr="001302F9" w:rsidRDefault="00B61679" w:rsidP="00B61679">
      <w:pPr>
        <w:spacing w:before="120" w:after="120" w:line="240" w:lineRule="auto"/>
        <w:jc w:val="both"/>
        <w:rPr>
          <w:rFonts w:ascii="Arial" w:hAnsi="Arial" w:cs="Arial"/>
          <w:lang w:val="sr-Latn-ME"/>
        </w:rPr>
      </w:pPr>
      <w:r w:rsidRPr="001302F9">
        <w:rPr>
          <w:rFonts w:ascii="Arial" w:hAnsi="Arial" w:cs="Arial"/>
          <w:lang w:val="sr-Latn-ME"/>
        </w:rPr>
        <w:t xml:space="preserve">U pogledu svoje uloge, Direkcija za zaštitu finansijskih interesa EU/ AFCOS-a predstavlja glavnu kontakt tačku za OLAF i osigurava efikasnu saradnju između </w:t>
      </w:r>
      <w:r w:rsidR="00972709" w:rsidRPr="00EE1E09">
        <w:rPr>
          <w:rFonts w:cs="Arial"/>
          <w:lang w:val="sr-Latn-BA"/>
        </w:rPr>
        <w:t>T</w:t>
      </w:r>
      <w:r w:rsidR="00972709" w:rsidRPr="00EE1E09">
        <w:rPr>
          <w:rFonts w:ascii="Arial" w:eastAsia="Times New Roman" w:hAnsi="Arial" w:cs="Arial"/>
          <w:lang w:val="sr-Latn-BA"/>
        </w:rPr>
        <w:t xml:space="preserve">ijela sistema za upravljanje i kontrolu EU fondova </w:t>
      </w:r>
      <w:r w:rsidRPr="001302F9">
        <w:rPr>
          <w:rFonts w:ascii="Arial" w:hAnsi="Arial" w:cs="Arial"/>
          <w:lang w:val="sr-Latn-ME"/>
        </w:rPr>
        <w:t xml:space="preserve">i </w:t>
      </w:r>
      <w:r w:rsidR="00677E00" w:rsidRPr="001302F9">
        <w:rPr>
          <w:rFonts w:ascii="Arial" w:hAnsi="Arial" w:cs="Arial"/>
          <w:lang w:val="sr-Latn-ME"/>
        </w:rPr>
        <w:t>institucija</w:t>
      </w:r>
      <w:r w:rsidR="00A76A38">
        <w:rPr>
          <w:rFonts w:ascii="Arial" w:hAnsi="Arial" w:cs="Arial"/>
          <w:lang w:val="sr-Latn-ME"/>
        </w:rPr>
        <w:t xml:space="preserve"> sistema za borbu protiv prevara i drugih oblika nezakonitih aktivnosti</w:t>
      </w:r>
      <w:r w:rsidRPr="001302F9">
        <w:rPr>
          <w:rFonts w:ascii="Arial" w:hAnsi="Arial" w:cs="Arial"/>
          <w:lang w:val="sr-Latn-ME"/>
        </w:rPr>
        <w:t>, kao i razmjenu informacija, uključujući informacije sa OLAF-om.</w:t>
      </w:r>
    </w:p>
    <w:p w:rsidR="003A193D" w:rsidRPr="001302F9" w:rsidRDefault="00B61679" w:rsidP="00B61679">
      <w:pPr>
        <w:spacing w:before="120" w:after="120" w:line="240" w:lineRule="auto"/>
        <w:jc w:val="both"/>
        <w:rPr>
          <w:rFonts w:ascii="Arial" w:hAnsi="Arial" w:cs="Arial"/>
          <w:lang w:val="sr-Latn-ME"/>
        </w:rPr>
      </w:pPr>
      <w:r w:rsidRPr="001302F9">
        <w:rPr>
          <w:rFonts w:ascii="Arial" w:hAnsi="Arial" w:cs="Arial"/>
          <w:lang w:val="sr-Latn-ME"/>
        </w:rPr>
        <w:t xml:space="preserve">Glavne </w:t>
      </w:r>
      <w:r w:rsidR="00EF0024" w:rsidRPr="001302F9">
        <w:rPr>
          <w:rFonts w:ascii="Arial" w:hAnsi="Arial" w:cs="Arial"/>
          <w:lang w:val="sr-Latn-ME"/>
        </w:rPr>
        <w:t>obaveze</w:t>
      </w:r>
      <w:r w:rsidRPr="001302F9">
        <w:rPr>
          <w:rFonts w:ascii="Arial" w:hAnsi="Arial" w:cs="Arial"/>
          <w:lang w:val="sr-Latn-ME"/>
        </w:rPr>
        <w:t xml:space="preserve"> Direkcije za zaštitu finansijskih interesa EU/ AFCOS zasnovane na zahtjevima navedenim u Okvirnim sporazumima su sljedeće</w:t>
      </w:r>
      <w:r w:rsidR="00EF5BA1" w:rsidRPr="001302F9">
        <w:rPr>
          <w:rFonts w:ascii="Arial" w:hAnsi="Arial" w:cs="Arial"/>
          <w:lang w:val="sr-Latn-ME"/>
        </w:rPr>
        <w:t>:</w:t>
      </w:r>
    </w:p>
    <w:p w:rsidR="00B61679" w:rsidRPr="001302F9" w:rsidRDefault="00B61679" w:rsidP="009B6B3B">
      <w:pPr>
        <w:pStyle w:val="ListParagraph"/>
        <w:numPr>
          <w:ilvl w:val="1"/>
          <w:numId w:val="5"/>
        </w:numPr>
        <w:spacing w:before="60" w:after="60" w:line="240" w:lineRule="auto"/>
        <w:ind w:left="709" w:hanging="284"/>
        <w:contextualSpacing w:val="0"/>
        <w:rPr>
          <w:rFonts w:cs="Arial"/>
          <w:sz w:val="22"/>
          <w:szCs w:val="22"/>
          <w:lang w:val="sr-Latn-ME"/>
        </w:rPr>
      </w:pPr>
      <w:r w:rsidRPr="001302F9">
        <w:rPr>
          <w:rFonts w:cs="Arial"/>
          <w:sz w:val="22"/>
          <w:szCs w:val="22"/>
          <w:lang w:val="sr-Latn-ME"/>
        </w:rPr>
        <w:t>kreiranje strategija za zaštitu finansijskih interesa EU;</w:t>
      </w:r>
    </w:p>
    <w:p w:rsidR="00B61679" w:rsidRPr="001302F9" w:rsidRDefault="00B61679" w:rsidP="009B6B3B">
      <w:pPr>
        <w:pStyle w:val="ListParagraph"/>
        <w:numPr>
          <w:ilvl w:val="1"/>
          <w:numId w:val="5"/>
        </w:numPr>
        <w:spacing w:before="60" w:after="60" w:line="240" w:lineRule="auto"/>
        <w:ind w:left="709" w:hanging="284"/>
        <w:contextualSpacing w:val="0"/>
        <w:rPr>
          <w:rFonts w:cs="Arial"/>
          <w:sz w:val="22"/>
          <w:szCs w:val="22"/>
          <w:lang w:val="sr-Latn-ME"/>
        </w:rPr>
      </w:pPr>
      <w:r w:rsidRPr="001302F9">
        <w:rPr>
          <w:rFonts w:cs="Arial"/>
          <w:sz w:val="22"/>
          <w:szCs w:val="22"/>
          <w:lang w:val="sr-Latn-ME"/>
        </w:rPr>
        <w:t>identifi</w:t>
      </w:r>
      <w:r w:rsidR="00FF79F6" w:rsidRPr="001302F9">
        <w:rPr>
          <w:rFonts w:cs="Arial"/>
          <w:sz w:val="22"/>
          <w:szCs w:val="22"/>
          <w:lang w:val="sr-Latn-ME"/>
        </w:rPr>
        <w:t>kovanje</w:t>
      </w:r>
      <w:r w:rsidRPr="001302F9">
        <w:rPr>
          <w:rFonts w:cs="Arial"/>
          <w:sz w:val="22"/>
          <w:szCs w:val="22"/>
          <w:lang w:val="sr-Latn-ME"/>
        </w:rPr>
        <w:t xml:space="preserve"> moguć</w:t>
      </w:r>
      <w:r w:rsidR="00CE0B15" w:rsidRPr="001302F9">
        <w:rPr>
          <w:rFonts w:cs="Arial"/>
          <w:sz w:val="22"/>
          <w:szCs w:val="22"/>
          <w:lang w:val="sr-Latn-ME"/>
        </w:rPr>
        <w:t>ih</w:t>
      </w:r>
      <w:r w:rsidRPr="001302F9">
        <w:rPr>
          <w:rFonts w:cs="Arial"/>
          <w:sz w:val="22"/>
          <w:szCs w:val="22"/>
          <w:lang w:val="sr-Latn-ME"/>
        </w:rPr>
        <w:t xml:space="preserve"> slabosti u sistemima korisnika IPA II/III za upravljanje fondovima Unije, uključujući pomoć IPA II/III;</w:t>
      </w:r>
    </w:p>
    <w:p w:rsidR="003C058F" w:rsidRPr="001302F9" w:rsidRDefault="00B61679" w:rsidP="009B6B3B">
      <w:pPr>
        <w:pStyle w:val="ListParagraph"/>
        <w:numPr>
          <w:ilvl w:val="1"/>
          <w:numId w:val="5"/>
        </w:numPr>
        <w:spacing w:before="60" w:after="60" w:line="240" w:lineRule="auto"/>
        <w:ind w:left="709" w:hanging="284"/>
        <w:contextualSpacing w:val="0"/>
        <w:rPr>
          <w:rFonts w:cs="Arial"/>
          <w:sz w:val="22"/>
          <w:szCs w:val="22"/>
          <w:lang w:val="sr-Latn-ME"/>
        </w:rPr>
      </w:pPr>
      <w:r w:rsidRPr="001302F9">
        <w:rPr>
          <w:rFonts w:cs="Arial"/>
          <w:sz w:val="22"/>
          <w:szCs w:val="22"/>
          <w:lang w:val="sr-Latn-ME"/>
        </w:rPr>
        <w:t>osigura</w:t>
      </w:r>
      <w:r w:rsidR="00CE0B15" w:rsidRPr="001302F9">
        <w:rPr>
          <w:rFonts w:cs="Arial"/>
          <w:sz w:val="22"/>
          <w:szCs w:val="22"/>
          <w:lang w:val="sr-Latn-ME"/>
        </w:rPr>
        <w:t>vanje</w:t>
      </w:r>
      <w:r w:rsidRPr="001302F9">
        <w:rPr>
          <w:rFonts w:cs="Arial"/>
          <w:sz w:val="22"/>
          <w:szCs w:val="22"/>
          <w:lang w:val="sr-Latn-ME"/>
        </w:rPr>
        <w:t xml:space="preserve"> dovoljn</w:t>
      </w:r>
      <w:r w:rsidR="00CE0B15" w:rsidRPr="001302F9">
        <w:rPr>
          <w:rFonts w:cs="Arial"/>
          <w:sz w:val="22"/>
          <w:szCs w:val="22"/>
          <w:lang w:val="sr-Latn-ME"/>
        </w:rPr>
        <w:t>og</w:t>
      </w:r>
      <w:r w:rsidRPr="001302F9">
        <w:rPr>
          <w:rFonts w:cs="Arial"/>
          <w:sz w:val="22"/>
          <w:szCs w:val="22"/>
          <w:lang w:val="sr-Latn-ME"/>
        </w:rPr>
        <w:t xml:space="preserve"> kapacitet</w:t>
      </w:r>
      <w:r w:rsidR="00CE0B15" w:rsidRPr="001302F9">
        <w:rPr>
          <w:rFonts w:cs="Arial"/>
          <w:sz w:val="22"/>
          <w:szCs w:val="22"/>
          <w:lang w:val="sr-Latn-ME"/>
        </w:rPr>
        <w:t>a</w:t>
      </w:r>
      <w:r w:rsidRPr="001302F9">
        <w:rPr>
          <w:rFonts w:cs="Arial"/>
          <w:sz w:val="22"/>
          <w:szCs w:val="22"/>
          <w:lang w:val="sr-Latn-ME"/>
        </w:rPr>
        <w:t xml:space="preserve"> ljudskih resursa za ove zadatke, uključujući obuku </w:t>
      </w:r>
      <w:r w:rsidR="00796246">
        <w:rPr>
          <w:rFonts w:cs="Arial"/>
          <w:sz w:val="22"/>
          <w:szCs w:val="22"/>
          <w:lang w:val="sr-Latn-ME"/>
        </w:rPr>
        <w:t xml:space="preserve">službenika </w:t>
      </w:r>
      <w:r w:rsidRPr="001302F9">
        <w:rPr>
          <w:rFonts w:cs="Arial"/>
          <w:sz w:val="22"/>
          <w:szCs w:val="22"/>
          <w:lang w:val="sr-Latn-ME"/>
        </w:rPr>
        <w:t xml:space="preserve"> za prevenciju</w:t>
      </w:r>
      <w:r w:rsidR="00796246">
        <w:rPr>
          <w:rFonts w:cs="Arial"/>
          <w:sz w:val="22"/>
          <w:szCs w:val="22"/>
          <w:lang w:val="sr-Latn-ME"/>
        </w:rPr>
        <w:t xml:space="preserve"> nepravilnosti i</w:t>
      </w:r>
      <w:r w:rsidRPr="001302F9">
        <w:rPr>
          <w:rFonts w:cs="Arial"/>
          <w:sz w:val="22"/>
          <w:szCs w:val="22"/>
          <w:lang w:val="sr-Latn-ME"/>
        </w:rPr>
        <w:t xml:space="preserve"> prevara</w:t>
      </w:r>
      <w:r w:rsidR="003C058F" w:rsidRPr="001302F9">
        <w:rPr>
          <w:rFonts w:cs="Arial"/>
          <w:sz w:val="22"/>
          <w:szCs w:val="22"/>
          <w:lang w:val="sr-Latn-ME"/>
        </w:rPr>
        <w:t>;</w:t>
      </w:r>
    </w:p>
    <w:p w:rsidR="003C058F" w:rsidRPr="001302F9" w:rsidRDefault="003C058F" w:rsidP="009B6B3B">
      <w:pPr>
        <w:pStyle w:val="ListParagraph"/>
        <w:numPr>
          <w:ilvl w:val="1"/>
          <w:numId w:val="5"/>
        </w:numPr>
        <w:spacing w:before="60" w:after="60" w:line="240" w:lineRule="auto"/>
        <w:ind w:left="709" w:hanging="284"/>
        <w:contextualSpacing w:val="0"/>
        <w:rPr>
          <w:rFonts w:cs="Arial"/>
          <w:sz w:val="22"/>
          <w:szCs w:val="22"/>
          <w:lang w:val="sr-Latn-ME"/>
        </w:rPr>
      </w:pPr>
      <w:r w:rsidRPr="001302F9">
        <w:rPr>
          <w:rFonts w:cs="Arial"/>
          <w:sz w:val="22"/>
          <w:szCs w:val="22"/>
          <w:lang w:val="sr-Latn-ME"/>
        </w:rPr>
        <w:tab/>
      </w:r>
      <w:r w:rsidR="00B61679" w:rsidRPr="001302F9">
        <w:rPr>
          <w:rFonts w:cs="Arial"/>
          <w:sz w:val="22"/>
          <w:szCs w:val="22"/>
          <w:lang w:val="sr-Latn-ME"/>
        </w:rPr>
        <w:t>podržava</w:t>
      </w:r>
      <w:r w:rsidR="00CE0B15" w:rsidRPr="001302F9">
        <w:rPr>
          <w:rFonts w:cs="Arial"/>
          <w:sz w:val="22"/>
          <w:szCs w:val="22"/>
          <w:lang w:val="sr-Latn-ME"/>
        </w:rPr>
        <w:t>nje</w:t>
      </w:r>
      <w:r w:rsidR="00B61679" w:rsidRPr="001302F9">
        <w:rPr>
          <w:rFonts w:cs="Arial"/>
          <w:sz w:val="22"/>
          <w:szCs w:val="22"/>
          <w:lang w:val="sr-Latn-ME"/>
        </w:rPr>
        <w:t xml:space="preserve"> saradnj</w:t>
      </w:r>
      <w:r w:rsidR="00CE0B15" w:rsidRPr="001302F9">
        <w:rPr>
          <w:rFonts w:cs="Arial"/>
          <w:sz w:val="22"/>
          <w:szCs w:val="22"/>
          <w:lang w:val="sr-Latn-ME"/>
        </w:rPr>
        <w:t>e</w:t>
      </w:r>
      <w:r w:rsidR="00B61679" w:rsidRPr="001302F9">
        <w:rPr>
          <w:rFonts w:cs="Arial"/>
          <w:sz w:val="22"/>
          <w:szCs w:val="22"/>
          <w:lang w:val="sr-Latn-ME"/>
        </w:rPr>
        <w:t xml:space="preserve"> između administracija korisnika IPA II/III, organa gonjenja i OLAF-a;</w:t>
      </w:r>
    </w:p>
    <w:p w:rsidR="003C058F" w:rsidRPr="001302F9" w:rsidRDefault="00B61679" w:rsidP="009B6B3B">
      <w:pPr>
        <w:pStyle w:val="ListParagraph"/>
        <w:numPr>
          <w:ilvl w:val="1"/>
          <w:numId w:val="5"/>
        </w:numPr>
        <w:spacing w:before="60" w:after="60" w:line="240" w:lineRule="auto"/>
        <w:ind w:left="709" w:hanging="284"/>
        <w:contextualSpacing w:val="0"/>
        <w:rPr>
          <w:rFonts w:cs="Arial"/>
          <w:sz w:val="22"/>
          <w:szCs w:val="22"/>
          <w:lang w:val="sr-Latn-ME"/>
        </w:rPr>
      </w:pPr>
      <w:r w:rsidRPr="001302F9">
        <w:rPr>
          <w:rFonts w:cs="Arial"/>
          <w:sz w:val="22"/>
          <w:szCs w:val="22"/>
          <w:lang w:val="sr-Latn-ME"/>
        </w:rPr>
        <w:t>dijel</w:t>
      </w:r>
      <w:r w:rsidR="00CE0B15" w:rsidRPr="001302F9">
        <w:rPr>
          <w:rFonts w:cs="Arial"/>
          <w:sz w:val="22"/>
          <w:szCs w:val="22"/>
          <w:lang w:val="sr-Latn-ME"/>
        </w:rPr>
        <w:t>jenje</w:t>
      </w:r>
      <w:r w:rsidRPr="001302F9">
        <w:rPr>
          <w:rFonts w:cs="Arial"/>
          <w:sz w:val="22"/>
          <w:szCs w:val="22"/>
          <w:lang w:val="sr-Latn-ME"/>
        </w:rPr>
        <w:t xml:space="preserve"> informacij</w:t>
      </w:r>
      <w:r w:rsidR="00CE0B15" w:rsidRPr="001302F9">
        <w:rPr>
          <w:rFonts w:cs="Arial"/>
          <w:sz w:val="22"/>
          <w:szCs w:val="22"/>
          <w:lang w:val="sr-Latn-ME"/>
        </w:rPr>
        <w:t>a</w:t>
      </w:r>
      <w:r w:rsidRPr="001302F9">
        <w:rPr>
          <w:rFonts w:cs="Arial"/>
          <w:sz w:val="22"/>
          <w:szCs w:val="22"/>
          <w:lang w:val="sr-Latn-ME"/>
        </w:rPr>
        <w:t xml:space="preserve"> o nepravilnostima i slučajevima sumnje na prevaru, uključujući one identifikovane u revizijama i provjerama koje vrše Revizorsko tijelo, službe interne revizije, upravljačka struktura, upravljačka tijela i posrednička tijela, sa administracijom korisnika IPA II/III i OLAF-om;</w:t>
      </w:r>
    </w:p>
    <w:p w:rsidR="00515401" w:rsidRPr="001302F9" w:rsidRDefault="007F5872" w:rsidP="009B6B3B">
      <w:pPr>
        <w:pStyle w:val="ListParagraph"/>
        <w:numPr>
          <w:ilvl w:val="1"/>
          <w:numId w:val="5"/>
        </w:numPr>
        <w:spacing w:before="60" w:after="60" w:line="240" w:lineRule="auto"/>
        <w:ind w:left="709" w:hanging="284"/>
        <w:contextualSpacing w:val="0"/>
        <w:rPr>
          <w:rFonts w:cs="Arial"/>
          <w:sz w:val="22"/>
          <w:szCs w:val="22"/>
          <w:lang w:val="sr-Latn-ME"/>
        </w:rPr>
      </w:pPr>
      <w:r w:rsidRPr="001302F9">
        <w:rPr>
          <w:rFonts w:cs="Arial"/>
          <w:sz w:val="22"/>
          <w:szCs w:val="22"/>
          <w:lang w:val="sr-Latn-ME"/>
        </w:rPr>
        <w:t>osigura</w:t>
      </w:r>
      <w:r w:rsidR="00CE0B15" w:rsidRPr="001302F9">
        <w:rPr>
          <w:rFonts w:cs="Arial"/>
          <w:sz w:val="22"/>
          <w:szCs w:val="22"/>
          <w:lang w:val="sr-Latn-ME"/>
        </w:rPr>
        <w:t>vanje</w:t>
      </w:r>
      <w:r w:rsidRPr="001302F9">
        <w:rPr>
          <w:rFonts w:cs="Arial"/>
          <w:sz w:val="22"/>
          <w:szCs w:val="22"/>
          <w:lang w:val="sr-Latn-ME"/>
        </w:rPr>
        <w:t xml:space="preserve"> ispunjenj</w:t>
      </w:r>
      <w:r w:rsidR="00CE0B15" w:rsidRPr="001302F9">
        <w:rPr>
          <w:rFonts w:cs="Arial"/>
          <w:sz w:val="22"/>
          <w:szCs w:val="22"/>
          <w:lang w:val="sr-Latn-ME"/>
        </w:rPr>
        <w:t>a</w:t>
      </w:r>
      <w:r w:rsidRPr="001302F9">
        <w:rPr>
          <w:rFonts w:cs="Arial"/>
          <w:sz w:val="22"/>
          <w:szCs w:val="22"/>
          <w:lang w:val="sr-Latn-ME"/>
        </w:rPr>
        <w:t xml:space="preserve"> svih obaveza iz Uredbe (EC, Euratom) br. 883/2013 Evropskog parlamenta i </w:t>
      </w:r>
      <w:r w:rsidR="00A97704" w:rsidRPr="001302F9">
        <w:rPr>
          <w:rFonts w:cs="Arial"/>
          <w:sz w:val="22"/>
          <w:szCs w:val="22"/>
          <w:lang w:val="sr-Latn-ME"/>
        </w:rPr>
        <w:t>Savjet</w:t>
      </w:r>
      <w:r w:rsidRPr="001302F9">
        <w:rPr>
          <w:rFonts w:cs="Arial"/>
          <w:sz w:val="22"/>
          <w:szCs w:val="22"/>
          <w:lang w:val="sr-Latn-ME"/>
        </w:rPr>
        <w:t xml:space="preserve">a, Uredbe </w:t>
      </w:r>
      <w:r w:rsidR="00A97704" w:rsidRPr="001302F9">
        <w:rPr>
          <w:rFonts w:cs="Arial"/>
          <w:sz w:val="22"/>
          <w:szCs w:val="22"/>
          <w:lang w:val="sr-Latn-ME"/>
        </w:rPr>
        <w:t>Savjeta</w:t>
      </w:r>
      <w:r w:rsidRPr="001302F9">
        <w:rPr>
          <w:rFonts w:cs="Arial"/>
          <w:sz w:val="22"/>
          <w:szCs w:val="22"/>
          <w:lang w:val="sr-Latn-ME"/>
        </w:rPr>
        <w:t xml:space="preserve"> (Euratom, EC) br. 2988/1995 i Uredbe </w:t>
      </w:r>
      <w:r w:rsidR="00A97704" w:rsidRPr="001302F9">
        <w:rPr>
          <w:rFonts w:cs="Arial"/>
          <w:sz w:val="22"/>
          <w:szCs w:val="22"/>
          <w:lang w:val="sr-Latn-ME"/>
        </w:rPr>
        <w:t>Savjet</w:t>
      </w:r>
      <w:r w:rsidRPr="001302F9">
        <w:rPr>
          <w:rFonts w:cs="Arial"/>
          <w:sz w:val="22"/>
          <w:szCs w:val="22"/>
          <w:lang w:val="sr-Latn-ME"/>
        </w:rPr>
        <w:t>a (EC, Euratom) br. 2185/1996</w:t>
      </w:r>
      <w:r w:rsidR="003C058F" w:rsidRPr="001302F9">
        <w:rPr>
          <w:rFonts w:cs="Arial"/>
          <w:sz w:val="22"/>
          <w:szCs w:val="22"/>
          <w:lang w:val="sr-Latn-ME"/>
        </w:rPr>
        <w:t>.</w:t>
      </w:r>
    </w:p>
    <w:p w:rsidR="007F5872" w:rsidRPr="001302F9" w:rsidRDefault="007F5872" w:rsidP="007F5872">
      <w:pPr>
        <w:pStyle w:val="ListParagraph"/>
        <w:spacing w:before="60" w:after="60" w:line="240" w:lineRule="auto"/>
        <w:ind w:left="709"/>
        <w:contextualSpacing w:val="0"/>
        <w:rPr>
          <w:rFonts w:cs="Arial"/>
          <w:sz w:val="22"/>
          <w:szCs w:val="22"/>
          <w:lang w:val="sr-Latn-ME"/>
        </w:rPr>
      </w:pPr>
    </w:p>
    <w:p w:rsidR="006F5625" w:rsidRPr="001302F9" w:rsidRDefault="006F5625" w:rsidP="009B6B3B">
      <w:pPr>
        <w:pStyle w:val="Heading3"/>
        <w:numPr>
          <w:ilvl w:val="1"/>
          <w:numId w:val="10"/>
        </w:numPr>
        <w:spacing w:before="120" w:after="120"/>
        <w:ind w:left="993" w:hanging="633"/>
        <w:rPr>
          <w:rFonts w:ascii="Arial" w:hAnsi="Arial" w:cs="Arial"/>
          <w:sz w:val="22"/>
          <w:szCs w:val="22"/>
          <w:lang w:val="sr-Latn-ME"/>
        </w:rPr>
      </w:pPr>
      <w:bookmarkStart w:id="7" w:name="_Toc191824742"/>
      <w:r w:rsidRPr="001302F9">
        <w:rPr>
          <w:rFonts w:ascii="Arial" w:hAnsi="Arial" w:cs="Arial"/>
          <w:sz w:val="22"/>
          <w:szCs w:val="22"/>
          <w:lang w:val="sr-Latn-ME"/>
        </w:rPr>
        <w:t>Metodolog</w:t>
      </w:r>
      <w:bookmarkEnd w:id="7"/>
      <w:r w:rsidR="00005851" w:rsidRPr="001302F9">
        <w:rPr>
          <w:rFonts w:ascii="Arial" w:hAnsi="Arial" w:cs="Arial"/>
          <w:sz w:val="22"/>
          <w:szCs w:val="22"/>
          <w:lang w:val="sr-Latn-ME"/>
        </w:rPr>
        <w:t>ija</w:t>
      </w:r>
    </w:p>
    <w:p w:rsidR="007F5872" w:rsidRPr="001302F9" w:rsidRDefault="007F5872" w:rsidP="007F5872">
      <w:pPr>
        <w:jc w:val="both"/>
        <w:rPr>
          <w:rFonts w:ascii="Arial" w:hAnsi="Arial" w:cs="Arial"/>
          <w:lang w:val="sr-Latn-ME" w:eastAsia="x-none"/>
        </w:rPr>
      </w:pPr>
      <w:r w:rsidRPr="001302F9">
        <w:rPr>
          <w:rFonts w:ascii="Arial" w:hAnsi="Arial" w:cs="Arial"/>
          <w:lang w:val="sr-Latn-ME" w:eastAsia="x-none"/>
        </w:rPr>
        <w:t>Ovaj nov</w:t>
      </w:r>
      <w:r w:rsidR="00CE0B15" w:rsidRPr="001302F9">
        <w:rPr>
          <w:rFonts w:ascii="Arial" w:hAnsi="Arial" w:cs="Arial"/>
          <w:lang w:val="sr-Latn-ME" w:eastAsia="x-none"/>
        </w:rPr>
        <w:t xml:space="preserve">a </w:t>
      </w:r>
      <w:r w:rsidRPr="001302F9">
        <w:rPr>
          <w:rFonts w:ascii="Arial" w:hAnsi="Arial" w:cs="Arial"/>
          <w:lang w:val="sr-Latn-ME" w:eastAsia="x-none"/>
        </w:rPr>
        <w:t>S</w:t>
      </w:r>
      <w:r w:rsidR="00CE0B15" w:rsidRPr="001302F9">
        <w:rPr>
          <w:rFonts w:ascii="Arial" w:hAnsi="Arial" w:cs="Arial"/>
          <w:lang w:val="sr-Latn-ME" w:eastAsia="x-none"/>
        </w:rPr>
        <w:t>trategija</w:t>
      </w:r>
      <w:r w:rsidRPr="001302F9">
        <w:rPr>
          <w:rFonts w:ascii="Arial" w:hAnsi="Arial" w:cs="Arial"/>
          <w:lang w:val="sr-Latn-ME" w:eastAsia="x-none"/>
        </w:rPr>
        <w:t xml:space="preserve"> za period 2025-2028. izrađen</w:t>
      </w:r>
      <w:r w:rsidR="00CE0B15" w:rsidRPr="001302F9">
        <w:rPr>
          <w:rFonts w:ascii="Arial" w:hAnsi="Arial" w:cs="Arial"/>
          <w:lang w:val="sr-Latn-ME" w:eastAsia="x-none"/>
        </w:rPr>
        <w:t>a</w:t>
      </w:r>
      <w:r w:rsidRPr="001302F9">
        <w:rPr>
          <w:rFonts w:ascii="Arial" w:hAnsi="Arial" w:cs="Arial"/>
          <w:lang w:val="sr-Latn-ME" w:eastAsia="x-none"/>
        </w:rPr>
        <w:t xml:space="preserve"> je u skladu sa „Metodologijom za izradu politika, izradu i praćenje sprovođenja strateških dokumenata” i „Sm</w:t>
      </w:r>
      <w:r w:rsidR="00391C42" w:rsidRPr="001302F9">
        <w:rPr>
          <w:rFonts w:ascii="Arial" w:hAnsi="Arial" w:cs="Arial"/>
          <w:lang w:val="sr-Latn-ME" w:eastAsia="x-none"/>
        </w:rPr>
        <w:t>j</w:t>
      </w:r>
      <w:r w:rsidRPr="001302F9">
        <w:rPr>
          <w:rFonts w:ascii="Arial" w:hAnsi="Arial" w:cs="Arial"/>
          <w:lang w:val="sr-Latn-ME" w:eastAsia="x-none"/>
        </w:rPr>
        <w:t>ernicama za pripremu strateških dokumenata” Generalnog sekretarijata Vlade, kao i „Sm</w:t>
      </w:r>
      <w:r w:rsidR="00391C42" w:rsidRPr="001302F9">
        <w:rPr>
          <w:rFonts w:ascii="Arial" w:hAnsi="Arial" w:cs="Arial"/>
          <w:lang w:val="sr-Latn-ME" w:eastAsia="x-none"/>
        </w:rPr>
        <w:t>j</w:t>
      </w:r>
      <w:r w:rsidRPr="001302F9">
        <w:rPr>
          <w:rFonts w:ascii="Arial" w:hAnsi="Arial" w:cs="Arial"/>
          <w:lang w:val="sr-Latn-ME" w:eastAsia="x-none"/>
        </w:rPr>
        <w:t>ernicama za izradu nacionalnih strategija za suzbijanje prevara na nacionalnom nivou” i „Sm</w:t>
      </w:r>
      <w:r w:rsidR="00391C42" w:rsidRPr="001302F9">
        <w:rPr>
          <w:rFonts w:ascii="Arial" w:hAnsi="Arial" w:cs="Arial"/>
          <w:lang w:val="sr-Latn-ME" w:eastAsia="x-none"/>
        </w:rPr>
        <w:t>j</w:t>
      </w:r>
      <w:r w:rsidRPr="001302F9">
        <w:rPr>
          <w:rFonts w:ascii="Arial" w:hAnsi="Arial" w:cs="Arial"/>
          <w:lang w:val="sr-Latn-ME" w:eastAsia="x-none"/>
        </w:rPr>
        <w:t>ernicama za borbu protiv prevara Nacionalne strategije” OLAF-a.</w:t>
      </w:r>
    </w:p>
    <w:p w:rsidR="002156CF" w:rsidRPr="001302F9" w:rsidRDefault="002156CF" w:rsidP="009B6B3B">
      <w:pPr>
        <w:pStyle w:val="Heading3"/>
        <w:numPr>
          <w:ilvl w:val="1"/>
          <w:numId w:val="10"/>
        </w:numPr>
        <w:spacing w:before="120" w:after="120"/>
        <w:ind w:left="993" w:hanging="633"/>
        <w:rPr>
          <w:rFonts w:ascii="Arial" w:hAnsi="Arial" w:cs="Arial"/>
          <w:sz w:val="22"/>
          <w:szCs w:val="22"/>
          <w:lang w:val="sr-Latn-ME"/>
        </w:rPr>
      </w:pPr>
      <w:bookmarkStart w:id="8" w:name="_Toc191824743"/>
      <w:r w:rsidRPr="001302F9">
        <w:rPr>
          <w:rFonts w:ascii="Arial" w:hAnsi="Arial" w:cs="Arial"/>
          <w:sz w:val="22"/>
          <w:szCs w:val="22"/>
          <w:lang w:val="sr-Latn-ME"/>
        </w:rPr>
        <w:t>Gender mainstreaming</w:t>
      </w:r>
      <w:bookmarkEnd w:id="8"/>
    </w:p>
    <w:p w:rsidR="002156CF" w:rsidRPr="001302F9" w:rsidRDefault="007F5872" w:rsidP="00EE65EF">
      <w:pPr>
        <w:spacing w:before="120" w:after="120" w:line="240" w:lineRule="auto"/>
        <w:jc w:val="both"/>
        <w:rPr>
          <w:rFonts w:ascii="Arial" w:hAnsi="Arial" w:cs="Arial"/>
          <w:lang w:val="sr-Latn-ME"/>
        </w:rPr>
      </w:pPr>
      <w:r w:rsidRPr="001302F9">
        <w:rPr>
          <w:rFonts w:ascii="Arial" w:hAnsi="Arial" w:cs="Arial"/>
          <w:lang w:val="sr-Latn-ME"/>
        </w:rPr>
        <w:t>Gender Mainstreaming je globalno prihvaćena strategija za promovi</w:t>
      </w:r>
      <w:r w:rsidR="007F3FFF" w:rsidRPr="001302F9">
        <w:rPr>
          <w:rFonts w:ascii="Arial" w:hAnsi="Arial" w:cs="Arial"/>
          <w:lang w:val="sr-Latn-ME"/>
        </w:rPr>
        <w:t>s</w:t>
      </w:r>
      <w:r w:rsidRPr="001302F9">
        <w:rPr>
          <w:rFonts w:ascii="Arial" w:hAnsi="Arial" w:cs="Arial"/>
          <w:lang w:val="sr-Latn-ME"/>
        </w:rPr>
        <w:t xml:space="preserve">anje rodne ravnopravnosti. Integracija je pristup i alat za postizanje cilja rodne ravnopravnosti. U Crnoj Gori je usvojen Zakon o rodnoj ravnopravnosti koji zahtijeva da svi nacionalni strateški dokumenti uzmu u obzir aspekte rodne ravnopravnosti. U okviru ovog koncepta osigurano je da se dužna pažnja posveti rodnoj ravnopravnosti prilikom definisanja mjera i aktivnosti uključenih u </w:t>
      </w:r>
      <w:r w:rsidR="00CE0B15" w:rsidRPr="001302F9">
        <w:rPr>
          <w:rFonts w:ascii="Arial" w:hAnsi="Arial" w:cs="Arial"/>
          <w:lang w:val="sr-Latn-ME"/>
        </w:rPr>
        <w:t>Strategiju</w:t>
      </w:r>
      <w:r w:rsidRPr="001302F9">
        <w:rPr>
          <w:rFonts w:ascii="Arial" w:hAnsi="Arial" w:cs="Arial"/>
          <w:lang w:val="sr-Latn-ME"/>
        </w:rPr>
        <w:t xml:space="preserve"> i Akcioni plan. U skladu sa Zakonom o rodnoj ravnopravnosti, član 13a treba koristiti pri prevođenju ove S</w:t>
      </w:r>
      <w:r w:rsidR="00BC0878" w:rsidRPr="001302F9">
        <w:rPr>
          <w:rFonts w:ascii="Arial" w:hAnsi="Arial" w:cs="Arial"/>
          <w:lang w:val="sr-Latn-ME"/>
        </w:rPr>
        <w:t>trategije</w:t>
      </w:r>
      <w:r w:rsidRPr="001302F9">
        <w:rPr>
          <w:rFonts w:ascii="Arial" w:hAnsi="Arial" w:cs="Arial"/>
          <w:lang w:val="sr-Latn-ME"/>
        </w:rPr>
        <w:t xml:space="preserve"> na crnogorski rodno osjetljiv jezik</w:t>
      </w:r>
      <w:r w:rsidR="002156CF" w:rsidRPr="001302F9">
        <w:rPr>
          <w:rFonts w:ascii="Arial" w:hAnsi="Arial" w:cs="Arial"/>
          <w:lang w:val="sr-Latn-ME"/>
        </w:rPr>
        <w:t xml:space="preserve">. </w:t>
      </w:r>
    </w:p>
    <w:p w:rsidR="00CE0B15" w:rsidRPr="001302F9" w:rsidRDefault="00CE0B15" w:rsidP="00EE65EF">
      <w:pPr>
        <w:spacing w:before="120" w:after="120" w:line="240" w:lineRule="auto"/>
        <w:jc w:val="both"/>
        <w:rPr>
          <w:rFonts w:ascii="Arial" w:hAnsi="Arial" w:cs="Arial"/>
          <w:lang w:val="sr-Latn-ME"/>
        </w:rPr>
      </w:pPr>
    </w:p>
    <w:p w:rsidR="00E337AC" w:rsidRPr="001302F9" w:rsidRDefault="007F3FFF" w:rsidP="009B6B3B">
      <w:pPr>
        <w:pStyle w:val="Heading1"/>
        <w:numPr>
          <w:ilvl w:val="0"/>
          <w:numId w:val="10"/>
        </w:numPr>
        <w:spacing w:before="120" w:after="120" w:line="240" w:lineRule="auto"/>
        <w:rPr>
          <w:rFonts w:ascii="Arial" w:hAnsi="Arial" w:cs="Arial"/>
          <w:sz w:val="22"/>
          <w:szCs w:val="22"/>
          <w:lang w:val="sr-Latn-ME"/>
        </w:rPr>
      </w:pPr>
      <w:r w:rsidRPr="001302F9">
        <w:rPr>
          <w:rFonts w:ascii="Arial" w:hAnsi="Arial" w:cs="Arial"/>
          <w:sz w:val="22"/>
          <w:szCs w:val="22"/>
          <w:lang w:val="sr-Latn-ME"/>
        </w:rPr>
        <w:t xml:space="preserve">TRENUTNO STANJE </w:t>
      </w:r>
    </w:p>
    <w:p w:rsidR="00573FDB" w:rsidRPr="001302F9" w:rsidRDefault="003A68B7" w:rsidP="004C07B1">
      <w:pPr>
        <w:spacing w:before="120" w:after="120" w:line="240" w:lineRule="auto"/>
        <w:jc w:val="both"/>
        <w:rPr>
          <w:rFonts w:ascii="Arial" w:hAnsi="Arial" w:cs="Arial"/>
          <w:lang w:val="sr-Latn-ME"/>
        </w:rPr>
      </w:pPr>
      <w:bookmarkStart w:id="9" w:name="_Toc377112821"/>
      <w:r w:rsidRPr="001302F9">
        <w:rPr>
          <w:rFonts w:ascii="Arial" w:hAnsi="Arial" w:cs="Arial"/>
          <w:lang w:val="sr-Latn-ME"/>
        </w:rPr>
        <w:t xml:space="preserve">Ovo poglavlje obuhvata trenutno stanje u oblasti zaštite finansijskih interesa EU u Crnoj Gori u trenutku izrade </w:t>
      </w:r>
      <w:r w:rsidR="00716ECF" w:rsidRPr="001302F9">
        <w:rPr>
          <w:rFonts w:ascii="Arial" w:hAnsi="Arial" w:cs="Arial"/>
          <w:lang w:val="sr-Latn-ME"/>
        </w:rPr>
        <w:t>Strategije</w:t>
      </w:r>
      <w:r w:rsidRPr="001302F9">
        <w:rPr>
          <w:rFonts w:ascii="Arial" w:hAnsi="Arial" w:cs="Arial"/>
          <w:lang w:val="sr-Latn-ME"/>
        </w:rPr>
        <w:t xml:space="preserve">. Obuhvata pregled ključnih postignuća iz implementacije prethodne strategije, glavne zaključke iz izvještaja o naknadnoj evaluaciji prethodne strategije (Strategija 2019 – 2022) i pregled analize rizika od prevare koju je pripremila </w:t>
      </w:r>
      <w:r w:rsidR="00716ECF" w:rsidRPr="001302F9">
        <w:rPr>
          <w:rFonts w:ascii="Arial" w:hAnsi="Arial" w:cs="Arial"/>
          <w:lang w:val="sr-Latn-ME"/>
        </w:rPr>
        <w:t>Direkcija za zaštitu finansijskih interesa EU/AFCOS</w:t>
      </w:r>
      <w:r w:rsidRPr="001302F9">
        <w:rPr>
          <w:rFonts w:ascii="Arial" w:hAnsi="Arial" w:cs="Arial"/>
          <w:lang w:val="sr-Latn-ME"/>
        </w:rPr>
        <w:t xml:space="preserve"> kako bi se identifikovala područja koja zahtijevaju dodatnu pažnju i korektivne mjere. Ovo poglavlje sadrži i zaključke iz PESTLE i SWOT analize. Nakon toga</w:t>
      </w:r>
      <w:r w:rsidR="00716ECF" w:rsidRPr="001302F9">
        <w:rPr>
          <w:rFonts w:ascii="Arial" w:hAnsi="Arial" w:cs="Arial"/>
          <w:lang w:val="sr-Latn-ME"/>
        </w:rPr>
        <w:t>,</w:t>
      </w:r>
      <w:r w:rsidRPr="001302F9">
        <w:rPr>
          <w:rFonts w:ascii="Arial" w:hAnsi="Arial" w:cs="Arial"/>
          <w:lang w:val="sr-Latn-ME"/>
        </w:rPr>
        <w:t xml:space="preserve"> analiza obuhvata čitav ciklus borbe protiv prevara i pod</w:t>
      </w:r>
      <w:r w:rsidR="00716ECF" w:rsidRPr="001302F9">
        <w:rPr>
          <w:rFonts w:ascii="Arial" w:hAnsi="Arial" w:cs="Arial"/>
          <w:lang w:val="sr-Latn-ME"/>
        </w:rPr>
        <w:t>ij</w:t>
      </w:r>
      <w:r w:rsidRPr="001302F9">
        <w:rPr>
          <w:rFonts w:ascii="Arial" w:hAnsi="Arial" w:cs="Arial"/>
          <w:lang w:val="sr-Latn-ME"/>
        </w:rPr>
        <w:t>eljena je na njegove glavne komponente definisane Sm</w:t>
      </w:r>
      <w:r w:rsidR="00716ECF" w:rsidRPr="001302F9">
        <w:rPr>
          <w:rFonts w:ascii="Arial" w:hAnsi="Arial" w:cs="Arial"/>
          <w:lang w:val="sr-Latn-ME"/>
        </w:rPr>
        <w:t>j</w:t>
      </w:r>
      <w:r w:rsidRPr="001302F9">
        <w:rPr>
          <w:rFonts w:ascii="Arial" w:hAnsi="Arial" w:cs="Arial"/>
          <w:lang w:val="sr-Latn-ME"/>
        </w:rPr>
        <w:t xml:space="preserve">ernicama EK o nacionalnim strategijama za borbu protiv prevara – prevencija, otkrivanje, istraga i krivično gonjenje, </w:t>
      </w:r>
      <w:r w:rsidR="00A50C33" w:rsidRPr="001302F9">
        <w:rPr>
          <w:rFonts w:ascii="Arial" w:hAnsi="Arial" w:cs="Arial"/>
          <w:lang w:val="sr-Latn-ME"/>
        </w:rPr>
        <w:t>povraćaj</w:t>
      </w:r>
      <w:r w:rsidRPr="001302F9">
        <w:rPr>
          <w:rFonts w:ascii="Arial" w:hAnsi="Arial" w:cs="Arial"/>
          <w:lang w:val="sr-Latn-ME"/>
        </w:rPr>
        <w:t xml:space="preserve"> i sankcije. Konačno, urađena je analiza zainteresovanih strana i n</w:t>
      </w:r>
      <w:r w:rsidR="00317D93">
        <w:rPr>
          <w:rFonts w:ascii="Arial" w:hAnsi="Arial" w:cs="Arial"/>
          <w:lang w:val="sr-Latn-ME"/>
        </w:rPr>
        <w:t>aglašena je</w:t>
      </w:r>
      <w:r w:rsidRPr="001302F9">
        <w:rPr>
          <w:rFonts w:ascii="Arial" w:hAnsi="Arial" w:cs="Arial"/>
          <w:lang w:val="sr-Latn-ME"/>
        </w:rPr>
        <w:t xml:space="preserve"> važnost koordinacije i saradnje unutar </w:t>
      </w:r>
      <w:r w:rsidR="008C0B72" w:rsidRPr="001302F9">
        <w:rPr>
          <w:rFonts w:ascii="Arial" w:hAnsi="Arial" w:cs="Arial"/>
          <w:lang w:val="sr-Latn-ME"/>
        </w:rPr>
        <w:t>čitavog</w:t>
      </w:r>
      <w:r w:rsidRPr="001302F9">
        <w:rPr>
          <w:rFonts w:ascii="Arial" w:hAnsi="Arial" w:cs="Arial"/>
          <w:lang w:val="sr-Latn-ME"/>
        </w:rPr>
        <w:t xml:space="preserve"> AFCOS </w:t>
      </w:r>
      <w:r w:rsidR="008C0B72" w:rsidRPr="001302F9">
        <w:rPr>
          <w:rFonts w:ascii="Arial" w:hAnsi="Arial" w:cs="Arial"/>
          <w:lang w:val="sr-Latn-ME"/>
        </w:rPr>
        <w:t>sistema</w:t>
      </w:r>
      <w:r w:rsidR="00916B05" w:rsidRPr="001302F9">
        <w:rPr>
          <w:rFonts w:ascii="Arial" w:hAnsi="Arial" w:cs="Arial"/>
          <w:lang w:val="sr-Latn-ME"/>
        </w:rPr>
        <w:t>.</w:t>
      </w:r>
    </w:p>
    <w:p w:rsidR="00E109D1" w:rsidRPr="001302F9" w:rsidRDefault="003A68B7" w:rsidP="009B6B3B">
      <w:pPr>
        <w:pStyle w:val="Heading3"/>
        <w:numPr>
          <w:ilvl w:val="1"/>
          <w:numId w:val="12"/>
        </w:numPr>
        <w:spacing w:before="120" w:after="120"/>
        <w:jc w:val="both"/>
        <w:rPr>
          <w:rFonts w:ascii="Arial" w:hAnsi="Arial" w:cs="Arial"/>
          <w:sz w:val="22"/>
          <w:szCs w:val="22"/>
          <w:lang w:val="sr-Latn-ME"/>
        </w:rPr>
      </w:pPr>
      <w:bookmarkStart w:id="10" w:name="_Toc191824745"/>
      <w:bookmarkStart w:id="11" w:name="_Hlk194406519"/>
      <w:r w:rsidRPr="001302F9">
        <w:rPr>
          <w:rFonts w:ascii="Arial" w:hAnsi="Arial" w:cs="Arial"/>
          <w:sz w:val="22"/>
          <w:szCs w:val="22"/>
          <w:lang w:val="sr-Latn-ME"/>
        </w:rPr>
        <w:t>Dostignuća i izazovi implementacije Strategije za borbu protiv prevara i upravljanja nepravilnostima za zaštitu finansijskih interesa EU 2019 – 2022.</w:t>
      </w:r>
      <w:bookmarkEnd w:id="10"/>
    </w:p>
    <w:bookmarkEnd w:id="11"/>
    <w:p w:rsidR="003A68B7" w:rsidRPr="001302F9" w:rsidRDefault="003A68B7" w:rsidP="003A68B7">
      <w:pPr>
        <w:spacing w:before="120" w:after="120" w:line="240" w:lineRule="auto"/>
        <w:jc w:val="both"/>
        <w:rPr>
          <w:rFonts w:ascii="Arial" w:hAnsi="Arial" w:cs="Arial"/>
          <w:highlight w:val="yellow"/>
          <w:lang w:val="sr-Latn-ME" w:eastAsia="x-none"/>
        </w:rPr>
      </w:pPr>
      <w:r w:rsidRPr="001302F9">
        <w:rPr>
          <w:rFonts w:ascii="Arial" w:hAnsi="Arial" w:cs="Arial"/>
          <w:lang w:val="sr-Latn-ME" w:eastAsia="x-none"/>
        </w:rPr>
        <w:t xml:space="preserve">U 2023. godini izvršena je eksterna ex-post evaluacija implementacije Strategije 2019 – 2022. Glavni zaključci ex-post evaluacije uključuju pregled postignuća i uspjeha u implementaciji Strategije 2019-2022, kao i osvrt na izazove sa kojima se suočavaju tokom pojedinih faza implementacije navedene strategije. </w:t>
      </w:r>
      <w:r w:rsidR="008C0B72" w:rsidRPr="001302F9">
        <w:rPr>
          <w:rFonts w:ascii="Arial" w:hAnsi="Arial" w:cs="Arial"/>
          <w:lang w:val="sr-Latn-ME" w:eastAsia="x-none"/>
        </w:rPr>
        <w:t>Dodatno</w:t>
      </w:r>
      <w:r w:rsidRPr="001302F9">
        <w:rPr>
          <w:rFonts w:ascii="Arial" w:hAnsi="Arial" w:cs="Arial"/>
          <w:lang w:val="sr-Latn-ME" w:eastAsia="x-none"/>
        </w:rPr>
        <w:t>, navod</w:t>
      </w:r>
      <w:r w:rsidR="008C0B72" w:rsidRPr="001302F9">
        <w:rPr>
          <w:rFonts w:ascii="Arial" w:hAnsi="Arial" w:cs="Arial"/>
          <w:lang w:val="sr-Latn-ME" w:eastAsia="x-none"/>
        </w:rPr>
        <w:t>e</w:t>
      </w:r>
      <w:r w:rsidRPr="001302F9">
        <w:rPr>
          <w:rFonts w:ascii="Arial" w:hAnsi="Arial" w:cs="Arial"/>
          <w:lang w:val="sr-Latn-ME" w:eastAsia="x-none"/>
        </w:rPr>
        <w:t xml:space="preserve"> se preporuke koje treba uzeti u obzir prilikom razvoja </w:t>
      </w:r>
      <w:r w:rsidR="008C0B72" w:rsidRPr="001302F9">
        <w:rPr>
          <w:rFonts w:ascii="Arial" w:hAnsi="Arial" w:cs="Arial"/>
          <w:lang w:val="sr-Latn-ME" w:eastAsia="x-none"/>
        </w:rPr>
        <w:t>nove Strategije</w:t>
      </w:r>
      <w:r w:rsidRPr="001302F9">
        <w:rPr>
          <w:rFonts w:ascii="Arial" w:hAnsi="Arial" w:cs="Arial"/>
          <w:lang w:val="sr-Latn-ME" w:eastAsia="x-none"/>
        </w:rPr>
        <w:t>. Oba aspekta su detaljnije opisana u sljedeća dva pododjeljka.</w:t>
      </w:r>
    </w:p>
    <w:p w:rsidR="00A711FD" w:rsidRPr="001302F9" w:rsidRDefault="003A68B7" w:rsidP="009B6B3B">
      <w:pPr>
        <w:pStyle w:val="Heading3"/>
        <w:numPr>
          <w:ilvl w:val="2"/>
          <w:numId w:val="12"/>
        </w:numPr>
        <w:spacing w:before="120" w:after="120"/>
        <w:rPr>
          <w:rFonts w:ascii="Arial" w:hAnsi="Arial" w:cs="Arial"/>
          <w:sz w:val="22"/>
          <w:szCs w:val="22"/>
          <w:lang w:val="sr-Latn-ME"/>
        </w:rPr>
      </w:pPr>
      <w:r w:rsidRPr="001302F9">
        <w:rPr>
          <w:rFonts w:ascii="Arial" w:hAnsi="Arial" w:cs="Arial"/>
          <w:sz w:val="22"/>
          <w:szCs w:val="22"/>
          <w:lang w:val="sr-Latn-ME"/>
        </w:rPr>
        <w:t xml:space="preserve"> Glavni zaključci</w:t>
      </w:r>
    </w:p>
    <w:p w:rsidR="003A68B7" w:rsidRPr="001302F9" w:rsidRDefault="003A68B7" w:rsidP="000C5591">
      <w:pPr>
        <w:spacing w:before="240"/>
        <w:jc w:val="both"/>
        <w:rPr>
          <w:rFonts w:ascii="Arial" w:hAnsi="Arial" w:cs="Arial"/>
          <w:lang w:val="sr-Latn-ME"/>
        </w:rPr>
      </w:pPr>
      <w:r w:rsidRPr="001302F9">
        <w:rPr>
          <w:rFonts w:ascii="Arial" w:hAnsi="Arial" w:cs="Arial"/>
          <w:lang w:val="sr-Latn-ME"/>
        </w:rPr>
        <w:t>Strategiju 2019-2022 usvojila je Vlada Crne Gore kao glavni strateški dokument koji sadrži prioritete i ciljeve Crne Gore u odgovarajućim oblastima politike</w:t>
      </w:r>
      <w:r w:rsidR="008C0B72" w:rsidRPr="001302F9">
        <w:rPr>
          <w:rFonts w:ascii="Arial" w:hAnsi="Arial" w:cs="Arial"/>
          <w:lang w:val="sr-Latn-ME"/>
        </w:rPr>
        <w:t xml:space="preserve"> zaštite finansijskih interesa EU</w:t>
      </w:r>
      <w:r w:rsidRPr="001302F9">
        <w:rPr>
          <w:rFonts w:ascii="Arial" w:hAnsi="Arial" w:cs="Arial"/>
          <w:lang w:val="sr-Latn-ME"/>
        </w:rPr>
        <w:t>, kao i mjere za njihovo postizanje. Strateški cilj „Osigurati efikasnu zaštitu finansijskih interesa EU jačanjem AFCOS sistema u Crnoj Gori u oblasti upravljanja nepravilnosti</w:t>
      </w:r>
      <w:r w:rsidR="008C0B72" w:rsidRPr="001302F9">
        <w:rPr>
          <w:rFonts w:ascii="Arial" w:hAnsi="Arial" w:cs="Arial"/>
          <w:lang w:val="sr-Latn-ME"/>
        </w:rPr>
        <w:t>ma</w:t>
      </w:r>
      <w:r w:rsidR="00F808A6" w:rsidRPr="001302F9">
        <w:rPr>
          <w:rFonts w:ascii="Arial" w:hAnsi="Arial" w:cs="Arial"/>
          <w:lang w:val="sr-Latn-ME"/>
        </w:rPr>
        <w:t>“</w:t>
      </w:r>
      <w:r w:rsidR="00815E8E" w:rsidRPr="001302F9">
        <w:rPr>
          <w:rFonts w:ascii="Arial" w:hAnsi="Arial" w:cs="Arial"/>
          <w:lang w:val="sr-Latn-ME"/>
        </w:rPr>
        <w:t xml:space="preserve"> </w:t>
      </w:r>
      <w:r w:rsidRPr="001302F9">
        <w:rPr>
          <w:rFonts w:ascii="Arial" w:hAnsi="Arial" w:cs="Arial"/>
          <w:lang w:val="sr-Latn-ME"/>
        </w:rPr>
        <w:t>podijeljen je na tri operativna cilja:</w:t>
      </w:r>
    </w:p>
    <w:p w:rsidR="003A32D7" w:rsidRPr="001302F9" w:rsidRDefault="003A32D7" w:rsidP="000C5591">
      <w:pPr>
        <w:spacing w:before="240"/>
        <w:jc w:val="both"/>
        <w:rPr>
          <w:rFonts w:ascii="Arial" w:hAnsi="Arial" w:cs="Arial"/>
          <w:lang w:val="sr-Latn-ME"/>
        </w:rPr>
      </w:pPr>
      <w:r w:rsidRPr="001302F9">
        <w:rPr>
          <w:rFonts w:ascii="Arial" w:hAnsi="Arial" w:cs="Arial"/>
          <w:noProof/>
          <w:lang w:val="sr-Latn-ME" w:eastAsia="hr-HR"/>
        </w:rPr>
        <w:drawing>
          <wp:inline distT="0" distB="0" distL="0" distR="0" wp14:anchorId="58D11B96" wp14:editId="23FFD5CB">
            <wp:extent cx="6228080" cy="2968831"/>
            <wp:effectExtent l="0" t="0" r="0" b="22225"/>
            <wp:docPr id="20825255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DB56A0" w:rsidRPr="001302F9" w:rsidRDefault="00DB56A0" w:rsidP="00F808A6">
      <w:pPr>
        <w:spacing w:before="120" w:after="120" w:line="240" w:lineRule="auto"/>
        <w:jc w:val="both"/>
        <w:rPr>
          <w:rFonts w:ascii="Arial" w:hAnsi="Arial" w:cs="Arial"/>
          <w:lang w:val="sr-Latn-ME"/>
        </w:rPr>
      </w:pPr>
      <w:r w:rsidRPr="001302F9">
        <w:rPr>
          <w:rFonts w:ascii="Arial" w:hAnsi="Arial" w:cs="Arial"/>
          <w:lang w:val="sr-Latn-ME"/>
        </w:rPr>
        <w:t>U okviru ova 3 operativna cilja</w:t>
      </w:r>
      <w:r w:rsidR="00F808A6" w:rsidRPr="001302F9">
        <w:rPr>
          <w:rFonts w:ascii="Arial" w:hAnsi="Arial" w:cs="Arial"/>
          <w:lang w:val="sr-Latn-ME"/>
        </w:rPr>
        <w:t>,</w:t>
      </w:r>
      <w:r w:rsidRPr="001302F9">
        <w:rPr>
          <w:rFonts w:ascii="Arial" w:hAnsi="Arial" w:cs="Arial"/>
          <w:lang w:val="sr-Latn-ME"/>
        </w:rPr>
        <w:t xml:space="preserve"> razrađeno je 20 aktivnosti</w:t>
      </w:r>
      <w:r w:rsidR="00F808A6" w:rsidRPr="001302F9">
        <w:rPr>
          <w:rFonts w:ascii="Arial" w:hAnsi="Arial" w:cs="Arial"/>
          <w:lang w:val="sr-Latn-ME"/>
        </w:rPr>
        <w:t xml:space="preserve"> i</w:t>
      </w:r>
      <w:r w:rsidRPr="001302F9">
        <w:rPr>
          <w:rFonts w:ascii="Arial" w:hAnsi="Arial" w:cs="Arial"/>
          <w:lang w:val="sr-Latn-ME"/>
        </w:rPr>
        <w:t xml:space="preserve"> </w:t>
      </w:r>
      <w:r w:rsidR="00F808A6" w:rsidRPr="001302F9">
        <w:rPr>
          <w:rFonts w:ascii="Arial" w:hAnsi="Arial" w:cs="Arial"/>
          <w:lang w:val="sr-Latn-ME"/>
        </w:rPr>
        <w:t>k</w:t>
      </w:r>
      <w:r w:rsidRPr="001302F9">
        <w:rPr>
          <w:rFonts w:ascii="Arial" w:hAnsi="Arial" w:cs="Arial"/>
          <w:lang w:val="sr-Latn-ME"/>
        </w:rPr>
        <w:t>onstatovano je da je</w:t>
      </w:r>
      <w:r w:rsidR="00F808A6" w:rsidRPr="001302F9">
        <w:rPr>
          <w:rFonts w:ascii="Arial" w:hAnsi="Arial" w:cs="Arial"/>
          <w:lang w:val="sr-Latn-ME"/>
        </w:rPr>
        <w:t xml:space="preserve"> </w:t>
      </w:r>
      <w:r w:rsidRPr="001302F9">
        <w:rPr>
          <w:rFonts w:ascii="Arial" w:hAnsi="Arial" w:cs="Arial"/>
          <w:lang w:val="sr-Latn-ME"/>
        </w:rPr>
        <w:t xml:space="preserve">14 aktivnosti (70%) </w:t>
      </w:r>
      <w:r w:rsidR="00F808A6" w:rsidRPr="001302F9">
        <w:rPr>
          <w:rFonts w:ascii="Arial" w:hAnsi="Arial" w:cs="Arial"/>
          <w:lang w:val="sr-Latn-ME"/>
        </w:rPr>
        <w:t>realizovano</w:t>
      </w:r>
      <w:r w:rsidRPr="001302F9">
        <w:rPr>
          <w:rFonts w:ascii="Arial" w:hAnsi="Arial" w:cs="Arial"/>
          <w:lang w:val="sr-Latn-ME"/>
        </w:rPr>
        <w:t>, 2 aktivnosti (10%) djelimično realizovane, a 4 aktivnosti (20%) nisu realizovane.</w:t>
      </w:r>
    </w:p>
    <w:p w:rsidR="00921FEB" w:rsidRPr="001302F9" w:rsidRDefault="00921FEB" w:rsidP="00EE65EF">
      <w:pPr>
        <w:spacing w:before="120" w:after="120" w:line="240" w:lineRule="auto"/>
        <w:jc w:val="both"/>
        <w:rPr>
          <w:rFonts w:ascii="Arial" w:hAnsi="Arial" w:cs="Arial"/>
          <w:b/>
          <w:lang w:val="sr-Latn-ME"/>
        </w:rPr>
      </w:pPr>
      <w:r w:rsidRPr="001302F9">
        <w:rPr>
          <w:rFonts w:ascii="Arial" w:hAnsi="Arial" w:cs="Arial"/>
          <w:b/>
          <w:lang w:val="sr-Latn-ME"/>
        </w:rPr>
        <w:t>Dostignuća</w:t>
      </w:r>
    </w:p>
    <w:p w:rsidR="00921FEB" w:rsidRDefault="00921FEB" w:rsidP="00921FEB">
      <w:pPr>
        <w:spacing w:before="240"/>
        <w:jc w:val="both"/>
        <w:rPr>
          <w:rFonts w:ascii="Arial" w:hAnsi="Arial" w:cs="Arial"/>
          <w:lang w:val="sr-Latn-ME"/>
        </w:rPr>
      </w:pPr>
      <w:r w:rsidRPr="001302F9">
        <w:rPr>
          <w:rFonts w:ascii="Arial" w:hAnsi="Arial" w:cs="Arial"/>
          <w:lang w:val="sr-Latn-ME"/>
        </w:rPr>
        <w:t>Ukupna stopa implementacije Strategije 2019-2022 je izračunata na 70%, što se generalno može smatrati prepoznatljivim dostignućem.</w:t>
      </w:r>
    </w:p>
    <w:p w:rsidR="003B0CFE" w:rsidRPr="001302F9" w:rsidRDefault="003B0CFE" w:rsidP="00921FEB">
      <w:pPr>
        <w:spacing w:before="240"/>
        <w:jc w:val="both"/>
        <w:rPr>
          <w:rFonts w:ascii="Arial" w:hAnsi="Arial" w:cs="Arial"/>
          <w:lang w:val="sr-Latn-ME"/>
        </w:rPr>
      </w:pPr>
    </w:p>
    <w:p w:rsidR="00CA325E" w:rsidRDefault="003B0CFE" w:rsidP="009F76A6">
      <w:pPr>
        <w:spacing w:before="240"/>
        <w:jc w:val="center"/>
        <w:rPr>
          <w:rFonts w:ascii="Arial" w:hAnsi="Arial" w:cs="Arial"/>
          <w:lang w:val="sr-Latn-ME"/>
        </w:rPr>
      </w:pPr>
      <w:r w:rsidRPr="003B0CFE">
        <w:rPr>
          <w:noProof/>
        </w:rPr>
        <w:drawing>
          <wp:inline distT="0" distB="0" distL="0" distR="0" wp14:anchorId="4A9625C4" wp14:editId="0C80464E">
            <wp:extent cx="3308410" cy="2291428"/>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18931" cy="2298715"/>
                    </a:xfrm>
                    <a:prstGeom prst="rect">
                      <a:avLst/>
                    </a:prstGeom>
                  </pic:spPr>
                </pic:pic>
              </a:graphicData>
            </a:graphic>
          </wp:inline>
        </w:drawing>
      </w:r>
    </w:p>
    <w:p w:rsidR="003B0CFE" w:rsidRPr="001302F9" w:rsidRDefault="003B0CFE" w:rsidP="009F76A6">
      <w:pPr>
        <w:spacing w:before="240"/>
        <w:jc w:val="center"/>
        <w:rPr>
          <w:rFonts w:ascii="Arial" w:hAnsi="Arial" w:cs="Arial"/>
          <w:lang w:val="sr-Latn-ME"/>
        </w:rPr>
      </w:pPr>
    </w:p>
    <w:p w:rsidR="00917635" w:rsidRPr="001302F9" w:rsidRDefault="00775860" w:rsidP="00EE65EF">
      <w:pPr>
        <w:spacing w:before="120" w:after="120" w:line="240" w:lineRule="auto"/>
        <w:jc w:val="both"/>
        <w:rPr>
          <w:rFonts w:ascii="Arial" w:hAnsi="Arial" w:cs="Arial"/>
          <w:lang w:val="sr-Latn-ME"/>
        </w:rPr>
      </w:pPr>
      <w:r w:rsidRPr="001302F9">
        <w:rPr>
          <w:rFonts w:ascii="Arial" w:hAnsi="Arial" w:cs="Arial"/>
          <w:lang w:val="sr-Latn-ME"/>
        </w:rPr>
        <w:t xml:space="preserve">Detaljna analiza </w:t>
      </w:r>
      <w:r w:rsidR="006E5877" w:rsidRPr="001302F9">
        <w:rPr>
          <w:rFonts w:ascii="Arial" w:hAnsi="Arial" w:cs="Arial"/>
          <w:lang w:val="sr-Latn-ME"/>
        </w:rPr>
        <w:t>realizovanih aktivnosti po operativnim ciljevima ukazuje na sljedeće</w:t>
      </w:r>
      <w:r w:rsidRPr="001302F9">
        <w:rPr>
          <w:rFonts w:ascii="Arial" w:hAnsi="Arial" w:cs="Arial"/>
          <w:lang w:val="sr-Latn-ME"/>
        </w:rPr>
        <w:t>:</w:t>
      </w:r>
    </w:p>
    <w:p w:rsidR="005624FF" w:rsidRPr="001302F9" w:rsidRDefault="00443C96" w:rsidP="000B64E3">
      <w:pPr>
        <w:pStyle w:val="ListParagraph"/>
        <w:numPr>
          <w:ilvl w:val="0"/>
          <w:numId w:val="3"/>
        </w:numPr>
        <w:spacing w:before="120" w:after="120" w:line="240" w:lineRule="auto"/>
        <w:ind w:left="714" w:hanging="357"/>
        <w:contextualSpacing w:val="0"/>
        <w:rPr>
          <w:rFonts w:cs="Arial"/>
          <w:sz w:val="22"/>
          <w:szCs w:val="22"/>
          <w:lang w:val="sr-Latn-ME"/>
        </w:rPr>
      </w:pPr>
      <w:r w:rsidRPr="001302F9">
        <w:rPr>
          <w:rFonts w:cs="Arial"/>
          <w:sz w:val="22"/>
          <w:szCs w:val="22"/>
          <w:lang w:val="sr-Latn-ME"/>
        </w:rPr>
        <w:t>k</w:t>
      </w:r>
      <w:r w:rsidR="006E5877" w:rsidRPr="001302F9">
        <w:rPr>
          <w:rFonts w:cs="Arial"/>
          <w:sz w:val="22"/>
          <w:szCs w:val="22"/>
          <w:lang w:val="sr-Latn-ME"/>
        </w:rPr>
        <w:t>ada je u pitanju prvi operativni cilj, realizovane su dvije važne aktivnosti</w:t>
      </w:r>
      <w:r w:rsidR="00794128" w:rsidRPr="001302F9">
        <w:rPr>
          <w:rFonts w:cs="Arial"/>
          <w:sz w:val="22"/>
          <w:szCs w:val="22"/>
          <w:lang w:val="sr-Latn-ME"/>
        </w:rPr>
        <w:t xml:space="preserve"> koje se odnose na neophodne promjene zakonske osnove. Naime, done</w:t>
      </w:r>
      <w:r w:rsidR="00281F6A">
        <w:rPr>
          <w:rFonts w:cs="Arial"/>
          <w:sz w:val="22"/>
          <w:szCs w:val="22"/>
          <w:lang w:val="sr-Latn-ME"/>
        </w:rPr>
        <w:t>š</w:t>
      </w:r>
      <w:r w:rsidR="00794128" w:rsidRPr="001302F9">
        <w:rPr>
          <w:rFonts w:cs="Arial"/>
          <w:sz w:val="22"/>
          <w:szCs w:val="22"/>
          <w:lang w:val="sr-Latn-ME"/>
        </w:rPr>
        <w:t xml:space="preserve">ena je Odluka o </w:t>
      </w:r>
      <w:r w:rsidR="00ED7CBA" w:rsidRPr="001302F9">
        <w:rPr>
          <w:rFonts w:cs="Arial"/>
          <w:sz w:val="22"/>
          <w:szCs w:val="22"/>
          <w:lang w:val="sr-Latn-ME"/>
        </w:rPr>
        <w:t>obrazovanju</w:t>
      </w:r>
      <w:r w:rsidR="00794128" w:rsidRPr="001302F9">
        <w:rPr>
          <w:rFonts w:cs="Arial"/>
          <w:sz w:val="22"/>
          <w:szCs w:val="22"/>
          <w:lang w:val="sr-Latn-ME"/>
        </w:rPr>
        <w:t xml:space="preserve"> AFCOS mreže u Crnoj Gori i razrađene </w:t>
      </w:r>
      <w:r w:rsidR="00ED7CBA" w:rsidRPr="001302F9">
        <w:rPr>
          <w:rFonts w:cs="Arial"/>
          <w:sz w:val="22"/>
          <w:szCs w:val="22"/>
          <w:lang w:val="sr-Latn-ME"/>
        </w:rPr>
        <w:t xml:space="preserve">su </w:t>
      </w:r>
      <w:r w:rsidR="00794128" w:rsidRPr="001302F9">
        <w:rPr>
          <w:rFonts w:cs="Arial"/>
          <w:sz w:val="22"/>
          <w:szCs w:val="22"/>
          <w:lang w:val="sr-Latn-ME"/>
        </w:rPr>
        <w:t>interne procedure za rad AFCOS kancelarije</w:t>
      </w:r>
      <w:r w:rsidR="006B7F27" w:rsidRPr="001302F9">
        <w:rPr>
          <w:rFonts w:cs="Arial"/>
          <w:sz w:val="22"/>
          <w:szCs w:val="22"/>
          <w:lang w:val="sr-Latn-ME"/>
        </w:rPr>
        <w:t>;</w:t>
      </w:r>
    </w:p>
    <w:p w:rsidR="00ED6FE9" w:rsidRPr="001302F9" w:rsidRDefault="00794128" w:rsidP="000B64E3">
      <w:pPr>
        <w:pStyle w:val="ListParagraph"/>
        <w:numPr>
          <w:ilvl w:val="0"/>
          <w:numId w:val="3"/>
        </w:numPr>
        <w:spacing w:before="120" w:after="120" w:line="240" w:lineRule="auto"/>
        <w:ind w:left="714" w:hanging="357"/>
        <w:contextualSpacing w:val="0"/>
        <w:rPr>
          <w:rFonts w:cs="Arial"/>
          <w:sz w:val="22"/>
          <w:szCs w:val="22"/>
          <w:lang w:val="sr-Latn-ME"/>
        </w:rPr>
      </w:pPr>
      <w:r w:rsidRPr="001302F9">
        <w:rPr>
          <w:rFonts w:cs="Arial"/>
          <w:sz w:val="22"/>
          <w:szCs w:val="22"/>
          <w:lang w:val="sr-Latn-ME"/>
        </w:rPr>
        <w:t xml:space="preserve">aktivnosti koje se odnose na </w:t>
      </w:r>
      <w:r w:rsidR="00443C96" w:rsidRPr="001302F9">
        <w:rPr>
          <w:rFonts w:cs="Arial"/>
          <w:sz w:val="22"/>
          <w:szCs w:val="22"/>
          <w:lang w:val="sr-Latn-ME"/>
        </w:rPr>
        <w:t>drugi operativni cilj su u potpunosti realizovane</w:t>
      </w:r>
      <w:r w:rsidR="00281F6A">
        <w:rPr>
          <w:rFonts w:cs="Arial"/>
          <w:sz w:val="22"/>
          <w:szCs w:val="22"/>
          <w:lang w:val="sr-Latn-ME"/>
        </w:rPr>
        <w:t>,</w:t>
      </w:r>
      <w:r w:rsidR="00443C96" w:rsidRPr="001302F9">
        <w:rPr>
          <w:rFonts w:cs="Arial"/>
          <w:sz w:val="22"/>
          <w:szCs w:val="22"/>
          <w:lang w:val="sr-Latn-ME"/>
        </w:rPr>
        <w:t xml:space="preserve"> </w:t>
      </w:r>
      <w:r w:rsidR="008E3FEB" w:rsidRPr="001302F9">
        <w:rPr>
          <w:rFonts w:cs="Arial"/>
          <w:sz w:val="22"/>
          <w:szCs w:val="22"/>
          <w:lang w:val="sr-Latn-ME"/>
        </w:rPr>
        <w:t>a</w:t>
      </w:r>
      <w:r w:rsidRPr="001302F9">
        <w:rPr>
          <w:rFonts w:cs="Arial"/>
          <w:sz w:val="22"/>
          <w:szCs w:val="22"/>
          <w:lang w:val="sr-Latn-ME"/>
        </w:rPr>
        <w:t xml:space="preserve"> zaht</w:t>
      </w:r>
      <w:r w:rsidR="00ED7CBA" w:rsidRPr="001302F9">
        <w:rPr>
          <w:rFonts w:cs="Arial"/>
          <w:sz w:val="22"/>
          <w:szCs w:val="22"/>
          <w:lang w:val="sr-Latn-ME"/>
        </w:rPr>
        <w:t>ij</w:t>
      </w:r>
      <w:r w:rsidRPr="001302F9">
        <w:rPr>
          <w:rFonts w:cs="Arial"/>
          <w:sz w:val="22"/>
          <w:szCs w:val="22"/>
          <w:lang w:val="sr-Latn-ME"/>
        </w:rPr>
        <w:t>eva</w:t>
      </w:r>
      <w:r w:rsidR="008E3FEB" w:rsidRPr="001302F9">
        <w:rPr>
          <w:rFonts w:cs="Arial"/>
          <w:sz w:val="22"/>
          <w:szCs w:val="22"/>
          <w:lang w:val="sr-Latn-ME"/>
        </w:rPr>
        <w:t xml:space="preserve">le su prevashodno </w:t>
      </w:r>
      <w:r w:rsidRPr="001302F9">
        <w:rPr>
          <w:rFonts w:cs="Arial"/>
          <w:sz w:val="22"/>
          <w:szCs w:val="22"/>
          <w:lang w:val="sr-Latn-ME"/>
        </w:rPr>
        <w:t xml:space="preserve">učešće </w:t>
      </w:r>
      <w:r w:rsidR="00ED7CBA" w:rsidRPr="001302F9">
        <w:rPr>
          <w:rFonts w:cs="Arial"/>
          <w:sz w:val="22"/>
          <w:szCs w:val="22"/>
          <w:lang w:val="sr-Latn-ME"/>
        </w:rPr>
        <w:t>Direkcije za zaštitu finansijskih interesa EU/</w:t>
      </w:r>
      <w:r w:rsidRPr="001302F9">
        <w:rPr>
          <w:rFonts w:cs="Arial"/>
          <w:sz w:val="22"/>
          <w:szCs w:val="22"/>
          <w:lang w:val="sr-Latn-ME"/>
        </w:rPr>
        <w:t xml:space="preserve">AFCOS i </w:t>
      </w:r>
      <w:r w:rsidR="00972709" w:rsidRPr="00EE1E09">
        <w:rPr>
          <w:rFonts w:cs="Arial"/>
          <w:sz w:val="22"/>
          <w:szCs w:val="22"/>
          <w:lang w:val="sr-Latn-BA"/>
        </w:rPr>
        <w:t xml:space="preserve">Tijela sistema za upravljanje i kontrolu EU fondova </w:t>
      </w:r>
      <w:r w:rsidRPr="001302F9">
        <w:rPr>
          <w:rFonts w:cs="Arial"/>
          <w:sz w:val="22"/>
          <w:szCs w:val="22"/>
          <w:lang w:val="sr-Latn-ME"/>
        </w:rPr>
        <w:t xml:space="preserve">u </w:t>
      </w:r>
      <w:r w:rsidR="008E3FEB" w:rsidRPr="001302F9">
        <w:rPr>
          <w:rFonts w:cs="Arial"/>
          <w:sz w:val="22"/>
          <w:szCs w:val="22"/>
          <w:lang w:val="sr-Latn-ME"/>
        </w:rPr>
        <w:t xml:space="preserve">unapređenju </w:t>
      </w:r>
      <w:r w:rsidRPr="001302F9">
        <w:rPr>
          <w:rFonts w:cs="Arial"/>
          <w:sz w:val="22"/>
          <w:szCs w:val="22"/>
          <w:lang w:val="sr-Latn-ME"/>
        </w:rPr>
        <w:t>operativni</w:t>
      </w:r>
      <w:r w:rsidR="008E3FEB" w:rsidRPr="001302F9">
        <w:rPr>
          <w:rFonts w:cs="Arial"/>
          <w:sz w:val="22"/>
          <w:szCs w:val="22"/>
          <w:lang w:val="sr-Latn-ME"/>
        </w:rPr>
        <w:t>h</w:t>
      </w:r>
      <w:r w:rsidRPr="001302F9">
        <w:rPr>
          <w:rFonts w:cs="Arial"/>
          <w:sz w:val="22"/>
          <w:szCs w:val="22"/>
          <w:lang w:val="sr-Latn-ME"/>
        </w:rPr>
        <w:t xml:space="preserve"> </w:t>
      </w:r>
      <w:r w:rsidR="00EE0F44" w:rsidRPr="001302F9">
        <w:rPr>
          <w:rFonts w:cs="Arial"/>
          <w:sz w:val="22"/>
          <w:szCs w:val="22"/>
          <w:lang w:val="sr-Latn-ME"/>
        </w:rPr>
        <w:t>zadataka vezanih za izvještavanje i</w:t>
      </w:r>
      <w:r w:rsidRPr="001302F9">
        <w:rPr>
          <w:rFonts w:cs="Arial"/>
          <w:sz w:val="22"/>
          <w:szCs w:val="22"/>
          <w:lang w:val="sr-Latn-ME"/>
        </w:rPr>
        <w:t xml:space="preserve"> upravljanj</w:t>
      </w:r>
      <w:r w:rsidR="00EE0F44" w:rsidRPr="001302F9">
        <w:rPr>
          <w:rFonts w:cs="Arial"/>
          <w:sz w:val="22"/>
          <w:szCs w:val="22"/>
          <w:lang w:val="sr-Latn-ME"/>
        </w:rPr>
        <w:t>e</w:t>
      </w:r>
      <w:r w:rsidRPr="001302F9">
        <w:rPr>
          <w:rFonts w:cs="Arial"/>
          <w:sz w:val="22"/>
          <w:szCs w:val="22"/>
          <w:lang w:val="sr-Latn-ME"/>
        </w:rPr>
        <w:t xml:space="preserve"> nepravilnostima. </w:t>
      </w:r>
      <w:r w:rsidR="00EE0F44" w:rsidRPr="001302F9">
        <w:rPr>
          <w:rFonts w:cs="Arial"/>
          <w:sz w:val="22"/>
          <w:szCs w:val="22"/>
          <w:lang w:val="sr-Latn-ME"/>
        </w:rPr>
        <w:t>Tako su u</w:t>
      </w:r>
      <w:r w:rsidRPr="001302F9">
        <w:rPr>
          <w:rFonts w:cs="Arial"/>
          <w:sz w:val="22"/>
          <w:szCs w:val="22"/>
          <w:lang w:val="sr-Latn-ME"/>
        </w:rPr>
        <w:t>vedeni novi alati i poboljšane procedure, započeta digitalizacija prijavljivanja, razvijena metodologija upravljanja rizicima</w:t>
      </w:r>
      <w:r w:rsidR="007A57CC" w:rsidRPr="001302F9">
        <w:rPr>
          <w:rFonts w:cs="Arial"/>
          <w:sz w:val="22"/>
          <w:szCs w:val="22"/>
          <w:lang w:val="sr-Latn-ME"/>
        </w:rPr>
        <w:t xml:space="preserve"> </w:t>
      </w:r>
      <w:r w:rsidRPr="001302F9">
        <w:rPr>
          <w:rFonts w:cs="Arial"/>
          <w:sz w:val="22"/>
          <w:szCs w:val="22"/>
          <w:lang w:val="sr-Latn-ME"/>
        </w:rPr>
        <w:t xml:space="preserve">nepravilnosti i prevara, izrađene smjernice o nepravilnostima, izvršeno ažuriranje Priručnika o procedurama za prijavu nepravilnosti, </w:t>
      </w:r>
      <w:r w:rsidR="007A57CC" w:rsidRPr="001302F9">
        <w:rPr>
          <w:rFonts w:cs="Arial"/>
          <w:sz w:val="22"/>
          <w:szCs w:val="22"/>
          <w:lang w:val="sr-Latn-ME"/>
        </w:rPr>
        <w:t xml:space="preserve">kao i kreirana </w:t>
      </w:r>
      <w:r w:rsidRPr="001302F9">
        <w:rPr>
          <w:rFonts w:cs="Arial"/>
          <w:sz w:val="22"/>
          <w:szCs w:val="22"/>
          <w:lang w:val="sr-Latn-ME"/>
        </w:rPr>
        <w:t xml:space="preserve">e-mail adresa za anonimne </w:t>
      </w:r>
      <w:r w:rsidR="007A57CC" w:rsidRPr="001302F9">
        <w:rPr>
          <w:rFonts w:cs="Arial"/>
          <w:sz w:val="22"/>
          <w:szCs w:val="22"/>
          <w:lang w:val="sr-Latn-ME"/>
        </w:rPr>
        <w:t>prijave</w:t>
      </w:r>
      <w:r w:rsidR="006B7F27" w:rsidRPr="001302F9">
        <w:rPr>
          <w:rFonts w:cs="Arial"/>
          <w:sz w:val="22"/>
          <w:szCs w:val="22"/>
          <w:lang w:val="sr-Latn-ME"/>
        </w:rPr>
        <w:t>;</w:t>
      </w:r>
    </w:p>
    <w:p w:rsidR="009C73C2" w:rsidRPr="001302F9" w:rsidRDefault="00E57A4A" w:rsidP="000B64E3">
      <w:pPr>
        <w:pStyle w:val="ListParagraph"/>
        <w:numPr>
          <w:ilvl w:val="0"/>
          <w:numId w:val="3"/>
        </w:numPr>
        <w:spacing w:before="120" w:after="120" w:line="240" w:lineRule="auto"/>
        <w:contextualSpacing w:val="0"/>
        <w:rPr>
          <w:rFonts w:cs="Arial"/>
          <w:sz w:val="22"/>
          <w:szCs w:val="22"/>
          <w:lang w:val="sr-Latn-ME"/>
        </w:rPr>
      </w:pPr>
      <w:r w:rsidRPr="001302F9">
        <w:rPr>
          <w:rFonts w:cs="Arial"/>
          <w:sz w:val="22"/>
          <w:szCs w:val="22"/>
          <w:lang w:val="sr-Latn-ME"/>
        </w:rPr>
        <w:t xml:space="preserve"> sve </w:t>
      </w:r>
      <w:r w:rsidR="007A57CC" w:rsidRPr="001302F9">
        <w:rPr>
          <w:rFonts w:cs="Arial"/>
          <w:sz w:val="22"/>
          <w:szCs w:val="22"/>
          <w:lang w:val="sr-Latn-ME"/>
        </w:rPr>
        <w:t>aktivnosti koje su</w:t>
      </w:r>
      <w:r w:rsidR="00794128" w:rsidRPr="001302F9">
        <w:rPr>
          <w:rFonts w:cs="Arial"/>
          <w:sz w:val="22"/>
          <w:szCs w:val="22"/>
          <w:lang w:val="sr-Latn-ME"/>
        </w:rPr>
        <w:t xml:space="preserve"> predviđen</w:t>
      </w:r>
      <w:r w:rsidR="007A57CC" w:rsidRPr="001302F9">
        <w:rPr>
          <w:rFonts w:cs="Arial"/>
          <w:sz w:val="22"/>
          <w:szCs w:val="22"/>
          <w:lang w:val="sr-Latn-ME"/>
        </w:rPr>
        <w:t>e</w:t>
      </w:r>
      <w:r w:rsidR="00794128" w:rsidRPr="001302F9">
        <w:rPr>
          <w:rFonts w:cs="Arial"/>
          <w:sz w:val="22"/>
          <w:szCs w:val="22"/>
          <w:lang w:val="sr-Latn-ME"/>
        </w:rPr>
        <w:t xml:space="preserve"> </w:t>
      </w:r>
      <w:r w:rsidRPr="001302F9">
        <w:rPr>
          <w:rFonts w:cs="Arial"/>
          <w:sz w:val="22"/>
          <w:szCs w:val="22"/>
          <w:lang w:val="sr-Latn-ME"/>
        </w:rPr>
        <w:t>trećim operativnim c</w:t>
      </w:r>
      <w:r w:rsidR="00794128" w:rsidRPr="001302F9">
        <w:rPr>
          <w:rFonts w:cs="Arial"/>
          <w:sz w:val="22"/>
          <w:szCs w:val="22"/>
          <w:lang w:val="sr-Latn-ME"/>
        </w:rPr>
        <w:t xml:space="preserve">iljem </w:t>
      </w:r>
      <w:r w:rsidRPr="001302F9">
        <w:rPr>
          <w:rFonts w:cs="Arial"/>
          <w:sz w:val="22"/>
          <w:szCs w:val="22"/>
          <w:lang w:val="sr-Latn-ME"/>
        </w:rPr>
        <w:t>su</w:t>
      </w:r>
      <w:r w:rsidR="00794128" w:rsidRPr="001302F9">
        <w:rPr>
          <w:rFonts w:cs="Arial"/>
          <w:sz w:val="22"/>
          <w:szCs w:val="22"/>
          <w:lang w:val="sr-Latn-ME"/>
        </w:rPr>
        <w:t xml:space="preserve"> implementiran</w:t>
      </w:r>
      <w:r w:rsidR="00277198" w:rsidRPr="001302F9">
        <w:rPr>
          <w:rFonts w:cs="Arial"/>
          <w:sz w:val="22"/>
          <w:szCs w:val="22"/>
          <w:lang w:val="sr-Latn-ME"/>
        </w:rPr>
        <w:t>e</w:t>
      </w:r>
      <w:r w:rsidR="00B9613B" w:rsidRPr="001302F9">
        <w:rPr>
          <w:rFonts w:cs="Arial"/>
          <w:sz w:val="22"/>
          <w:szCs w:val="22"/>
          <w:lang w:val="sr-Latn-ME"/>
        </w:rPr>
        <w:t>.</w:t>
      </w:r>
      <w:r w:rsidR="00794128" w:rsidRPr="001302F9">
        <w:rPr>
          <w:rFonts w:cs="Arial"/>
          <w:sz w:val="22"/>
          <w:szCs w:val="22"/>
          <w:lang w:val="sr-Latn-ME"/>
        </w:rPr>
        <w:t xml:space="preserve"> </w:t>
      </w:r>
      <w:r w:rsidRPr="001302F9">
        <w:rPr>
          <w:rFonts w:cs="Arial"/>
          <w:sz w:val="22"/>
          <w:szCs w:val="22"/>
          <w:lang w:val="sr-Latn-ME"/>
        </w:rPr>
        <w:t>E</w:t>
      </w:r>
      <w:r w:rsidR="00794128" w:rsidRPr="001302F9">
        <w:rPr>
          <w:rFonts w:cs="Arial"/>
          <w:sz w:val="22"/>
          <w:szCs w:val="22"/>
          <w:lang w:val="sr-Latn-ME"/>
        </w:rPr>
        <w:t xml:space="preserve">x-post evaluacija </w:t>
      </w:r>
      <w:r w:rsidRPr="001302F9">
        <w:rPr>
          <w:rFonts w:cs="Arial"/>
          <w:sz w:val="22"/>
          <w:szCs w:val="22"/>
          <w:lang w:val="sr-Latn-ME"/>
        </w:rPr>
        <w:t xml:space="preserve">je </w:t>
      </w:r>
      <w:r w:rsidR="00B9613B" w:rsidRPr="001302F9">
        <w:rPr>
          <w:rFonts w:cs="Arial"/>
          <w:sz w:val="22"/>
          <w:szCs w:val="22"/>
          <w:lang w:val="sr-Latn-ME"/>
        </w:rPr>
        <w:t>pokazala</w:t>
      </w:r>
      <w:r w:rsidR="00794128" w:rsidRPr="001302F9">
        <w:rPr>
          <w:rFonts w:cs="Arial"/>
          <w:sz w:val="22"/>
          <w:szCs w:val="22"/>
          <w:lang w:val="sr-Latn-ME"/>
        </w:rPr>
        <w:t xml:space="preserve"> da je usvojen sistemski pristup u identifikaciji potreba za obukom i osmišljavanju programa obuke</w:t>
      </w:r>
      <w:r w:rsidR="00B9613B" w:rsidRPr="001302F9">
        <w:rPr>
          <w:rFonts w:cs="Arial"/>
          <w:sz w:val="22"/>
          <w:szCs w:val="22"/>
          <w:lang w:val="sr-Latn-ME"/>
        </w:rPr>
        <w:t>, a u</w:t>
      </w:r>
      <w:r w:rsidR="00794128" w:rsidRPr="001302F9">
        <w:rPr>
          <w:rFonts w:cs="Arial"/>
          <w:sz w:val="22"/>
          <w:szCs w:val="22"/>
          <w:lang w:val="sr-Latn-ME"/>
        </w:rPr>
        <w:t xml:space="preserve"> okviru Twinning Light projekta „Jačanje kapaciteta AFCOS </w:t>
      </w:r>
      <w:r w:rsidR="000904DD" w:rsidRPr="001302F9">
        <w:rPr>
          <w:rFonts w:cs="Arial"/>
          <w:sz w:val="22"/>
          <w:szCs w:val="22"/>
          <w:lang w:val="sr-Latn-ME"/>
        </w:rPr>
        <w:t>sistema“</w:t>
      </w:r>
      <w:r w:rsidR="00815E8E" w:rsidRPr="001302F9">
        <w:rPr>
          <w:rFonts w:cs="Arial"/>
          <w:sz w:val="22"/>
          <w:szCs w:val="22"/>
          <w:lang w:val="sr-Latn-ME"/>
        </w:rPr>
        <w:t xml:space="preserve"> </w:t>
      </w:r>
      <w:r w:rsidR="000904DD" w:rsidRPr="001302F9">
        <w:rPr>
          <w:rFonts w:cs="Arial"/>
          <w:sz w:val="22"/>
          <w:szCs w:val="22"/>
          <w:lang w:val="sr-Latn-ME"/>
        </w:rPr>
        <w:t>koji</w:t>
      </w:r>
      <w:r w:rsidR="00794128" w:rsidRPr="001302F9">
        <w:rPr>
          <w:rFonts w:cs="Arial"/>
          <w:sz w:val="22"/>
          <w:szCs w:val="22"/>
          <w:lang w:val="sr-Latn-ME"/>
        </w:rPr>
        <w:t xml:space="preserve"> je pokrenula </w:t>
      </w:r>
      <w:r w:rsidR="000904DD" w:rsidRPr="001302F9">
        <w:rPr>
          <w:rFonts w:cs="Arial"/>
          <w:sz w:val="22"/>
          <w:szCs w:val="22"/>
          <w:lang w:val="sr-Latn-ME"/>
        </w:rPr>
        <w:t>Direkcija za zaštitu finansijskih interesa EU/</w:t>
      </w:r>
      <w:r w:rsidR="00794128" w:rsidRPr="001302F9">
        <w:rPr>
          <w:rFonts w:cs="Arial"/>
          <w:sz w:val="22"/>
          <w:szCs w:val="22"/>
          <w:lang w:val="sr-Latn-ME"/>
        </w:rPr>
        <w:t xml:space="preserve">AFCOS, izvršena je analiza potreba za obukom u </w:t>
      </w:r>
      <w:r w:rsidR="00B9613B" w:rsidRPr="001302F9">
        <w:rPr>
          <w:rFonts w:cs="Arial"/>
          <w:sz w:val="22"/>
          <w:szCs w:val="22"/>
          <w:lang w:val="sr-Latn-ME"/>
        </w:rPr>
        <w:t>institucijama</w:t>
      </w:r>
      <w:r w:rsidR="00794128" w:rsidRPr="001302F9">
        <w:rPr>
          <w:rFonts w:cs="Arial"/>
          <w:sz w:val="22"/>
          <w:szCs w:val="22"/>
          <w:lang w:val="sr-Latn-ME"/>
        </w:rPr>
        <w:t xml:space="preserve"> zaduženim za zaštitu finansijskih interesa EU i razvijen program obuke za 2019-2021</w:t>
      </w:r>
      <w:r w:rsidR="008979B9" w:rsidRPr="001302F9">
        <w:rPr>
          <w:rFonts w:cs="Arial"/>
          <w:sz w:val="22"/>
          <w:szCs w:val="22"/>
          <w:lang w:val="sr-Latn-ME"/>
        </w:rPr>
        <w:t>.</w:t>
      </w:r>
    </w:p>
    <w:p w:rsidR="00E57A4A" w:rsidRPr="001302F9" w:rsidRDefault="00794128" w:rsidP="00EE65EF">
      <w:pPr>
        <w:spacing w:before="120" w:after="120" w:line="240" w:lineRule="auto"/>
        <w:jc w:val="both"/>
        <w:rPr>
          <w:rFonts w:ascii="Arial" w:hAnsi="Arial" w:cs="Arial"/>
          <w:lang w:val="sr-Latn-ME"/>
        </w:rPr>
      </w:pPr>
      <w:r w:rsidRPr="001302F9">
        <w:rPr>
          <w:rFonts w:ascii="Arial" w:hAnsi="Arial" w:cs="Arial"/>
          <w:i/>
          <w:lang w:val="sr-Latn-ME"/>
        </w:rPr>
        <w:t>Konstatovano je da je Strategija 2019-2022 uspješno implementirana na zadovoljavajući način, posebno aktivnosti koje se odnose na operativne zadatke AFCOS</w:t>
      </w:r>
      <w:r w:rsidR="00AB65ED" w:rsidRPr="001302F9">
        <w:rPr>
          <w:rFonts w:ascii="Arial" w:hAnsi="Arial" w:cs="Arial"/>
          <w:i/>
          <w:lang w:val="sr-Latn-ME"/>
        </w:rPr>
        <w:t>-a</w:t>
      </w:r>
      <w:r w:rsidRPr="001302F9">
        <w:rPr>
          <w:rFonts w:ascii="Arial" w:hAnsi="Arial" w:cs="Arial"/>
          <w:i/>
          <w:lang w:val="sr-Latn-ME"/>
        </w:rPr>
        <w:t xml:space="preserve"> i </w:t>
      </w:r>
      <w:r w:rsidR="00A76A38">
        <w:rPr>
          <w:rFonts w:ascii="Arial" w:eastAsia="Times New Roman" w:hAnsi="Arial" w:cs="Arial"/>
          <w:lang w:val="sr-Latn-BA"/>
        </w:rPr>
        <w:t>Strukture</w:t>
      </w:r>
      <w:r w:rsidR="00972709" w:rsidRPr="00EE1E09">
        <w:rPr>
          <w:rFonts w:ascii="Arial" w:eastAsia="Times New Roman" w:hAnsi="Arial" w:cs="Arial"/>
          <w:lang w:val="sr-Latn-BA"/>
        </w:rPr>
        <w:t xml:space="preserve"> za izvještavanje o nepravilnostima</w:t>
      </w:r>
      <w:r w:rsidRPr="001302F9">
        <w:rPr>
          <w:rFonts w:ascii="Arial" w:hAnsi="Arial" w:cs="Arial"/>
          <w:i/>
          <w:lang w:val="sr-Latn-ME"/>
        </w:rPr>
        <w:t>.</w:t>
      </w:r>
      <w:r w:rsidRPr="001302F9">
        <w:rPr>
          <w:rFonts w:ascii="Arial" w:hAnsi="Arial" w:cs="Arial"/>
          <w:lang w:val="sr-Latn-ME"/>
        </w:rPr>
        <w:t xml:space="preserve"> </w:t>
      </w:r>
    </w:p>
    <w:p w:rsidR="005D6FCE" w:rsidRPr="001302F9" w:rsidRDefault="00794128" w:rsidP="00EE65EF">
      <w:pPr>
        <w:spacing w:before="120" w:after="120" w:line="240" w:lineRule="auto"/>
        <w:jc w:val="both"/>
        <w:rPr>
          <w:rFonts w:ascii="Arial" w:hAnsi="Arial" w:cs="Arial"/>
          <w:b/>
          <w:i/>
          <w:lang w:val="sr-Latn-ME"/>
        </w:rPr>
      </w:pPr>
      <w:r w:rsidRPr="001302F9">
        <w:rPr>
          <w:rFonts w:ascii="Arial" w:hAnsi="Arial" w:cs="Arial"/>
          <w:b/>
          <w:i/>
          <w:lang w:val="sr-Latn-ME"/>
        </w:rPr>
        <w:t>Takođe, treba priznati sposobnost AFCOS</w:t>
      </w:r>
      <w:r w:rsidR="00AB65ED" w:rsidRPr="001302F9">
        <w:rPr>
          <w:rFonts w:ascii="Arial" w:hAnsi="Arial" w:cs="Arial"/>
          <w:b/>
          <w:i/>
          <w:lang w:val="sr-Latn-ME"/>
        </w:rPr>
        <w:t>-a</w:t>
      </w:r>
      <w:r w:rsidRPr="001302F9">
        <w:rPr>
          <w:rFonts w:ascii="Arial" w:hAnsi="Arial" w:cs="Arial"/>
          <w:b/>
          <w:i/>
          <w:lang w:val="sr-Latn-ME"/>
        </w:rPr>
        <w:t xml:space="preserve"> da privuče dodatna finansijska sredstva van državnog budžeta Crne Gore. Na ovaj način se podstiče razmjena stručnosti i iskustva, </w:t>
      </w:r>
      <w:r w:rsidR="00AB65ED" w:rsidRPr="001302F9">
        <w:rPr>
          <w:rFonts w:ascii="Arial" w:hAnsi="Arial" w:cs="Arial"/>
          <w:b/>
          <w:i/>
          <w:lang w:val="sr-Latn-ME"/>
        </w:rPr>
        <w:t>a</w:t>
      </w:r>
      <w:r w:rsidRPr="001302F9">
        <w:rPr>
          <w:rFonts w:ascii="Arial" w:hAnsi="Arial" w:cs="Arial"/>
          <w:b/>
          <w:i/>
          <w:lang w:val="sr-Latn-ME"/>
        </w:rPr>
        <w:t xml:space="preserve"> aktivnosti se</w:t>
      </w:r>
      <w:r w:rsidR="00AB65ED" w:rsidRPr="001302F9">
        <w:rPr>
          <w:rFonts w:ascii="Arial" w:hAnsi="Arial" w:cs="Arial"/>
          <w:b/>
          <w:i/>
          <w:lang w:val="sr-Latn-ME"/>
        </w:rPr>
        <w:t>,</w:t>
      </w:r>
      <w:r w:rsidRPr="001302F9">
        <w:rPr>
          <w:rFonts w:ascii="Arial" w:hAnsi="Arial" w:cs="Arial"/>
          <w:b/>
          <w:i/>
          <w:lang w:val="sr-Latn-ME"/>
        </w:rPr>
        <w:t xml:space="preserve"> </w:t>
      </w:r>
      <w:r w:rsidR="00AB65ED" w:rsidRPr="001302F9">
        <w:rPr>
          <w:rFonts w:ascii="Arial" w:hAnsi="Arial" w:cs="Arial"/>
          <w:b/>
          <w:i/>
          <w:lang w:val="sr-Latn-ME"/>
        </w:rPr>
        <w:t>gdje je to izvodljivo, s</w:t>
      </w:r>
      <w:r w:rsidRPr="001302F9">
        <w:rPr>
          <w:rFonts w:ascii="Arial" w:hAnsi="Arial" w:cs="Arial"/>
          <w:b/>
          <w:i/>
          <w:lang w:val="sr-Latn-ME"/>
        </w:rPr>
        <w:t>provode brže</w:t>
      </w:r>
      <w:r w:rsidR="00AB65ED" w:rsidRPr="001302F9">
        <w:rPr>
          <w:rFonts w:ascii="Arial" w:hAnsi="Arial" w:cs="Arial"/>
          <w:b/>
          <w:i/>
          <w:lang w:val="sr-Latn-ME"/>
        </w:rPr>
        <w:t xml:space="preserve"> </w:t>
      </w:r>
      <w:r w:rsidR="00E57A4A" w:rsidRPr="001302F9">
        <w:rPr>
          <w:rFonts w:ascii="Arial" w:hAnsi="Arial" w:cs="Arial"/>
          <w:b/>
          <w:i/>
          <w:lang w:val="sr-Latn-ME"/>
        </w:rPr>
        <w:t>i</w:t>
      </w:r>
      <w:r w:rsidR="00AB65ED" w:rsidRPr="001302F9">
        <w:rPr>
          <w:rFonts w:ascii="Arial" w:hAnsi="Arial" w:cs="Arial"/>
          <w:b/>
          <w:i/>
          <w:lang w:val="sr-Latn-ME"/>
        </w:rPr>
        <w:t xml:space="preserve"> efikasnije</w:t>
      </w:r>
      <w:r w:rsidRPr="001302F9">
        <w:rPr>
          <w:rFonts w:ascii="Arial" w:hAnsi="Arial" w:cs="Arial"/>
          <w:b/>
          <w:i/>
          <w:lang w:val="sr-Latn-ME"/>
        </w:rPr>
        <w:t>.</w:t>
      </w:r>
      <w:r w:rsidR="005D6FCE" w:rsidRPr="001302F9">
        <w:rPr>
          <w:rFonts w:ascii="Arial" w:hAnsi="Arial" w:cs="Arial"/>
          <w:b/>
          <w:i/>
          <w:lang w:val="sr-Latn-ME"/>
        </w:rPr>
        <w:t xml:space="preserve"> </w:t>
      </w:r>
    </w:p>
    <w:p w:rsidR="00E57A4A" w:rsidRPr="001302F9" w:rsidRDefault="00E57A4A" w:rsidP="00EE65EF">
      <w:pPr>
        <w:spacing w:before="120" w:after="120" w:line="240" w:lineRule="auto"/>
        <w:jc w:val="both"/>
        <w:rPr>
          <w:rFonts w:ascii="Arial" w:hAnsi="Arial" w:cs="Arial"/>
          <w:b/>
          <w:i/>
          <w:lang w:val="sr-Latn-ME"/>
        </w:rPr>
      </w:pPr>
    </w:p>
    <w:p w:rsidR="00ED6FE9" w:rsidRPr="001302F9" w:rsidRDefault="00794128" w:rsidP="00EE65EF">
      <w:pPr>
        <w:pStyle w:val="ListParagraph"/>
        <w:numPr>
          <w:ilvl w:val="0"/>
          <w:numId w:val="2"/>
        </w:numPr>
        <w:spacing w:before="120" w:after="120" w:line="240" w:lineRule="auto"/>
        <w:ind w:left="714" w:hanging="357"/>
        <w:contextualSpacing w:val="0"/>
        <w:rPr>
          <w:rFonts w:cs="Arial"/>
          <w:b/>
          <w:sz w:val="22"/>
          <w:szCs w:val="22"/>
          <w:lang w:val="sr-Latn-ME"/>
        </w:rPr>
      </w:pPr>
      <w:r w:rsidRPr="001302F9">
        <w:rPr>
          <w:rFonts w:cs="Arial"/>
          <w:b/>
          <w:sz w:val="22"/>
          <w:szCs w:val="22"/>
          <w:lang w:val="sr-Latn-ME"/>
        </w:rPr>
        <w:t>Izazovi</w:t>
      </w:r>
    </w:p>
    <w:p w:rsidR="00E57A4A" w:rsidRPr="001302F9" w:rsidRDefault="00794128" w:rsidP="00EE65EF">
      <w:pPr>
        <w:spacing w:before="120" w:after="120" w:line="240" w:lineRule="auto"/>
        <w:jc w:val="both"/>
        <w:rPr>
          <w:rFonts w:ascii="Arial" w:hAnsi="Arial" w:cs="Arial"/>
          <w:lang w:val="sr-Latn-ME"/>
        </w:rPr>
      </w:pPr>
      <w:r w:rsidRPr="001302F9">
        <w:rPr>
          <w:rFonts w:ascii="Arial" w:hAnsi="Arial" w:cs="Arial"/>
          <w:lang w:val="sr-Latn-ME"/>
        </w:rPr>
        <w:t>Međutim, 30% aktivnosti u okviru Strategije 2019-2022 nisu realizovane (4 aktivnosti)</w:t>
      </w:r>
      <w:r w:rsidR="00E57A4A" w:rsidRPr="001302F9">
        <w:rPr>
          <w:rFonts w:ascii="Arial" w:hAnsi="Arial" w:cs="Arial"/>
          <w:lang w:val="sr-Latn-ME"/>
        </w:rPr>
        <w:t>, a</w:t>
      </w:r>
      <w:r w:rsidRPr="001302F9">
        <w:rPr>
          <w:rFonts w:ascii="Arial" w:hAnsi="Arial" w:cs="Arial"/>
          <w:lang w:val="sr-Latn-ME"/>
        </w:rPr>
        <w:t xml:space="preserve"> 2 aktivnosti</w:t>
      </w:r>
      <w:r w:rsidR="00E57A4A" w:rsidRPr="001302F9">
        <w:rPr>
          <w:rFonts w:ascii="Arial" w:hAnsi="Arial" w:cs="Arial"/>
          <w:lang w:val="sr-Latn-ME"/>
        </w:rPr>
        <w:t xml:space="preserve"> su realizovane samo djelimično. </w:t>
      </w:r>
    </w:p>
    <w:p w:rsidR="00FB5D36" w:rsidRPr="001302F9" w:rsidRDefault="00794128" w:rsidP="00EE65EF">
      <w:pPr>
        <w:spacing w:before="120" w:after="120" w:line="240" w:lineRule="auto"/>
        <w:jc w:val="both"/>
        <w:rPr>
          <w:rFonts w:ascii="Arial" w:hAnsi="Arial" w:cs="Arial"/>
          <w:lang w:val="sr-Latn-ME"/>
        </w:rPr>
      </w:pPr>
      <w:r w:rsidRPr="001302F9">
        <w:rPr>
          <w:rFonts w:ascii="Arial" w:hAnsi="Arial" w:cs="Arial"/>
          <w:lang w:val="sr-Latn-ME"/>
        </w:rPr>
        <w:t>Ovo je uključivalo:</w:t>
      </w:r>
    </w:p>
    <w:p w:rsidR="00794128" w:rsidRPr="001302F9" w:rsidRDefault="00794128" w:rsidP="000B64E3">
      <w:pPr>
        <w:pStyle w:val="ListParagraph"/>
        <w:numPr>
          <w:ilvl w:val="0"/>
          <w:numId w:val="4"/>
        </w:numPr>
        <w:spacing w:before="120" w:after="120" w:line="240" w:lineRule="auto"/>
        <w:ind w:left="714" w:hanging="357"/>
        <w:contextualSpacing w:val="0"/>
        <w:rPr>
          <w:rFonts w:cs="Arial"/>
          <w:sz w:val="22"/>
          <w:szCs w:val="22"/>
          <w:lang w:val="sr-Latn-ME"/>
        </w:rPr>
      </w:pPr>
      <w:r w:rsidRPr="001302F9">
        <w:rPr>
          <w:rFonts w:cs="Arial"/>
          <w:sz w:val="22"/>
          <w:szCs w:val="22"/>
          <w:lang w:val="sr-Latn-ME"/>
        </w:rPr>
        <w:t xml:space="preserve">nisu usvojene </w:t>
      </w:r>
      <w:r w:rsidR="00E57A4A" w:rsidRPr="001302F9">
        <w:rPr>
          <w:rFonts w:cs="Arial"/>
          <w:sz w:val="22"/>
          <w:szCs w:val="22"/>
          <w:lang w:val="sr-Latn-ME"/>
        </w:rPr>
        <w:t xml:space="preserve">određene </w:t>
      </w:r>
      <w:r w:rsidRPr="001302F9">
        <w:rPr>
          <w:rFonts w:cs="Arial"/>
          <w:sz w:val="22"/>
          <w:szCs w:val="22"/>
          <w:lang w:val="sr-Latn-ME"/>
        </w:rPr>
        <w:t xml:space="preserve">izmjene i dopune Zakona o budžetu i fiskalnoj odgovornosti (izmjene su usvojene </w:t>
      </w:r>
      <w:r w:rsidR="00E57A4A" w:rsidRPr="001302F9">
        <w:rPr>
          <w:rFonts w:cs="Arial"/>
          <w:sz w:val="22"/>
          <w:szCs w:val="22"/>
          <w:lang w:val="sr-Latn-ME"/>
        </w:rPr>
        <w:t>nakon isteka perioda implementacije Strategije, tačnije u martu</w:t>
      </w:r>
      <w:r w:rsidRPr="001302F9">
        <w:rPr>
          <w:rFonts w:cs="Arial"/>
          <w:sz w:val="22"/>
          <w:szCs w:val="22"/>
          <w:lang w:val="sr-Latn-ME"/>
        </w:rPr>
        <w:t xml:space="preserve"> 2023. godine);</w:t>
      </w:r>
    </w:p>
    <w:p w:rsidR="00162ADA" w:rsidRPr="001302F9" w:rsidRDefault="00794128" w:rsidP="00162ADA">
      <w:pPr>
        <w:pStyle w:val="ListParagraph"/>
        <w:numPr>
          <w:ilvl w:val="0"/>
          <w:numId w:val="4"/>
        </w:numPr>
        <w:spacing w:before="120" w:after="120" w:line="240" w:lineRule="auto"/>
        <w:ind w:left="714" w:hanging="357"/>
        <w:contextualSpacing w:val="0"/>
        <w:rPr>
          <w:rFonts w:cs="Arial"/>
          <w:sz w:val="22"/>
          <w:szCs w:val="22"/>
          <w:lang w:val="sr-Latn-ME"/>
        </w:rPr>
      </w:pPr>
      <w:r w:rsidRPr="001302F9">
        <w:rPr>
          <w:rFonts w:cs="Arial"/>
          <w:sz w:val="22"/>
          <w:szCs w:val="22"/>
          <w:lang w:val="sr-Latn-ME"/>
        </w:rPr>
        <w:t xml:space="preserve">nije usvojena Uredba o institucionalnom okviru za funkcionisanje sistema za suzbijanje prevara i nepravilnosti (AFCOS sistem) u Crnoj Gori i nije usvojena Odluka o uspostavljanju AFCOS mreže </w:t>
      </w:r>
      <w:r w:rsidR="00E57A4A" w:rsidRPr="001302F9">
        <w:rPr>
          <w:rFonts w:cs="Arial"/>
          <w:sz w:val="22"/>
          <w:szCs w:val="22"/>
          <w:lang w:val="sr-Latn-ME"/>
        </w:rPr>
        <w:t>na način kako je izrađena</w:t>
      </w:r>
      <w:r w:rsidRPr="001302F9">
        <w:rPr>
          <w:rFonts w:cs="Arial"/>
          <w:sz w:val="22"/>
          <w:szCs w:val="22"/>
          <w:lang w:val="sr-Latn-ME"/>
        </w:rPr>
        <w:t xml:space="preserve"> u okviru Twinning Light projekta „Razvoj kapaciteta za AFCOS kancelariju u Crnoj Gori“</w:t>
      </w:r>
      <w:r w:rsidR="00E57A4A" w:rsidRPr="001302F9">
        <w:rPr>
          <w:rFonts w:cs="Arial"/>
          <w:sz w:val="22"/>
          <w:szCs w:val="22"/>
          <w:lang w:val="sr-Latn-ME"/>
        </w:rPr>
        <w:t>.</w:t>
      </w:r>
    </w:p>
    <w:p w:rsidR="00DC57D9" w:rsidRPr="001302F9" w:rsidRDefault="00A22543" w:rsidP="007430BE">
      <w:pPr>
        <w:pStyle w:val="ListParagraph"/>
        <w:numPr>
          <w:ilvl w:val="0"/>
          <w:numId w:val="4"/>
        </w:numPr>
        <w:spacing w:before="120" w:after="120" w:line="240" w:lineRule="auto"/>
        <w:rPr>
          <w:rFonts w:cs="Arial"/>
          <w:sz w:val="22"/>
          <w:szCs w:val="22"/>
          <w:lang w:val="sr-Latn-ME"/>
        </w:rPr>
      </w:pPr>
      <w:r w:rsidRPr="001302F9">
        <w:rPr>
          <w:rFonts w:cs="Arial"/>
          <w:sz w:val="22"/>
          <w:szCs w:val="22"/>
          <w:lang w:val="sr-Latn-ME"/>
        </w:rPr>
        <w:t xml:space="preserve">djelimično </w:t>
      </w:r>
      <w:r w:rsidR="007430BE" w:rsidRPr="001302F9">
        <w:rPr>
          <w:rFonts w:cs="Arial"/>
          <w:sz w:val="22"/>
          <w:szCs w:val="22"/>
          <w:lang w:val="sr-Latn-ME"/>
        </w:rPr>
        <w:t>je realizovano potpisivanje</w:t>
      </w:r>
      <w:r w:rsidRPr="001302F9">
        <w:rPr>
          <w:rFonts w:cs="Arial"/>
          <w:sz w:val="22"/>
          <w:szCs w:val="22"/>
          <w:lang w:val="sr-Latn-ME"/>
        </w:rPr>
        <w:t xml:space="preserve"> protokola o saradnji između Ministarstva finansija i odabranih ti</w:t>
      </w:r>
      <w:r w:rsidR="007430BE" w:rsidRPr="001302F9">
        <w:rPr>
          <w:rFonts w:cs="Arial"/>
          <w:sz w:val="22"/>
          <w:szCs w:val="22"/>
          <w:lang w:val="sr-Latn-ME"/>
        </w:rPr>
        <w:t>jela</w:t>
      </w:r>
      <w:r w:rsidRPr="001302F9">
        <w:rPr>
          <w:rFonts w:cs="Arial"/>
          <w:sz w:val="22"/>
          <w:szCs w:val="22"/>
          <w:lang w:val="sr-Latn-ME"/>
        </w:rPr>
        <w:t xml:space="preserve"> AFCOS mreže (Revizorsko tijelo, Ministarstvo unutrašnjih poslova, Državno tužilaštvo) radi jačanja međuinstitucionalne saradnje.</w:t>
      </w:r>
      <w:r w:rsidR="00FA7774" w:rsidRPr="001302F9">
        <w:rPr>
          <w:rFonts w:cs="Arial"/>
          <w:sz w:val="22"/>
          <w:szCs w:val="22"/>
          <w:lang w:val="sr-Latn-ME"/>
        </w:rPr>
        <w:t xml:space="preserve"> </w:t>
      </w:r>
      <w:r w:rsidRPr="001302F9">
        <w:rPr>
          <w:rFonts w:cs="Arial"/>
          <w:sz w:val="22"/>
          <w:szCs w:val="22"/>
          <w:lang w:val="sr-Latn-ME"/>
        </w:rPr>
        <w:t>Trenutno su potpisana 2 Protokola o saradnji – sa Revizorskim tijelom i Ministarstvom unutrašnjih poslova.</w:t>
      </w:r>
      <w:r w:rsidR="00A75B7D" w:rsidRPr="001302F9">
        <w:rPr>
          <w:rFonts w:cs="Arial"/>
          <w:sz w:val="22"/>
          <w:szCs w:val="22"/>
          <w:lang w:val="sr-Latn-ME"/>
        </w:rPr>
        <w:t xml:space="preserve"> </w:t>
      </w:r>
    </w:p>
    <w:p w:rsidR="00A22543" w:rsidRPr="001302F9" w:rsidRDefault="00A22543" w:rsidP="00EE65EF">
      <w:pPr>
        <w:spacing w:before="120" w:after="120" w:line="240" w:lineRule="auto"/>
        <w:jc w:val="both"/>
        <w:rPr>
          <w:rFonts w:ascii="Arial" w:hAnsi="Arial" w:cs="Arial"/>
          <w:lang w:val="sr-Latn-ME"/>
        </w:rPr>
      </w:pPr>
      <w:r w:rsidRPr="001302F9">
        <w:rPr>
          <w:rFonts w:ascii="Arial" w:hAnsi="Arial" w:cs="Arial"/>
          <w:lang w:val="sr-Latn-ME"/>
        </w:rPr>
        <w:t>Glavni izazovi u realizaciji gore navedenih aktivnosti bili su nedostatak političke podrške zakonodavnim promjenama, što je dalje rezultiralo nedostatkom volje za saradnj</w:t>
      </w:r>
      <w:r w:rsidR="00281F6A">
        <w:rPr>
          <w:rFonts w:ascii="Arial" w:hAnsi="Arial" w:cs="Arial"/>
          <w:lang w:val="sr-Latn-ME"/>
        </w:rPr>
        <w:t>om</w:t>
      </w:r>
      <w:r w:rsidRPr="001302F9">
        <w:rPr>
          <w:rFonts w:ascii="Arial" w:hAnsi="Arial" w:cs="Arial"/>
          <w:lang w:val="sr-Latn-ME"/>
        </w:rPr>
        <w:t xml:space="preserve"> među institucijama. U zemlji je postojala stalna politička nestabilnost u vremenskom periodu Strategije 2019-2022, što je odlagalo planirane zakonske i administrativne reforme. Promjene političkog rukovodstva i ministara u vladi često su praćene promjenama u najvišem i srednjem rukovodstvu organa javne uprave. Institucionalni kontinuitet i timska motivacija u različitim institucijama, uključujući IPA strukturu, pretrpjeli su štetu i rezultirali visokim stopama fluktuacije tokom posljednjih godina.</w:t>
      </w:r>
    </w:p>
    <w:p w:rsidR="007C55B6" w:rsidRPr="001302F9" w:rsidRDefault="002D058A" w:rsidP="00EE65EF">
      <w:pPr>
        <w:spacing w:before="120" w:after="120" w:line="240" w:lineRule="auto"/>
        <w:jc w:val="both"/>
        <w:rPr>
          <w:rFonts w:ascii="Arial" w:hAnsi="Arial" w:cs="Arial"/>
          <w:lang w:val="sr-Latn-ME"/>
        </w:rPr>
      </w:pPr>
      <w:r w:rsidRPr="001302F9">
        <w:rPr>
          <w:rFonts w:ascii="Arial" w:hAnsi="Arial" w:cs="Arial"/>
          <w:lang w:val="sr-Latn-ME"/>
        </w:rPr>
        <w:t>Još jedan neočekivani izazov bilo je izbijanje pandemije COVID-a, što se poklopilo s planom aktivnosti za izvođenje obuk</w:t>
      </w:r>
      <w:r w:rsidR="009E46E8" w:rsidRPr="001302F9">
        <w:rPr>
          <w:rFonts w:ascii="Arial" w:hAnsi="Arial" w:cs="Arial"/>
          <w:lang w:val="sr-Latn-ME"/>
        </w:rPr>
        <w:t xml:space="preserve">a, koje su </w:t>
      </w:r>
      <w:r w:rsidRPr="001302F9">
        <w:rPr>
          <w:rFonts w:ascii="Arial" w:hAnsi="Arial" w:cs="Arial"/>
          <w:lang w:val="sr-Latn-ME"/>
        </w:rPr>
        <w:t>zbog toga moral</w:t>
      </w:r>
      <w:r w:rsidR="009E46E8" w:rsidRPr="001302F9">
        <w:rPr>
          <w:rFonts w:ascii="Arial" w:hAnsi="Arial" w:cs="Arial"/>
          <w:lang w:val="sr-Latn-ME"/>
        </w:rPr>
        <w:t>e</w:t>
      </w:r>
      <w:r w:rsidRPr="001302F9">
        <w:rPr>
          <w:rFonts w:ascii="Arial" w:hAnsi="Arial" w:cs="Arial"/>
          <w:lang w:val="sr-Latn-ME"/>
        </w:rPr>
        <w:t xml:space="preserve"> biti odgođen</w:t>
      </w:r>
      <w:r w:rsidR="009E46E8" w:rsidRPr="001302F9">
        <w:rPr>
          <w:rFonts w:ascii="Arial" w:hAnsi="Arial" w:cs="Arial"/>
          <w:lang w:val="sr-Latn-ME"/>
        </w:rPr>
        <w:t>e</w:t>
      </w:r>
      <w:r w:rsidRPr="001302F9">
        <w:rPr>
          <w:rFonts w:ascii="Arial" w:hAnsi="Arial" w:cs="Arial"/>
          <w:lang w:val="sr-Latn-ME"/>
        </w:rPr>
        <w:t xml:space="preserve">, </w:t>
      </w:r>
      <w:r w:rsidR="009E46E8" w:rsidRPr="001302F9">
        <w:rPr>
          <w:rFonts w:ascii="Arial" w:hAnsi="Arial" w:cs="Arial"/>
          <w:lang w:val="sr-Latn-ME"/>
        </w:rPr>
        <w:t xml:space="preserve">a </w:t>
      </w:r>
      <w:r w:rsidRPr="001302F9">
        <w:rPr>
          <w:rFonts w:ascii="Arial" w:hAnsi="Arial" w:cs="Arial"/>
          <w:lang w:val="sr-Latn-ME"/>
        </w:rPr>
        <w:t xml:space="preserve">što je </w:t>
      </w:r>
      <w:r w:rsidR="009E46E8" w:rsidRPr="001302F9">
        <w:rPr>
          <w:rFonts w:ascii="Arial" w:hAnsi="Arial" w:cs="Arial"/>
          <w:lang w:val="sr-Latn-ME"/>
        </w:rPr>
        <w:t xml:space="preserve">uticalo na određeno </w:t>
      </w:r>
      <w:r w:rsidRPr="001302F9">
        <w:rPr>
          <w:rFonts w:ascii="Arial" w:hAnsi="Arial" w:cs="Arial"/>
          <w:lang w:val="sr-Latn-ME"/>
        </w:rPr>
        <w:t>kašnjenje u implementaciji Strategije 2019-2022.</w:t>
      </w:r>
    </w:p>
    <w:p w:rsidR="002D058A" w:rsidRPr="001302F9" w:rsidRDefault="002D058A" w:rsidP="00EE65EF">
      <w:pPr>
        <w:spacing w:before="120" w:after="120" w:line="240" w:lineRule="auto"/>
        <w:jc w:val="both"/>
        <w:rPr>
          <w:rFonts w:ascii="Arial" w:hAnsi="Arial" w:cs="Arial"/>
          <w:lang w:val="sr-Latn-ME"/>
        </w:rPr>
      </w:pPr>
    </w:p>
    <w:p w:rsidR="00EB688B" w:rsidRPr="001302F9" w:rsidRDefault="005A26C8" w:rsidP="009B6B3B">
      <w:pPr>
        <w:pStyle w:val="Heading3"/>
        <w:numPr>
          <w:ilvl w:val="2"/>
          <w:numId w:val="12"/>
        </w:numPr>
        <w:spacing w:before="120" w:after="120"/>
        <w:rPr>
          <w:rFonts w:ascii="Arial" w:hAnsi="Arial" w:cs="Arial"/>
          <w:sz w:val="22"/>
          <w:szCs w:val="22"/>
          <w:lang w:val="sr-Latn-ME"/>
        </w:rPr>
      </w:pPr>
      <w:r w:rsidRPr="001302F9">
        <w:rPr>
          <w:rFonts w:ascii="Arial" w:hAnsi="Arial" w:cs="Arial"/>
          <w:sz w:val="22"/>
          <w:szCs w:val="22"/>
          <w:lang w:val="sr-Latn-ME"/>
        </w:rPr>
        <w:t xml:space="preserve">Glavne preporuke za </w:t>
      </w:r>
      <w:r w:rsidR="000904DD" w:rsidRPr="001302F9">
        <w:rPr>
          <w:rFonts w:ascii="Arial" w:hAnsi="Arial" w:cs="Arial"/>
          <w:sz w:val="22"/>
          <w:szCs w:val="22"/>
          <w:lang w:val="sr-Latn-ME"/>
        </w:rPr>
        <w:t>Strategiju</w:t>
      </w:r>
      <w:r w:rsidRPr="001302F9">
        <w:rPr>
          <w:rFonts w:ascii="Arial" w:hAnsi="Arial" w:cs="Arial"/>
          <w:sz w:val="22"/>
          <w:szCs w:val="22"/>
          <w:lang w:val="sr-Latn-ME"/>
        </w:rPr>
        <w:t xml:space="preserve"> 2025-2028</w:t>
      </w:r>
    </w:p>
    <w:p w:rsidR="00BE26A5" w:rsidRDefault="007848D1" w:rsidP="000556FC">
      <w:pPr>
        <w:spacing w:before="120" w:after="120" w:line="240" w:lineRule="auto"/>
        <w:jc w:val="both"/>
        <w:rPr>
          <w:rFonts w:ascii="Arial" w:hAnsi="Arial" w:cs="Arial"/>
          <w:lang w:val="sr-Latn-ME"/>
        </w:rPr>
      </w:pPr>
      <w:r w:rsidRPr="001302F9">
        <w:rPr>
          <w:rFonts w:ascii="Arial" w:hAnsi="Arial" w:cs="Arial"/>
          <w:lang w:val="sr-Latn-ME"/>
        </w:rPr>
        <w:t>Glavne preporuke razvijene tokom ex-post evaluacije za nov</w:t>
      </w:r>
      <w:r w:rsidR="000904DD" w:rsidRPr="001302F9">
        <w:rPr>
          <w:rFonts w:ascii="Arial" w:hAnsi="Arial" w:cs="Arial"/>
          <w:lang w:val="sr-Latn-ME"/>
        </w:rPr>
        <w:t>u Strategiju</w:t>
      </w:r>
      <w:r w:rsidRPr="001302F9">
        <w:rPr>
          <w:rFonts w:ascii="Arial" w:hAnsi="Arial" w:cs="Arial"/>
          <w:lang w:val="sr-Latn-ME"/>
        </w:rPr>
        <w:t xml:space="preserve"> uključuju različite aspekte planiranja i dizajna strateškog dokumenta</w:t>
      </w:r>
      <w:r w:rsidR="008C728E" w:rsidRPr="001302F9">
        <w:rPr>
          <w:rFonts w:ascii="Arial" w:hAnsi="Arial" w:cs="Arial"/>
          <w:lang w:val="sr-Latn-ME"/>
        </w:rPr>
        <w:t>.</w:t>
      </w:r>
    </w:p>
    <w:p w:rsidR="00F353C6" w:rsidRPr="001302F9" w:rsidRDefault="008C728E" w:rsidP="000556FC">
      <w:pPr>
        <w:spacing w:before="120" w:after="120" w:line="240" w:lineRule="auto"/>
        <w:jc w:val="both"/>
        <w:rPr>
          <w:rFonts w:ascii="Arial" w:hAnsi="Arial" w:cs="Arial"/>
          <w:lang w:val="sr-Latn-ME"/>
        </w:rPr>
      </w:pPr>
      <w:r w:rsidRPr="001302F9">
        <w:rPr>
          <w:rFonts w:ascii="Arial" w:hAnsi="Arial" w:cs="Arial"/>
          <w:lang w:val="sr-Latn-ME"/>
        </w:rPr>
        <w:t xml:space="preserve"> </w:t>
      </w:r>
    </w:p>
    <w:p w:rsidR="00EA06C8" w:rsidRDefault="00C91833" w:rsidP="00EA06C8">
      <w:pPr>
        <w:spacing w:before="120" w:after="120" w:line="240" w:lineRule="auto"/>
        <w:jc w:val="center"/>
        <w:rPr>
          <w:rFonts w:ascii="Arial" w:hAnsi="Arial" w:cs="Arial"/>
          <w:lang w:val="sr-Latn-ME"/>
        </w:rPr>
      </w:pPr>
      <w:r w:rsidRPr="00C91833">
        <w:rPr>
          <w:noProof/>
        </w:rPr>
        <w:drawing>
          <wp:inline distT="0" distB="0" distL="0" distR="0" wp14:anchorId="4187163D" wp14:editId="6E3B9757">
            <wp:extent cx="5731510" cy="277368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2773680"/>
                    </a:xfrm>
                    <a:prstGeom prst="rect">
                      <a:avLst/>
                    </a:prstGeom>
                  </pic:spPr>
                </pic:pic>
              </a:graphicData>
            </a:graphic>
          </wp:inline>
        </w:drawing>
      </w:r>
    </w:p>
    <w:p w:rsidR="00BE26A5" w:rsidRPr="001302F9" w:rsidRDefault="00BE26A5" w:rsidP="00EA06C8">
      <w:pPr>
        <w:spacing w:before="120" w:after="120" w:line="240" w:lineRule="auto"/>
        <w:jc w:val="center"/>
        <w:rPr>
          <w:rFonts w:ascii="Arial" w:hAnsi="Arial" w:cs="Arial"/>
          <w:lang w:val="sr-Latn-ME"/>
        </w:rPr>
      </w:pPr>
    </w:p>
    <w:p w:rsidR="00996C8A" w:rsidRPr="001302F9" w:rsidRDefault="007848D1" w:rsidP="00FE30F4">
      <w:pPr>
        <w:spacing w:before="120" w:after="120" w:line="240" w:lineRule="auto"/>
        <w:jc w:val="both"/>
        <w:rPr>
          <w:rFonts w:ascii="Arial" w:hAnsi="Arial" w:cs="Arial"/>
          <w:bCs/>
          <w:lang w:val="sr-Latn-ME"/>
        </w:rPr>
      </w:pPr>
      <w:r w:rsidRPr="001302F9">
        <w:rPr>
          <w:rFonts w:ascii="Arial" w:hAnsi="Arial" w:cs="Arial"/>
          <w:b/>
          <w:bCs/>
          <w:lang w:val="sr-Latn-ME"/>
        </w:rPr>
        <w:t xml:space="preserve">Sa metodološkog aspekta - </w:t>
      </w:r>
      <w:r w:rsidRPr="001302F9">
        <w:rPr>
          <w:rFonts w:ascii="Arial" w:hAnsi="Arial" w:cs="Arial"/>
          <w:bCs/>
          <w:lang w:val="sr-Latn-ME"/>
        </w:rPr>
        <w:t xml:space="preserve">preporučeno je konsultovati OLAF-ove </w:t>
      </w:r>
      <w:r w:rsidR="00BD101B" w:rsidRPr="001302F9">
        <w:rPr>
          <w:rFonts w:ascii="Arial" w:hAnsi="Arial" w:cs="Arial"/>
          <w:bCs/>
          <w:lang w:val="sr-Latn-ME"/>
        </w:rPr>
        <w:t xml:space="preserve">dokumente „Smjernice za nacionalne strategije suzbijanja prevara“ i </w:t>
      </w:r>
      <w:r w:rsidR="00FE30F4" w:rsidRPr="001302F9">
        <w:rPr>
          <w:rFonts w:ascii="Arial" w:hAnsi="Arial" w:cs="Arial"/>
          <w:bCs/>
          <w:lang w:val="sr-Latn-ME"/>
        </w:rPr>
        <w:t>„Praktični koraci za izradu Nacionalne strategije suzbijanja prevara“</w:t>
      </w:r>
      <w:r w:rsidRPr="001302F9">
        <w:rPr>
          <w:rFonts w:ascii="Arial" w:hAnsi="Arial" w:cs="Arial"/>
          <w:bCs/>
          <w:lang w:val="sr-Latn-ME"/>
        </w:rPr>
        <w:t xml:space="preserve">, </w:t>
      </w:r>
      <w:r w:rsidR="00FE30F4" w:rsidRPr="001302F9">
        <w:rPr>
          <w:rFonts w:ascii="Arial" w:hAnsi="Arial" w:cs="Arial"/>
          <w:bCs/>
          <w:lang w:val="sr-Latn-ME"/>
        </w:rPr>
        <w:t xml:space="preserve">kao i </w:t>
      </w:r>
      <w:r w:rsidRPr="001302F9">
        <w:rPr>
          <w:rFonts w:ascii="Arial" w:hAnsi="Arial" w:cs="Arial"/>
          <w:bCs/>
          <w:lang w:val="sr-Latn-ME"/>
        </w:rPr>
        <w:t xml:space="preserve">primijeniti teoriju principa promjene i razviti set </w:t>
      </w:r>
      <w:r w:rsidR="00FE30F4" w:rsidRPr="001302F9">
        <w:rPr>
          <w:rFonts w:ascii="Arial" w:hAnsi="Arial" w:cs="Arial"/>
          <w:bCs/>
          <w:lang w:val="sr-Latn-ME"/>
        </w:rPr>
        <w:t xml:space="preserve">SMART </w:t>
      </w:r>
      <w:r w:rsidRPr="001302F9">
        <w:rPr>
          <w:rFonts w:ascii="Arial" w:hAnsi="Arial" w:cs="Arial"/>
          <w:bCs/>
          <w:lang w:val="sr-Latn-ME"/>
        </w:rPr>
        <w:t>indikatora rezultata</w:t>
      </w:r>
      <w:r w:rsidR="00FE30F4" w:rsidRPr="001302F9">
        <w:rPr>
          <w:rFonts w:ascii="Arial" w:hAnsi="Arial" w:cs="Arial"/>
          <w:bCs/>
          <w:lang w:val="sr-Latn-ME"/>
        </w:rPr>
        <w:t xml:space="preserve"> </w:t>
      </w:r>
      <w:r w:rsidRPr="001302F9">
        <w:rPr>
          <w:rFonts w:ascii="Arial" w:hAnsi="Arial" w:cs="Arial"/>
          <w:bCs/>
          <w:lang w:val="sr-Latn-ME"/>
        </w:rPr>
        <w:t>i ishoda</w:t>
      </w:r>
      <w:r w:rsidR="001173B0" w:rsidRPr="001302F9">
        <w:rPr>
          <w:rFonts w:ascii="Arial" w:hAnsi="Arial" w:cs="Arial"/>
          <w:lang w:val="sr-Latn-ME"/>
        </w:rPr>
        <w:t>.</w:t>
      </w:r>
    </w:p>
    <w:p w:rsidR="007848D1" w:rsidRPr="001302F9" w:rsidRDefault="007848D1" w:rsidP="00B21D9C">
      <w:pPr>
        <w:spacing w:before="120" w:after="120" w:line="240" w:lineRule="auto"/>
        <w:jc w:val="both"/>
        <w:rPr>
          <w:rFonts w:ascii="Arial" w:hAnsi="Arial" w:cs="Arial"/>
          <w:b/>
          <w:bCs/>
          <w:lang w:val="sr-Latn-ME"/>
        </w:rPr>
      </w:pPr>
      <w:r w:rsidRPr="001302F9">
        <w:rPr>
          <w:rFonts w:ascii="Arial" w:hAnsi="Arial" w:cs="Arial"/>
          <w:b/>
          <w:bCs/>
          <w:lang w:val="sr-Latn-ME"/>
        </w:rPr>
        <w:t>Što se tiče sadržaja</w:t>
      </w:r>
      <w:r w:rsidRPr="001302F9">
        <w:rPr>
          <w:rFonts w:ascii="Arial" w:hAnsi="Arial" w:cs="Arial"/>
          <w:bCs/>
          <w:lang w:val="sr-Latn-ME"/>
        </w:rPr>
        <w:t xml:space="preserve"> – glavne preporuke za nov</w:t>
      </w:r>
      <w:r w:rsidR="000904DD" w:rsidRPr="001302F9">
        <w:rPr>
          <w:rFonts w:ascii="Arial" w:hAnsi="Arial" w:cs="Arial"/>
          <w:bCs/>
          <w:lang w:val="sr-Latn-ME"/>
        </w:rPr>
        <w:t>u Strategiju</w:t>
      </w:r>
      <w:r w:rsidRPr="001302F9">
        <w:rPr>
          <w:rFonts w:ascii="Arial" w:hAnsi="Arial" w:cs="Arial"/>
          <w:bCs/>
          <w:lang w:val="sr-Latn-ME"/>
        </w:rPr>
        <w:t xml:space="preserve"> uključivale su primjenu kontinuiranog pristupa nadogradnj</w:t>
      </w:r>
      <w:r w:rsidR="00B62214" w:rsidRPr="001302F9">
        <w:rPr>
          <w:rFonts w:ascii="Arial" w:hAnsi="Arial" w:cs="Arial"/>
          <w:bCs/>
          <w:lang w:val="sr-Latn-ME"/>
        </w:rPr>
        <w:t>e</w:t>
      </w:r>
      <w:r w:rsidRPr="001302F9">
        <w:rPr>
          <w:rFonts w:ascii="Arial" w:hAnsi="Arial" w:cs="Arial"/>
          <w:bCs/>
          <w:lang w:val="sr-Latn-ME"/>
        </w:rPr>
        <w:t xml:space="preserve"> postignut</w:t>
      </w:r>
      <w:r w:rsidR="007E4799" w:rsidRPr="001302F9">
        <w:rPr>
          <w:rFonts w:ascii="Arial" w:hAnsi="Arial" w:cs="Arial"/>
          <w:bCs/>
          <w:lang w:val="sr-Latn-ME"/>
        </w:rPr>
        <w:t>ih rezultata</w:t>
      </w:r>
      <w:r w:rsidR="00B62214" w:rsidRPr="001302F9">
        <w:rPr>
          <w:rFonts w:ascii="Arial" w:hAnsi="Arial" w:cs="Arial"/>
          <w:bCs/>
          <w:lang w:val="sr-Latn-ME"/>
        </w:rPr>
        <w:t xml:space="preserve">, </w:t>
      </w:r>
      <w:r w:rsidRPr="001302F9">
        <w:rPr>
          <w:rFonts w:ascii="Arial" w:hAnsi="Arial" w:cs="Arial"/>
          <w:bCs/>
          <w:lang w:val="sr-Latn-ME"/>
        </w:rPr>
        <w:t xml:space="preserve">prikupljanjem </w:t>
      </w:r>
      <w:r w:rsidR="007E4799" w:rsidRPr="001302F9">
        <w:rPr>
          <w:rFonts w:ascii="Arial" w:hAnsi="Arial" w:cs="Arial"/>
          <w:bCs/>
          <w:lang w:val="sr-Latn-ME"/>
        </w:rPr>
        <w:t xml:space="preserve">i korišćenjem </w:t>
      </w:r>
      <w:r w:rsidRPr="001302F9">
        <w:rPr>
          <w:rFonts w:ascii="Arial" w:hAnsi="Arial" w:cs="Arial"/>
          <w:bCs/>
          <w:lang w:val="sr-Latn-ME"/>
        </w:rPr>
        <w:t xml:space="preserve">naučenih lekcija. Kao ključni elementi uspjeha istaknuta su dva faktora – vidljivost i promocija zajedničkog razumijevanja važnosti izrade </w:t>
      </w:r>
      <w:r w:rsidR="000904DD" w:rsidRPr="001302F9">
        <w:rPr>
          <w:rFonts w:ascii="Arial" w:hAnsi="Arial" w:cs="Arial"/>
          <w:bCs/>
          <w:lang w:val="sr-Latn-ME"/>
        </w:rPr>
        <w:t>Strategije</w:t>
      </w:r>
      <w:r w:rsidRPr="001302F9">
        <w:rPr>
          <w:rFonts w:ascii="Arial" w:hAnsi="Arial" w:cs="Arial"/>
          <w:bCs/>
          <w:lang w:val="sr-Latn-ME"/>
        </w:rPr>
        <w:t xml:space="preserve"> i pravilna međuinstitucionalna saradnja u svakoj fazi ciklusa Strategije – konsultacije, dizajn, implementacija, praćenje i evaluacija. Takođe, savjetovana je razmjena najboljih praksi među institucijama na nacionalnom nivou i razvoj standardizovanih obrazaca i dokumenata</w:t>
      </w:r>
      <w:r w:rsidR="00A26A9C" w:rsidRPr="001302F9">
        <w:rPr>
          <w:rFonts w:ascii="Arial" w:hAnsi="Arial" w:cs="Arial"/>
          <w:bCs/>
          <w:lang w:val="sr-Latn-ME"/>
        </w:rPr>
        <w:t xml:space="preserve">, a </w:t>
      </w:r>
      <w:r w:rsidRPr="001302F9">
        <w:rPr>
          <w:rFonts w:ascii="Arial" w:hAnsi="Arial" w:cs="Arial"/>
          <w:bCs/>
          <w:lang w:val="sr-Latn-ME"/>
        </w:rPr>
        <w:t>naglašen je i značaj ulaganja u jačanje ljudskih resursa IPA upravljačke strukture. Neki od prijedloga su već uzeti u obzir u fazi planiranja</w:t>
      </w:r>
      <w:r w:rsidR="00A26A9C" w:rsidRPr="001302F9">
        <w:rPr>
          <w:rFonts w:ascii="Arial" w:hAnsi="Arial" w:cs="Arial"/>
          <w:bCs/>
          <w:lang w:val="sr-Latn-ME"/>
        </w:rPr>
        <w:t xml:space="preserve"> i </w:t>
      </w:r>
      <w:r w:rsidRPr="001302F9">
        <w:rPr>
          <w:rFonts w:ascii="Arial" w:hAnsi="Arial" w:cs="Arial"/>
          <w:bCs/>
          <w:lang w:val="sr-Latn-ME"/>
        </w:rPr>
        <w:t xml:space="preserve">priprema za proces razvoja </w:t>
      </w:r>
      <w:r w:rsidR="00A26A9C" w:rsidRPr="001302F9">
        <w:rPr>
          <w:rFonts w:ascii="Arial" w:hAnsi="Arial" w:cs="Arial"/>
          <w:bCs/>
          <w:lang w:val="sr-Latn-ME"/>
        </w:rPr>
        <w:t xml:space="preserve">ove </w:t>
      </w:r>
      <w:r w:rsidR="000904DD" w:rsidRPr="001302F9">
        <w:rPr>
          <w:rFonts w:ascii="Arial" w:hAnsi="Arial" w:cs="Arial"/>
          <w:bCs/>
          <w:lang w:val="sr-Latn-ME"/>
        </w:rPr>
        <w:t>Strategije</w:t>
      </w:r>
      <w:r w:rsidRPr="001302F9">
        <w:rPr>
          <w:rFonts w:ascii="Arial" w:hAnsi="Arial" w:cs="Arial"/>
          <w:bCs/>
          <w:lang w:val="sr-Latn-ME"/>
        </w:rPr>
        <w:t>. Drugi su uključeni u dizajn i razvoj nov</w:t>
      </w:r>
      <w:r w:rsidR="000904DD" w:rsidRPr="001302F9">
        <w:rPr>
          <w:rFonts w:ascii="Arial" w:hAnsi="Arial" w:cs="Arial"/>
          <w:bCs/>
          <w:lang w:val="sr-Latn-ME"/>
        </w:rPr>
        <w:t>e</w:t>
      </w:r>
      <w:r w:rsidRPr="001302F9">
        <w:rPr>
          <w:rFonts w:ascii="Arial" w:hAnsi="Arial" w:cs="Arial"/>
          <w:bCs/>
          <w:lang w:val="sr-Latn-ME"/>
        </w:rPr>
        <w:t xml:space="preserve"> </w:t>
      </w:r>
      <w:r w:rsidR="000904DD" w:rsidRPr="001302F9">
        <w:rPr>
          <w:rFonts w:ascii="Arial" w:hAnsi="Arial" w:cs="Arial"/>
          <w:bCs/>
          <w:lang w:val="sr-Latn-ME"/>
        </w:rPr>
        <w:t>Strategije</w:t>
      </w:r>
      <w:r w:rsidRPr="001302F9">
        <w:rPr>
          <w:rFonts w:ascii="Arial" w:hAnsi="Arial" w:cs="Arial"/>
          <w:b/>
          <w:bCs/>
          <w:lang w:val="sr-Latn-ME"/>
        </w:rPr>
        <w:t>.</w:t>
      </w:r>
    </w:p>
    <w:p w:rsidR="00D1589C" w:rsidRPr="001302F9" w:rsidRDefault="00D1589C" w:rsidP="00D1589C">
      <w:pPr>
        <w:spacing w:before="120" w:after="120" w:line="240" w:lineRule="auto"/>
        <w:jc w:val="both"/>
        <w:rPr>
          <w:rFonts w:ascii="Arial" w:hAnsi="Arial" w:cs="Arial"/>
          <w:lang w:val="sr-Latn-ME"/>
        </w:rPr>
      </w:pPr>
      <w:r w:rsidRPr="001302F9">
        <w:rPr>
          <w:rFonts w:ascii="Arial" w:hAnsi="Arial" w:cs="Arial"/>
          <w:lang w:val="sr-Latn-ME"/>
        </w:rPr>
        <w:t xml:space="preserve">Na primjer, </w:t>
      </w:r>
      <w:r w:rsidR="00CA4A5B" w:rsidRPr="001302F9">
        <w:rPr>
          <w:rFonts w:ascii="Arial" w:hAnsi="Arial" w:cs="Arial"/>
          <w:lang w:val="sr-Latn-ME"/>
        </w:rPr>
        <w:t xml:space="preserve">pomenuta </w:t>
      </w:r>
      <w:r w:rsidRPr="001302F9">
        <w:rPr>
          <w:rFonts w:ascii="Arial" w:hAnsi="Arial" w:cs="Arial"/>
          <w:lang w:val="sr-Latn-ME"/>
        </w:rPr>
        <w:t>OLAF-ov</w:t>
      </w:r>
      <w:r w:rsidR="00CA4A5B" w:rsidRPr="001302F9">
        <w:rPr>
          <w:rFonts w:ascii="Arial" w:hAnsi="Arial" w:cs="Arial"/>
          <w:lang w:val="sr-Latn-ME"/>
        </w:rPr>
        <w:t>a</w:t>
      </w:r>
      <w:r w:rsidRPr="001302F9">
        <w:rPr>
          <w:rFonts w:ascii="Arial" w:hAnsi="Arial" w:cs="Arial"/>
          <w:lang w:val="sr-Latn-ME"/>
        </w:rPr>
        <w:t xml:space="preserve"> </w:t>
      </w:r>
      <w:r w:rsidR="00CA4A5B" w:rsidRPr="001302F9">
        <w:rPr>
          <w:rFonts w:ascii="Arial" w:hAnsi="Arial" w:cs="Arial"/>
          <w:lang w:val="sr-Latn-ME"/>
        </w:rPr>
        <w:t xml:space="preserve">dokumenta za izradu strategija su </w:t>
      </w:r>
      <w:r w:rsidRPr="001302F9">
        <w:rPr>
          <w:rFonts w:ascii="Arial" w:hAnsi="Arial" w:cs="Arial"/>
          <w:lang w:val="sr-Latn-ME"/>
        </w:rPr>
        <w:t>koriš</w:t>
      </w:r>
      <w:r w:rsidR="00CA4A5B" w:rsidRPr="001302F9">
        <w:rPr>
          <w:rFonts w:ascii="Arial" w:hAnsi="Arial" w:cs="Arial"/>
          <w:lang w:val="sr-Latn-ME"/>
        </w:rPr>
        <w:t>tena</w:t>
      </w:r>
      <w:r w:rsidRPr="001302F9">
        <w:rPr>
          <w:rFonts w:ascii="Arial" w:hAnsi="Arial" w:cs="Arial"/>
          <w:lang w:val="sr-Latn-ME"/>
        </w:rPr>
        <w:t xml:space="preserve"> i za strukturu i za sadržaj</w:t>
      </w:r>
      <w:r w:rsidR="00CA4A5B" w:rsidRPr="001302F9">
        <w:rPr>
          <w:rFonts w:ascii="Arial" w:hAnsi="Arial" w:cs="Arial"/>
          <w:lang w:val="sr-Latn-ME"/>
        </w:rPr>
        <w:t xml:space="preserve"> Strategije</w:t>
      </w:r>
      <w:r w:rsidRPr="001302F9">
        <w:rPr>
          <w:rFonts w:ascii="Arial" w:hAnsi="Arial" w:cs="Arial"/>
          <w:lang w:val="sr-Latn-ME"/>
        </w:rPr>
        <w:t xml:space="preserve">, dok su principi Teorije promjene primijenjeni kroz usklađenost sa smjernicama crnogorskih strateških dokumenata. </w:t>
      </w:r>
    </w:p>
    <w:p w:rsidR="00D1589C" w:rsidRPr="001302F9" w:rsidRDefault="00D1589C" w:rsidP="00D02F61">
      <w:pPr>
        <w:spacing w:before="120" w:after="120" w:line="240" w:lineRule="auto"/>
        <w:jc w:val="both"/>
        <w:rPr>
          <w:rFonts w:ascii="Arial" w:hAnsi="Arial" w:cs="Arial"/>
          <w:lang w:val="sr-Latn-ME"/>
        </w:rPr>
      </w:pPr>
      <w:r w:rsidRPr="001302F9">
        <w:rPr>
          <w:rFonts w:ascii="Arial" w:hAnsi="Arial" w:cs="Arial"/>
          <w:lang w:val="sr-Latn-ME"/>
        </w:rPr>
        <w:t xml:space="preserve">Takođe, </w:t>
      </w:r>
      <w:r w:rsidR="00C832B6" w:rsidRPr="001302F9">
        <w:rPr>
          <w:rFonts w:ascii="Arial" w:hAnsi="Arial" w:cs="Arial"/>
          <w:lang w:val="sr-Latn-ME"/>
        </w:rPr>
        <w:t>u skladu sa najboljim praksama opisanim u pomenutim OLAF-ovim dokumentima</w:t>
      </w:r>
      <w:r w:rsidRPr="001302F9">
        <w:rPr>
          <w:rFonts w:ascii="Arial" w:hAnsi="Arial" w:cs="Arial"/>
          <w:lang w:val="sr-Latn-ME"/>
        </w:rPr>
        <w:t xml:space="preserve">, </w:t>
      </w:r>
      <w:r w:rsidR="00C832B6" w:rsidRPr="001302F9">
        <w:rPr>
          <w:rFonts w:ascii="Arial" w:hAnsi="Arial" w:cs="Arial"/>
          <w:lang w:val="sr-Latn-ME"/>
        </w:rPr>
        <w:t xml:space="preserve">prije započinjanja procesa izrade Strategije, Direkcija za zaštitu finansijskih interesa EU/AFCOS je </w:t>
      </w:r>
      <w:r w:rsidRPr="001302F9">
        <w:rPr>
          <w:rFonts w:ascii="Arial" w:hAnsi="Arial" w:cs="Arial"/>
          <w:lang w:val="sr-Latn-ME"/>
        </w:rPr>
        <w:t>izvrš</w:t>
      </w:r>
      <w:r w:rsidR="00C832B6" w:rsidRPr="001302F9">
        <w:rPr>
          <w:rFonts w:ascii="Arial" w:hAnsi="Arial" w:cs="Arial"/>
          <w:lang w:val="sr-Latn-ME"/>
        </w:rPr>
        <w:t xml:space="preserve">ila </w:t>
      </w:r>
      <w:r w:rsidRPr="001302F9">
        <w:rPr>
          <w:rFonts w:ascii="Arial" w:hAnsi="Arial" w:cs="Arial"/>
          <w:lang w:val="sr-Latn-ME"/>
        </w:rPr>
        <w:t>sveobuhvatn</w:t>
      </w:r>
      <w:r w:rsidR="00C832B6" w:rsidRPr="001302F9">
        <w:rPr>
          <w:rFonts w:ascii="Arial" w:hAnsi="Arial" w:cs="Arial"/>
          <w:lang w:val="sr-Latn-ME"/>
        </w:rPr>
        <w:t>u</w:t>
      </w:r>
      <w:r w:rsidRPr="001302F9">
        <w:rPr>
          <w:rFonts w:ascii="Arial" w:hAnsi="Arial" w:cs="Arial"/>
          <w:lang w:val="sr-Latn-ME"/>
        </w:rPr>
        <w:t xml:space="preserve"> proc</w:t>
      </w:r>
      <w:r w:rsidR="00CA4A5B" w:rsidRPr="001302F9">
        <w:rPr>
          <w:rFonts w:ascii="Arial" w:hAnsi="Arial" w:cs="Arial"/>
          <w:lang w:val="sr-Latn-ME"/>
        </w:rPr>
        <w:t>j</w:t>
      </w:r>
      <w:r w:rsidRPr="001302F9">
        <w:rPr>
          <w:rFonts w:ascii="Arial" w:hAnsi="Arial" w:cs="Arial"/>
          <w:lang w:val="sr-Latn-ME"/>
        </w:rPr>
        <w:t>en</w:t>
      </w:r>
      <w:r w:rsidR="00C832B6" w:rsidRPr="001302F9">
        <w:rPr>
          <w:rFonts w:ascii="Arial" w:hAnsi="Arial" w:cs="Arial"/>
          <w:lang w:val="sr-Latn-ME"/>
        </w:rPr>
        <w:t>u</w:t>
      </w:r>
      <w:r w:rsidRPr="001302F9">
        <w:rPr>
          <w:rFonts w:ascii="Arial" w:hAnsi="Arial" w:cs="Arial"/>
          <w:lang w:val="sr-Latn-ME"/>
        </w:rPr>
        <w:t xml:space="preserve"> rizika od prevar</w:t>
      </w:r>
      <w:r w:rsidR="00C832B6" w:rsidRPr="001302F9">
        <w:rPr>
          <w:rFonts w:ascii="Arial" w:hAnsi="Arial" w:cs="Arial"/>
          <w:lang w:val="sr-Latn-ME"/>
        </w:rPr>
        <w:t>a</w:t>
      </w:r>
      <w:r w:rsidRPr="001302F9">
        <w:rPr>
          <w:rFonts w:ascii="Arial" w:hAnsi="Arial" w:cs="Arial"/>
          <w:lang w:val="sr-Latn-ME"/>
        </w:rPr>
        <w:t xml:space="preserve"> (vid</w:t>
      </w:r>
      <w:r w:rsidR="00C832B6" w:rsidRPr="001302F9">
        <w:rPr>
          <w:rFonts w:ascii="Arial" w:hAnsi="Arial" w:cs="Arial"/>
          <w:lang w:val="sr-Latn-ME"/>
        </w:rPr>
        <w:t>j</w:t>
      </w:r>
      <w:r w:rsidRPr="001302F9">
        <w:rPr>
          <w:rFonts w:ascii="Arial" w:hAnsi="Arial" w:cs="Arial"/>
          <w:lang w:val="sr-Latn-ME"/>
        </w:rPr>
        <w:t>eti Poglavlje 2.2.)</w:t>
      </w:r>
      <w:r w:rsidR="00C832B6" w:rsidRPr="001302F9">
        <w:rPr>
          <w:rFonts w:ascii="Arial" w:hAnsi="Arial" w:cs="Arial"/>
          <w:lang w:val="sr-Latn-ME"/>
        </w:rPr>
        <w:t>. Ova</w:t>
      </w:r>
      <w:r w:rsidRPr="001302F9">
        <w:rPr>
          <w:rFonts w:ascii="Arial" w:hAnsi="Arial" w:cs="Arial"/>
          <w:lang w:val="sr-Latn-ME"/>
        </w:rPr>
        <w:t xml:space="preserve"> </w:t>
      </w:r>
      <w:r w:rsidR="00C832B6" w:rsidRPr="001302F9">
        <w:rPr>
          <w:rFonts w:ascii="Arial" w:hAnsi="Arial" w:cs="Arial"/>
          <w:lang w:val="sr-Latn-ME"/>
        </w:rPr>
        <w:t xml:space="preserve">analiza omogućava uvid u efikasnost finansijskog sistema upravljanja i kontrole u </w:t>
      </w:r>
      <w:r w:rsidR="00347FA0" w:rsidRPr="00EE1E09">
        <w:rPr>
          <w:rFonts w:ascii="Arial" w:eastAsia="Times New Roman" w:hAnsi="Arial" w:cs="Arial"/>
          <w:lang w:val="sr-Latn-BA"/>
        </w:rPr>
        <w:t>struktura</w:t>
      </w:r>
      <w:r w:rsidR="00347FA0">
        <w:rPr>
          <w:rFonts w:ascii="Arial" w:eastAsia="Times New Roman" w:hAnsi="Arial" w:cs="Arial"/>
          <w:lang w:val="sr-Latn-BA"/>
        </w:rPr>
        <w:t>ma</w:t>
      </w:r>
      <w:r w:rsidR="00347FA0" w:rsidRPr="00EE1E09">
        <w:rPr>
          <w:rFonts w:ascii="Arial" w:eastAsia="Times New Roman" w:hAnsi="Arial" w:cs="Arial"/>
          <w:lang w:val="sr-Latn-BA"/>
        </w:rPr>
        <w:t xml:space="preserve"> za izvještavanje o nepravilnostima</w:t>
      </w:r>
      <w:r w:rsidR="00347FA0" w:rsidRPr="001302F9">
        <w:rPr>
          <w:rFonts w:ascii="Arial" w:hAnsi="Arial" w:cs="Arial"/>
          <w:lang w:val="sr-Latn-ME"/>
        </w:rPr>
        <w:t xml:space="preserve"> </w:t>
      </w:r>
      <w:r w:rsidR="00C832B6" w:rsidRPr="001302F9">
        <w:rPr>
          <w:rFonts w:ascii="Arial" w:hAnsi="Arial" w:cs="Arial"/>
          <w:lang w:val="sr-Latn-ME"/>
        </w:rPr>
        <w:t xml:space="preserve">i identifikuje oblasti koje zahtijevaju dodatnu pažnju i korektivne mjere. Takođe, omogućava kontinuirano praćenje performansi i efikasnosti kontrolnih mehanizama kako bi se osiguralo da se sredstva EU koriste na transparentan, odgovoran i efikasan način, te tako predstavlja početnu bazu za izradu efikasne nacionalne Strategije za borbu protiv prevara. Dodatno, prilikom izrade Akcionog plana 2025-2026, </w:t>
      </w:r>
      <w:r w:rsidRPr="001302F9">
        <w:rPr>
          <w:rFonts w:ascii="Arial" w:hAnsi="Arial" w:cs="Arial"/>
          <w:lang w:val="sr-Latn-ME"/>
        </w:rPr>
        <w:t xml:space="preserve">razvijen </w:t>
      </w:r>
      <w:r w:rsidR="00C832B6" w:rsidRPr="001302F9">
        <w:rPr>
          <w:rFonts w:ascii="Arial" w:hAnsi="Arial" w:cs="Arial"/>
          <w:lang w:val="sr-Latn-ME"/>
        </w:rPr>
        <w:t xml:space="preserve">je </w:t>
      </w:r>
      <w:r w:rsidRPr="001302F9">
        <w:rPr>
          <w:rFonts w:ascii="Arial" w:hAnsi="Arial" w:cs="Arial"/>
          <w:lang w:val="sr-Latn-ME"/>
        </w:rPr>
        <w:t xml:space="preserve">set indikatora </w:t>
      </w:r>
      <w:r w:rsidR="00BE26A5">
        <w:rPr>
          <w:rFonts w:ascii="Arial" w:hAnsi="Arial" w:cs="Arial"/>
          <w:lang w:val="sr-Latn-ME"/>
        </w:rPr>
        <w:t>uspjeha</w:t>
      </w:r>
      <w:r w:rsidRPr="001302F9">
        <w:rPr>
          <w:rFonts w:ascii="Arial" w:hAnsi="Arial" w:cs="Arial"/>
          <w:lang w:val="sr-Latn-ME"/>
        </w:rPr>
        <w:t xml:space="preserve"> i </w:t>
      </w:r>
      <w:r w:rsidR="00C832B6" w:rsidRPr="001302F9">
        <w:rPr>
          <w:rFonts w:ascii="Arial" w:hAnsi="Arial" w:cs="Arial"/>
          <w:lang w:val="sr-Latn-ME"/>
        </w:rPr>
        <w:t>učinka</w:t>
      </w:r>
      <w:r w:rsidRPr="001302F9">
        <w:rPr>
          <w:rFonts w:ascii="Arial" w:hAnsi="Arial" w:cs="Arial"/>
          <w:lang w:val="sr-Latn-ME"/>
        </w:rPr>
        <w:t xml:space="preserve"> (</w:t>
      </w:r>
      <w:r w:rsidR="00C832B6" w:rsidRPr="001302F9">
        <w:rPr>
          <w:rFonts w:ascii="Arial" w:hAnsi="Arial" w:cs="Arial"/>
          <w:lang w:val="sr-Latn-ME"/>
        </w:rPr>
        <w:t>vidjeti</w:t>
      </w:r>
      <w:r w:rsidRPr="001302F9">
        <w:rPr>
          <w:rFonts w:ascii="Arial" w:hAnsi="Arial" w:cs="Arial"/>
          <w:lang w:val="sr-Latn-ME"/>
        </w:rPr>
        <w:t xml:space="preserve"> Poglavlje 3) i uzete su u obzir aktivnosti koje ni</w:t>
      </w:r>
      <w:r w:rsidR="00BE26A5">
        <w:rPr>
          <w:rFonts w:ascii="Arial" w:hAnsi="Arial" w:cs="Arial"/>
          <w:lang w:val="sr-Latn-ME"/>
        </w:rPr>
        <w:t>je</w:t>
      </w:r>
      <w:r w:rsidRPr="001302F9">
        <w:rPr>
          <w:rFonts w:ascii="Arial" w:hAnsi="Arial" w:cs="Arial"/>
          <w:lang w:val="sr-Latn-ME"/>
        </w:rPr>
        <w:t xml:space="preserve">su sprovedene ili </w:t>
      </w:r>
      <w:r w:rsidR="00C832B6" w:rsidRPr="001302F9">
        <w:rPr>
          <w:rFonts w:ascii="Arial" w:hAnsi="Arial" w:cs="Arial"/>
          <w:lang w:val="sr-Latn-ME"/>
        </w:rPr>
        <w:t xml:space="preserve">su </w:t>
      </w:r>
      <w:r w:rsidRPr="001302F9">
        <w:rPr>
          <w:rFonts w:ascii="Arial" w:hAnsi="Arial" w:cs="Arial"/>
          <w:lang w:val="sr-Latn-ME"/>
        </w:rPr>
        <w:t>sprovedene samo d</w:t>
      </w:r>
      <w:r w:rsidR="00C832B6" w:rsidRPr="001302F9">
        <w:rPr>
          <w:rFonts w:ascii="Arial" w:hAnsi="Arial" w:cs="Arial"/>
          <w:lang w:val="sr-Latn-ME"/>
        </w:rPr>
        <w:t>j</w:t>
      </w:r>
      <w:r w:rsidRPr="001302F9">
        <w:rPr>
          <w:rFonts w:ascii="Arial" w:hAnsi="Arial" w:cs="Arial"/>
          <w:lang w:val="sr-Latn-ME"/>
        </w:rPr>
        <w:t>elimično u vremenskom periodu prethodne Strategije 2019-2020.</w:t>
      </w:r>
    </w:p>
    <w:p w:rsidR="00D1589C" w:rsidRPr="001302F9" w:rsidRDefault="00D1589C" w:rsidP="00D02F61">
      <w:pPr>
        <w:spacing w:before="120" w:after="120" w:line="240" w:lineRule="auto"/>
        <w:jc w:val="both"/>
        <w:rPr>
          <w:rFonts w:ascii="Arial" w:hAnsi="Arial" w:cs="Arial"/>
          <w:lang w:val="sr-Latn-ME"/>
        </w:rPr>
      </w:pPr>
      <w:r w:rsidRPr="001302F9">
        <w:rPr>
          <w:rFonts w:ascii="Arial" w:hAnsi="Arial" w:cs="Arial"/>
          <w:lang w:val="sr-Latn-ME"/>
        </w:rPr>
        <w:t xml:space="preserve">Međuinstitucionalna saradnja je unaprijeđena stvaranjem Radne grupe i vrijednim inputom dobijenim od različitih institucija AFCOS sistema, što </w:t>
      </w:r>
      <w:r w:rsidR="000D3128" w:rsidRPr="001302F9">
        <w:rPr>
          <w:rFonts w:ascii="Arial" w:hAnsi="Arial" w:cs="Arial"/>
          <w:lang w:val="sr-Latn-ME"/>
        </w:rPr>
        <w:t>ukazuje</w:t>
      </w:r>
      <w:r w:rsidRPr="001302F9">
        <w:rPr>
          <w:rFonts w:ascii="Arial" w:hAnsi="Arial" w:cs="Arial"/>
          <w:lang w:val="sr-Latn-ME"/>
        </w:rPr>
        <w:t xml:space="preserve"> da će one aktivno učestvovati u implementaciji nov</w:t>
      </w:r>
      <w:r w:rsidR="000904DD" w:rsidRPr="001302F9">
        <w:rPr>
          <w:rFonts w:ascii="Arial" w:hAnsi="Arial" w:cs="Arial"/>
          <w:lang w:val="sr-Latn-ME"/>
        </w:rPr>
        <w:t>e</w:t>
      </w:r>
      <w:r w:rsidRPr="001302F9">
        <w:rPr>
          <w:rFonts w:ascii="Arial" w:hAnsi="Arial" w:cs="Arial"/>
          <w:lang w:val="sr-Latn-ME"/>
        </w:rPr>
        <w:t xml:space="preserve"> </w:t>
      </w:r>
      <w:r w:rsidR="000904DD" w:rsidRPr="001302F9">
        <w:rPr>
          <w:rFonts w:ascii="Arial" w:hAnsi="Arial" w:cs="Arial"/>
          <w:lang w:val="sr-Latn-ME"/>
        </w:rPr>
        <w:t>Strategije</w:t>
      </w:r>
      <w:r w:rsidRPr="001302F9">
        <w:rPr>
          <w:rFonts w:ascii="Arial" w:hAnsi="Arial" w:cs="Arial"/>
          <w:lang w:val="sr-Latn-ME"/>
        </w:rPr>
        <w:t>.</w:t>
      </w:r>
    </w:p>
    <w:p w:rsidR="00BA5651" w:rsidRPr="001302F9" w:rsidRDefault="00D1589C" w:rsidP="00D02F61">
      <w:pPr>
        <w:spacing w:before="120" w:after="120" w:line="240" w:lineRule="auto"/>
        <w:jc w:val="both"/>
        <w:rPr>
          <w:rFonts w:ascii="Arial" w:hAnsi="Arial" w:cs="Arial"/>
          <w:lang w:val="sr-Latn-ME"/>
        </w:rPr>
      </w:pPr>
      <w:r w:rsidRPr="001302F9">
        <w:rPr>
          <w:rFonts w:ascii="Arial" w:hAnsi="Arial" w:cs="Arial"/>
          <w:lang w:val="sr-Latn-ME"/>
        </w:rPr>
        <w:t xml:space="preserve">Takođe, treba napomenuti da je saradnja između </w:t>
      </w:r>
      <w:r w:rsidR="000D3128" w:rsidRPr="001302F9">
        <w:rPr>
          <w:rFonts w:ascii="Arial" w:hAnsi="Arial" w:cs="Arial"/>
          <w:lang w:val="sr-Latn-ME"/>
        </w:rPr>
        <w:t xml:space="preserve">Direkcije za zaštitu finansijskih interesa EU/AFCOS </w:t>
      </w:r>
      <w:r w:rsidRPr="001302F9">
        <w:rPr>
          <w:rFonts w:ascii="Arial" w:hAnsi="Arial" w:cs="Arial"/>
          <w:lang w:val="sr-Latn-ME"/>
        </w:rPr>
        <w:t xml:space="preserve">i Uprave za </w:t>
      </w:r>
      <w:r w:rsidR="000D3128" w:rsidRPr="001302F9">
        <w:rPr>
          <w:rFonts w:ascii="Arial" w:hAnsi="Arial" w:cs="Arial"/>
          <w:lang w:val="sr-Latn-ME"/>
        </w:rPr>
        <w:t xml:space="preserve">ljudske resurse </w:t>
      </w:r>
      <w:r w:rsidRPr="001302F9">
        <w:rPr>
          <w:rFonts w:ascii="Arial" w:hAnsi="Arial" w:cs="Arial"/>
          <w:lang w:val="sr-Latn-ME"/>
        </w:rPr>
        <w:t>Crne Gore, kako se navodi u ex-post evaluaciji, već aktivno uspostavljena i rezultirala je prvim IPA obukama o nepravilnostima u periodu 2024 – 2025. godine.</w:t>
      </w:r>
      <w:r w:rsidR="00CF5175" w:rsidRPr="001302F9">
        <w:rPr>
          <w:rStyle w:val="FootnoteReference"/>
          <w:rFonts w:ascii="Arial" w:hAnsi="Arial" w:cs="Arial"/>
          <w:lang w:val="sr-Latn-ME"/>
        </w:rPr>
        <w:footnoteReference w:id="1"/>
      </w:r>
      <w:r w:rsidR="00117F99" w:rsidRPr="001302F9">
        <w:rPr>
          <w:rFonts w:ascii="Arial" w:hAnsi="Arial" w:cs="Arial"/>
          <w:lang w:val="sr-Latn-ME"/>
        </w:rPr>
        <w:t>.</w:t>
      </w:r>
    </w:p>
    <w:p w:rsidR="009616E8" w:rsidRPr="001302F9" w:rsidRDefault="00CF7FC0" w:rsidP="00EE65EF">
      <w:pPr>
        <w:spacing w:before="120" w:after="120" w:line="240" w:lineRule="auto"/>
        <w:jc w:val="both"/>
        <w:rPr>
          <w:rFonts w:ascii="Arial" w:hAnsi="Arial" w:cs="Arial"/>
          <w:lang w:val="sr-Latn-ME"/>
        </w:rPr>
      </w:pPr>
      <w:r w:rsidRPr="001302F9">
        <w:rPr>
          <w:rFonts w:ascii="Arial" w:hAnsi="Arial" w:cs="Arial"/>
          <w:lang w:val="sr-Latn-ME"/>
        </w:rPr>
        <w:t>Naglasak na obukama i jačanju ljudskih kapaciteta je ključan, jer visoka fluktuacija službenika dovodi do gubitka institucionalne memorije i kontinuiteta znanja unutar IPA strukturnih fondova. Ovo negativno utiče na uspostavljanje efikasnog sistema upravljanja nepravilnostima, koji uključuje sveobuhvatne preventivne aktivnosti i odgovarajuće vještine za otkrivanje, istraživanje i povraćaj neopravdano plaćenih sredstava</w:t>
      </w:r>
      <w:r w:rsidR="00D1589C" w:rsidRPr="001302F9">
        <w:rPr>
          <w:rFonts w:ascii="Arial" w:hAnsi="Arial" w:cs="Arial"/>
          <w:lang w:val="sr-Latn-ME"/>
        </w:rPr>
        <w:t>.</w:t>
      </w:r>
      <w:r w:rsidRPr="001302F9">
        <w:rPr>
          <w:rFonts w:ascii="Arial" w:hAnsi="Arial" w:cs="Arial"/>
          <w:lang w:val="sr-Latn-ME"/>
        </w:rPr>
        <w:t xml:space="preserve"> </w:t>
      </w:r>
      <w:r w:rsidR="00D1589C" w:rsidRPr="001302F9">
        <w:rPr>
          <w:rFonts w:ascii="Arial" w:hAnsi="Arial" w:cs="Arial"/>
          <w:lang w:val="sr-Latn-ME"/>
        </w:rPr>
        <w:t xml:space="preserve">Ako strukturi i administraciji IPA fondova nedostaju resursi, malo je vjerovatno da će uspostaviti čvrst i potpuno operativan sistem u svim institucijama uključenim u zaštitu finansijskih interesa EU. Važno je obezbijediti nesmetano funkcionisanje IPA sistema bez obzira na fluktuaciju kadrova, kroz adekvatne procese </w:t>
      </w:r>
      <w:r w:rsidRPr="001302F9">
        <w:rPr>
          <w:rFonts w:ascii="Arial" w:hAnsi="Arial" w:cs="Arial"/>
          <w:lang w:val="sr-Latn-ME"/>
        </w:rPr>
        <w:t>zamjene, kao</w:t>
      </w:r>
      <w:r w:rsidR="00D1589C" w:rsidRPr="001302F9">
        <w:rPr>
          <w:rFonts w:ascii="Arial" w:hAnsi="Arial" w:cs="Arial"/>
          <w:lang w:val="sr-Latn-ME"/>
        </w:rPr>
        <w:t xml:space="preserve"> i imenovanje novih osoba koje će biti zadužene za </w:t>
      </w:r>
      <w:r w:rsidRPr="001302F9">
        <w:rPr>
          <w:rFonts w:ascii="Arial" w:hAnsi="Arial" w:cs="Arial"/>
          <w:lang w:val="sr-Latn-ME"/>
        </w:rPr>
        <w:t>ovu</w:t>
      </w:r>
      <w:r w:rsidR="00D1589C" w:rsidRPr="001302F9">
        <w:rPr>
          <w:rFonts w:ascii="Arial" w:hAnsi="Arial" w:cs="Arial"/>
          <w:lang w:val="sr-Latn-ME"/>
        </w:rPr>
        <w:t xml:space="preserve"> oblast</w:t>
      </w:r>
      <w:r w:rsidR="00733751" w:rsidRPr="001302F9">
        <w:rPr>
          <w:rFonts w:ascii="Arial" w:hAnsi="Arial" w:cs="Arial"/>
          <w:lang w:val="sr-Latn-ME"/>
        </w:rPr>
        <w:t xml:space="preserve">. </w:t>
      </w:r>
    </w:p>
    <w:p w:rsidR="00133DEE" w:rsidRPr="001302F9" w:rsidRDefault="00CF7FC0" w:rsidP="00EE65EF">
      <w:pPr>
        <w:spacing w:before="120" w:after="120" w:line="240" w:lineRule="auto"/>
        <w:jc w:val="both"/>
        <w:rPr>
          <w:rFonts w:ascii="Arial" w:hAnsi="Arial" w:cs="Arial"/>
          <w:lang w:val="sr-Latn-ME"/>
        </w:rPr>
      </w:pPr>
      <w:r w:rsidRPr="001302F9">
        <w:rPr>
          <w:rFonts w:ascii="Arial" w:hAnsi="Arial" w:cs="Arial"/>
          <w:lang w:val="sr-Latn-ME"/>
        </w:rPr>
        <w:t>Shodno navedenom je i predviđeno dalje</w:t>
      </w:r>
      <w:r w:rsidR="005B3E65" w:rsidRPr="001302F9">
        <w:rPr>
          <w:rFonts w:ascii="Arial" w:hAnsi="Arial" w:cs="Arial"/>
          <w:lang w:val="sr-Latn-ME"/>
        </w:rPr>
        <w:t xml:space="preserve"> jačanje kapaciteta </w:t>
      </w:r>
      <w:r w:rsidR="00BE26A5">
        <w:rPr>
          <w:rFonts w:ascii="Arial" w:hAnsi="Arial" w:cs="Arial"/>
          <w:lang w:val="sr-Latn-ME"/>
        </w:rPr>
        <w:t>službenika</w:t>
      </w:r>
      <w:r w:rsidR="005B3E65" w:rsidRPr="001302F9">
        <w:rPr>
          <w:rFonts w:ascii="Arial" w:hAnsi="Arial" w:cs="Arial"/>
          <w:lang w:val="sr-Latn-ME"/>
        </w:rPr>
        <w:t xml:space="preserve"> u institucijama koje učestvuju u zaštiti finansijskih interesa EU u vezi sa nepravilnostima i upravljanjem prevarama i koriš</w:t>
      </w:r>
      <w:r w:rsidRPr="001302F9">
        <w:rPr>
          <w:rFonts w:ascii="Arial" w:hAnsi="Arial" w:cs="Arial"/>
          <w:lang w:val="sr-Latn-ME"/>
        </w:rPr>
        <w:t>ć</w:t>
      </w:r>
      <w:r w:rsidR="005B3E65" w:rsidRPr="001302F9">
        <w:rPr>
          <w:rFonts w:ascii="Arial" w:hAnsi="Arial" w:cs="Arial"/>
          <w:lang w:val="sr-Latn-ME"/>
        </w:rPr>
        <w:t>enjem IMS-a</w:t>
      </w:r>
      <w:r w:rsidRPr="001302F9">
        <w:rPr>
          <w:rFonts w:ascii="Arial" w:hAnsi="Arial" w:cs="Arial"/>
          <w:lang w:val="sr-Latn-ME"/>
        </w:rPr>
        <w:t xml:space="preserve">, kroz </w:t>
      </w:r>
      <w:r w:rsidR="005B3E65" w:rsidRPr="001302F9">
        <w:rPr>
          <w:rFonts w:ascii="Arial" w:hAnsi="Arial" w:cs="Arial"/>
          <w:lang w:val="sr-Latn-ME"/>
        </w:rPr>
        <w:t xml:space="preserve">niz aktivnosti kao što </w:t>
      </w:r>
      <w:r w:rsidRPr="001302F9">
        <w:rPr>
          <w:rFonts w:ascii="Arial" w:hAnsi="Arial" w:cs="Arial"/>
          <w:lang w:val="sr-Latn-ME"/>
        </w:rPr>
        <w:t>su:</w:t>
      </w:r>
      <w:r w:rsidR="005B3E65" w:rsidRPr="001302F9">
        <w:rPr>
          <w:rFonts w:ascii="Arial" w:hAnsi="Arial" w:cs="Arial"/>
          <w:lang w:val="sr-Latn-ME"/>
        </w:rPr>
        <w:t xml:space="preserve"> ažuriranje programa i planova obuke</w:t>
      </w:r>
      <w:r w:rsidRPr="001302F9">
        <w:rPr>
          <w:rFonts w:ascii="Arial" w:hAnsi="Arial" w:cs="Arial"/>
          <w:lang w:val="sr-Latn-ME"/>
        </w:rPr>
        <w:t>;</w:t>
      </w:r>
      <w:r w:rsidR="005B3E65" w:rsidRPr="001302F9">
        <w:rPr>
          <w:rFonts w:ascii="Arial" w:hAnsi="Arial" w:cs="Arial"/>
          <w:lang w:val="sr-Latn-ME"/>
        </w:rPr>
        <w:t xml:space="preserve"> materijala za obuku</w:t>
      </w:r>
      <w:r w:rsidRPr="001302F9">
        <w:rPr>
          <w:rFonts w:ascii="Arial" w:hAnsi="Arial" w:cs="Arial"/>
          <w:lang w:val="sr-Latn-ME"/>
        </w:rPr>
        <w:t>;</w:t>
      </w:r>
      <w:r w:rsidR="005B3E65" w:rsidRPr="001302F9">
        <w:rPr>
          <w:rFonts w:ascii="Arial" w:hAnsi="Arial" w:cs="Arial"/>
          <w:lang w:val="sr-Latn-ME"/>
        </w:rPr>
        <w:t xml:space="preserve"> seminara i obuk</w:t>
      </w:r>
      <w:r w:rsidRPr="001302F9">
        <w:rPr>
          <w:rFonts w:ascii="Arial" w:hAnsi="Arial" w:cs="Arial"/>
          <w:lang w:val="sr-Latn-ME"/>
        </w:rPr>
        <w:t>a</w:t>
      </w:r>
      <w:r w:rsidR="005B3E65" w:rsidRPr="001302F9">
        <w:rPr>
          <w:rFonts w:ascii="Arial" w:hAnsi="Arial" w:cs="Arial"/>
          <w:lang w:val="sr-Latn-ME"/>
        </w:rPr>
        <w:t xml:space="preserve"> o upravljanju nepravilnostima i prevarama</w:t>
      </w:r>
      <w:r w:rsidR="006C3765" w:rsidRPr="001302F9">
        <w:rPr>
          <w:rFonts w:ascii="Arial" w:hAnsi="Arial" w:cs="Arial"/>
          <w:lang w:val="sr-Latn-ME"/>
        </w:rPr>
        <w:t>.</w:t>
      </w:r>
      <w:r w:rsidR="00BF7537" w:rsidRPr="001302F9">
        <w:rPr>
          <w:rFonts w:ascii="Arial" w:hAnsi="Arial" w:cs="Arial"/>
          <w:lang w:val="sr-Latn-ME"/>
        </w:rPr>
        <w:t xml:space="preserve"> </w:t>
      </w:r>
    </w:p>
    <w:p w:rsidR="00526D51" w:rsidRPr="001302F9" w:rsidRDefault="00526D51" w:rsidP="00EE65EF">
      <w:pPr>
        <w:spacing w:before="120" w:after="120" w:line="240" w:lineRule="auto"/>
        <w:jc w:val="both"/>
        <w:rPr>
          <w:rFonts w:ascii="Arial" w:hAnsi="Arial" w:cs="Arial"/>
          <w:lang w:val="sr-Latn-ME"/>
        </w:rPr>
      </w:pPr>
    </w:p>
    <w:p w:rsidR="001A08E1" w:rsidRPr="001302F9" w:rsidRDefault="00B21E98" w:rsidP="009B6B3B">
      <w:pPr>
        <w:pStyle w:val="Heading3"/>
        <w:numPr>
          <w:ilvl w:val="1"/>
          <w:numId w:val="12"/>
        </w:numPr>
        <w:spacing w:before="120" w:after="120"/>
        <w:ind w:left="993" w:hanging="633"/>
        <w:rPr>
          <w:rFonts w:ascii="Arial" w:hAnsi="Arial" w:cs="Arial"/>
          <w:sz w:val="22"/>
          <w:szCs w:val="22"/>
          <w:lang w:val="sr-Latn-ME"/>
        </w:rPr>
      </w:pPr>
      <w:r w:rsidRPr="001302F9">
        <w:rPr>
          <w:rFonts w:ascii="Arial" w:hAnsi="Arial" w:cs="Arial"/>
          <w:sz w:val="22"/>
          <w:szCs w:val="22"/>
          <w:lang w:val="sr-Latn-ME"/>
        </w:rPr>
        <w:t>Rezultati Analize rizika od prevara</w:t>
      </w:r>
    </w:p>
    <w:p w:rsidR="00A30025" w:rsidRPr="001302F9" w:rsidRDefault="00A30025" w:rsidP="00EE65EF">
      <w:pPr>
        <w:spacing w:before="120" w:after="120" w:line="240" w:lineRule="auto"/>
        <w:jc w:val="both"/>
        <w:rPr>
          <w:rFonts w:ascii="Arial" w:hAnsi="Arial" w:cs="Arial"/>
          <w:bCs/>
          <w:lang w:val="sr-Latn-ME"/>
        </w:rPr>
      </w:pPr>
      <w:r w:rsidRPr="001302F9">
        <w:rPr>
          <w:rFonts w:ascii="Arial" w:hAnsi="Arial" w:cs="Arial"/>
          <w:bCs/>
          <w:lang w:val="sr-Latn-ME"/>
        </w:rPr>
        <w:t>Zakonodavstvo Evropske unije definiše prevaru kao namjernu povredu koja je, ili bi mogla biti, štetna za budžet EU. Zbog toga je zajednička odgovornost svih država članica i zemalja kandidata da se aktivno bore protiv prevara i drugih nezakonitih aktivnosti koje ugrožavaju finansijske interese Unije. U tom kontekstu, procjena rizika, a posebno procjena rizika od prevara, uključujući ranjivost na korupciju i sukobe interesa, od suštinskog je značaja za identifikaciju najslabijih tačaka u sistemu i prepoznavanje oblasti koje treba poboljšati. Stoga, procjena rizika od prevara, zajedno sa statističkom analizom podataka o nepravilnostima i sumnjama na prevare u realizaciji projekata finansiranih iz budžeta EU, predstavlja osnovu za razvoj svake nacionalne strategije u borbi protiv prevara.</w:t>
      </w:r>
    </w:p>
    <w:p w:rsidR="00077669" w:rsidRPr="001302F9" w:rsidRDefault="005B3E65" w:rsidP="00EE65EF">
      <w:pPr>
        <w:spacing w:before="120" w:after="120" w:line="240" w:lineRule="auto"/>
        <w:jc w:val="both"/>
        <w:rPr>
          <w:rFonts w:ascii="Arial" w:hAnsi="Arial" w:cs="Arial"/>
          <w:bCs/>
          <w:lang w:val="sr-Latn-ME"/>
        </w:rPr>
      </w:pPr>
      <w:r w:rsidRPr="001302F9">
        <w:rPr>
          <w:rFonts w:ascii="Arial" w:hAnsi="Arial" w:cs="Arial"/>
          <w:bCs/>
          <w:lang w:val="sr-Latn-ME"/>
        </w:rPr>
        <w:t>U pripremnoj fazi nov</w:t>
      </w:r>
      <w:r w:rsidR="000904DD" w:rsidRPr="001302F9">
        <w:rPr>
          <w:rFonts w:ascii="Arial" w:hAnsi="Arial" w:cs="Arial"/>
          <w:bCs/>
          <w:lang w:val="sr-Latn-ME"/>
        </w:rPr>
        <w:t>e</w:t>
      </w:r>
      <w:r w:rsidRPr="001302F9">
        <w:rPr>
          <w:rFonts w:ascii="Arial" w:hAnsi="Arial" w:cs="Arial"/>
          <w:bCs/>
          <w:lang w:val="sr-Latn-ME"/>
        </w:rPr>
        <w:t xml:space="preserve"> S</w:t>
      </w:r>
      <w:r w:rsidR="000904DD" w:rsidRPr="001302F9">
        <w:rPr>
          <w:rFonts w:ascii="Arial" w:hAnsi="Arial" w:cs="Arial"/>
          <w:bCs/>
          <w:lang w:val="sr-Latn-ME"/>
        </w:rPr>
        <w:t>trategije</w:t>
      </w:r>
      <w:r w:rsidRPr="001302F9">
        <w:rPr>
          <w:rFonts w:ascii="Arial" w:hAnsi="Arial" w:cs="Arial"/>
          <w:bCs/>
          <w:lang w:val="sr-Latn-ME"/>
        </w:rPr>
        <w:t xml:space="preserve"> izvršena je </w:t>
      </w:r>
      <w:r w:rsidR="00921D43" w:rsidRPr="001302F9">
        <w:rPr>
          <w:rFonts w:ascii="Arial" w:hAnsi="Arial" w:cs="Arial"/>
          <w:bCs/>
          <w:lang w:val="sr-Latn-ME"/>
        </w:rPr>
        <w:t>A</w:t>
      </w:r>
      <w:r w:rsidRPr="001302F9">
        <w:rPr>
          <w:rFonts w:ascii="Arial" w:hAnsi="Arial" w:cs="Arial"/>
          <w:bCs/>
          <w:lang w:val="sr-Latn-ME"/>
        </w:rPr>
        <w:t>naliza rizika od prevara</w:t>
      </w:r>
      <w:r w:rsidR="00963D6C" w:rsidRPr="001302F9">
        <w:rPr>
          <w:rStyle w:val="FootnoteReference"/>
          <w:rFonts w:ascii="Arial" w:hAnsi="Arial" w:cs="Arial"/>
          <w:bCs/>
          <w:lang w:val="sr-Latn-ME"/>
        </w:rPr>
        <w:footnoteReference w:id="2"/>
      </w:r>
      <w:r w:rsidR="00963D6C" w:rsidRPr="001302F9">
        <w:rPr>
          <w:rFonts w:ascii="Arial" w:hAnsi="Arial" w:cs="Arial"/>
          <w:bCs/>
          <w:lang w:val="sr-Latn-ME"/>
        </w:rPr>
        <w:t xml:space="preserve"> </w:t>
      </w:r>
      <w:r w:rsidRPr="001302F9">
        <w:rPr>
          <w:rFonts w:ascii="Arial" w:hAnsi="Arial" w:cs="Arial"/>
          <w:bCs/>
          <w:lang w:val="sr-Latn-ME"/>
        </w:rPr>
        <w:t xml:space="preserve">koja daje uvid u efikasnost finansijskog sistema upravljanja i kontrole u </w:t>
      </w:r>
      <w:r w:rsidR="00347FA0" w:rsidRPr="00EE1E09">
        <w:rPr>
          <w:rFonts w:ascii="Arial" w:eastAsia="Times New Roman" w:hAnsi="Arial" w:cs="Arial"/>
          <w:lang w:val="sr-Latn-BA"/>
        </w:rPr>
        <w:t>struktura</w:t>
      </w:r>
      <w:r w:rsidR="00347FA0">
        <w:rPr>
          <w:rFonts w:ascii="Arial" w:eastAsia="Times New Roman" w:hAnsi="Arial" w:cs="Arial"/>
          <w:lang w:val="sr-Latn-BA"/>
        </w:rPr>
        <w:t>ma</w:t>
      </w:r>
      <w:r w:rsidR="00347FA0" w:rsidRPr="00EE1E09">
        <w:rPr>
          <w:rFonts w:ascii="Arial" w:eastAsia="Times New Roman" w:hAnsi="Arial" w:cs="Arial"/>
          <w:lang w:val="sr-Latn-BA"/>
        </w:rPr>
        <w:t xml:space="preserve"> za izvještavanje o nepravilnostima</w:t>
      </w:r>
      <w:r w:rsidR="00347FA0" w:rsidRPr="001302F9">
        <w:rPr>
          <w:rFonts w:ascii="Arial" w:hAnsi="Arial" w:cs="Arial"/>
          <w:bCs/>
          <w:lang w:val="sr-Latn-ME"/>
        </w:rPr>
        <w:t xml:space="preserve"> </w:t>
      </w:r>
      <w:r w:rsidRPr="001302F9">
        <w:rPr>
          <w:rFonts w:ascii="Arial" w:hAnsi="Arial" w:cs="Arial"/>
          <w:bCs/>
          <w:lang w:val="sr-Latn-ME"/>
        </w:rPr>
        <w:t>i identifikuje oblasti koje zahtijevaju dodatnu pažnju i korektivne mjere. Zasnovan</w:t>
      </w:r>
      <w:r w:rsidR="00A974C0" w:rsidRPr="001302F9">
        <w:rPr>
          <w:rFonts w:ascii="Arial" w:hAnsi="Arial" w:cs="Arial"/>
          <w:bCs/>
          <w:lang w:val="sr-Latn-ME"/>
        </w:rPr>
        <w:t>a</w:t>
      </w:r>
      <w:r w:rsidRPr="001302F9">
        <w:rPr>
          <w:rFonts w:ascii="Arial" w:hAnsi="Arial" w:cs="Arial"/>
          <w:bCs/>
          <w:lang w:val="sr-Latn-ME"/>
        </w:rPr>
        <w:t xml:space="preserve"> je na </w:t>
      </w:r>
      <w:r w:rsidR="00A974C0" w:rsidRPr="001302F9">
        <w:rPr>
          <w:rFonts w:ascii="Arial" w:hAnsi="Arial" w:cs="Arial"/>
          <w:bCs/>
          <w:lang w:val="sr-Latn-ME"/>
        </w:rPr>
        <w:t xml:space="preserve"> statističkoj analizi slučajeva prijavljenih putem IMS-a, kao i na </w:t>
      </w:r>
      <w:r w:rsidRPr="001302F9">
        <w:rPr>
          <w:rFonts w:ascii="Arial" w:hAnsi="Arial" w:cs="Arial"/>
          <w:bCs/>
          <w:lang w:val="sr-Latn-ME"/>
        </w:rPr>
        <w:t>samoprocjeni izloženosti rizicima od prevara koje vrše sve institucije u okviru AFCOS sistema koristeći objedinjeni alat razvijen u skladu sa smjernicama EK</w:t>
      </w:r>
      <w:r w:rsidR="001B6BA7" w:rsidRPr="001302F9">
        <w:rPr>
          <w:rStyle w:val="FootnoteReference"/>
          <w:rFonts w:ascii="Arial" w:hAnsi="Arial" w:cs="Arial"/>
          <w:bCs/>
          <w:lang w:val="sr-Latn-ME"/>
        </w:rPr>
        <w:footnoteReference w:id="3"/>
      </w:r>
      <w:r w:rsidR="004B231B" w:rsidRPr="001302F9">
        <w:rPr>
          <w:rFonts w:ascii="Arial" w:hAnsi="Arial" w:cs="Arial"/>
          <w:bCs/>
          <w:lang w:val="sr-Latn-ME"/>
        </w:rPr>
        <w:t>.</w:t>
      </w:r>
    </w:p>
    <w:p w:rsidR="005E4736" w:rsidRPr="001302F9" w:rsidRDefault="005B3E65" w:rsidP="00EE65EF">
      <w:pPr>
        <w:spacing w:before="120" w:after="120" w:line="240" w:lineRule="auto"/>
        <w:jc w:val="both"/>
        <w:rPr>
          <w:rFonts w:ascii="Arial" w:hAnsi="Arial" w:cs="Arial"/>
          <w:bCs/>
          <w:lang w:val="sr-Latn-ME"/>
        </w:rPr>
      </w:pPr>
      <w:r w:rsidRPr="001302F9">
        <w:rPr>
          <w:rFonts w:ascii="Arial" w:hAnsi="Arial" w:cs="Arial"/>
          <w:bCs/>
          <w:lang w:val="sr-Latn-ME"/>
        </w:rPr>
        <w:t xml:space="preserve">Procijenjeni su rizici od prevare za one poslovne procese implementacije EU fondova koji su najrizičniji sa stanovišta vršenja prevare – </w:t>
      </w:r>
      <w:r w:rsidR="00A974C0" w:rsidRPr="001302F9">
        <w:rPr>
          <w:rFonts w:ascii="Arial" w:hAnsi="Arial" w:cs="Arial"/>
          <w:bCs/>
          <w:lang w:val="sr-Latn-ME"/>
        </w:rPr>
        <w:t xml:space="preserve">to jest prilikom procesa </w:t>
      </w:r>
      <w:r w:rsidRPr="001302F9">
        <w:rPr>
          <w:rFonts w:ascii="Arial" w:hAnsi="Arial" w:cs="Arial"/>
          <w:bCs/>
          <w:lang w:val="sr-Latn-ME"/>
        </w:rPr>
        <w:t>gdje se donose finansijske odluke i gdje pojedinci imaju odlučujuću ulogu u donošenju odluka.</w:t>
      </w:r>
      <w:r w:rsidR="00883730" w:rsidRPr="001302F9">
        <w:rPr>
          <w:rFonts w:ascii="Arial" w:hAnsi="Arial" w:cs="Arial"/>
          <w:bCs/>
          <w:lang w:val="sr-Latn-ME"/>
        </w:rPr>
        <w:t xml:space="preserve"> </w:t>
      </w:r>
      <w:r w:rsidRPr="001302F9">
        <w:rPr>
          <w:rFonts w:ascii="Arial" w:hAnsi="Arial" w:cs="Arial"/>
          <w:bCs/>
          <w:lang w:val="sr-Latn-ME"/>
        </w:rPr>
        <w:t>Ovi poslovni procesi za IPA strukture su identifikovani kao:</w:t>
      </w:r>
    </w:p>
    <w:p w:rsidR="005E4736" w:rsidRPr="001302F9" w:rsidRDefault="005B3E65" w:rsidP="009B6B3B">
      <w:pPr>
        <w:pStyle w:val="ListParagraph"/>
        <w:numPr>
          <w:ilvl w:val="0"/>
          <w:numId w:val="6"/>
        </w:numPr>
        <w:spacing w:before="60" w:after="60" w:line="240" w:lineRule="auto"/>
        <w:ind w:left="714" w:hanging="357"/>
        <w:contextualSpacing w:val="0"/>
        <w:rPr>
          <w:rFonts w:cs="Arial"/>
          <w:bCs/>
          <w:sz w:val="22"/>
          <w:szCs w:val="22"/>
          <w:lang w:val="sr-Latn-ME"/>
        </w:rPr>
      </w:pPr>
      <w:r w:rsidRPr="001302F9">
        <w:rPr>
          <w:rFonts w:cs="Arial"/>
          <w:b/>
          <w:sz w:val="22"/>
          <w:szCs w:val="22"/>
          <w:lang w:val="sr-Latn-ME"/>
        </w:rPr>
        <w:t xml:space="preserve">selekcija projekata, </w:t>
      </w:r>
      <w:r w:rsidRPr="001302F9">
        <w:rPr>
          <w:rFonts w:cs="Arial"/>
          <w:sz w:val="22"/>
          <w:szCs w:val="22"/>
          <w:lang w:val="sr-Latn-ME"/>
        </w:rPr>
        <w:t xml:space="preserve">koja uključuje rangiranje projektnih prijava prema određenim kriterijumima i donošenje odluke o tome koji </w:t>
      </w:r>
      <w:r w:rsidR="00A974C0" w:rsidRPr="001302F9">
        <w:rPr>
          <w:rFonts w:cs="Arial"/>
          <w:sz w:val="22"/>
          <w:szCs w:val="22"/>
          <w:lang w:val="sr-Latn-ME"/>
        </w:rPr>
        <w:t>će</w:t>
      </w:r>
      <w:r w:rsidRPr="001302F9">
        <w:rPr>
          <w:rFonts w:cs="Arial"/>
          <w:sz w:val="22"/>
          <w:szCs w:val="22"/>
          <w:lang w:val="sr-Latn-ME"/>
        </w:rPr>
        <w:t>kandidati dobiti sredstva iz EU fondova</w:t>
      </w:r>
      <w:r w:rsidR="005E4736" w:rsidRPr="001302F9">
        <w:rPr>
          <w:rFonts w:cs="Arial"/>
          <w:bCs/>
          <w:sz w:val="22"/>
          <w:szCs w:val="22"/>
          <w:lang w:val="sr-Latn-ME"/>
        </w:rPr>
        <w:t>;</w:t>
      </w:r>
    </w:p>
    <w:p w:rsidR="0018162D" w:rsidRPr="001302F9" w:rsidRDefault="005B3E65" w:rsidP="009B6B3B">
      <w:pPr>
        <w:pStyle w:val="ListParagraph"/>
        <w:numPr>
          <w:ilvl w:val="0"/>
          <w:numId w:val="6"/>
        </w:numPr>
        <w:spacing w:before="60" w:after="60" w:line="240" w:lineRule="auto"/>
        <w:ind w:left="714" w:hanging="357"/>
        <w:contextualSpacing w:val="0"/>
        <w:rPr>
          <w:rFonts w:cs="Arial"/>
          <w:bCs/>
          <w:sz w:val="22"/>
          <w:szCs w:val="22"/>
          <w:lang w:val="sr-Latn-ME"/>
        </w:rPr>
      </w:pPr>
      <w:r w:rsidRPr="001302F9">
        <w:rPr>
          <w:rFonts w:cs="Arial"/>
          <w:b/>
          <w:sz w:val="22"/>
          <w:szCs w:val="22"/>
          <w:lang w:val="sr-Latn-ME"/>
        </w:rPr>
        <w:t xml:space="preserve">realizacija i verifikacija projekata, </w:t>
      </w:r>
      <w:r w:rsidRPr="001302F9">
        <w:rPr>
          <w:rFonts w:cs="Arial"/>
          <w:sz w:val="22"/>
          <w:szCs w:val="22"/>
          <w:lang w:val="sr-Latn-ME"/>
        </w:rPr>
        <w:t xml:space="preserve">sa posebnim akcentom na postupke javnih nabavki koje </w:t>
      </w:r>
      <w:r w:rsidR="008A1E8E" w:rsidRPr="001302F9">
        <w:rPr>
          <w:rFonts w:cs="Arial"/>
          <w:sz w:val="22"/>
          <w:szCs w:val="22"/>
          <w:lang w:val="sr-Latn-ME"/>
        </w:rPr>
        <w:t>s</w:t>
      </w:r>
      <w:r w:rsidRPr="001302F9">
        <w:rPr>
          <w:rFonts w:cs="Arial"/>
          <w:sz w:val="22"/>
          <w:szCs w:val="22"/>
          <w:lang w:val="sr-Latn-ME"/>
        </w:rPr>
        <w:t xml:space="preserve">provode korisnici grantova EU fondova i troškove radova koji se finansiraju iz </w:t>
      </w:r>
      <w:r w:rsidR="008A1E8E" w:rsidRPr="001302F9">
        <w:rPr>
          <w:rFonts w:cs="Arial"/>
          <w:sz w:val="22"/>
          <w:szCs w:val="22"/>
          <w:lang w:val="sr-Latn-ME"/>
        </w:rPr>
        <w:t xml:space="preserve">EU </w:t>
      </w:r>
      <w:r w:rsidRPr="001302F9">
        <w:rPr>
          <w:rFonts w:cs="Arial"/>
          <w:sz w:val="22"/>
          <w:szCs w:val="22"/>
          <w:lang w:val="sr-Latn-ME"/>
        </w:rPr>
        <w:t>fondova</w:t>
      </w:r>
      <w:r w:rsidR="00927793" w:rsidRPr="001302F9">
        <w:rPr>
          <w:rFonts w:cs="Arial"/>
          <w:bCs/>
          <w:sz w:val="22"/>
          <w:szCs w:val="22"/>
          <w:lang w:val="sr-Latn-ME"/>
        </w:rPr>
        <w:t>;</w:t>
      </w:r>
    </w:p>
    <w:p w:rsidR="00F33325" w:rsidRPr="001302F9" w:rsidRDefault="008A1E8E" w:rsidP="009B6B3B">
      <w:pPr>
        <w:pStyle w:val="ListParagraph"/>
        <w:numPr>
          <w:ilvl w:val="0"/>
          <w:numId w:val="6"/>
        </w:numPr>
        <w:spacing w:before="60" w:after="60" w:line="240" w:lineRule="auto"/>
        <w:ind w:left="714" w:hanging="357"/>
        <w:contextualSpacing w:val="0"/>
        <w:rPr>
          <w:rFonts w:cs="Arial"/>
          <w:b/>
          <w:sz w:val="22"/>
          <w:szCs w:val="22"/>
          <w:lang w:val="sr-Latn-ME"/>
        </w:rPr>
      </w:pPr>
      <w:r w:rsidRPr="001302F9">
        <w:rPr>
          <w:rFonts w:cs="Arial"/>
          <w:b/>
          <w:sz w:val="22"/>
          <w:szCs w:val="22"/>
          <w:lang w:val="sr-Latn-ME"/>
        </w:rPr>
        <w:t>sertifikacija</w:t>
      </w:r>
      <w:r w:rsidR="005B3E65" w:rsidRPr="001302F9">
        <w:rPr>
          <w:rFonts w:cs="Arial"/>
          <w:b/>
          <w:sz w:val="22"/>
          <w:szCs w:val="22"/>
          <w:lang w:val="sr-Latn-ME"/>
        </w:rPr>
        <w:t xml:space="preserve"> i plaćanje </w:t>
      </w:r>
      <w:r w:rsidR="005B3E65" w:rsidRPr="001302F9">
        <w:rPr>
          <w:rFonts w:cs="Arial"/>
          <w:sz w:val="22"/>
          <w:szCs w:val="22"/>
          <w:lang w:val="sr-Latn-ME"/>
        </w:rPr>
        <w:t>–</w:t>
      </w:r>
      <w:r w:rsidRPr="001302F9">
        <w:rPr>
          <w:rFonts w:cs="Arial"/>
          <w:sz w:val="22"/>
          <w:szCs w:val="22"/>
          <w:lang w:val="sr-Latn-ME"/>
        </w:rPr>
        <w:t xml:space="preserve"> proces </w:t>
      </w:r>
      <w:r w:rsidR="005B3E65" w:rsidRPr="001302F9">
        <w:rPr>
          <w:rFonts w:cs="Arial"/>
          <w:sz w:val="22"/>
          <w:szCs w:val="22"/>
          <w:lang w:val="sr-Latn-ME"/>
        </w:rPr>
        <w:t xml:space="preserve">provjere </w:t>
      </w:r>
      <w:r w:rsidRPr="001302F9">
        <w:rPr>
          <w:rFonts w:cs="Arial"/>
          <w:sz w:val="22"/>
          <w:szCs w:val="22"/>
          <w:lang w:val="sr-Latn-ME"/>
        </w:rPr>
        <w:t xml:space="preserve">koju vrši </w:t>
      </w:r>
      <w:r w:rsidR="005B3E65" w:rsidRPr="001302F9">
        <w:rPr>
          <w:rFonts w:cs="Arial"/>
          <w:sz w:val="22"/>
          <w:szCs w:val="22"/>
          <w:lang w:val="sr-Latn-ME"/>
        </w:rPr>
        <w:t>menadžment možda neće pružiti adekvatnu sigurnost da prevara nije počinjena</w:t>
      </w:r>
      <w:r w:rsidR="00632CF9" w:rsidRPr="001302F9">
        <w:rPr>
          <w:rFonts w:cs="Arial"/>
          <w:bCs/>
          <w:sz w:val="22"/>
          <w:szCs w:val="22"/>
          <w:lang w:val="sr-Latn-ME"/>
        </w:rPr>
        <w:t>;</w:t>
      </w:r>
    </w:p>
    <w:p w:rsidR="00056FA6" w:rsidRPr="001302F9" w:rsidRDefault="005B3E65" w:rsidP="009B6B3B">
      <w:pPr>
        <w:pStyle w:val="ListParagraph"/>
        <w:numPr>
          <w:ilvl w:val="0"/>
          <w:numId w:val="6"/>
        </w:numPr>
        <w:spacing w:before="60" w:after="60" w:line="240" w:lineRule="auto"/>
        <w:ind w:left="714" w:hanging="357"/>
        <w:contextualSpacing w:val="0"/>
        <w:rPr>
          <w:rFonts w:cs="Arial"/>
          <w:bCs/>
          <w:sz w:val="22"/>
          <w:szCs w:val="22"/>
          <w:lang w:val="sr-Latn-ME"/>
        </w:rPr>
      </w:pPr>
      <w:r w:rsidRPr="001302F9">
        <w:rPr>
          <w:rFonts w:cs="Arial"/>
          <w:b/>
          <w:sz w:val="22"/>
          <w:szCs w:val="22"/>
          <w:lang w:val="sr-Latn-ME"/>
        </w:rPr>
        <w:t xml:space="preserve">direktna nabavka – </w:t>
      </w:r>
      <w:r w:rsidRPr="001302F9">
        <w:rPr>
          <w:rFonts w:cs="Arial"/>
          <w:sz w:val="22"/>
          <w:szCs w:val="22"/>
          <w:lang w:val="sr-Latn-ME"/>
        </w:rPr>
        <w:t xml:space="preserve">nabavka finansirana sredstvima EU koja se sprovodi za potrebe </w:t>
      </w:r>
      <w:r w:rsidR="008A1E8E" w:rsidRPr="001302F9">
        <w:rPr>
          <w:rFonts w:cs="Arial"/>
          <w:sz w:val="22"/>
          <w:szCs w:val="22"/>
          <w:lang w:val="sr-Latn-ME"/>
        </w:rPr>
        <w:t>tijela</w:t>
      </w:r>
      <w:r w:rsidRPr="001302F9">
        <w:rPr>
          <w:rFonts w:cs="Arial"/>
          <w:sz w:val="22"/>
          <w:szCs w:val="22"/>
          <w:lang w:val="sr-Latn-ME"/>
        </w:rPr>
        <w:t xml:space="preserve"> sistema upravljanja i kontrole</w:t>
      </w:r>
      <w:r w:rsidR="002B4262" w:rsidRPr="001302F9">
        <w:rPr>
          <w:rFonts w:cs="Arial"/>
          <w:bCs/>
          <w:sz w:val="22"/>
          <w:szCs w:val="22"/>
          <w:lang w:val="sr-Latn-ME"/>
        </w:rPr>
        <w:t>.</w:t>
      </w:r>
    </w:p>
    <w:p w:rsidR="005B3E65" w:rsidRPr="001302F9" w:rsidRDefault="00347FA0" w:rsidP="00EE65EF">
      <w:pPr>
        <w:spacing w:before="120" w:after="120" w:line="240" w:lineRule="auto"/>
        <w:jc w:val="both"/>
        <w:rPr>
          <w:rFonts w:ascii="Arial" w:hAnsi="Arial" w:cs="Arial"/>
          <w:bCs/>
          <w:lang w:val="sr-Latn-ME"/>
        </w:rPr>
      </w:pPr>
      <w:r>
        <w:rPr>
          <w:rFonts w:ascii="Arial" w:hAnsi="Arial" w:cs="Arial"/>
          <w:bCs/>
          <w:lang w:val="sr-Latn-ME"/>
        </w:rPr>
        <w:t>Institucije sistema zadužene za borbu protiv prevara</w:t>
      </w:r>
      <w:r w:rsidR="007F046D">
        <w:rPr>
          <w:rFonts w:ascii="Arial" w:hAnsi="Arial" w:cs="Arial"/>
          <w:bCs/>
          <w:lang w:val="sr-Latn-ME"/>
        </w:rPr>
        <w:t>, korupcije</w:t>
      </w:r>
      <w:r>
        <w:rPr>
          <w:rFonts w:ascii="Arial" w:hAnsi="Arial" w:cs="Arial"/>
          <w:bCs/>
          <w:lang w:val="sr-Latn-ME"/>
        </w:rPr>
        <w:t xml:space="preserve"> i drugih oblika</w:t>
      </w:r>
      <w:r w:rsidR="00991A22">
        <w:rPr>
          <w:rFonts w:ascii="Arial" w:hAnsi="Arial" w:cs="Arial"/>
          <w:bCs/>
          <w:lang w:val="sr-Latn-ME"/>
        </w:rPr>
        <w:t xml:space="preserve"> </w:t>
      </w:r>
      <w:r>
        <w:rPr>
          <w:rFonts w:ascii="Arial" w:hAnsi="Arial" w:cs="Arial"/>
          <w:bCs/>
          <w:lang w:val="sr-Latn-ME"/>
        </w:rPr>
        <w:t xml:space="preserve">nezakonitih aktivnosti </w:t>
      </w:r>
      <w:r w:rsidR="005B3E65" w:rsidRPr="001302F9">
        <w:rPr>
          <w:rFonts w:ascii="Arial" w:hAnsi="Arial" w:cs="Arial"/>
          <w:bCs/>
          <w:lang w:val="sr-Latn-ME"/>
        </w:rPr>
        <w:t xml:space="preserve"> </w:t>
      </w:r>
      <w:r w:rsidR="001302F9">
        <w:rPr>
          <w:rFonts w:ascii="Arial" w:hAnsi="Arial" w:cs="Arial"/>
          <w:bCs/>
          <w:lang w:val="sr-Latn-ME"/>
        </w:rPr>
        <w:t xml:space="preserve">(AFCOS mreža) </w:t>
      </w:r>
      <w:r w:rsidR="005B3E65" w:rsidRPr="001302F9">
        <w:rPr>
          <w:rFonts w:ascii="Arial" w:hAnsi="Arial" w:cs="Arial"/>
          <w:bCs/>
          <w:lang w:val="sr-Latn-ME"/>
        </w:rPr>
        <w:t xml:space="preserve">izvršila je procjenu rizika od prevara u okviru </w:t>
      </w:r>
      <w:r w:rsidR="001302F9">
        <w:rPr>
          <w:rFonts w:ascii="Arial" w:hAnsi="Arial" w:cs="Arial"/>
          <w:bCs/>
          <w:lang w:val="sr-Latn-ME"/>
        </w:rPr>
        <w:t>s</w:t>
      </w:r>
      <w:r w:rsidR="005B3E65" w:rsidRPr="001302F9">
        <w:rPr>
          <w:rFonts w:ascii="Arial" w:hAnsi="Arial" w:cs="Arial"/>
          <w:bCs/>
          <w:lang w:val="sr-Latn-ME"/>
        </w:rPr>
        <w:t>istemskog alata za procjenu rizika. Ovaj alat sadrži unapr</w:t>
      </w:r>
      <w:r w:rsidR="001302F9">
        <w:rPr>
          <w:rFonts w:ascii="Arial" w:hAnsi="Arial" w:cs="Arial"/>
          <w:bCs/>
          <w:lang w:val="sr-Latn-ME"/>
        </w:rPr>
        <w:t>ij</w:t>
      </w:r>
      <w:r w:rsidR="005B3E65" w:rsidRPr="001302F9">
        <w:rPr>
          <w:rFonts w:ascii="Arial" w:hAnsi="Arial" w:cs="Arial"/>
          <w:bCs/>
          <w:lang w:val="sr-Latn-ME"/>
        </w:rPr>
        <w:t xml:space="preserve">ed identifikovane </w:t>
      </w:r>
      <w:r w:rsidR="001302F9" w:rsidRPr="001302F9">
        <w:rPr>
          <w:rFonts w:ascii="Arial" w:hAnsi="Arial" w:cs="Arial"/>
          <w:bCs/>
          <w:lang w:val="sr-Latn-ME"/>
        </w:rPr>
        <w:t xml:space="preserve">najčešće </w:t>
      </w:r>
      <w:r w:rsidR="005B3E65" w:rsidRPr="001302F9">
        <w:rPr>
          <w:rFonts w:ascii="Arial" w:hAnsi="Arial" w:cs="Arial"/>
          <w:bCs/>
          <w:lang w:val="sr-Latn-ME"/>
        </w:rPr>
        <w:t>rizike, strukturisane prema fazama</w:t>
      </w:r>
      <w:r w:rsidR="00C46202">
        <w:rPr>
          <w:rFonts w:ascii="Arial" w:hAnsi="Arial" w:cs="Arial"/>
          <w:bCs/>
          <w:lang w:val="sr-Latn-ME"/>
        </w:rPr>
        <w:t xml:space="preserve"> </w:t>
      </w:r>
      <w:r w:rsidR="005B3E65" w:rsidRPr="001302F9">
        <w:rPr>
          <w:rFonts w:ascii="Arial" w:hAnsi="Arial" w:cs="Arial"/>
          <w:bCs/>
          <w:lang w:val="sr-Latn-ME"/>
        </w:rPr>
        <w:t>ciklusa upravljanja nepravilnostima – prevencija</w:t>
      </w:r>
      <w:r w:rsidR="00C46202">
        <w:rPr>
          <w:rFonts w:ascii="Arial" w:hAnsi="Arial" w:cs="Arial"/>
          <w:bCs/>
          <w:lang w:val="sr-Latn-ME"/>
        </w:rPr>
        <w:t>,</w:t>
      </w:r>
      <w:r w:rsidR="005B3E65" w:rsidRPr="001302F9">
        <w:rPr>
          <w:rFonts w:ascii="Arial" w:hAnsi="Arial" w:cs="Arial"/>
          <w:bCs/>
          <w:lang w:val="sr-Latn-ME"/>
        </w:rPr>
        <w:t xml:space="preserve">otkrivanje, postupanje, prijavljivanje, sankcionisanje i </w:t>
      </w:r>
      <w:r w:rsidR="00C46202">
        <w:rPr>
          <w:rFonts w:ascii="Arial" w:hAnsi="Arial" w:cs="Arial"/>
          <w:bCs/>
          <w:lang w:val="sr-Latn-ME"/>
        </w:rPr>
        <w:t>povraćaj</w:t>
      </w:r>
      <w:r w:rsidR="005B3E65" w:rsidRPr="001302F9">
        <w:rPr>
          <w:rFonts w:ascii="Arial" w:hAnsi="Arial" w:cs="Arial"/>
          <w:bCs/>
          <w:lang w:val="sr-Latn-ME"/>
        </w:rPr>
        <w:t>. Njihov zadatak je bio da identifikuju sistemske rizike, izvještavaju o sprovedenim kontrolama za njihovo ublažavanje i predlažu dodatne kontrole za dalje smanjenje preostal</w:t>
      </w:r>
      <w:r w:rsidR="00C46202">
        <w:rPr>
          <w:rFonts w:ascii="Arial" w:hAnsi="Arial" w:cs="Arial"/>
          <w:bCs/>
          <w:lang w:val="sr-Latn-ME"/>
        </w:rPr>
        <w:t>ih (rezidualnih)</w:t>
      </w:r>
      <w:r w:rsidR="005B3E65" w:rsidRPr="001302F9">
        <w:rPr>
          <w:rFonts w:ascii="Arial" w:hAnsi="Arial" w:cs="Arial"/>
          <w:bCs/>
          <w:lang w:val="sr-Latn-ME"/>
        </w:rPr>
        <w:t xml:space="preserve"> rizika.</w:t>
      </w:r>
    </w:p>
    <w:p w:rsidR="005B3E65" w:rsidRDefault="00C46202" w:rsidP="00534772">
      <w:pPr>
        <w:spacing w:before="120" w:after="60" w:line="240" w:lineRule="auto"/>
        <w:jc w:val="both"/>
        <w:rPr>
          <w:rFonts w:ascii="Arial" w:hAnsi="Arial" w:cs="Arial"/>
          <w:bCs/>
          <w:lang w:val="sr-Latn-ME"/>
        </w:rPr>
      </w:pPr>
      <w:r>
        <w:rPr>
          <w:rFonts w:ascii="Arial" w:hAnsi="Arial" w:cs="Arial"/>
          <w:bCs/>
          <w:lang w:val="sr-Latn-ME"/>
        </w:rPr>
        <w:t xml:space="preserve">Analiza rizika </w:t>
      </w:r>
      <w:r w:rsidR="005B3E65" w:rsidRPr="001302F9">
        <w:rPr>
          <w:rFonts w:ascii="Arial" w:hAnsi="Arial" w:cs="Arial"/>
          <w:bCs/>
          <w:lang w:val="sr-Latn-ME"/>
        </w:rPr>
        <w:t xml:space="preserve">je usvojena odlukom Vlade Crne Gore u julu 2024. godine i služi kao osnova za razvoj </w:t>
      </w:r>
      <w:r>
        <w:rPr>
          <w:rFonts w:ascii="Arial" w:hAnsi="Arial" w:cs="Arial"/>
          <w:bCs/>
          <w:lang w:val="sr-Latn-ME"/>
        </w:rPr>
        <w:t>ove Strategije</w:t>
      </w:r>
      <w:r w:rsidR="005B3E65" w:rsidRPr="001302F9">
        <w:rPr>
          <w:rFonts w:ascii="Arial" w:hAnsi="Arial" w:cs="Arial"/>
          <w:bCs/>
          <w:lang w:val="sr-Latn-ME"/>
        </w:rPr>
        <w:t xml:space="preserve"> sa prilagođenim, specifičnim i ciljanim</w:t>
      </w:r>
      <w:r>
        <w:rPr>
          <w:rFonts w:ascii="Arial" w:hAnsi="Arial" w:cs="Arial"/>
          <w:bCs/>
          <w:lang w:val="sr-Latn-ME"/>
        </w:rPr>
        <w:t>,</w:t>
      </w:r>
      <w:r w:rsidR="005B3E65" w:rsidRPr="001302F9">
        <w:rPr>
          <w:rFonts w:ascii="Arial" w:hAnsi="Arial" w:cs="Arial"/>
          <w:bCs/>
          <w:lang w:val="sr-Latn-ME"/>
        </w:rPr>
        <w:t xml:space="preserve"> akcijama u oblasti zaštite finansijskih interesa EU.</w:t>
      </w:r>
    </w:p>
    <w:p w:rsidR="00C46202" w:rsidRPr="001302F9" w:rsidRDefault="00C46202" w:rsidP="00534772">
      <w:pPr>
        <w:spacing w:before="120" w:after="60" w:line="240" w:lineRule="auto"/>
        <w:jc w:val="both"/>
        <w:rPr>
          <w:rFonts w:ascii="Arial" w:hAnsi="Arial" w:cs="Arial"/>
          <w:bCs/>
          <w:lang w:val="sr-Latn-ME"/>
        </w:rPr>
      </w:pPr>
    </w:p>
    <w:p w:rsidR="00B572FA" w:rsidRPr="001302F9" w:rsidRDefault="005B3E65" w:rsidP="00534772">
      <w:pPr>
        <w:spacing w:before="120" w:after="60" w:line="240" w:lineRule="auto"/>
        <w:jc w:val="both"/>
        <w:rPr>
          <w:rFonts w:ascii="Arial" w:hAnsi="Arial" w:cs="Arial"/>
          <w:bCs/>
          <w:lang w:val="sr-Latn-ME"/>
        </w:rPr>
      </w:pPr>
      <w:r w:rsidRPr="001302F9">
        <w:rPr>
          <w:rFonts w:ascii="Arial" w:hAnsi="Arial" w:cs="Arial"/>
          <w:b/>
          <w:lang w:val="sr-Latn-ME"/>
        </w:rPr>
        <w:t xml:space="preserve">Glavni identifikovani rizici i preporučene </w:t>
      </w:r>
      <w:r w:rsidR="00FC1277">
        <w:rPr>
          <w:rFonts w:ascii="Arial" w:hAnsi="Arial" w:cs="Arial"/>
          <w:b/>
          <w:lang w:val="sr-Latn-ME"/>
        </w:rPr>
        <w:t>mjere</w:t>
      </w:r>
      <w:r w:rsidRPr="001302F9">
        <w:rPr>
          <w:rFonts w:ascii="Arial" w:hAnsi="Arial" w:cs="Arial"/>
          <w:b/>
          <w:lang w:val="sr-Latn-ME"/>
        </w:rPr>
        <w:t xml:space="preserve"> za nov</w:t>
      </w:r>
      <w:r w:rsidR="00FC1277">
        <w:rPr>
          <w:rFonts w:ascii="Arial" w:hAnsi="Arial" w:cs="Arial"/>
          <w:b/>
          <w:lang w:val="sr-Latn-ME"/>
        </w:rPr>
        <w:t>u</w:t>
      </w:r>
      <w:r w:rsidRPr="001302F9">
        <w:rPr>
          <w:rFonts w:ascii="Arial" w:hAnsi="Arial" w:cs="Arial"/>
          <w:b/>
          <w:lang w:val="sr-Latn-ME"/>
        </w:rPr>
        <w:t xml:space="preserve"> </w:t>
      </w:r>
      <w:r w:rsidR="00F7528C" w:rsidRPr="001302F9">
        <w:rPr>
          <w:rFonts w:ascii="Arial" w:hAnsi="Arial" w:cs="Arial"/>
          <w:b/>
          <w:lang w:val="sr-Latn-ME"/>
        </w:rPr>
        <w:t>Strategij</w:t>
      </w:r>
      <w:r w:rsidR="00FC1277">
        <w:rPr>
          <w:rFonts w:ascii="Arial" w:hAnsi="Arial" w:cs="Arial"/>
          <w:b/>
          <w:lang w:val="sr-Latn-ME"/>
        </w:rPr>
        <w:t>u</w:t>
      </w:r>
      <w:r w:rsidRPr="001302F9">
        <w:rPr>
          <w:rFonts w:ascii="Arial" w:hAnsi="Arial" w:cs="Arial"/>
          <w:b/>
          <w:lang w:val="sr-Latn-ME"/>
        </w:rPr>
        <w:t xml:space="preserve"> </w:t>
      </w:r>
      <w:r w:rsidR="00FC1277">
        <w:rPr>
          <w:rFonts w:ascii="Arial" w:hAnsi="Arial" w:cs="Arial"/>
          <w:b/>
          <w:lang w:val="sr-Latn-ME"/>
        </w:rPr>
        <w:t>su</w:t>
      </w:r>
      <w:r w:rsidR="00B572FA" w:rsidRPr="001302F9">
        <w:rPr>
          <w:rFonts w:ascii="Arial" w:hAnsi="Arial" w:cs="Arial"/>
          <w:bCs/>
          <w:lang w:val="sr-Latn-ME"/>
        </w:rPr>
        <w:t>:</w:t>
      </w:r>
    </w:p>
    <w:p w:rsidR="00B95E30" w:rsidRPr="001302F9" w:rsidRDefault="005B3E65" w:rsidP="009B6B3B">
      <w:pPr>
        <w:pStyle w:val="ListParagraph"/>
        <w:numPr>
          <w:ilvl w:val="0"/>
          <w:numId w:val="7"/>
        </w:numPr>
        <w:spacing w:before="60" w:after="60" w:line="240" w:lineRule="auto"/>
        <w:ind w:left="567" w:hanging="283"/>
        <w:contextualSpacing w:val="0"/>
        <w:rPr>
          <w:rFonts w:cs="Arial"/>
          <w:bCs/>
          <w:sz w:val="22"/>
          <w:szCs w:val="22"/>
          <w:lang w:val="sr-Latn-ME"/>
        </w:rPr>
      </w:pPr>
      <w:r w:rsidRPr="001302F9">
        <w:rPr>
          <w:rFonts w:cs="Arial"/>
          <w:bCs/>
          <w:sz w:val="22"/>
          <w:szCs w:val="22"/>
          <w:lang w:val="sr-Latn-ME"/>
        </w:rPr>
        <w:t>Ljudski resursi</w:t>
      </w:r>
    </w:p>
    <w:p w:rsidR="003D66C6" w:rsidRDefault="003D66C6" w:rsidP="009B6B3B">
      <w:pPr>
        <w:pStyle w:val="ListParagraph"/>
        <w:numPr>
          <w:ilvl w:val="0"/>
          <w:numId w:val="25"/>
        </w:numPr>
        <w:spacing w:before="60" w:after="60" w:line="240" w:lineRule="auto"/>
        <w:contextualSpacing w:val="0"/>
        <w:rPr>
          <w:rFonts w:cs="Arial"/>
          <w:bCs/>
          <w:sz w:val="22"/>
          <w:szCs w:val="22"/>
          <w:lang w:val="sr-Latn-ME"/>
        </w:rPr>
      </w:pPr>
      <w:r w:rsidRPr="001302F9">
        <w:rPr>
          <w:rFonts w:cs="Arial"/>
          <w:bCs/>
          <w:sz w:val="22"/>
          <w:szCs w:val="22"/>
          <w:lang w:val="sr-Latn-ME"/>
        </w:rPr>
        <w:t xml:space="preserve">Neadekvatno planiranje i odlasci zaposlenih na bolje </w:t>
      </w:r>
      <w:r w:rsidR="00FC1277">
        <w:rPr>
          <w:rFonts w:cs="Arial"/>
          <w:bCs/>
          <w:sz w:val="22"/>
          <w:szCs w:val="22"/>
          <w:lang w:val="sr-Latn-ME"/>
        </w:rPr>
        <w:t xml:space="preserve">plaćene </w:t>
      </w:r>
      <w:r w:rsidRPr="001302F9">
        <w:rPr>
          <w:rFonts w:cs="Arial"/>
          <w:bCs/>
          <w:sz w:val="22"/>
          <w:szCs w:val="22"/>
          <w:lang w:val="sr-Latn-ME"/>
        </w:rPr>
        <w:t xml:space="preserve">poslove mogu dovesti do preopterećenja postojećih zaposlenih, </w:t>
      </w:r>
      <w:r w:rsidR="00FC1277">
        <w:rPr>
          <w:rFonts w:cs="Arial"/>
          <w:bCs/>
          <w:sz w:val="22"/>
          <w:szCs w:val="22"/>
          <w:lang w:val="sr-Latn-ME"/>
        </w:rPr>
        <w:t xml:space="preserve">kao i </w:t>
      </w:r>
      <w:r w:rsidRPr="001302F9">
        <w:rPr>
          <w:rFonts w:cs="Arial"/>
          <w:bCs/>
          <w:sz w:val="22"/>
          <w:szCs w:val="22"/>
          <w:lang w:val="sr-Latn-ME"/>
        </w:rPr>
        <w:t>kašnjenja i grešaka u procesu upravljanja nepravilnostima</w:t>
      </w:r>
      <w:r w:rsidR="000A3BA9">
        <w:rPr>
          <w:rFonts w:cs="Arial"/>
          <w:bCs/>
          <w:sz w:val="22"/>
          <w:szCs w:val="22"/>
          <w:lang w:val="sr-Latn-ME"/>
        </w:rPr>
        <w:t>;</w:t>
      </w:r>
    </w:p>
    <w:p w:rsidR="00471F30" w:rsidRPr="00471F30" w:rsidRDefault="00471F30" w:rsidP="009B6B3B">
      <w:pPr>
        <w:pStyle w:val="ListParagraph"/>
        <w:numPr>
          <w:ilvl w:val="0"/>
          <w:numId w:val="25"/>
        </w:numPr>
        <w:rPr>
          <w:rFonts w:cs="Arial"/>
          <w:bCs/>
          <w:sz w:val="22"/>
          <w:szCs w:val="22"/>
          <w:lang w:val="sr-Latn-ME"/>
        </w:rPr>
      </w:pPr>
      <w:r w:rsidRPr="00471F30">
        <w:rPr>
          <w:rFonts w:cs="Arial"/>
          <w:bCs/>
          <w:sz w:val="22"/>
          <w:szCs w:val="22"/>
          <w:lang w:val="sr-Latn-ME"/>
        </w:rPr>
        <w:t>Neotkrivanje i nepravilna klasifikacija nepravilnosti zbog nepoznavanja propisa, nedostatka iskustva i smanjene saradnje među službenicima</w:t>
      </w:r>
    </w:p>
    <w:p w:rsidR="008B3EFE" w:rsidRPr="001302F9" w:rsidRDefault="003D66C6" w:rsidP="009B6B3B">
      <w:pPr>
        <w:pStyle w:val="ListParagraph"/>
        <w:numPr>
          <w:ilvl w:val="0"/>
          <w:numId w:val="26"/>
        </w:numPr>
        <w:spacing w:before="60" w:after="60" w:line="240" w:lineRule="auto"/>
        <w:contextualSpacing w:val="0"/>
        <w:rPr>
          <w:rFonts w:cs="Arial"/>
          <w:bCs/>
          <w:sz w:val="22"/>
          <w:szCs w:val="22"/>
          <w:lang w:val="sr-Latn-ME"/>
        </w:rPr>
      </w:pPr>
      <w:r w:rsidRPr="001302F9">
        <w:rPr>
          <w:rFonts w:cs="Arial"/>
          <w:bCs/>
          <w:sz w:val="22"/>
          <w:szCs w:val="22"/>
          <w:lang w:val="sr-Latn-ME"/>
        </w:rPr>
        <w:t>Izrada procjene potrebnih kadrova, popunjavanje upražnjenih radnih mjesta i usvajanje Strategije razvoja ljudskih resursa na institucionalnom nivou, te podizanje svijesti i obuka o nepravilnostima u cijelom sistemu zaštite finansijskih interesa EU</w:t>
      </w:r>
      <w:r w:rsidR="00B91772" w:rsidRPr="001302F9">
        <w:rPr>
          <w:rFonts w:cs="Arial"/>
          <w:bCs/>
          <w:sz w:val="22"/>
          <w:szCs w:val="22"/>
          <w:lang w:val="sr-Latn-ME"/>
        </w:rPr>
        <w:t>;</w:t>
      </w:r>
    </w:p>
    <w:p w:rsidR="003D66C6" w:rsidRPr="001302F9" w:rsidRDefault="003D66C6" w:rsidP="009B6B3B">
      <w:pPr>
        <w:pStyle w:val="ListParagraph"/>
        <w:numPr>
          <w:ilvl w:val="0"/>
          <w:numId w:val="26"/>
        </w:numPr>
        <w:spacing w:before="60" w:after="60" w:line="240" w:lineRule="auto"/>
        <w:contextualSpacing w:val="0"/>
        <w:rPr>
          <w:rFonts w:cs="Arial"/>
          <w:bCs/>
          <w:sz w:val="22"/>
          <w:szCs w:val="22"/>
          <w:lang w:val="sr-Latn-ME"/>
        </w:rPr>
      </w:pPr>
      <w:r w:rsidRPr="001302F9">
        <w:rPr>
          <w:rFonts w:cs="Arial"/>
          <w:bCs/>
          <w:sz w:val="22"/>
          <w:szCs w:val="22"/>
          <w:lang w:val="sr-Latn-ME"/>
        </w:rPr>
        <w:t>Kreira</w:t>
      </w:r>
      <w:r w:rsidR="00FC1277">
        <w:rPr>
          <w:rFonts w:cs="Arial"/>
          <w:bCs/>
          <w:sz w:val="22"/>
          <w:szCs w:val="22"/>
          <w:lang w:val="sr-Latn-ME"/>
        </w:rPr>
        <w:t>nje</w:t>
      </w:r>
      <w:r w:rsidRPr="001302F9">
        <w:rPr>
          <w:rFonts w:cs="Arial"/>
          <w:bCs/>
          <w:sz w:val="22"/>
          <w:szCs w:val="22"/>
          <w:lang w:val="sr-Latn-ME"/>
        </w:rPr>
        <w:t xml:space="preserve"> nov</w:t>
      </w:r>
      <w:r w:rsidR="00FC1277">
        <w:rPr>
          <w:rFonts w:cs="Arial"/>
          <w:bCs/>
          <w:sz w:val="22"/>
          <w:szCs w:val="22"/>
          <w:lang w:val="sr-Latn-ME"/>
        </w:rPr>
        <w:t>og</w:t>
      </w:r>
      <w:r w:rsidRPr="001302F9">
        <w:rPr>
          <w:rFonts w:cs="Arial"/>
          <w:bCs/>
          <w:sz w:val="22"/>
          <w:szCs w:val="22"/>
          <w:lang w:val="sr-Latn-ME"/>
        </w:rPr>
        <w:t xml:space="preserve"> Katalog</w:t>
      </w:r>
      <w:r w:rsidR="00FC1277">
        <w:rPr>
          <w:rFonts w:cs="Arial"/>
          <w:bCs/>
          <w:sz w:val="22"/>
          <w:szCs w:val="22"/>
          <w:lang w:val="sr-Latn-ME"/>
        </w:rPr>
        <w:t>a i</w:t>
      </w:r>
      <w:r w:rsidRPr="001302F9">
        <w:rPr>
          <w:rFonts w:cs="Arial"/>
          <w:bCs/>
          <w:sz w:val="22"/>
          <w:szCs w:val="22"/>
          <w:lang w:val="sr-Latn-ME"/>
        </w:rPr>
        <w:t xml:space="preserve"> </w:t>
      </w:r>
      <w:r w:rsidR="00FC1277" w:rsidRPr="001302F9">
        <w:rPr>
          <w:rFonts w:cs="Arial"/>
          <w:bCs/>
          <w:sz w:val="22"/>
          <w:szCs w:val="22"/>
          <w:lang w:val="sr-Latn-ME"/>
        </w:rPr>
        <w:t>Plan</w:t>
      </w:r>
      <w:r w:rsidR="00FC1277">
        <w:rPr>
          <w:rFonts w:cs="Arial"/>
          <w:bCs/>
          <w:sz w:val="22"/>
          <w:szCs w:val="22"/>
          <w:lang w:val="sr-Latn-ME"/>
        </w:rPr>
        <w:t>a</w:t>
      </w:r>
      <w:r w:rsidR="00FC1277" w:rsidRPr="001302F9">
        <w:rPr>
          <w:rFonts w:cs="Arial"/>
          <w:bCs/>
          <w:sz w:val="22"/>
          <w:szCs w:val="22"/>
          <w:lang w:val="sr-Latn-ME"/>
        </w:rPr>
        <w:t xml:space="preserve"> </w:t>
      </w:r>
      <w:r w:rsidRPr="001302F9">
        <w:rPr>
          <w:rFonts w:cs="Arial"/>
          <w:bCs/>
          <w:sz w:val="22"/>
          <w:szCs w:val="22"/>
          <w:lang w:val="sr-Latn-ME"/>
        </w:rPr>
        <w:t>obuk</w:t>
      </w:r>
      <w:r w:rsidR="00FC1277">
        <w:rPr>
          <w:rFonts w:cs="Arial"/>
          <w:bCs/>
          <w:sz w:val="22"/>
          <w:szCs w:val="22"/>
          <w:lang w:val="sr-Latn-ME"/>
        </w:rPr>
        <w:t>a</w:t>
      </w:r>
      <w:r w:rsidRPr="001302F9">
        <w:rPr>
          <w:rFonts w:cs="Arial"/>
          <w:bCs/>
          <w:sz w:val="22"/>
          <w:szCs w:val="22"/>
          <w:lang w:val="sr-Latn-ME"/>
        </w:rPr>
        <w:t xml:space="preserve">. Direkcija za upravljanje ljudskim resursima, u saradnji sa </w:t>
      </w:r>
      <w:r w:rsidR="00FC1277">
        <w:rPr>
          <w:rFonts w:cs="Arial"/>
          <w:bCs/>
          <w:sz w:val="22"/>
          <w:szCs w:val="22"/>
          <w:lang w:val="sr-Latn-ME"/>
        </w:rPr>
        <w:t>Direkcijom za zaštitu finansijskih interesa EU</w:t>
      </w:r>
      <w:r w:rsidR="000A3BA9">
        <w:rPr>
          <w:rFonts w:cs="Arial"/>
          <w:bCs/>
          <w:sz w:val="22"/>
          <w:szCs w:val="22"/>
          <w:lang w:val="sr-Latn-ME"/>
        </w:rPr>
        <w:t>/AFCOS</w:t>
      </w:r>
      <w:r w:rsidRPr="001302F9">
        <w:rPr>
          <w:rFonts w:cs="Arial"/>
          <w:bCs/>
          <w:sz w:val="22"/>
          <w:szCs w:val="22"/>
          <w:lang w:val="sr-Latn-ME"/>
        </w:rPr>
        <w:t xml:space="preserve">, treba da uključi modul obuke o prevarama i nepravilnostima koje se javljaju tokom realizacije IPA projekata, korišćenju IMS-a, upravljanju rizikom od prevara i drugim </w:t>
      </w:r>
      <w:r w:rsidR="00730DB2">
        <w:rPr>
          <w:rFonts w:cs="Arial"/>
          <w:bCs/>
          <w:sz w:val="22"/>
          <w:szCs w:val="22"/>
          <w:lang w:val="sr-Latn-ME"/>
        </w:rPr>
        <w:t xml:space="preserve">korisnim </w:t>
      </w:r>
      <w:r w:rsidRPr="001302F9">
        <w:rPr>
          <w:rFonts w:cs="Arial"/>
          <w:bCs/>
          <w:sz w:val="22"/>
          <w:szCs w:val="22"/>
          <w:lang w:val="sr-Latn-ME"/>
        </w:rPr>
        <w:t>temama</w:t>
      </w:r>
      <w:r w:rsidR="00730DB2">
        <w:rPr>
          <w:rFonts w:cs="Arial"/>
          <w:bCs/>
          <w:sz w:val="22"/>
          <w:szCs w:val="22"/>
          <w:lang w:val="sr-Latn-ME"/>
        </w:rPr>
        <w:t xml:space="preserve"> iz ove oblasti</w:t>
      </w:r>
      <w:r w:rsidRPr="001302F9">
        <w:rPr>
          <w:rFonts w:cs="Arial"/>
          <w:bCs/>
          <w:sz w:val="22"/>
          <w:szCs w:val="22"/>
          <w:lang w:val="sr-Latn-ME"/>
        </w:rPr>
        <w:t>.</w:t>
      </w:r>
    </w:p>
    <w:p w:rsidR="00395E5A" w:rsidRPr="001302F9" w:rsidRDefault="003D66C6" w:rsidP="009B6B3B">
      <w:pPr>
        <w:pStyle w:val="ListParagraph"/>
        <w:numPr>
          <w:ilvl w:val="0"/>
          <w:numId w:val="13"/>
        </w:numPr>
        <w:spacing w:before="60" w:after="60" w:line="240" w:lineRule="auto"/>
        <w:contextualSpacing w:val="0"/>
        <w:rPr>
          <w:rFonts w:cs="Arial"/>
          <w:bCs/>
          <w:sz w:val="22"/>
          <w:szCs w:val="22"/>
          <w:lang w:val="sr-Latn-ME"/>
        </w:rPr>
      </w:pPr>
      <w:r w:rsidRPr="001302F9">
        <w:rPr>
          <w:rFonts w:cs="Arial"/>
          <w:bCs/>
          <w:sz w:val="22"/>
          <w:szCs w:val="22"/>
          <w:lang w:val="sr-Latn-ME"/>
        </w:rPr>
        <w:t xml:space="preserve">Pravna osnova </w:t>
      </w:r>
      <w:r w:rsidR="00730DB2">
        <w:rPr>
          <w:rFonts w:cs="Arial"/>
          <w:bCs/>
          <w:sz w:val="22"/>
          <w:szCs w:val="22"/>
          <w:lang w:val="sr-Latn-ME"/>
        </w:rPr>
        <w:t>i</w:t>
      </w:r>
      <w:r w:rsidRPr="001302F9">
        <w:rPr>
          <w:rFonts w:cs="Arial"/>
          <w:bCs/>
          <w:sz w:val="22"/>
          <w:szCs w:val="22"/>
          <w:lang w:val="sr-Latn-ME"/>
        </w:rPr>
        <w:t xml:space="preserve"> komunikacija</w:t>
      </w:r>
    </w:p>
    <w:p w:rsidR="00E824A0" w:rsidRPr="00471F30" w:rsidRDefault="003D66C6" w:rsidP="009B6B3B">
      <w:pPr>
        <w:pStyle w:val="ListParagraph"/>
        <w:numPr>
          <w:ilvl w:val="0"/>
          <w:numId w:val="33"/>
        </w:numPr>
        <w:spacing w:before="60" w:after="60" w:line="240" w:lineRule="auto"/>
        <w:rPr>
          <w:rFonts w:cs="Arial"/>
          <w:bCs/>
          <w:sz w:val="22"/>
          <w:szCs w:val="22"/>
          <w:lang w:val="sr-Latn-ME"/>
        </w:rPr>
      </w:pPr>
      <w:r w:rsidRPr="00471F30">
        <w:rPr>
          <w:rFonts w:cs="Arial"/>
          <w:bCs/>
          <w:sz w:val="22"/>
          <w:szCs w:val="22"/>
          <w:lang w:val="sr-Latn-ME"/>
        </w:rPr>
        <w:t>Neadekvatna provjera dvostrukog finansiranja EU projekata, zbog nepostojanja jedinstvene baze EU projekata, što može dovesti do zloupotrebe, uz finansiranje iz više izvora</w:t>
      </w:r>
    </w:p>
    <w:p w:rsidR="009F1319" w:rsidRPr="001302F9" w:rsidRDefault="003D66C6" w:rsidP="009B6B3B">
      <w:pPr>
        <w:pStyle w:val="ListParagraph"/>
        <w:numPr>
          <w:ilvl w:val="0"/>
          <w:numId w:val="27"/>
        </w:numPr>
        <w:spacing w:before="60" w:after="60" w:line="240" w:lineRule="auto"/>
        <w:contextualSpacing w:val="0"/>
        <w:rPr>
          <w:rFonts w:cs="Arial"/>
          <w:bCs/>
          <w:sz w:val="22"/>
          <w:szCs w:val="22"/>
          <w:lang w:val="sr-Latn-ME"/>
        </w:rPr>
      </w:pPr>
      <w:r w:rsidRPr="001302F9">
        <w:rPr>
          <w:rFonts w:cs="Arial"/>
          <w:bCs/>
          <w:sz w:val="22"/>
          <w:szCs w:val="22"/>
          <w:lang w:val="sr-Latn-ME"/>
        </w:rPr>
        <w:t xml:space="preserve">Stvaranje jedinstvene elektronske baze podataka projekata finansiranih iz podrške EU i omogućavanje pristupa </w:t>
      </w:r>
      <w:r w:rsidR="00730DB2">
        <w:rPr>
          <w:rFonts w:cs="Arial"/>
          <w:bCs/>
          <w:sz w:val="22"/>
          <w:szCs w:val="22"/>
          <w:lang w:val="sr-Latn-ME"/>
        </w:rPr>
        <w:t>istoj</w:t>
      </w:r>
      <w:r w:rsidRPr="001302F9">
        <w:rPr>
          <w:rFonts w:cs="Arial"/>
          <w:bCs/>
          <w:sz w:val="22"/>
          <w:szCs w:val="22"/>
          <w:lang w:val="sr-Latn-ME"/>
        </w:rPr>
        <w:t xml:space="preserve"> službenicima IPA strukture koji rade na provjeravanju dvostrukog finansiranja. Uvođenje u Priručnik o </w:t>
      </w:r>
      <w:r w:rsidR="00730DB2">
        <w:rPr>
          <w:rFonts w:cs="Arial"/>
          <w:bCs/>
          <w:sz w:val="22"/>
          <w:szCs w:val="22"/>
          <w:lang w:val="sr-Latn-ME"/>
        </w:rPr>
        <w:t xml:space="preserve">procedurama </w:t>
      </w:r>
      <w:r w:rsidRPr="001302F9">
        <w:rPr>
          <w:rFonts w:cs="Arial"/>
          <w:bCs/>
          <w:sz w:val="22"/>
          <w:szCs w:val="22"/>
          <w:lang w:val="sr-Latn-ME"/>
        </w:rPr>
        <w:t>obaveze službenika IPA strukture da vrše ovu vrstu kontrole</w:t>
      </w:r>
      <w:r w:rsidR="002B4757" w:rsidRPr="001302F9">
        <w:rPr>
          <w:rFonts w:cs="Arial"/>
          <w:bCs/>
          <w:sz w:val="22"/>
          <w:szCs w:val="22"/>
          <w:lang w:val="sr-Latn-ME"/>
        </w:rPr>
        <w:t>.</w:t>
      </w:r>
    </w:p>
    <w:p w:rsidR="00223DA3" w:rsidRPr="00471F30" w:rsidRDefault="003D66C6" w:rsidP="009B6B3B">
      <w:pPr>
        <w:pStyle w:val="ListParagraph"/>
        <w:numPr>
          <w:ilvl w:val="0"/>
          <w:numId w:val="33"/>
        </w:numPr>
        <w:spacing w:before="60" w:after="60" w:line="240" w:lineRule="auto"/>
        <w:rPr>
          <w:rFonts w:cs="Arial"/>
          <w:bCs/>
          <w:sz w:val="22"/>
          <w:szCs w:val="22"/>
          <w:lang w:val="sr-Latn-ME"/>
        </w:rPr>
      </w:pPr>
      <w:r w:rsidRPr="00471F30">
        <w:rPr>
          <w:rFonts w:cs="Arial"/>
          <w:bCs/>
          <w:sz w:val="22"/>
          <w:szCs w:val="22"/>
          <w:lang w:val="sr-Latn-ME"/>
        </w:rPr>
        <w:t xml:space="preserve">Uloga i zadaci pojedinih </w:t>
      </w:r>
      <w:r w:rsidR="00730DB2" w:rsidRPr="00471F30">
        <w:rPr>
          <w:rFonts w:cs="Arial"/>
          <w:bCs/>
          <w:sz w:val="22"/>
          <w:szCs w:val="22"/>
          <w:lang w:val="sr-Latn-ME"/>
        </w:rPr>
        <w:t>institucija</w:t>
      </w:r>
      <w:r w:rsidRPr="00471F30">
        <w:rPr>
          <w:rFonts w:cs="Arial"/>
          <w:bCs/>
          <w:sz w:val="22"/>
          <w:szCs w:val="22"/>
          <w:lang w:val="sr-Latn-ME"/>
        </w:rPr>
        <w:t xml:space="preserve"> izvan IPA strukture u pogledu zaštite finansijskih interesa EU su nejasni, što može dovesti do otežane komunikacije među njima, a samim tim i do smanjenja efikasnosti u borbi protiv prevara i nepravilnosti</w:t>
      </w:r>
    </w:p>
    <w:p w:rsidR="00471F30" w:rsidRDefault="003D66C6" w:rsidP="009B6B3B">
      <w:pPr>
        <w:pStyle w:val="ListParagraph"/>
        <w:numPr>
          <w:ilvl w:val="0"/>
          <w:numId w:val="28"/>
        </w:numPr>
        <w:spacing w:before="60" w:after="60" w:line="240" w:lineRule="auto"/>
        <w:contextualSpacing w:val="0"/>
        <w:rPr>
          <w:rFonts w:cs="Arial"/>
          <w:bCs/>
          <w:sz w:val="22"/>
          <w:szCs w:val="22"/>
          <w:lang w:val="sr-Latn-ME"/>
        </w:rPr>
      </w:pPr>
      <w:r w:rsidRPr="001302F9">
        <w:rPr>
          <w:rFonts w:cs="Arial"/>
          <w:bCs/>
          <w:sz w:val="22"/>
          <w:szCs w:val="22"/>
          <w:lang w:val="sr-Latn-ME"/>
        </w:rPr>
        <w:t xml:space="preserve">Potpisivanje Protokola o saradnji sa Vrhovnim državnim tužilaštvom i kreiranje jasnih procedura o dužnostima svih </w:t>
      </w:r>
      <w:r w:rsidR="00730DB2">
        <w:rPr>
          <w:rFonts w:cs="Arial"/>
          <w:bCs/>
          <w:sz w:val="22"/>
          <w:szCs w:val="22"/>
          <w:lang w:val="sr-Latn-ME"/>
        </w:rPr>
        <w:t>institucija</w:t>
      </w:r>
      <w:r w:rsidRPr="001302F9">
        <w:rPr>
          <w:rFonts w:cs="Arial"/>
          <w:bCs/>
          <w:sz w:val="22"/>
          <w:szCs w:val="22"/>
          <w:lang w:val="sr-Latn-ME"/>
        </w:rPr>
        <w:t xml:space="preserve"> AFCOS mreže</w:t>
      </w:r>
      <w:r w:rsidR="00730DB2">
        <w:rPr>
          <w:rFonts w:cs="Arial"/>
          <w:bCs/>
          <w:sz w:val="22"/>
          <w:szCs w:val="22"/>
          <w:lang w:val="sr-Latn-ME"/>
        </w:rPr>
        <w:t xml:space="preserve">, sa naglaskom na slučaj dolaska </w:t>
      </w:r>
      <w:r w:rsidRPr="001302F9">
        <w:rPr>
          <w:rFonts w:cs="Arial"/>
          <w:bCs/>
          <w:sz w:val="22"/>
          <w:szCs w:val="22"/>
          <w:lang w:val="sr-Latn-ME"/>
        </w:rPr>
        <w:t>OLAF-ovih istražitelja u kontrolu privrednih subjekata u Crnoj Gori</w:t>
      </w:r>
      <w:r w:rsidR="00156DAB" w:rsidRPr="001302F9">
        <w:rPr>
          <w:rFonts w:cs="Arial"/>
          <w:bCs/>
          <w:sz w:val="22"/>
          <w:szCs w:val="22"/>
          <w:lang w:val="sr-Latn-ME"/>
        </w:rPr>
        <w:t>.</w:t>
      </w:r>
    </w:p>
    <w:p w:rsidR="00B85A6D" w:rsidRPr="00471F30" w:rsidRDefault="00B85A6D" w:rsidP="009B6B3B">
      <w:pPr>
        <w:pStyle w:val="ListParagraph"/>
        <w:numPr>
          <w:ilvl w:val="0"/>
          <w:numId w:val="34"/>
        </w:numPr>
        <w:spacing w:before="60" w:after="60" w:line="240" w:lineRule="auto"/>
        <w:rPr>
          <w:rFonts w:cs="Arial"/>
          <w:bCs/>
          <w:sz w:val="22"/>
          <w:szCs w:val="22"/>
          <w:lang w:val="sr-Latn-ME"/>
        </w:rPr>
      </w:pPr>
      <w:r w:rsidRPr="00471F30">
        <w:rPr>
          <w:rFonts w:cs="Arial"/>
          <w:bCs/>
          <w:sz w:val="22"/>
          <w:szCs w:val="22"/>
          <w:lang w:val="sr-Latn-ME"/>
        </w:rPr>
        <w:t>Zbog nedovoljne prepoznatljivosti uloge AFCOS</w:t>
      </w:r>
      <w:r w:rsidR="000A3BA9">
        <w:rPr>
          <w:rFonts w:cs="Arial"/>
          <w:bCs/>
          <w:sz w:val="22"/>
          <w:szCs w:val="22"/>
          <w:lang w:val="sr-Latn-ME"/>
        </w:rPr>
        <w:t>-a</w:t>
      </w:r>
      <w:r w:rsidRPr="00471F30">
        <w:rPr>
          <w:rFonts w:cs="Arial"/>
          <w:bCs/>
          <w:sz w:val="22"/>
          <w:szCs w:val="22"/>
          <w:lang w:val="sr-Latn-ME"/>
        </w:rPr>
        <w:t xml:space="preserve"> u javnosti, </w:t>
      </w:r>
      <w:r w:rsidR="00471F30" w:rsidRPr="00471F30">
        <w:rPr>
          <w:rFonts w:cs="Arial"/>
          <w:bCs/>
          <w:sz w:val="22"/>
          <w:szCs w:val="22"/>
          <w:lang w:val="sr-Latn-ME"/>
        </w:rPr>
        <w:t xml:space="preserve"> </w:t>
      </w:r>
      <w:r w:rsidRPr="00471F30">
        <w:rPr>
          <w:rFonts w:cs="Arial"/>
          <w:bCs/>
          <w:sz w:val="22"/>
          <w:szCs w:val="22"/>
          <w:lang w:val="sr-Latn-ME"/>
        </w:rPr>
        <w:t>nedovoljnog povjerenja u institucije ili nepoznavanja mehanizma prijave sumnji na nepravilnost anonimnim putem, potencijalni prijavitelji nisu skloni prijaviti nepravilnosti, odnosno sumnje na prevaru, ili ne pružaju adekvatne informacije kako bi se mogao započeti postupak utvrđivanja nepravilnosti</w:t>
      </w:r>
    </w:p>
    <w:p w:rsidR="00471F30" w:rsidRDefault="003D66C6" w:rsidP="009B6B3B">
      <w:pPr>
        <w:pStyle w:val="ListParagraph"/>
        <w:numPr>
          <w:ilvl w:val="0"/>
          <w:numId w:val="29"/>
        </w:numPr>
        <w:spacing w:before="60" w:after="60" w:line="240" w:lineRule="auto"/>
        <w:contextualSpacing w:val="0"/>
        <w:rPr>
          <w:rFonts w:cs="Arial"/>
          <w:bCs/>
          <w:sz w:val="22"/>
          <w:szCs w:val="22"/>
          <w:lang w:val="sr-Latn-ME"/>
        </w:rPr>
      </w:pPr>
      <w:r w:rsidRPr="001302F9">
        <w:rPr>
          <w:rFonts w:cs="Arial"/>
          <w:bCs/>
          <w:sz w:val="22"/>
          <w:szCs w:val="22"/>
          <w:lang w:val="sr-Latn-ME"/>
        </w:rPr>
        <w:t xml:space="preserve">Izrada </w:t>
      </w:r>
      <w:r w:rsidR="00B85A6D" w:rsidRPr="00B85A6D">
        <w:rPr>
          <w:rFonts w:cs="Arial"/>
          <w:bCs/>
          <w:sz w:val="22"/>
          <w:szCs w:val="22"/>
          <w:lang w:val="sr-Latn-ME"/>
        </w:rPr>
        <w:t>Komunikacione</w:t>
      </w:r>
      <w:r w:rsidRPr="001302F9">
        <w:rPr>
          <w:rFonts w:cs="Arial"/>
          <w:bCs/>
          <w:sz w:val="22"/>
          <w:szCs w:val="22"/>
          <w:lang w:val="sr-Latn-ME"/>
        </w:rPr>
        <w:t xml:space="preserve"> strategije, izrada brošura i letaka za informi</w:t>
      </w:r>
      <w:r w:rsidR="00B85A6D">
        <w:rPr>
          <w:rFonts w:cs="Arial"/>
          <w:bCs/>
          <w:sz w:val="22"/>
          <w:szCs w:val="22"/>
          <w:lang w:val="sr-Latn-ME"/>
        </w:rPr>
        <w:t>s</w:t>
      </w:r>
      <w:r w:rsidRPr="001302F9">
        <w:rPr>
          <w:rFonts w:cs="Arial"/>
          <w:bCs/>
          <w:sz w:val="22"/>
          <w:szCs w:val="22"/>
          <w:lang w:val="sr-Latn-ME"/>
        </w:rPr>
        <w:t>anje javnosti s primjerima prevara i nepravilnosti i drugim važnim informacijama</w:t>
      </w:r>
      <w:r w:rsidR="00C71CCD" w:rsidRPr="001302F9">
        <w:rPr>
          <w:rFonts w:cs="Arial"/>
          <w:bCs/>
          <w:sz w:val="22"/>
          <w:szCs w:val="22"/>
          <w:lang w:val="sr-Latn-ME"/>
        </w:rPr>
        <w:t>.</w:t>
      </w:r>
    </w:p>
    <w:p w:rsidR="00C71CCD" w:rsidRPr="00471F30" w:rsidRDefault="003D66C6" w:rsidP="009B6B3B">
      <w:pPr>
        <w:pStyle w:val="ListParagraph"/>
        <w:numPr>
          <w:ilvl w:val="0"/>
          <w:numId w:val="35"/>
        </w:numPr>
        <w:spacing w:before="60" w:after="60" w:line="240" w:lineRule="auto"/>
        <w:rPr>
          <w:rFonts w:cs="Arial"/>
          <w:bCs/>
          <w:sz w:val="22"/>
          <w:szCs w:val="22"/>
          <w:lang w:val="sr-Latn-ME"/>
        </w:rPr>
      </w:pPr>
      <w:r w:rsidRPr="00471F30">
        <w:rPr>
          <w:rFonts w:cs="Arial"/>
          <w:bCs/>
          <w:sz w:val="22"/>
          <w:szCs w:val="22"/>
          <w:lang w:val="sr-Latn-ME"/>
        </w:rPr>
        <w:t>Zbog nedovoljno uspostavljenog zakonskog okvira, koji se, između ostalog, manifestuje i u neadekvatnom opisu krivičnog djela, nemoguće je efikasno procesuirati slučajeve sumnje na prevaru na štetu finansijskih interesa EU. Rezultat navedenog može se negativno odraziti kako na državni budžet, tako i na ugled države</w:t>
      </w:r>
    </w:p>
    <w:p w:rsidR="00E9761A" w:rsidRPr="001302F9" w:rsidRDefault="003D66C6" w:rsidP="009B6B3B">
      <w:pPr>
        <w:pStyle w:val="ListParagraph"/>
        <w:numPr>
          <w:ilvl w:val="0"/>
          <w:numId w:val="30"/>
        </w:numPr>
        <w:spacing w:before="60" w:after="60" w:line="240" w:lineRule="auto"/>
        <w:contextualSpacing w:val="0"/>
        <w:rPr>
          <w:rFonts w:cs="Arial"/>
          <w:bCs/>
          <w:sz w:val="22"/>
          <w:szCs w:val="22"/>
          <w:lang w:val="sr-Latn-ME"/>
        </w:rPr>
      </w:pPr>
      <w:r w:rsidRPr="001302F9">
        <w:rPr>
          <w:rFonts w:cs="Arial"/>
          <w:bCs/>
          <w:sz w:val="22"/>
          <w:szCs w:val="22"/>
          <w:lang w:val="sr-Latn-ME"/>
        </w:rPr>
        <w:t>Potrebno je preduzeti niz aktivnosti kako bi se izvršila analiza usklađenosti relevantnih zakona, podzakonskih akata i drugih odredbi sa tzv. PIF direktivom. Na osnovu rezultata analize utvrditi potrebu unapređenja zakonskog okvira u cilju usklađivanja Krivičnog zakonika Crne Gore sa Direktivom o PIF-u, odnosno donošenja izmjena postojećih propisa.</w:t>
      </w:r>
    </w:p>
    <w:p w:rsidR="00683D04" w:rsidRPr="00471F30" w:rsidRDefault="003D66C6" w:rsidP="009B6B3B">
      <w:pPr>
        <w:pStyle w:val="ListParagraph"/>
        <w:numPr>
          <w:ilvl w:val="0"/>
          <w:numId w:val="36"/>
        </w:numPr>
        <w:spacing w:before="60" w:after="60" w:line="240" w:lineRule="auto"/>
        <w:rPr>
          <w:rFonts w:cs="Arial"/>
          <w:bCs/>
          <w:sz w:val="22"/>
          <w:szCs w:val="22"/>
          <w:lang w:val="sr-Latn-ME"/>
        </w:rPr>
      </w:pPr>
      <w:r w:rsidRPr="00471F30">
        <w:rPr>
          <w:rFonts w:cs="Arial"/>
          <w:bCs/>
          <w:sz w:val="22"/>
          <w:szCs w:val="22"/>
          <w:lang w:val="sr-Latn-ME"/>
        </w:rPr>
        <w:t xml:space="preserve">Provjera povezanosti lica u pogledu sukoba interesa, kada je u pitanju </w:t>
      </w:r>
      <w:r w:rsidR="00683D04" w:rsidRPr="00471F30">
        <w:rPr>
          <w:rFonts w:cs="Arial"/>
          <w:bCs/>
          <w:sz w:val="22"/>
          <w:szCs w:val="22"/>
          <w:lang w:val="sr-Latn-ME"/>
        </w:rPr>
        <w:t>s</w:t>
      </w:r>
      <w:r w:rsidRPr="00471F30">
        <w:rPr>
          <w:rFonts w:cs="Arial"/>
          <w:bCs/>
          <w:sz w:val="22"/>
          <w:szCs w:val="22"/>
          <w:lang w:val="sr-Latn-ME"/>
        </w:rPr>
        <w:t>provođenje kontrola na licu mjesta, nije adekvatna i može dovesti do prihvatanja neopravdanih troškova i drugih nepravilnosti</w:t>
      </w:r>
    </w:p>
    <w:p w:rsidR="003D66C6" w:rsidRPr="00683D04" w:rsidRDefault="003D66C6" w:rsidP="009B6B3B">
      <w:pPr>
        <w:pStyle w:val="ListParagraph"/>
        <w:numPr>
          <w:ilvl w:val="0"/>
          <w:numId w:val="31"/>
        </w:numPr>
        <w:spacing w:before="60" w:after="60" w:line="240" w:lineRule="auto"/>
        <w:rPr>
          <w:rFonts w:cs="Arial"/>
          <w:bCs/>
          <w:sz w:val="22"/>
          <w:szCs w:val="22"/>
          <w:lang w:val="sr-Latn-ME"/>
        </w:rPr>
      </w:pPr>
      <w:r w:rsidRPr="00683D04">
        <w:rPr>
          <w:rFonts w:cs="Arial"/>
          <w:bCs/>
          <w:sz w:val="22"/>
          <w:szCs w:val="22"/>
          <w:lang w:val="sr-Latn-ME"/>
        </w:rPr>
        <w:t>Propisivanje postupka komunikacije između IPA struktura radi provjere povezanosti lica koja vrše kontrolu na licu mjesta sa licima koja su predmet kontrole, prije službenog izdavanja ovlašćenog obrasca za sprovođenje kontrole. Uvođenje u procedure Izjave da lica koja vrše kontrole i lica čiji je rad predmet kontrole nisu povezana.</w:t>
      </w:r>
    </w:p>
    <w:p w:rsidR="001379CE" w:rsidRPr="001302F9" w:rsidRDefault="006D219D" w:rsidP="003D66C6">
      <w:pPr>
        <w:spacing w:before="60" w:after="60" w:line="240" w:lineRule="auto"/>
        <w:rPr>
          <w:rFonts w:ascii="Arial" w:hAnsi="Arial" w:cs="Arial"/>
          <w:bCs/>
          <w:lang w:val="sr-Latn-ME"/>
        </w:rPr>
      </w:pPr>
      <w:r w:rsidRPr="001302F9">
        <w:rPr>
          <w:rFonts w:ascii="Arial" w:hAnsi="Arial" w:cs="Arial"/>
          <w:bCs/>
          <w:lang w:val="sr-Latn-ME"/>
        </w:rPr>
        <w:t>3. Kultura organizacije</w:t>
      </w:r>
    </w:p>
    <w:p w:rsidR="00683D04" w:rsidRPr="00471F30" w:rsidRDefault="00AD33A2" w:rsidP="009B6B3B">
      <w:pPr>
        <w:pStyle w:val="ListParagraph"/>
        <w:numPr>
          <w:ilvl w:val="0"/>
          <w:numId w:val="37"/>
        </w:numPr>
        <w:spacing w:before="60" w:after="60" w:line="240" w:lineRule="auto"/>
        <w:rPr>
          <w:rFonts w:cs="Arial"/>
          <w:bCs/>
          <w:sz w:val="22"/>
          <w:szCs w:val="22"/>
          <w:lang w:val="sr-Latn-ME"/>
        </w:rPr>
      </w:pPr>
      <w:r w:rsidRPr="00471F30">
        <w:rPr>
          <w:rFonts w:cs="Arial"/>
          <w:bCs/>
          <w:sz w:val="22"/>
          <w:szCs w:val="22"/>
          <w:lang w:val="sr-Latn-ME"/>
        </w:rPr>
        <w:t>Nedostatak etičkih vrijednosti i svijesti o odgovornosti među zaposlenima može dovesti do sukoba interesa i prevare</w:t>
      </w:r>
    </w:p>
    <w:p w:rsidR="00AD33A2" w:rsidRPr="00683D04" w:rsidRDefault="00AD33A2" w:rsidP="009B6B3B">
      <w:pPr>
        <w:pStyle w:val="ListParagraph"/>
        <w:numPr>
          <w:ilvl w:val="0"/>
          <w:numId w:val="32"/>
        </w:numPr>
        <w:spacing w:before="60" w:after="60" w:line="240" w:lineRule="auto"/>
        <w:rPr>
          <w:rFonts w:cs="Arial"/>
          <w:bCs/>
          <w:sz w:val="22"/>
          <w:szCs w:val="22"/>
          <w:lang w:val="sr-Latn-ME"/>
        </w:rPr>
      </w:pPr>
      <w:r w:rsidRPr="00683D04">
        <w:rPr>
          <w:rFonts w:cs="Arial"/>
          <w:bCs/>
          <w:sz w:val="22"/>
          <w:szCs w:val="22"/>
          <w:lang w:val="sr-Latn-ME"/>
        </w:rPr>
        <w:t>Imenovanje službenika odgovornog za praćenje primjen</w:t>
      </w:r>
      <w:r w:rsidR="00683D04">
        <w:rPr>
          <w:rFonts w:cs="Arial"/>
          <w:bCs/>
          <w:sz w:val="22"/>
          <w:szCs w:val="22"/>
          <w:lang w:val="sr-Latn-ME"/>
        </w:rPr>
        <w:t>u</w:t>
      </w:r>
      <w:r w:rsidRPr="00683D04">
        <w:rPr>
          <w:rFonts w:cs="Arial"/>
          <w:bCs/>
          <w:sz w:val="22"/>
          <w:szCs w:val="22"/>
          <w:lang w:val="sr-Latn-ME"/>
        </w:rPr>
        <w:t xml:space="preserve"> Etičkog kodeksa, promovi</w:t>
      </w:r>
      <w:r w:rsidR="00683D04">
        <w:rPr>
          <w:rFonts w:cs="Arial"/>
          <w:bCs/>
          <w:sz w:val="22"/>
          <w:szCs w:val="22"/>
          <w:lang w:val="sr-Latn-ME"/>
        </w:rPr>
        <w:t>sanje</w:t>
      </w:r>
      <w:r w:rsidRPr="00683D04">
        <w:rPr>
          <w:rFonts w:cs="Arial"/>
          <w:bCs/>
          <w:sz w:val="22"/>
          <w:szCs w:val="22"/>
          <w:lang w:val="sr-Latn-ME"/>
        </w:rPr>
        <w:t xml:space="preserve"> etičkog ponašanja i rješavanje pritužbi na neetičko ponašanje. Ovdje treba napomenuti da na nivou svakog IPA tijela postoji jedna osoba, koja nadgleda oblast upravljanja ljudskim resursima kroz dodijeljeni opis posla, a njeni specifični zadaci uključuju i implementaciju Etičkog kodeksa.</w:t>
      </w:r>
    </w:p>
    <w:bookmarkEnd w:id="9"/>
    <w:p w:rsidR="000F471C" w:rsidRPr="001302F9" w:rsidRDefault="000F471C" w:rsidP="000F471C">
      <w:pPr>
        <w:spacing w:before="100" w:beforeAutospacing="1" w:after="100" w:afterAutospacing="1" w:line="240" w:lineRule="auto"/>
        <w:rPr>
          <w:rFonts w:ascii="Arial" w:eastAsia="Times New Roman" w:hAnsi="Arial" w:cs="Arial"/>
          <w:lang w:val="sr-Latn-ME"/>
        </w:rPr>
      </w:pPr>
      <w:r w:rsidRPr="001302F9">
        <w:rPr>
          <w:rFonts w:ascii="Arial" w:eastAsia="Times New Roman" w:hAnsi="Arial" w:cs="Arial"/>
          <w:b/>
          <w:bCs/>
          <w:lang w:val="sr-Latn-ME"/>
        </w:rPr>
        <w:t>2.3. Rezultati PESTLE analize</w:t>
      </w:r>
    </w:p>
    <w:p w:rsidR="000F471C" w:rsidRPr="001302F9" w:rsidRDefault="000F471C" w:rsidP="000F471C">
      <w:pPr>
        <w:spacing w:before="100" w:beforeAutospacing="1" w:after="100" w:afterAutospacing="1" w:line="240" w:lineRule="auto"/>
        <w:rPr>
          <w:rFonts w:ascii="Arial" w:eastAsia="Times New Roman" w:hAnsi="Arial" w:cs="Arial"/>
          <w:lang w:val="sr-Latn-ME"/>
        </w:rPr>
      </w:pPr>
      <w:r w:rsidRPr="001302F9">
        <w:rPr>
          <w:rFonts w:ascii="Arial" w:eastAsia="Times New Roman" w:hAnsi="Arial" w:cs="Arial"/>
          <w:lang w:val="sr-Latn-ME"/>
        </w:rPr>
        <w:t xml:space="preserve">PESTLE analiza sprovedena je od strane </w:t>
      </w:r>
      <w:r w:rsidR="002B1E99">
        <w:rPr>
          <w:rFonts w:ascii="Arial" w:eastAsia="Times New Roman" w:hAnsi="Arial" w:cs="Arial"/>
          <w:lang w:val="sr-Latn-ME"/>
        </w:rPr>
        <w:t>Direkcije za zaštitu finansijskih interesa/</w:t>
      </w:r>
      <w:r w:rsidRPr="001302F9">
        <w:rPr>
          <w:rFonts w:ascii="Arial" w:eastAsia="Times New Roman" w:hAnsi="Arial" w:cs="Arial"/>
          <w:lang w:val="sr-Latn-ME"/>
        </w:rPr>
        <w:t>AFCOS krajem 2024. godine, a glavni rezultati ove analize sažeti su u sledećoj matrici.</w:t>
      </w:r>
    </w:p>
    <w:tbl>
      <w:tblPr>
        <w:tblStyle w:val="GridTable6Colorful-Accent5"/>
        <w:tblW w:w="9330" w:type="dxa"/>
        <w:shd w:val="clear" w:color="auto" w:fill="DEEAF6" w:themeFill="accent1" w:themeFillTint="33"/>
        <w:tblLook w:val="04A0" w:firstRow="1" w:lastRow="0" w:firstColumn="1" w:lastColumn="0" w:noHBand="0" w:noVBand="1"/>
      </w:tblPr>
      <w:tblGrid>
        <w:gridCol w:w="1933"/>
        <w:gridCol w:w="3732"/>
        <w:gridCol w:w="3665"/>
      </w:tblGrid>
      <w:tr w:rsidR="000F471C" w:rsidRPr="001302F9" w:rsidTr="00CB5F7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33" w:type="dxa"/>
            <w:shd w:val="clear" w:color="auto" w:fill="DEEAF6" w:themeFill="accent1" w:themeFillTint="33"/>
            <w:vAlign w:val="center"/>
          </w:tcPr>
          <w:p w:rsidR="000F471C" w:rsidRPr="001302F9" w:rsidRDefault="000F471C" w:rsidP="00CB5F79">
            <w:pPr>
              <w:jc w:val="center"/>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Kriterijum</w:t>
            </w:r>
          </w:p>
        </w:tc>
        <w:tc>
          <w:tcPr>
            <w:tcW w:w="3732" w:type="dxa"/>
            <w:shd w:val="clear" w:color="auto" w:fill="DEEAF6" w:themeFill="accent1" w:themeFillTint="33"/>
            <w:vAlign w:val="center"/>
            <w:hideMark/>
          </w:tcPr>
          <w:p w:rsidR="000F471C" w:rsidRPr="001302F9" w:rsidRDefault="000F471C" w:rsidP="00CB5F7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Snage i mogućnosti</w:t>
            </w:r>
          </w:p>
        </w:tc>
        <w:tc>
          <w:tcPr>
            <w:tcW w:w="3665" w:type="dxa"/>
            <w:shd w:val="clear" w:color="auto" w:fill="DEEAF6" w:themeFill="accent1" w:themeFillTint="33"/>
            <w:vAlign w:val="center"/>
            <w:hideMark/>
          </w:tcPr>
          <w:p w:rsidR="000F471C" w:rsidRPr="001302F9" w:rsidRDefault="000F471C" w:rsidP="00CB5F7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Slabosti, izazovi i rizici</w:t>
            </w:r>
          </w:p>
        </w:tc>
      </w:tr>
      <w:tr w:rsidR="000F471C" w:rsidRPr="001302F9" w:rsidTr="007E0998">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933" w:type="dxa"/>
            <w:shd w:val="clear" w:color="auto" w:fill="DEEAF6" w:themeFill="accent1" w:themeFillTint="33"/>
            <w:vAlign w:val="center"/>
            <w:hideMark/>
          </w:tcPr>
          <w:p w:rsidR="000F471C" w:rsidRPr="001302F9" w:rsidRDefault="000F471C" w:rsidP="00CB5F79">
            <w:pPr>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1. Političko okruženje</w:t>
            </w:r>
          </w:p>
        </w:tc>
        <w:tc>
          <w:tcPr>
            <w:tcW w:w="3732" w:type="dxa"/>
            <w:shd w:val="clear" w:color="auto" w:fill="DEEAF6" w:themeFill="accent1" w:themeFillTint="33"/>
            <w:vAlign w:val="center"/>
          </w:tcPr>
          <w:p w:rsidR="000F471C" w:rsidRPr="001302F9"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Snažna posvećenost integraciji u EU, poštovanje preuzetih međunarodnih obaveza i regionalna saradnja. </w:t>
            </w:r>
          </w:p>
          <w:p w:rsidR="00331265"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Zajednička orijentacija ka ekonomskom oporavku, socijalnoj pravdi i inkluzivnom tržištu rada.</w:t>
            </w:r>
          </w:p>
          <w:p w:rsidR="000F471C" w:rsidRPr="001302F9"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 Unapr</w:t>
            </w:r>
            <w:r w:rsidR="007E0998">
              <w:rPr>
                <w:rFonts w:ascii="Arial" w:eastAsia="Times New Roman" w:hAnsi="Arial" w:cs="Arial"/>
                <w:color w:val="1F4E79" w:themeColor="accent1" w:themeShade="80"/>
                <w:lang w:val="sr-Latn-ME"/>
              </w:rPr>
              <w:t>e</w:t>
            </w:r>
            <w:r w:rsidRPr="001302F9">
              <w:rPr>
                <w:rFonts w:ascii="Arial" w:eastAsia="Times New Roman" w:hAnsi="Arial" w:cs="Arial"/>
                <w:color w:val="1F4E79" w:themeColor="accent1" w:themeShade="80"/>
                <w:lang w:val="sr-Latn-ME"/>
              </w:rPr>
              <w:t>đenje regionalne saradnje i razvijanje dobrosusjedskih odnosa.</w:t>
            </w:r>
          </w:p>
        </w:tc>
        <w:tc>
          <w:tcPr>
            <w:tcW w:w="3665" w:type="dxa"/>
            <w:shd w:val="clear" w:color="auto" w:fill="DEEAF6" w:themeFill="accent1" w:themeFillTint="33"/>
            <w:vAlign w:val="center"/>
            <w:hideMark/>
          </w:tcPr>
          <w:p w:rsidR="007E0998" w:rsidRDefault="007E0998" w:rsidP="007E099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lang w:val="sr-Latn-ME"/>
              </w:rPr>
            </w:pPr>
            <w:r>
              <w:rPr>
                <w:rFonts w:ascii="Arial" w:hAnsi="Arial" w:cs="Arial"/>
                <w:color w:val="1F4E79" w:themeColor="accent1" w:themeShade="80"/>
                <w:lang w:val="sr-Latn-ME"/>
              </w:rPr>
              <w:t xml:space="preserve">             </w:t>
            </w:r>
          </w:p>
          <w:p w:rsidR="007E0998" w:rsidRDefault="007E0998" w:rsidP="007E099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lang w:val="sr-Latn-ME"/>
              </w:rPr>
            </w:pPr>
          </w:p>
          <w:p w:rsidR="007E0998" w:rsidRDefault="007E0998" w:rsidP="007E099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lang w:val="sr-Latn-ME"/>
              </w:rPr>
            </w:pPr>
          </w:p>
          <w:p w:rsidR="000F471C" w:rsidRPr="001302F9" w:rsidRDefault="007E0998" w:rsidP="007E0998">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r>
              <w:rPr>
                <w:rFonts w:ascii="Arial" w:hAnsi="Arial" w:cs="Arial"/>
                <w:color w:val="1F4E79" w:themeColor="accent1" w:themeShade="80"/>
                <w:lang w:val="sr-Latn-ME"/>
              </w:rPr>
              <w:t xml:space="preserve">          </w:t>
            </w:r>
            <w:r w:rsidR="000F471C" w:rsidRPr="001302F9">
              <w:rPr>
                <w:rFonts w:ascii="Arial" w:hAnsi="Arial" w:cs="Arial"/>
                <w:color w:val="1F4E79" w:themeColor="accent1" w:themeShade="80"/>
                <w:lang w:val="sr-Latn-ME"/>
              </w:rPr>
              <w:t>Politička nestabilnost</w:t>
            </w:r>
            <w:r>
              <w:rPr>
                <w:rFonts w:ascii="Arial" w:hAnsi="Arial" w:cs="Arial"/>
                <w:color w:val="1F4E79" w:themeColor="accent1" w:themeShade="80"/>
                <w:lang w:val="sr-Latn-ME"/>
              </w:rPr>
              <w:t>.</w:t>
            </w: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p>
        </w:tc>
      </w:tr>
      <w:tr w:rsidR="000F471C" w:rsidRPr="007E0998" w:rsidTr="00CB5F79">
        <w:trPr>
          <w:trHeight w:val="70"/>
        </w:trPr>
        <w:tc>
          <w:tcPr>
            <w:cnfStyle w:val="001000000000" w:firstRow="0" w:lastRow="0" w:firstColumn="1" w:lastColumn="0" w:oddVBand="0" w:evenVBand="0" w:oddHBand="0" w:evenHBand="0" w:firstRowFirstColumn="0" w:firstRowLastColumn="0" w:lastRowFirstColumn="0" w:lastRowLastColumn="0"/>
            <w:tcW w:w="1933" w:type="dxa"/>
            <w:shd w:val="clear" w:color="auto" w:fill="DEEAF6" w:themeFill="accent1" w:themeFillTint="33"/>
            <w:vAlign w:val="center"/>
            <w:hideMark/>
          </w:tcPr>
          <w:p w:rsidR="000F471C" w:rsidRPr="001302F9" w:rsidRDefault="000F471C" w:rsidP="00CB5F79">
            <w:pPr>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2. Ekonomsko okruženje</w:t>
            </w:r>
          </w:p>
        </w:tc>
        <w:tc>
          <w:tcPr>
            <w:tcW w:w="3732" w:type="dxa"/>
            <w:shd w:val="clear" w:color="auto" w:fill="DEEAF6" w:themeFill="accent1" w:themeFillTint="33"/>
            <w:vAlign w:val="center"/>
          </w:tcPr>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Razvijen strateški okvir. </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Očuvana makroekonomska stabilnost i stabilnost finansijskog sistema.</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Povoljan geografski položaj i veliki prirodni potencijal.</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Dostupnost EU sredstava koja pomažu jačanju javne uprave, infrastrukture, zaštite životne sredine, obrazovanja, zdravstva i pravde, </w:t>
            </w:r>
            <w:r w:rsidR="007E0998">
              <w:rPr>
                <w:rFonts w:ascii="Arial" w:eastAsia="Times New Roman" w:hAnsi="Arial" w:cs="Arial"/>
                <w:color w:val="1F4E79" w:themeColor="accent1" w:themeShade="80"/>
                <w:lang w:val="sr-Latn-ME"/>
              </w:rPr>
              <w:t>a</w:t>
            </w:r>
            <w:r w:rsidRPr="001302F9">
              <w:rPr>
                <w:rFonts w:ascii="Arial" w:eastAsia="Times New Roman" w:hAnsi="Arial" w:cs="Arial"/>
                <w:color w:val="1F4E79" w:themeColor="accent1" w:themeShade="80"/>
                <w:lang w:val="sr-Latn-ME"/>
              </w:rPr>
              <w:t xml:space="preserve"> koja su nam</w:t>
            </w:r>
            <w:r w:rsidR="007E0998">
              <w:rPr>
                <w:rFonts w:ascii="Arial" w:eastAsia="Times New Roman" w:hAnsi="Arial" w:cs="Arial"/>
                <w:color w:val="1F4E79" w:themeColor="accent1" w:themeShade="80"/>
                <w:lang w:val="sr-Latn-ME"/>
              </w:rPr>
              <w:t>ije</w:t>
            </w:r>
            <w:r w:rsidRPr="001302F9">
              <w:rPr>
                <w:rFonts w:ascii="Arial" w:eastAsia="Times New Roman" w:hAnsi="Arial" w:cs="Arial"/>
                <w:color w:val="1F4E79" w:themeColor="accent1" w:themeShade="80"/>
                <w:lang w:val="sr-Latn-ME"/>
              </w:rPr>
              <w:t xml:space="preserve">njena podršci ekonomskim, političkim i socijalnim reformama sa ciljem ubrzanja procesa </w:t>
            </w:r>
            <w:r w:rsidR="007E0998">
              <w:rPr>
                <w:rFonts w:ascii="Arial" w:eastAsia="Times New Roman" w:hAnsi="Arial" w:cs="Arial"/>
                <w:color w:val="1F4E79" w:themeColor="accent1" w:themeShade="80"/>
                <w:lang w:val="sr-Latn-ME"/>
              </w:rPr>
              <w:t>EU</w:t>
            </w:r>
            <w:r w:rsidRPr="001302F9">
              <w:rPr>
                <w:rFonts w:ascii="Arial" w:eastAsia="Times New Roman" w:hAnsi="Arial" w:cs="Arial"/>
                <w:color w:val="1F4E79" w:themeColor="accent1" w:themeShade="80"/>
                <w:lang w:val="sr-Latn-ME"/>
              </w:rPr>
              <w:t xml:space="preserve"> integracija.</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p>
        </w:tc>
        <w:tc>
          <w:tcPr>
            <w:tcW w:w="3665" w:type="dxa"/>
            <w:shd w:val="clear" w:color="auto" w:fill="DEEAF6" w:themeFill="accent1" w:themeFillTint="33"/>
            <w:vAlign w:val="center"/>
          </w:tcPr>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Nedovoljno diversifikovana ekonomska struktura sa prekomjernom zavisnošću od turizma kao glavnog pokretača privrede. </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Visok nivo javnog duga. Nedovoljan rast stranih direktnih investicija.</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Nedovoljna iskorišćenost ljudskih resursa.</w:t>
            </w:r>
          </w:p>
          <w:p w:rsidR="00331265"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Nedovoljno obučeni kadar za specifične zadatke, uključujući implementaciju projekata finansiranih iz EU fondova.</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 Regionalne razlike u indeksu razvoja. </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Visok nivo nezaposlenosti.</w:t>
            </w:r>
          </w:p>
        </w:tc>
      </w:tr>
      <w:tr w:rsidR="000F471C" w:rsidRPr="0050642E" w:rsidTr="00CB5F7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33" w:type="dxa"/>
            <w:shd w:val="clear" w:color="auto" w:fill="DEEAF6" w:themeFill="accent1" w:themeFillTint="33"/>
            <w:vAlign w:val="center"/>
            <w:hideMark/>
          </w:tcPr>
          <w:p w:rsidR="000F471C" w:rsidRPr="001302F9" w:rsidRDefault="000F471C" w:rsidP="00CB5F79">
            <w:pPr>
              <w:rPr>
                <w:rFonts w:ascii="Arial" w:eastAsia="Times New Roman" w:hAnsi="Arial" w:cs="Arial"/>
                <w:b w:val="0"/>
                <w:bCs w:val="0"/>
                <w:color w:val="1F4E79" w:themeColor="accent1" w:themeShade="80"/>
                <w:lang w:val="sr-Latn-ME"/>
              </w:rPr>
            </w:pPr>
            <w:r w:rsidRPr="001302F9">
              <w:rPr>
                <w:rFonts w:ascii="Arial" w:eastAsia="Times New Roman" w:hAnsi="Arial" w:cs="Arial"/>
                <w:color w:val="1F4E79" w:themeColor="accent1" w:themeShade="80"/>
                <w:lang w:val="sr-Latn-ME"/>
              </w:rPr>
              <w:t>3. Socijalno okruženje (demografija, obrazovanje, zdravstvo, socijalna zaštita)</w:t>
            </w:r>
          </w:p>
          <w:p w:rsidR="000F471C" w:rsidRPr="001302F9" w:rsidRDefault="000F471C" w:rsidP="00CB5F79">
            <w:pPr>
              <w:rPr>
                <w:rFonts w:ascii="Arial" w:eastAsia="Times New Roman" w:hAnsi="Arial" w:cs="Arial"/>
                <w:b w:val="0"/>
                <w:bCs w:val="0"/>
                <w:color w:val="1F4E79" w:themeColor="accent1" w:themeShade="80"/>
                <w:lang w:val="sr-Latn-ME"/>
              </w:rPr>
            </w:pPr>
          </w:p>
          <w:p w:rsidR="000F471C" w:rsidRPr="001302F9" w:rsidRDefault="000F471C" w:rsidP="00CB5F79">
            <w:pPr>
              <w:rPr>
                <w:rFonts w:ascii="Arial" w:eastAsia="Times New Roman" w:hAnsi="Arial" w:cs="Arial"/>
                <w:b w:val="0"/>
                <w:bCs w:val="0"/>
                <w:color w:val="1F4E79" w:themeColor="accent1" w:themeShade="80"/>
                <w:lang w:val="sr-Latn-ME"/>
              </w:rPr>
            </w:pPr>
          </w:p>
          <w:p w:rsidR="000F471C" w:rsidRPr="001302F9" w:rsidRDefault="000F471C" w:rsidP="00CB5F79">
            <w:pPr>
              <w:rPr>
                <w:rFonts w:ascii="Arial" w:eastAsia="Times New Roman" w:hAnsi="Arial" w:cs="Arial"/>
                <w:b w:val="0"/>
                <w:bCs w:val="0"/>
                <w:color w:val="1F4E79" w:themeColor="accent1" w:themeShade="80"/>
                <w:lang w:val="sr-Latn-ME"/>
              </w:rPr>
            </w:pPr>
          </w:p>
          <w:p w:rsidR="000F471C" w:rsidRPr="001302F9" w:rsidRDefault="000F471C" w:rsidP="00CB5F79">
            <w:pPr>
              <w:rPr>
                <w:rFonts w:ascii="Arial" w:eastAsia="Times New Roman" w:hAnsi="Arial" w:cs="Arial"/>
                <w:b w:val="0"/>
                <w:bCs w:val="0"/>
                <w:color w:val="1F4E79" w:themeColor="accent1" w:themeShade="80"/>
                <w:lang w:val="sr-Latn-ME"/>
              </w:rPr>
            </w:pPr>
          </w:p>
          <w:p w:rsidR="000F471C" w:rsidRPr="001302F9" w:rsidRDefault="000F471C" w:rsidP="00CB5F79">
            <w:pPr>
              <w:rPr>
                <w:rFonts w:ascii="Arial" w:eastAsia="Times New Roman" w:hAnsi="Arial" w:cs="Arial"/>
                <w:color w:val="1F4E79" w:themeColor="accent1" w:themeShade="80"/>
                <w:lang w:val="sr-Latn-ME"/>
              </w:rPr>
            </w:pPr>
          </w:p>
        </w:tc>
        <w:tc>
          <w:tcPr>
            <w:tcW w:w="3732" w:type="dxa"/>
            <w:shd w:val="clear" w:color="auto" w:fill="DEEAF6" w:themeFill="accent1" w:themeFillTint="33"/>
            <w:vAlign w:val="center"/>
          </w:tcPr>
          <w:p w:rsidR="000F471C" w:rsidRPr="001302F9"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Relativno stabilna demografska ravnoteža. </w:t>
            </w:r>
          </w:p>
          <w:p w:rsidR="00331265" w:rsidRDefault="007E0998"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Investicije u obrazovni kadar</w:t>
            </w:r>
            <w:r>
              <w:rPr>
                <w:rFonts w:ascii="Arial" w:eastAsia="Times New Roman" w:hAnsi="Arial" w:cs="Arial"/>
                <w:color w:val="1F4E79" w:themeColor="accent1" w:themeShade="80"/>
                <w:lang w:val="sr-Latn-ME"/>
              </w:rPr>
              <w:t>, r</w:t>
            </w:r>
            <w:r w:rsidR="000F471C" w:rsidRPr="001302F9">
              <w:rPr>
                <w:rFonts w:ascii="Arial" w:eastAsia="Times New Roman" w:hAnsi="Arial" w:cs="Arial"/>
                <w:color w:val="1F4E79" w:themeColor="accent1" w:themeShade="80"/>
                <w:lang w:val="sr-Latn-ME"/>
              </w:rPr>
              <w:t>azvoj i unaprijeđenje obrazovanja na odgovarajućem nivou.</w:t>
            </w:r>
          </w:p>
          <w:p w:rsidR="000F471C" w:rsidRPr="001302F9"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 Orijentacija ka jačanju kapitalnih ulaganja u zdravstvo.</w:t>
            </w:r>
          </w:p>
          <w:p w:rsidR="000F471C" w:rsidRPr="001302F9"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Povećenje izdvajanja za socijalnu zaštitu.</w:t>
            </w: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p>
        </w:tc>
        <w:tc>
          <w:tcPr>
            <w:tcW w:w="3665" w:type="dxa"/>
            <w:shd w:val="clear" w:color="auto" w:fill="DEEAF6" w:themeFill="accent1" w:themeFillTint="33"/>
            <w:vAlign w:val="center"/>
          </w:tcPr>
          <w:p w:rsidR="000F471C" w:rsidRPr="001302F9"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Migracije, naročito emigracija mladih u zapadnoevropske zemlje. Mladi često odlaze u potrazi za boljim ekonomskim prilikama, što doprinosi problemu "odliva mozgova". </w:t>
            </w:r>
          </w:p>
          <w:p w:rsidR="000F471C" w:rsidRPr="001302F9"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Depopulacija i starenje stanovništva utiču na radnu snagu i opterećuju socijalni sistem. Nedovoljna digitalizacija zdravstvenog sistema.</w:t>
            </w:r>
          </w:p>
          <w:p w:rsidR="000F471C" w:rsidRPr="001302F9"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Domaćinstva u sjevernim regionima i ruralnim područjima i dalje imaju povećanu vjerovatnoću siromaštva i lošije tržišne ishode od onih u centralnim djelovima Crne Gore i priobalnom regionu.</w:t>
            </w:r>
          </w:p>
        </w:tc>
      </w:tr>
      <w:tr w:rsidR="000F471C" w:rsidRPr="0050642E" w:rsidTr="00CB5F79">
        <w:trPr>
          <w:trHeight w:val="980"/>
        </w:trPr>
        <w:tc>
          <w:tcPr>
            <w:cnfStyle w:val="001000000000" w:firstRow="0" w:lastRow="0" w:firstColumn="1" w:lastColumn="0" w:oddVBand="0" w:evenVBand="0" w:oddHBand="0" w:evenHBand="0" w:firstRowFirstColumn="0" w:firstRowLastColumn="0" w:lastRowFirstColumn="0" w:lastRowLastColumn="0"/>
            <w:tcW w:w="1933" w:type="dxa"/>
            <w:shd w:val="clear" w:color="auto" w:fill="DEEAF6" w:themeFill="accent1" w:themeFillTint="33"/>
            <w:vAlign w:val="center"/>
            <w:hideMark/>
          </w:tcPr>
          <w:p w:rsidR="000F471C" w:rsidRPr="001302F9" w:rsidRDefault="000F471C" w:rsidP="00CB5F79">
            <w:pPr>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4. Tehnološko okruženje</w:t>
            </w:r>
          </w:p>
        </w:tc>
        <w:tc>
          <w:tcPr>
            <w:tcW w:w="3732" w:type="dxa"/>
            <w:shd w:val="clear" w:color="auto" w:fill="DEEAF6" w:themeFill="accent1" w:themeFillTint="33"/>
            <w:vAlign w:val="center"/>
          </w:tcPr>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Digitalna transformacija i tehnološko okruženje u Crnoj Gori postaju sve važniji faktori razvoja zemlje, kako u javnom, tako i u privatnom sektoru. </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Inicijative usmjerene na poboljšanje digitalne infrastrukture, uvođenje inovativnih tehnologija i poboljšanje usluga u oblastima e-uprave, obrazovanja, zdravstva i privrede. </w:t>
            </w:r>
          </w:p>
          <w:p w:rsidR="000F471C"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Napredan proces strateške infrastrukture (Strategije pametne specijalizacije i Strategija digitalne transformacije). Postojanje relativno razvijene IT zajednice.</w:t>
            </w:r>
          </w:p>
          <w:p w:rsidR="00331265" w:rsidRDefault="00331265"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p>
          <w:p w:rsidR="00331265" w:rsidRDefault="00331265"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p>
          <w:p w:rsidR="00331265" w:rsidRPr="001302F9" w:rsidRDefault="00331265"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p>
        </w:tc>
        <w:tc>
          <w:tcPr>
            <w:tcW w:w="3665" w:type="dxa"/>
            <w:shd w:val="clear" w:color="auto" w:fill="DEEAF6" w:themeFill="accent1" w:themeFillTint="33"/>
            <w:vAlign w:val="center"/>
          </w:tcPr>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Lošija digitalna infrastruktura u ruralnim područjima. </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Nedovoljno razvijene digitalne veštine u široj populaciji. </w:t>
            </w:r>
          </w:p>
          <w:p w:rsidR="000F471C"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U pogledu zaštite finansijskih interesa EU, slaba je uključenost službenika u korišćenje IMS-a (Sistem za upravljanje nepravilnostima), digitalne platforme za prijavu nepravilnosti.</w:t>
            </w:r>
          </w:p>
          <w:p w:rsidR="00331265" w:rsidRPr="001302F9" w:rsidRDefault="00331265"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p>
          <w:p w:rsidR="000F471C" w:rsidRPr="001302F9" w:rsidRDefault="000F471C" w:rsidP="00CB5F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p>
          <w:p w:rsidR="000F471C" w:rsidRPr="001302F9" w:rsidRDefault="000F471C" w:rsidP="00CB5F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p>
          <w:p w:rsidR="000F471C" w:rsidRPr="001302F9" w:rsidRDefault="000F471C" w:rsidP="00CB5F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p>
          <w:p w:rsidR="000F471C" w:rsidRPr="001302F9" w:rsidRDefault="000F471C" w:rsidP="00CB5F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p>
          <w:p w:rsidR="000F471C" w:rsidRPr="001302F9" w:rsidRDefault="000F471C" w:rsidP="00CB5F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p>
        </w:tc>
      </w:tr>
      <w:tr w:rsidR="000F471C" w:rsidRPr="0050642E" w:rsidTr="00CB5F79">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933" w:type="dxa"/>
            <w:shd w:val="clear" w:color="auto" w:fill="DEEAF6" w:themeFill="accent1" w:themeFillTint="33"/>
            <w:vAlign w:val="center"/>
            <w:hideMark/>
          </w:tcPr>
          <w:p w:rsidR="000F471C" w:rsidRPr="001302F9" w:rsidRDefault="000F471C" w:rsidP="00CB5F79">
            <w:pPr>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5. Regulatorno i institucionalno okruženje</w:t>
            </w:r>
          </w:p>
        </w:tc>
        <w:tc>
          <w:tcPr>
            <w:tcW w:w="3732" w:type="dxa"/>
            <w:shd w:val="clear" w:color="auto" w:fill="DEEAF6" w:themeFill="accent1" w:themeFillTint="33"/>
            <w:vAlign w:val="center"/>
          </w:tcPr>
          <w:p w:rsidR="00331265"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Napredan proces usvajanja EU acquis-a u relevantnim poglavljima.</w:t>
            </w:r>
          </w:p>
          <w:p w:rsidR="000F471C" w:rsidRPr="001302F9"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 Razvijena infrastruktura javne uprave.</w:t>
            </w: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p>
          <w:p w:rsidR="000F471C" w:rsidRPr="001302F9" w:rsidRDefault="000F471C" w:rsidP="00CB5F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p>
        </w:tc>
        <w:tc>
          <w:tcPr>
            <w:tcW w:w="3665" w:type="dxa"/>
            <w:shd w:val="clear" w:color="auto" w:fill="DEEAF6" w:themeFill="accent1" w:themeFillTint="33"/>
            <w:vAlign w:val="center"/>
          </w:tcPr>
          <w:p w:rsidR="000F471C" w:rsidRPr="001302F9"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Nedovoljna usklađenost sa EU regulativama.</w:t>
            </w:r>
          </w:p>
          <w:p w:rsidR="00331265"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Nedovoljna efikasnost u funkcionisanju tijela javne uprave.</w:t>
            </w:r>
          </w:p>
          <w:p w:rsidR="000F471C" w:rsidRPr="001302F9" w:rsidRDefault="000F471C" w:rsidP="00CB5F7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 Nedovoljno angažovanje institucija u oblasti zaštite finansijskih interesa EU.</w:t>
            </w:r>
          </w:p>
        </w:tc>
      </w:tr>
      <w:tr w:rsidR="000F471C" w:rsidRPr="0050642E" w:rsidTr="00CB5F79">
        <w:trPr>
          <w:trHeight w:val="728"/>
        </w:trPr>
        <w:tc>
          <w:tcPr>
            <w:cnfStyle w:val="001000000000" w:firstRow="0" w:lastRow="0" w:firstColumn="1" w:lastColumn="0" w:oddVBand="0" w:evenVBand="0" w:oddHBand="0" w:evenHBand="0" w:firstRowFirstColumn="0" w:firstRowLastColumn="0" w:lastRowFirstColumn="0" w:lastRowLastColumn="0"/>
            <w:tcW w:w="1933" w:type="dxa"/>
            <w:shd w:val="clear" w:color="auto" w:fill="DEEAF6" w:themeFill="accent1" w:themeFillTint="33"/>
            <w:vAlign w:val="center"/>
            <w:hideMark/>
          </w:tcPr>
          <w:p w:rsidR="000F471C" w:rsidRPr="001302F9" w:rsidRDefault="000F471C" w:rsidP="00CB5F79">
            <w:pPr>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6. Ekološko okruženje</w:t>
            </w:r>
          </w:p>
        </w:tc>
        <w:tc>
          <w:tcPr>
            <w:tcW w:w="3732" w:type="dxa"/>
            <w:shd w:val="clear" w:color="auto" w:fill="DEEAF6" w:themeFill="accent1" w:themeFillTint="33"/>
            <w:vAlign w:val="center"/>
          </w:tcPr>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Jasno izražena strateška posvećenost ekološki prihvatljivom ekonomskom razvoju. </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Prepoznata kao ekološka zemlja. Usvojena Strategija održivog razvoja do 2030. godine.</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p>
          <w:p w:rsidR="000F471C" w:rsidRPr="001302F9" w:rsidRDefault="000F471C" w:rsidP="00CB5F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p>
        </w:tc>
        <w:tc>
          <w:tcPr>
            <w:tcW w:w="3665" w:type="dxa"/>
            <w:shd w:val="clear" w:color="auto" w:fill="DEEAF6" w:themeFill="accent1" w:themeFillTint="33"/>
            <w:vAlign w:val="center"/>
          </w:tcPr>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 xml:space="preserve">Nekontrolisana urbanizacija i prekomjerna gradnja utiču na nivo industrijskog zagađenja, otpadnih voda, kao i neadekvatno upravljanje otpadom. </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Problem zagađenje životne sredine i energetska efikasnost.</w:t>
            </w:r>
          </w:p>
          <w:p w:rsidR="000F471C" w:rsidRPr="001302F9" w:rsidRDefault="000F471C" w:rsidP="00CB5F7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F4E79" w:themeColor="accent1" w:themeShade="80"/>
                <w:lang w:val="sr-Latn-ME"/>
              </w:rPr>
            </w:pPr>
            <w:r w:rsidRPr="001302F9">
              <w:rPr>
                <w:rFonts w:ascii="Arial" w:eastAsia="Times New Roman" w:hAnsi="Arial" w:cs="Arial"/>
                <w:color w:val="1F4E79" w:themeColor="accent1" w:themeShade="80"/>
                <w:lang w:val="sr-Latn-ME"/>
              </w:rPr>
              <w:t>Nedovoljna upotreba obnovljivih izvora energije.</w:t>
            </w:r>
          </w:p>
        </w:tc>
      </w:tr>
    </w:tbl>
    <w:p w:rsidR="000F471C" w:rsidRPr="001302F9" w:rsidRDefault="000F471C" w:rsidP="000F471C">
      <w:pPr>
        <w:rPr>
          <w:rFonts w:ascii="Arial" w:hAnsi="Arial" w:cs="Arial"/>
          <w:lang w:val="sr-Latn-ME"/>
        </w:rPr>
      </w:pPr>
    </w:p>
    <w:p w:rsidR="000F471C" w:rsidRPr="001302F9" w:rsidRDefault="000F471C" w:rsidP="000F471C">
      <w:pPr>
        <w:rPr>
          <w:rFonts w:ascii="Arial" w:hAnsi="Arial" w:cs="Arial"/>
          <w:lang w:val="sr-Latn-ME"/>
        </w:rPr>
      </w:pPr>
    </w:p>
    <w:p w:rsidR="000F471C" w:rsidRPr="001302F9" w:rsidRDefault="000F471C" w:rsidP="000F471C">
      <w:pPr>
        <w:spacing w:before="100" w:beforeAutospacing="1" w:after="100" w:afterAutospacing="1" w:line="240" w:lineRule="auto"/>
        <w:rPr>
          <w:rFonts w:ascii="Arial" w:eastAsia="Times New Roman" w:hAnsi="Arial" w:cs="Arial"/>
          <w:lang w:val="sr-Latn-ME"/>
        </w:rPr>
      </w:pPr>
      <w:r w:rsidRPr="001302F9">
        <w:rPr>
          <w:rFonts w:ascii="Arial" w:eastAsia="Times New Roman" w:hAnsi="Arial" w:cs="Arial"/>
          <w:b/>
          <w:bCs/>
          <w:lang w:val="sr-Latn-ME"/>
        </w:rPr>
        <w:t>2.4. Rezultati SWOT analize</w:t>
      </w:r>
    </w:p>
    <w:p w:rsidR="000F471C" w:rsidRPr="001302F9" w:rsidRDefault="000F471C" w:rsidP="000F471C">
      <w:pPr>
        <w:spacing w:before="100" w:beforeAutospacing="1" w:after="100" w:afterAutospacing="1" w:line="240" w:lineRule="auto"/>
        <w:rPr>
          <w:rFonts w:ascii="Arial" w:eastAsia="Times New Roman" w:hAnsi="Arial" w:cs="Arial"/>
          <w:lang w:val="sr-Latn-ME"/>
        </w:rPr>
      </w:pPr>
      <w:r w:rsidRPr="001302F9">
        <w:rPr>
          <w:rFonts w:ascii="Arial" w:eastAsia="Times New Roman" w:hAnsi="Arial" w:cs="Arial"/>
          <w:lang w:val="sr-Latn-ME"/>
        </w:rPr>
        <w:t xml:space="preserve">SWOT analiza sprovedena je od strane </w:t>
      </w:r>
      <w:r w:rsidR="00573BAF" w:rsidRPr="00573BAF">
        <w:rPr>
          <w:rFonts w:ascii="Arial" w:eastAsia="Times New Roman" w:hAnsi="Arial" w:cs="Arial"/>
          <w:lang w:val="sr-Latn-ME"/>
        </w:rPr>
        <w:t xml:space="preserve">Direkcije za zaštitu finansijskih interesa/AFCOS </w:t>
      </w:r>
      <w:r w:rsidRPr="001302F9">
        <w:rPr>
          <w:rFonts w:ascii="Arial" w:eastAsia="Times New Roman" w:hAnsi="Arial" w:cs="Arial"/>
          <w:lang w:val="sr-Latn-ME"/>
        </w:rPr>
        <w:t>krajem 2024. godine, a glavni rezultati ove analize sažeti su u sledećoj matrici:</w:t>
      </w:r>
    </w:p>
    <w:p w:rsidR="000F471C" w:rsidRPr="001302F9" w:rsidRDefault="000F471C" w:rsidP="000F471C">
      <w:pPr>
        <w:rPr>
          <w:rFonts w:ascii="Arial" w:hAnsi="Arial" w:cs="Arial"/>
          <w:lang w:val="sr-Latn-ME"/>
        </w:rPr>
      </w:pPr>
    </w:p>
    <w:tbl>
      <w:tblPr>
        <w:tblStyle w:val="GridTable6Colorful-Accent5"/>
        <w:tblW w:w="9448" w:type="dxa"/>
        <w:tblLook w:val="04A0" w:firstRow="1" w:lastRow="0" w:firstColumn="1" w:lastColumn="0" w:noHBand="0" w:noVBand="1"/>
      </w:tblPr>
      <w:tblGrid>
        <w:gridCol w:w="4724"/>
        <w:gridCol w:w="4724"/>
      </w:tblGrid>
      <w:tr w:rsidR="000F471C" w:rsidRPr="0050642E" w:rsidTr="00CB5F79">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4724" w:type="dxa"/>
            <w:shd w:val="clear" w:color="auto" w:fill="DEEAF6" w:themeFill="accent1" w:themeFillTint="33"/>
          </w:tcPr>
          <w:p w:rsidR="00573BAF" w:rsidRPr="00573BAF" w:rsidRDefault="00573BAF" w:rsidP="00573BAF">
            <w:pPr>
              <w:spacing w:after="0" w:line="240" w:lineRule="auto"/>
              <w:contextualSpacing/>
              <w:jc w:val="both"/>
              <w:rPr>
                <w:rFonts w:ascii="Arial" w:hAnsi="Arial" w:cs="Arial"/>
                <w:color w:val="1F4E79" w:themeColor="accent1" w:themeShade="80"/>
                <w:lang w:val="sr-Latn-ME" w:eastAsia="x-none"/>
              </w:rPr>
            </w:pPr>
            <w:r w:rsidRPr="00573BAF">
              <w:rPr>
                <w:rFonts w:ascii="Arial" w:hAnsi="Arial" w:cs="Arial"/>
                <w:color w:val="1F4E79" w:themeColor="accent1" w:themeShade="80"/>
                <w:lang w:val="sr-Latn-ME" w:eastAsia="x-none"/>
              </w:rPr>
              <w:t>Snage</w:t>
            </w:r>
          </w:p>
          <w:p w:rsidR="00573BAF" w:rsidRPr="00573BAF" w:rsidRDefault="00573BAF" w:rsidP="00573BAF">
            <w:pPr>
              <w:spacing w:after="0" w:line="240" w:lineRule="auto"/>
              <w:contextualSpacing/>
              <w:jc w:val="both"/>
              <w:rPr>
                <w:rFonts w:ascii="Arial" w:hAnsi="Arial" w:cs="Arial"/>
                <w:color w:val="1F4E79" w:themeColor="accent1" w:themeShade="80"/>
                <w:lang w:val="sr-Latn-ME" w:eastAsia="x-none"/>
              </w:rPr>
            </w:pPr>
          </w:p>
          <w:p w:rsidR="00573BAF" w:rsidRPr="00573BAF" w:rsidRDefault="00573BAF" w:rsidP="00573BAF">
            <w:pPr>
              <w:spacing w:after="0" w:line="240" w:lineRule="auto"/>
              <w:contextualSpacing/>
              <w:jc w:val="both"/>
              <w:rPr>
                <w:rFonts w:ascii="Arial" w:hAnsi="Arial" w:cs="Arial"/>
                <w:b w:val="0"/>
                <w:color w:val="1F4E79" w:themeColor="accent1" w:themeShade="80"/>
                <w:lang w:val="sr-Latn-ME" w:eastAsia="x-none"/>
              </w:rPr>
            </w:pPr>
            <w:r w:rsidRPr="00573BAF">
              <w:rPr>
                <w:rFonts w:ascii="Arial" w:hAnsi="Arial" w:cs="Arial"/>
                <w:b w:val="0"/>
                <w:color w:val="1F4E79" w:themeColor="accent1" w:themeShade="80"/>
                <w:lang w:val="sr-Latn-ME" w:eastAsia="x-none"/>
              </w:rPr>
              <w:t>Crna Gora ima značajnu podršku iz EU fondova, što može ojačati kapacitet zemlje za zaštitu finansijskih interesa.</w:t>
            </w:r>
          </w:p>
          <w:p w:rsidR="00573BAF" w:rsidRDefault="00573BAF" w:rsidP="00573BAF">
            <w:pPr>
              <w:spacing w:after="0" w:line="240" w:lineRule="auto"/>
              <w:contextualSpacing/>
              <w:jc w:val="both"/>
              <w:rPr>
                <w:rFonts w:ascii="Arial" w:hAnsi="Arial" w:cs="Arial"/>
                <w:bCs w:val="0"/>
                <w:color w:val="1F4E79" w:themeColor="accent1" w:themeShade="80"/>
                <w:lang w:val="sr-Latn-ME" w:eastAsia="x-none"/>
              </w:rPr>
            </w:pPr>
          </w:p>
          <w:p w:rsidR="00573BAF" w:rsidRPr="00573BAF" w:rsidRDefault="00573BAF" w:rsidP="00573BAF">
            <w:pPr>
              <w:spacing w:after="0" w:line="240" w:lineRule="auto"/>
              <w:contextualSpacing/>
              <w:jc w:val="both"/>
              <w:rPr>
                <w:rFonts w:ascii="Arial" w:hAnsi="Arial" w:cs="Arial"/>
                <w:b w:val="0"/>
                <w:color w:val="1F4E79" w:themeColor="accent1" w:themeShade="80"/>
                <w:lang w:val="sr-Latn-ME" w:eastAsia="x-none"/>
              </w:rPr>
            </w:pPr>
            <w:r w:rsidRPr="00573BAF">
              <w:rPr>
                <w:rFonts w:ascii="Arial" w:hAnsi="Arial" w:cs="Arial"/>
                <w:b w:val="0"/>
                <w:color w:val="1F4E79" w:themeColor="accent1" w:themeShade="80"/>
                <w:lang w:val="sr-Latn-ME" w:eastAsia="x-none"/>
              </w:rPr>
              <w:t>Neupitna posvećenost političkih struktura pristupanju i članstvu u EU, kao i ispunjavanju obaveza kroz članstvo u NATO i drugim međunarodnim organizacijama.</w:t>
            </w:r>
          </w:p>
          <w:p w:rsidR="00573BAF" w:rsidRDefault="00573BAF" w:rsidP="00573BAF">
            <w:pPr>
              <w:spacing w:after="0" w:line="240" w:lineRule="auto"/>
              <w:contextualSpacing/>
              <w:jc w:val="both"/>
              <w:rPr>
                <w:rFonts w:ascii="Arial" w:hAnsi="Arial" w:cs="Arial"/>
                <w:bCs w:val="0"/>
                <w:color w:val="1F4E79" w:themeColor="accent1" w:themeShade="80"/>
                <w:lang w:val="sr-Latn-ME" w:eastAsia="x-none"/>
              </w:rPr>
            </w:pPr>
          </w:p>
          <w:p w:rsidR="00573BAF" w:rsidRPr="00573BAF" w:rsidRDefault="00573BAF" w:rsidP="00573BAF">
            <w:pPr>
              <w:spacing w:after="0" w:line="240" w:lineRule="auto"/>
              <w:contextualSpacing/>
              <w:jc w:val="both"/>
              <w:rPr>
                <w:rFonts w:ascii="Arial" w:hAnsi="Arial" w:cs="Arial"/>
                <w:b w:val="0"/>
                <w:color w:val="1F4E79" w:themeColor="accent1" w:themeShade="80"/>
                <w:lang w:val="sr-Latn-ME" w:eastAsia="x-none"/>
              </w:rPr>
            </w:pPr>
            <w:r w:rsidRPr="00573BAF">
              <w:rPr>
                <w:rFonts w:ascii="Arial" w:hAnsi="Arial" w:cs="Arial"/>
                <w:b w:val="0"/>
                <w:color w:val="1F4E79" w:themeColor="accent1" w:themeShade="80"/>
                <w:lang w:val="sr-Latn-ME" w:eastAsia="x-none"/>
              </w:rPr>
              <w:t>Postojanje institucija odgovornih za borbu protiv korupcije i upravljanje EU fondovima.</w:t>
            </w:r>
          </w:p>
          <w:p w:rsidR="00573BAF" w:rsidRDefault="00573BAF" w:rsidP="00573BAF">
            <w:pPr>
              <w:spacing w:after="0" w:line="240" w:lineRule="auto"/>
              <w:contextualSpacing/>
              <w:jc w:val="both"/>
              <w:rPr>
                <w:rFonts w:ascii="Arial" w:hAnsi="Arial" w:cs="Arial"/>
                <w:bCs w:val="0"/>
                <w:color w:val="1F4E79" w:themeColor="accent1" w:themeShade="80"/>
                <w:lang w:val="sr-Latn-ME" w:eastAsia="x-none"/>
              </w:rPr>
            </w:pPr>
          </w:p>
          <w:p w:rsidR="000F471C" w:rsidRPr="00573BAF" w:rsidRDefault="00573BAF" w:rsidP="00573BAF">
            <w:pPr>
              <w:spacing w:after="0" w:line="240" w:lineRule="auto"/>
              <w:contextualSpacing/>
              <w:jc w:val="both"/>
              <w:rPr>
                <w:rFonts w:ascii="Arial" w:hAnsi="Arial" w:cs="Arial"/>
                <w:b w:val="0"/>
                <w:color w:val="1F4E79" w:themeColor="accent1" w:themeShade="80"/>
                <w:lang w:val="sr-Latn-ME" w:eastAsia="x-none"/>
              </w:rPr>
            </w:pPr>
            <w:r w:rsidRPr="00573BAF">
              <w:rPr>
                <w:rFonts w:ascii="Arial" w:hAnsi="Arial" w:cs="Arial"/>
                <w:b w:val="0"/>
                <w:color w:val="1F4E79" w:themeColor="accent1" w:themeShade="80"/>
                <w:lang w:val="sr-Latn-ME" w:eastAsia="x-none"/>
              </w:rPr>
              <w:t>Razvijeni sistemi za praćenje i izv</w:t>
            </w:r>
            <w:r>
              <w:rPr>
                <w:rFonts w:ascii="Arial" w:hAnsi="Arial" w:cs="Arial"/>
                <w:b w:val="0"/>
                <w:color w:val="1F4E79" w:themeColor="accent1" w:themeShade="80"/>
                <w:lang w:val="sr-Latn-ME" w:eastAsia="x-none"/>
              </w:rPr>
              <w:t>j</w:t>
            </w:r>
            <w:r w:rsidRPr="00573BAF">
              <w:rPr>
                <w:rFonts w:ascii="Arial" w:hAnsi="Arial" w:cs="Arial"/>
                <w:b w:val="0"/>
                <w:color w:val="1F4E79" w:themeColor="accent1" w:themeShade="80"/>
                <w:lang w:val="sr-Latn-ME" w:eastAsia="x-none"/>
              </w:rPr>
              <w:t>eštavanje o korišćenju EU fondova, kao i izv</w:t>
            </w:r>
            <w:r>
              <w:rPr>
                <w:rFonts w:ascii="Arial" w:hAnsi="Arial" w:cs="Arial"/>
                <w:b w:val="0"/>
                <w:color w:val="1F4E79" w:themeColor="accent1" w:themeShade="80"/>
                <w:lang w:val="sr-Latn-ME" w:eastAsia="x-none"/>
              </w:rPr>
              <w:t>j</w:t>
            </w:r>
            <w:r w:rsidRPr="00573BAF">
              <w:rPr>
                <w:rFonts w:ascii="Arial" w:hAnsi="Arial" w:cs="Arial"/>
                <w:b w:val="0"/>
                <w:color w:val="1F4E79" w:themeColor="accent1" w:themeShade="80"/>
                <w:lang w:val="sr-Latn-ME" w:eastAsia="x-none"/>
              </w:rPr>
              <w:t>eštavanje o ne</w:t>
            </w:r>
            <w:r>
              <w:rPr>
                <w:rFonts w:ascii="Arial" w:hAnsi="Arial" w:cs="Arial"/>
                <w:b w:val="0"/>
                <w:color w:val="1F4E79" w:themeColor="accent1" w:themeShade="80"/>
                <w:lang w:val="sr-Latn-ME" w:eastAsia="x-none"/>
              </w:rPr>
              <w:t>pravilno</w:t>
            </w:r>
            <w:r w:rsidRPr="00573BAF">
              <w:rPr>
                <w:rFonts w:ascii="Arial" w:hAnsi="Arial" w:cs="Arial"/>
                <w:b w:val="0"/>
                <w:color w:val="1F4E79" w:themeColor="accent1" w:themeShade="80"/>
                <w:lang w:val="sr-Latn-ME" w:eastAsia="x-none"/>
              </w:rPr>
              <w:t xml:space="preserve"> potrošenim sredstvima.</w:t>
            </w:r>
            <w:r w:rsidRPr="00573BAF">
              <w:rPr>
                <w:rFonts w:ascii="Arial" w:hAnsi="Arial" w:cs="Arial"/>
                <w:color w:val="1F4E79" w:themeColor="accent1" w:themeShade="80"/>
                <w:lang w:val="sr-Latn-ME" w:eastAsia="x-none"/>
              </w:rPr>
              <w:tab/>
            </w:r>
          </w:p>
        </w:tc>
        <w:tc>
          <w:tcPr>
            <w:tcW w:w="4724" w:type="dxa"/>
            <w:shd w:val="clear" w:color="auto" w:fill="DEEAF6" w:themeFill="accent1" w:themeFillTint="33"/>
          </w:tcPr>
          <w:p w:rsidR="000F471C" w:rsidRPr="001302F9" w:rsidRDefault="000F471C" w:rsidP="00573BAF">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1F4E79" w:themeColor="accent1" w:themeShade="80"/>
                <w:lang w:val="sr-Latn-ME" w:eastAsia="x-none"/>
              </w:rPr>
            </w:pPr>
            <w:r w:rsidRPr="001302F9">
              <w:rPr>
                <w:rFonts w:ascii="Arial" w:hAnsi="Arial" w:cs="Arial"/>
                <w:color w:val="1F4E79" w:themeColor="accent1" w:themeShade="80"/>
                <w:lang w:val="sr-Latn-ME" w:eastAsia="x-none"/>
              </w:rPr>
              <w:t>Slabosti</w:t>
            </w:r>
          </w:p>
          <w:p w:rsidR="00573BAF" w:rsidRDefault="00573BAF" w:rsidP="00573BAF">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1F4E79" w:themeColor="accent1" w:themeShade="80"/>
                <w:lang w:val="sr-Latn-ME" w:eastAsia="x-none"/>
              </w:rPr>
            </w:pPr>
          </w:p>
          <w:p w:rsidR="00573BAF" w:rsidRPr="00573BAF" w:rsidRDefault="00573BAF" w:rsidP="00573BAF">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1F4E79" w:themeColor="accent1" w:themeShade="80"/>
                <w:lang w:val="sr-Latn-ME" w:eastAsia="x-none"/>
              </w:rPr>
            </w:pPr>
            <w:r w:rsidRPr="00573BAF">
              <w:rPr>
                <w:rFonts w:ascii="Arial" w:hAnsi="Arial" w:cs="Arial"/>
                <w:b w:val="0"/>
                <w:color w:val="1F4E79" w:themeColor="accent1" w:themeShade="80"/>
                <w:lang w:val="sr-Latn-ME" w:eastAsia="x-none"/>
              </w:rPr>
              <w:t>Visoki stepen</w:t>
            </w:r>
            <w:r>
              <w:rPr>
                <w:rFonts w:ascii="Arial" w:hAnsi="Arial" w:cs="Arial"/>
                <w:b w:val="0"/>
                <w:color w:val="1F4E79" w:themeColor="accent1" w:themeShade="80"/>
                <w:lang w:val="sr-Latn-ME" w:eastAsia="x-none"/>
              </w:rPr>
              <w:t xml:space="preserve"> </w:t>
            </w:r>
            <w:r w:rsidRPr="00573BAF">
              <w:rPr>
                <w:rFonts w:ascii="Arial" w:hAnsi="Arial" w:cs="Arial"/>
                <w:b w:val="0"/>
                <w:color w:val="1F4E79" w:themeColor="accent1" w:themeShade="80"/>
                <w:lang w:val="sr-Latn-ME" w:eastAsia="x-none"/>
              </w:rPr>
              <w:t>korupcije može oslabiti povjerenje u institucije i otežati zaštitu finansijskih interesa.</w:t>
            </w:r>
          </w:p>
          <w:p w:rsidR="00573BAF" w:rsidRDefault="00573BAF" w:rsidP="00573BAF">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1F4E79" w:themeColor="accent1" w:themeShade="80"/>
                <w:lang w:val="sr-Latn-ME" w:eastAsia="x-none"/>
              </w:rPr>
            </w:pPr>
          </w:p>
          <w:p w:rsidR="00573BAF" w:rsidRPr="00573BAF" w:rsidRDefault="00573BAF" w:rsidP="00573BAF">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1F4E79" w:themeColor="accent1" w:themeShade="80"/>
                <w:lang w:val="sr-Latn-ME" w:eastAsia="x-none"/>
              </w:rPr>
            </w:pPr>
            <w:r w:rsidRPr="00573BAF">
              <w:rPr>
                <w:rFonts w:ascii="Arial" w:hAnsi="Arial" w:cs="Arial"/>
                <w:b w:val="0"/>
                <w:color w:val="1F4E79" w:themeColor="accent1" w:themeShade="80"/>
                <w:lang w:val="sr-Latn-ME" w:eastAsia="x-none"/>
              </w:rPr>
              <w:t>Nedovoljna obuka službenika koji upravljaju EU fondovima može dovesti do grešaka i nepravilnog korišćenja EU fondova.</w:t>
            </w:r>
          </w:p>
          <w:p w:rsidR="00573BAF" w:rsidRDefault="00573BAF" w:rsidP="00573BAF">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1F4E79" w:themeColor="accent1" w:themeShade="80"/>
                <w:lang w:val="sr-Latn-ME" w:eastAsia="x-none"/>
              </w:rPr>
            </w:pPr>
          </w:p>
          <w:p w:rsidR="00573BAF" w:rsidRPr="00573BAF" w:rsidRDefault="00573BAF" w:rsidP="00573BAF">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1F4E79" w:themeColor="accent1" w:themeShade="80"/>
                <w:lang w:val="sr-Latn-ME" w:eastAsia="x-none"/>
              </w:rPr>
            </w:pPr>
            <w:r w:rsidRPr="00573BAF">
              <w:rPr>
                <w:rFonts w:ascii="Arial" w:hAnsi="Arial" w:cs="Arial"/>
                <w:b w:val="0"/>
                <w:color w:val="1F4E79" w:themeColor="accent1" w:themeShade="80"/>
                <w:lang w:val="sr-Latn-ME" w:eastAsia="x-none"/>
              </w:rPr>
              <w:t>Nea</w:t>
            </w:r>
            <w:r>
              <w:rPr>
                <w:rFonts w:ascii="Arial" w:hAnsi="Arial" w:cs="Arial"/>
                <w:b w:val="0"/>
                <w:color w:val="1F4E79" w:themeColor="accent1" w:themeShade="80"/>
                <w:lang w:val="sr-Latn-ME" w:eastAsia="x-none"/>
              </w:rPr>
              <w:t>dekvatna</w:t>
            </w:r>
            <w:r w:rsidRPr="00573BAF">
              <w:rPr>
                <w:rFonts w:ascii="Arial" w:hAnsi="Arial" w:cs="Arial"/>
                <w:b w:val="0"/>
                <w:color w:val="1F4E79" w:themeColor="accent1" w:themeShade="80"/>
                <w:lang w:val="sr-Latn-ME" w:eastAsia="x-none"/>
              </w:rPr>
              <w:t xml:space="preserve"> pravna osnova u vezi sa zaštitom finansijskih interesa EU.</w:t>
            </w:r>
          </w:p>
          <w:p w:rsidR="00573BAF" w:rsidRDefault="00573BAF" w:rsidP="00573BAF">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1F4E79" w:themeColor="accent1" w:themeShade="80"/>
                <w:lang w:val="sr-Latn-ME" w:eastAsia="x-none"/>
              </w:rPr>
            </w:pPr>
          </w:p>
          <w:p w:rsidR="00573BAF" w:rsidRPr="00573BAF" w:rsidRDefault="00573BAF" w:rsidP="00573BAF">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1F4E79" w:themeColor="accent1" w:themeShade="80"/>
                <w:lang w:val="sr-Latn-ME" w:eastAsia="x-none"/>
              </w:rPr>
            </w:pPr>
            <w:r w:rsidRPr="00573BAF">
              <w:rPr>
                <w:rFonts w:ascii="Arial" w:hAnsi="Arial" w:cs="Arial"/>
                <w:b w:val="0"/>
                <w:color w:val="1F4E79" w:themeColor="accent1" w:themeShade="80"/>
                <w:lang w:val="sr-Latn-ME" w:eastAsia="x-none"/>
              </w:rPr>
              <w:t>Nedovoljno razvijeni postupci vezani za ovu oblast i neusaglašenost sa EU regulativama.</w:t>
            </w:r>
          </w:p>
          <w:p w:rsidR="00573BAF" w:rsidRDefault="00573BAF" w:rsidP="00573BAF">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1F4E79" w:themeColor="accent1" w:themeShade="80"/>
                <w:lang w:val="sr-Latn-ME" w:eastAsia="x-none"/>
              </w:rPr>
            </w:pPr>
          </w:p>
          <w:p w:rsidR="00573BAF" w:rsidRPr="00573BAF" w:rsidRDefault="00573BAF" w:rsidP="00573BAF">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1F4E79" w:themeColor="accent1" w:themeShade="80"/>
                <w:lang w:val="sr-Latn-ME" w:eastAsia="x-none"/>
              </w:rPr>
            </w:pPr>
            <w:r w:rsidRPr="00573BAF">
              <w:rPr>
                <w:rFonts w:ascii="Arial" w:hAnsi="Arial" w:cs="Arial"/>
                <w:b w:val="0"/>
                <w:color w:val="1F4E79" w:themeColor="accent1" w:themeShade="80"/>
                <w:lang w:val="sr-Latn-ME" w:eastAsia="x-none"/>
              </w:rPr>
              <w:t>Nedovoljno znanje službenika van IPA struktura o procesima i problemima vezanim za korišćenje IPA fondova.</w:t>
            </w:r>
          </w:p>
          <w:p w:rsidR="00573BAF" w:rsidRDefault="00573BAF" w:rsidP="00573BAF">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1F4E79" w:themeColor="accent1" w:themeShade="80"/>
                <w:lang w:val="sr-Latn-ME" w:eastAsia="x-none"/>
              </w:rPr>
            </w:pPr>
          </w:p>
          <w:p w:rsidR="000F471C" w:rsidRPr="001302F9" w:rsidRDefault="00573BAF" w:rsidP="00573BAF">
            <w:pPr>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1F4E79" w:themeColor="accent1" w:themeShade="80"/>
                <w:lang w:val="sr-Latn-ME" w:eastAsia="x-none"/>
              </w:rPr>
            </w:pPr>
            <w:r w:rsidRPr="00573BAF">
              <w:rPr>
                <w:rFonts w:ascii="Arial" w:hAnsi="Arial" w:cs="Arial"/>
                <w:b w:val="0"/>
                <w:color w:val="1F4E79" w:themeColor="accent1" w:themeShade="80"/>
                <w:lang w:val="sr-Latn-ME" w:eastAsia="x-none"/>
              </w:rPr>
              <w:t>Česte promjene i fluktuacija službenika koji se bave ovom oblašću.</w:t>
            </w:r>
          </w:p>
        </w:tc>
      </w:tr>
      <w:tr w:rsidR="000F471C" w:rsidRPr="001302F9" w:rsidTr="00CB5F79">
        <w:trPr>
          <w:cnfStyle w:val="000000100000" w:firstRow="0" w:lastRow="0" w:firstColumn="0" w:lastColumn="0" w:oddVBand="0" w:evenVBand="0" w:oddHBand="1" w:evenHBand="0" w:firstRowFirstColumn="0" w:firstRowLastColumn="0" w:lastRowFirstColumn="0" w:lastRowLastColumn="0"/>
          <w:trHeight w:val="5402"/>
        </w:trPr>
        <w:tc>
          <w:tcPr>
            <w:cnfStyle w:val="001000000000" w:firstRow="0" w:lastRow="0" w:firstColumn="1" w:lastColumn="0" w:oddVBand="0" w:evenVBand="0" w:oddHBand="0" w:evenHBand="0" w:firstRowFirstColumn="0" w:firstRowLastColumn="0" w:lastRowFirstColumn="0" w:lastRowLastColumn="0"/>
            <w:tcW w:w="4724" w:type="dxa"/>
            <w:shd w:val="clear" w:color="auto" w:fill="DEEAF6" w:themeFill="accent1" w:themeFillTint="33"/>
            <w:vAlign w:val="center"/>
          </w:tcPr>
          <w:p w:rsidR="00573BAF" w:rsidRPr="00573BAF" w:rsidRDefault="00573BAF" w:rsidP="00573BAF">
            <w:pPr>
              <w:jc w:val="both"/>
              <w:rPr>
                <w:rFonts w:ascii="Arial" w:eastAsia="Times New Roman" w:hAnsi="Arial" w:cs="Arial"/>
                <w:color w:val="1F4E79" w:themeColor="accent1" w:themeShade="80"/>
                <w:lang w:val="sr-Latn-ME"/>
              </w:rPr>
            </w:pPr>
            <w:r w:rsidRPr="00573BAF">
              <w:rPr>
                <w:rFonts w:ascii="Arial" w:eastAsia="Times New Roman" w:hAnsi="Arial" w:cs="Arial"/>
                <w:color w:val="1F4E79" w:themeColor="accent1" w:themeShade="80"/>
                <w:lang w:val="sr-Latn-ME"/>
              </w:rPr>
              <w:t>Mogućnosti</w:t>
            </w:r>
          </w:p>
          <w:p w:rsidR="00573BAF" w:rsidRDefault="00573BAF" w:rsidP="00573BAF">
            <w:pPr>
              <w:jc w:val="both"/>
              <w:rPr>
                <w:rFonts w:ascii="Arial" w:eastAsia="Times New Roman" w:hAnsi="Arial" w:cs="Arial"/>
                <w:bCs w:val="0"/>
                <w:color w:val="1F4E79" w:themeColor="accent1" w:themeShade="80"/>
                <w:lang w:val="sr-Latn-ME"/>
              </w:rPr>
            </w:pPr>
            <w:r w:rsidRPr="00573BAF">
              <w:rPr>
                <w:rFonts w:ascii="Arial" w:eastAsia="Times New Roman" w:hAnsi="Arial" w:cs="Arial"/>
                <w:b w:val="0"/>
                <w:color w:val="1F4E79" w:themeColor="accent1" w:themeShade="80"/>
                <w:lang w:val="sr-Latn-ME"/>
              </w:rPr>
              <w:t>Mogućnost jačanja transparentnosti kroz digitalizaciju i razvoj komunikacionih strategija.</w:t>
            </w:r>
          </w:p>
          <w:p w:rsidR="00573BAF" w:rsidRPr="00573BAF" w:rsidRDefault="00573BAF" w:rsidP="00573BAF">
            <w:pPr>
              <w:jc w:val="both"/>
              <w:rPr>
                <w:rFonts w:ascii="Arial" w:eastAsia="Times New Roman" w:hAnsi="Arial" w:cs="Arial"/>
                <w:b w:val="0"/>
                <w:color w:val="1F4E79" w:themeColor="accent1" w:themeShade="80"/>
                <w:lang w:val="sr-Latn-ME"/>
              </w:rPr>
            </w:pPr>
            <w:r w:rsidRPr="00573BAF">
              <w:rPr>
                <w:rFonts w:ascii="Arial" w:eastAsia="Times New Roman" w:hAnsi="Arial" w:cs="Arial"/>
                <w:b w:val="0"/>
                <w:color w:val="1F4E79" w:themeColor="accent1" w:themeShade="80"/>
                <w:lang w:val="sr-Latn-ME"/>
              </w:rPr>
              <w:t>Investiranje u obuku može poboljšati kapacitet institucija za zaštitu finansijskih interesa.</w:t>
            </w:r>
          </w:p>
          <w:p w:rsidR="00573BAF" w:rsidRPr="00573BAF" w:rsidRDefault="00573BAF" w:rsidP="00573BAF">
            <w:pPr>
              <w:jc w:val="both"/>
              <w:rPr>
                <w:rFonts w:ascii="Arial" w:eastAsia="Times New Roman" w:hAnsi="Arial" w:cs="Arial"/>
                <w:b w:val="0"/>
                <w:color w:val="1F4E79" w:themeColor="accent1" w:themeShade="80"/>
                <w:lang w:val="sr-Latn-ME"/>
              </w:rPr>
            </w:pPr>
            <w:r w:rsidRPr="00573BAF">
              <w:rPr>
                <w:rFonts w:ascii="Arial" w:eastAsia="Times New Roman" w:hAnsi="Arial" w:cs="Arial"/>
                <w:b w:val="0"/>
                <w:color w:val="1F4E79" w:themeColor="accent1" w:themeShade="80"/>
                <w:lang w:val="sr-Latn-ME"/>
              </w:rPr>
              <w:t>Mogućnost jačanja saradnje sa EU kroz korišćenje fondova kroz različite programe i projekte dostupne zemljama kandidatima za članstvo.</w:t>
            </w:r>
          </w:p>
          <w:p w:rsidR="00573BAF" w:rsidRPr="00573BAF" w:rsidRDefault="00573BAF" w:rsidP="00573BAF">
            <w:pPr>
              <w:jc w:val="both"/>
              <w:rPr>
                <w:rFonts w:ascii="Arial" w:eastAsia="Times New Roman" w:hAnsi="Arial" w:cs="Arial"/>
                <w:b w:val="0"/>
                <w:color w:val="1F4E79" w:themeColor="accent1" w:themeShade="80"/>
                <w:lang w:val="sr-Latn-ME"/>
              </w:rPr>
            </w:pPr>
            <w:r w:rsidRPr="00573BAF">
              <w:rPr>
                <w:rFonts w:ascii="Arial" w:eastAsia="Times New Roman" w:hAnsi="Arial" w:cs="Arial"/>
                <w:b w:val="0"/>
                <w:color w:val="1F4E79" w:themeColor="accent1" w:themeShade="80"/>
                <w:lang w:val="sr-Latn-ME"/>
              </w:rPr>
              <w:t>Saradnja sa državama članicama koje imaju dobro uspostavljene sisteme zaštite finansijskih interesa.</w:t>
            </w:r>
          </w:p>
          <w:p w:rsidR="000F471C" w:rsidRPr="001302F9" w:rsidRDefault="00573BAF" w:rsidP="00573BAF">
            <w:pPr>
              <w:jc w:val="both"/>
              <w:rPr>
                <w:rFonts w:ascii="Arial" w:eastAsia="Times New Roman" w:hAnsi="Arial" w:cs="Arial"/>
                <w:color w:val="1F4E79" w:themeColor="accent1" w:themeShade="80"/>
                <w:lang w:val="sr-Latn-ME"/>
              </w:rPr>
            </w:pPr>
            <w:r w:rsidRPr="00573BAF">
              <w:rPr>
                <w:rFonts w:ascii="Arial" w:eastAsia="Times New Roman" w:hAnsi="Arial" w:cs="Arial"/>
                <w:b w:val="0"/>
                <w:color w:val="1F4E79" w:themeColor="accent1" w:themeShade="80"/>
                <w:lang w:val="sr-Latn-ME"/>
              </w:rPr>
              <w:t>EU fondovi pružaju Crnoj Gori mogućnost da ubrza ekonomski razvoj, smanji regionalne razlike, poboljša infrastrukturu i poveća konkurentnost tržišta.</w:t>
            </w:r>
          </w:p>
        </w:tc>
        <w:tc>
          <w:tcPr>
            <w:tcW w:w="4724" w:type="dxa"/>
            <w:shd w:val="clear" w:color="auto" w:fill="DEEAF6" w:themeFill="accent1" w:themeFillTint="33"/>
          </w:tcPr>
          <w:p w:rsidR="00573BAF" w:rsidRPr="00573BAF" w:rsidRDefault="00573BAF" w:rsidP="00573BAF">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1F4E79" w:themeColor="accent1" w:themeShade="80"/>
                <w:lang w:val="sr-Latn-ME"/>
              </w:rPr>
            </w:pPr>
            <w:r w:rsidRPr="00573BAF">
              <w:rPr>
                <w:rFonts w:ascii="Arial" w:hAnsi="Arial" w:cs="Arial"/>
                <w:b/>
                <w:color w:val="1F4E79" w:themeColor="accent1" w:themeShade="80"/>
                <w:lang w:val="sr-Latn-ME"/>
              </w:rPr>
              <w:t>Prijetnje</w:t>
            </w:r>
          </w:p>
          <w:p w:rsidR="00573BAF" w:rsidRPr="00573BAF" w:rsidRDefault="00573BAF" w:rsidP="00573BA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lang w:val="sr-Latn-ME"/>
              </w:rPr>
            </w:pPr>
            <w:r w:rsidRPr="00573BAF">
              <w:rPr>
                <w:rFonts w:ascii="Arial" w:hAnsi="Arial" w:cs="Arial"/>
                <w:color w:val="1F4E79" w:themeColor="accent1" w:themeShade="80"/>
                <w:lang w:val="sr-Latn-ME"/>
              </w:rPr>
              <w:t>Politička nestabilnost i promjene</w:t>
            </w:r>
            <w:r>
              <w:rPr>
                <w:rFonts w:ascii="Arial" w:hAnsi="Arial" w:cs="Arial"/>
                <w:color w:val="1F4E79" w:themeColor="accent1" w:themeShade="80"/>
                <w:lang w:val="sr-Latn-ME"/>
              </w:rPr>
              <w:t xml:space="preserve"> </w:t>
            </w:r>
            <w:r w:rsidRPr="00573BAF">
              <w:rPr>
                <w:rFonts w:ascii="Arial" w:hAnsi="Arial" w:cs="Arial"/>
                <w:color w:val="1F4E79" w:themeColor="accent1" w:themeShade="80"/>
                <w:lang w:val="sr-Latn-ME"/>
              </w:rPr>
              <w:t>političk</w:t>
            </w:r>
            <w:r>
              <w:rPr>
                <w:rFonts w:ascii="Arial" w:hAnsi="Arial" w:cs="Arial"/>
                <w:color w:val="1F4E79" w:themeColor="accent1" w:themeShade="80"/>
                <w:lang w:val="sr-Latn-ME"/>
              </w:rPr>
              <w:t xml:space="preserve">e </w:t>
            </w:r>
            <w:r w:rsidRPr="00573BAF">
              <w:rPr>
                <w:rFonts w:ascii="Arial" w:hAnsi="Arial" w:cs="Arial"/>
                <w:color w:val="1F4E79" w:themeColor="accent1" w:themeShade="80"/>
                <w:lang w:val="sr-Latn-ME"/>
              </w:rPr>
              <w:t>situacij</w:t>
            </w:r>
            <w:r>
              <w:rPr>
                <w:rFonts w:ascii="Arial" w:hAnsi="Arial" w:cs="Arial"/>
                <w:color w:val="1F4E79" w:themeColor="accent1" w:themeShade="80"/>
                <w:lang w:val="sr-Latn-ME"/>
              </w:rPr>
              <w:t>e</w:t>
            </w:r>
            <w:r w:rsidRPr="00573BAF">
              <w:rPr>
                <w:rFonts w:ascii="Arial" w:hAnsi="Arial" w:cs="Arial"/>
                <w:color w:val="1F4E79" w:themeColor="accent1" w:themeShade="80"/>
                <w:lang w:val="sr-Latn-ME"/>
              </w:rPr>
              <w:t xml:space="preserve"> mogu uticati na dosl</w:t>
            </w:r>
            <w:r>
              <w:rPr>
                <w:rFonts w:ascii="Arial" w:hAnsi="Arial" w:cs="Arial"/>
                <w:color w:val="1F4E79" w:themeColor="accent1" w:themeShade="80"/>
                <w:lang w:val="sr-Latn-ME"/>
              </w:rPr>
              <w:t>j</w:t>
            </w:r>
            <w:r w:rsidRPr="00573BAF">
              <w:rPr>
                <w:rFonts w:ascii="Arial" w:hAnsi="Arial" w:cs="Arial"/>
                <w:color w:val="1F4E79" w:themeColor="accent1" w:themeShade="80"/>
                <w:lang w:val="sr-Latn-ME"/>
              </w:rPr>
              <w:t>ednost i implementaciju m</w:t>
            </w:r>
            <w:r>
              <w:rPr>
                <w:rFonts w:ascii="Arial" w:hAnsi="Arial" w:cs="Arial"/>
                <w:color w:val="1F4E79" w:themeColor="accent1" w:themeShade="80"/>
                <w:lang w:val="sr-Latn-ME"/>
              </w:rPr>
              <w:t>j</w:t>
            </w:r>
            <w:r w:rsidRPr="00573BAF">
              <w:rPr>
                <w:rFonts w:ascii="Arial" w:hAnsi="Arial" w:cs="Arial"/>
                <w:color w:val="1F4E79" w:themeColor="accent1" w:themeShade="80"/>
                <w:lang w:val="sr-Latn-ME"/>
              </w:rPr>
              <w:t>era.</w:t>
            </w:r>
          </w:p>
          <w:p w:rsidR="00573BAF" w:rsidRPr="00573BAF" w:rsidRDefault="00573BAF" w:rsidP="00573BA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lang w:val="sr-Latn-ME"/>
              </w:rPr>
            </w:pPr>
            <w:r w:rsidRPr="00573BAF">
              <w:rPr>
                <w:rFonts w:ascii="Arial" w:hAnsi="Arial" w:cs="Arial"/>
                <w:color w:val="1F4E79" w:themeColor="accent1" w:themeShade="80"/>
                <w:lang w:val="sr-Latn-ME"/>
              </w:rPr>
              <w:t>Nizak nivo podrške i uključenosti instituci</w:t>
            </w:r>
            <w:r>
              <w:rPr>
                <w:rFonts w:ascii="Arial" w:hAnsi="Arial" w:cs="Arial"/>
                <w:color w:val="1F4E79" w:themeColor="accent1" w:themeShade="80"/>
                <w:lang w:val="sr-Latn-ME"/>
              </w:rPr>
              <w:t xml:space="preserve">ja sistema </w:t>
            </w:r>
            <w:r w:rsidRPr="00573BAF">
              <w:rPr>
                <w:rFonts w:ascii="Arial" w:hAnsi="Arial" w:cs="Arial"/>
                <w:color w:val="1F4E79" w:themeColor="accent1" w:themeShade="80"/>
                <w:lang w:val="sr-Latn-ME"/>
              </w:rPr>
              <w:t>u proces zaštite finansijskih interesa EU i svijest</w:t>
            </w:r>
            <w:r>
              <w:rPr>
                <w:rFonts w:ascii="Arial" w:hAnsi="Arial" w:cs="Arial"/>
                <w:color w:val="1F4E79" w:themeColor="accent1" w:themeShade="80"/>
                <w:lang w:val="sr-Latn-ME"/>
              </w:rPr>
              <w:t>i</w:t>
            </w:r>
            <w:r w:rsidRPr="00573BAF">
              <w:rPr>
                <w:rFonts w:ascii="Arial" w:hAnsi="Arial" w:cs="Arial"/>
                <w:color w:val="1F4E79" w:themeColor="accent1" w:themeShade="80"/>
                <w:lang w:val="sr-Latn-ME"/>
              </w:rPr>
              <w:t xml:space="preserve"> o važnosti ovih pitanja za dalje pregovaračke procese.</w:t>
            </w:r>
          </w:p>
          <w:p w:rsidR="000F471C" w:rsidRPr="001302F9" w:rsidRDefault="00573BAF" w:rsidP="00573BA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lang w:val="sr-Latn-ME"/>
              </w:rPr>
            </w:pPr>
            <w:r w:rsidRPr="00573BAF">
              <w:rPr>
                <w:rFonts w:ascii="Arial" w:hAnsi="Arial" w:cs="Arial"/>
                <w:color w:val="1F4E79" w:themeColor="accent1" w:themeShade="80"/>
                <w:lang w:val="sr-Latn-ME"/>
              </w:rPr>
              <w:t>Cyber napadi i gubitak dokumenata.</w:t>
            </w:r>
          </w:p>
          <w:p w:rsidR="000F471C" w:rsidRPr="001302F9" w:rsidRDefault="000F471C" w:rsidP="00573BAF">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1F4E79" w:themeColor="accent1" w:themeShade="80"/>
                <w:lang w:val="sr-Latn-ME" w:eastAsia="x-none"/>
              </w:rPr>
            </w:pPr>
          </w:p>
        </w:tc>
      </w:tr>
    </w:tbl>
    <w:p w:rsidR="000F471C" w:rsidRPr="001302F9" w:rsidRDefault="000F471C" w:rsidP="000F471C">
      <w:pPr>
        <w:rPr>
          <w:rFonts w:ascii="Arial" w:hAnsi="Arial" w:cs="Arial"/>
          <w:lang w:val="sr-Latn-ME"/>
        </w:rPr>
      </w:pPr>
    </w:p>
    <w:p w:rsidR="000F471C" w:rsidRPr="001302F9" w:rsidRDefault="000F471C" w:rsidP="000F471C">
      <w:pPr>
        <w:pStyle w:val="NormalWeb"/>
        <w:rPr>
          <w:rFonts w:ascii="Arial" w:hAnsi="Arial" w:cs="Arial"/>
          <w:sz w:val="22"/>
          <w:szCs w:val="22"/>
          <w:lang w:val="sr-Latn-ME"/>
        </w:rPr>
      </w:pPr>
      <w:r w:rsidRPr="001302F9">
        <w:rPr>
          <w:rStyle w:val="Strong"/>
          <w:rFonts w:ascii="Arial" w:hAnsi="Arial" w:cs="Arial"/>
          <w:sz w:val="22"/>
          <w:szCs w:val="22"/>
          <w:lang w:val="sr-Latn-ME"/>
        </w:rPr>
        <w:t xml:space="preserve">2.5. </w:t>
      </w:r>
      <w:bookmarkStart w:id="12" w:name="_Hlk194406729"/>
      <w:r w:rsidRPr="001302F9">
        <w:rPr>
          <w:rStyle w:val="Strong"/>
          <w:rFonts w:ascii="Arial" w:hAnsi="Arial" w:cs="Arial"/>
          <w:sz w:val="22"/>
          <w:szCs w:val="22"/>
          <w:lang w:val="sr-Latn-ME"/>
        </w:rPr>
        <w:t>Analiza zainteresovanih strana (stakeholdera)</w:t>
      </w:r>
      <w:bookmarkEnd w:id="12"/>
    </w:p>
    <w:p w:rsidR="000F471C" w:rsidRPr="001302F9" w:rsidRDefault="000F471C" w:rsidP="000F471C">
      <w:pPr>
        <w:pStyle w:val="NormalWeb"/>
        <w:jc w:val="both"/>
        <w:rPr>
          <w:rFonts w:ascii="Arial" w:hAnsi="Arial" w:cs="Arial"/>
          <w:sz w:val="22"/>
          <w:szCs w:val="22"/>
          <w:lang w:val="sr-Latn-ME"/>
        </w:rPr>
      </w:pPr>
      <w:r w:rsidRPr="001302F9">
        <w:rPr>
          <w:rFonts w:ascii="Arial" w:hAnsi="Arial" w:cs="Arial"/>
          <w:sz w:val="22"/>
          <w:szCs w:val="22"/>
          <w:lang w:val="sr-Latn-ME"/>
        </w:rPr>
        <w:t xml:space="preserve">U kontekstu implementacije nove Strategije, neophodno je razmotriti mjesto i ulogu zainteresovanih strana, koje će igrati ključnu ulogu u ovom procesu, a </w:t>
      </w:r>
      <w:r w:rsidR="00431F88">
        <w:rPr>
          <w:rFonts w:ascii="Arial" w:hAnsi="Arial" w:cs="Arial"/>
          <w:sz w:val="22"/>
          <w:szCs w:val="22"/>
          <w:lang w:val="sr-Latn-ME"/>
        </w:rPr>
        <w:t xml:space="preserve">od </w:t>
      </w:r>
      <w:r w:rsidRPr="001302F9">
        <w:rPr>
          <w:rFonts w:ascii="Arial" w:hAnsi="Arial" w:cs="Arial"/>
          <w:sz w:val="22"/>
          <w:szCs w:val="22"/>
          <w:lang w:val="sr-Latn-ME"/>
        </w:rPr>
        <w:t>čij</w:t>
      </w:r>
      <w:r w:rsidR="00431F88">
        <w:rPr>
          <w:rFonts w:ascii="Arial" w:hAnsi="Arial" w:cs="Arial"/>
          <w:sz w:val="22"/>
          <w:szCs w:val="22"/>
          <w:lang w:val="sr-Latn-ME"/>
        </w:rPr>
        <w:t>eg</w:t>
      </w:r>
      <w:r w:rsidRPr="001302F9">
        <w:rPr>
          <w:rFonts w:ascii="Arial" w:hAnsi="Arial" w:cs="Arial"/>
          <w:sz w:val="22"/>
          <w:szCs w:val="22"/>
          <w:lang w:val="sr-Latn-ME"/>
        </w:rPr>
        <w:t xml:space="preserve"> uspjeh</w:t>
      </w:r>
      <w:r w:rsidR="00431F88">
        <w:rPr>
          <w:rFonts w:ascii="Arial" w:hAnsi="Arial" w:cs="Arial"/>
          <w:sz w:val="22"/>
          <w:szCs w:val="22"/>
          <w:lang w:val="sr-Latn-ME"/>
        </w:rPr>
        <w:t>a</w:t>
      </w:r>
      <w:r w:rsidRPr="001302F9">
        <w:rPr>
          <w:rFonts w:ascii="Arial" w:hAnsi="Arial" w:cs="Arial"/>
          <w:sz w:val="22"/>
          <w:szCs w:val="22"/>
          <w:lang w:val="sr-Latn-ME"/>
        </w:rPr>
        <w:t xml:space="preserve"> će</w:t>
      </w:r>
      <w:r w:rsidR="00646BB2">
        <w:rPr>
          <w:rFonts w:ascii="Arial" w:hAnsi="Arial" w:cs="Arial"/>
          <w:sz w:val="22"/>
          <w:szCs w:val="22"/>
          <w:lang w:val="sr-Latn-ME"/>
        </w:rPr>
        <w:t xml:space="preserve"> </w:t>
      </w:r>
      <w:r w:rsidRPr="001302F9">
        <w:rPr>
          <w:rFonts w:ascii="Arial" w:hAnsi="Arial" w:cs="Arial"/>
          <w:sz w:val="22"/>
          <w:szCs w:val="22"/>
          <w:lang w:val="sr-Latn-ME"/>
        </w:rPr>
        <w:t>najviše zavisiti postizanj</w:t>
      </w:r>
      <w:r w:rsidR="00431F88">
        <w:rPr>
          <w:rFonts w:ascii="Arial" w:hAnsi="Arial" w:cs="Arial"/>
          <w:sz w:val="22"/>
          <w:szCs w:val="22"/>
          <w:lang w:val="sr-Latn-ME"/>
        </w:rPr>
        <w:t>e</w:t>
      </w:r>
      <w:r w:rsidRPr="001302F9">
        <w:rPr>
          <w:rFonts w:ascii="Arial" w:hAnsi="Arial" w:cs="Arial"/>
          <w:sz w:val="22"/>
          <w:szCs w:val="22"/>
          <w:lang w:val="sr-Latn-ME"/>
        </w:rPr>
        <w:t xml:space="preserve"> definisanih ciljeva u narednom periodu. Ova analiza daje uvid u to koji akteri</w:t>
      </w:r>
      <w:r w:rsidR="00431F88">
        <w:rPr>
          <w:rFonts w:ascii="Arial" w:hAnsi="Arial" w:cs="Arial"/>
          <w:sz w:val="22"/>
          <w:szCs w:val="22"/>
          <w:lang w:val="sr-Latn-ME"/>
        </w:rPr>
        <w:t>, u</w:t>
      </w:r>
      <w:r w:rsidRPr="001302F9">
        <w:rPr>
          <w:rFonts w:ascii="Arial" w:hAnsi="Arial" w:cs="Arial"/>
          <w:sz w:val="22"/>
          <w:szCs w:val="22"/>
          <w:lang w:val="sr-Latn-ME"/>
        </w:rPr>
        <w:t xml:space="preserve"> ciklus</w:t>
      </w:r>
      <w:r w:rsidR="00431F88">
        <w:rPr>
          <w:rFonts w:ascii="Arial" w:hAnsi="Arial" w:cs="Arial"/>
          <w:sz w:val="22"/>
          <w:szCs w:val="22"/>
          <w:lang w:val="sr-Latn-ME"/>
        </w:rPr>
        <w:t>u</w:t>
      </w:r>
      <w:r w:rsidRPr="001302F9">
        <w:rPr>
          <w:rFonts w:ascii="Arial" w:hAnsi="Arial" w:cs="Arial"/>
          <w:sz w:val="22"/>
          <w:szCs w:val="22"/>
          <w:lang w:val="sr-Latn-ME"/>
        </w:rPr>
        <w:t xml:space="preserve"> borbe protiv prevara, moraju biti uključeni </w:t>
      </w:r>
      <w:r w:rsidR="00431F88">
        <w:rPr>
          <w:rFonts w:ascii="Arial" w:hAnsi="Arial" w:cs="Arial"/>
          <w:sz w:val="22"/>
          <w:szCs w:val="22"/>
          <w:lang w:val="sr-Latn-ME"/>
        </w:rPr>
        <w:t xml:space="preserve">u </w:t>
      </w:r>
      <w:r w:rsidRPr="001302F9">
        <w:rPr>
          <w:rFonts w:ascii="Arial" w:hAnsi="Arial" w:cs="Arial"/>
          <w:sz w:val="22"/>
          <w:szCs w:val="22"/>
          <w:lang w:val="sr-Latn-ME"/>
        </w:rPr>
        <w:t>razvoj i implementaciju ove Strategije.</w:t>
      </w:r>
    </w:p>
    <w:p w:rsidR="000F471C" w:rsidRPr="001302F9" w:rsidRDefault="000F471C" w:rsidP="000F471C">
      <w:pPr>
        <w:pStyle w:val="NormalWeb"/>
        <w:jc w:val="both"/>
        <w:rPr>
          <w:rFonts w:ascii="Arial" w:hAnsi="Arial" w:cs="Arial"/>
          <w:sz w:val="22"/>
          <w:szCs w:val="22"/>
          <w:lang w:val="sr-Latn-ME"/>
        </w:rPr>
      </w:pPr>
      <w:r w:rsidRPr="001302F9">
        <w:rPr>
          <w:rStyle w:val="Strong"/>
          <w:rFonts w:ascii="Arial" w:hAnsi="Arial" w:cs="Arial"/>
          <w:sz w:val="22"/>
          <w:szCs w:val="22"/>
          <w:lang w:val="sr-Latn-ME"/>
        </w:rPr>
        <w:t>2.5.1. Identifikovanje zainteresovanih strana</w:t>
      </w:r>
    </w:p>
    <w:p w:rsidR="000F471C" w:rsidRPr="001302F9" w:rsidRDefault="000F471C" w:rsidP="000F471C">
      <w:pPr>
        <w:pStyle w:val="NormalWeb"/>
        <w:jc w:val="both"/>
        <w:rPr>
          <w:rFonts w:ascii="Arial" w:hAnsi="Arial" w:cs="Arial"/>
          <w:sz w:val="22"/>
          <w:szCs w:val="22"/>
          <w:lang w:val="sr-Latn-ME"/>
        </w:rPr>
      </w:pPr>
      <w:r w:rsidRPr="001302F9">
        <w:rPr>
          <w:rFonts w:ascii="Arial" w:hAnsi="Arial" w:cs="Arial"/>
          <w:sz w:val="22"/>
          <w:szCs w:val="22"/>
          <w:lang w:val="sr-Latn-ME"/>
        </w:rPr>
        <w:t xml:space="preserve">Ministarstvo finansija igra ključnu ulogu u promociji i zaštiti finansijskih interesa EU, unutar njega je uspostavljena Direkcija za zaštitu finansijskih interesa EU/ AFCOS kao glavno koordinaciono tijelo AFCOS sistema u Crnoj Gori i kontakt tačka za OLAF. Shodno svojim nadležnostima, </w:t>
      </w:r>
      <w:r w:rsidR="00430041" w:rsidRPr="00430041">
        <w:rPr>
          <w:rFonts w:ascii="Arial" w:hAnsi="Arial" w:cs="Arial"/>
          <w:sz w:val="22"/>
          <w:szCs w:val="22"/>
          <w:lang w:val="sr-Latn-ME"/>
        </w:rPr>
        <w:t xml:space="preserve">Direkcija za zaštitu finansijskih interesa EU/ AFCOS </w:t>
      </w:r>
      <w:r w:rsidRPr="001302F9">
        <w:rPr>
          <w:rFonts w:ascii="Arial" w:hAnsi="Arial" w:cs="Arial"/>
          <w:sz w:val="22"/>
          <w:szCs w:val="22"/>
          <w:lang w:val="sr-Latn-ME"/>
        </w:rPr>
        <w:t>je operativni nosilac politike zaštite finansijskih interesa EU u Crnoj Gori i u tom kontekstu odgovorn</w:t>
      </w:r>
      <w:r w:rsidR="00430041">
        <w:rPr>
          <w:rFonts w:ascii="Arial" w:hAnsi="Arial" w:cs="Arial"/>
          <w:sz w:val="22"/>
          <w:szCs w:val="22"/>
          <w:lang w:val="sr-Latn-ME"/>
        </w:rPr>
        <w:t>a</w:t>
      </w:r>
      <w:r w:rsidRPr="001302F9">
        <w:rPr>
          <w:rFonts w:ascii="Arial" w:hAnsi="Arial" w:cs="Arial"/>
          <w:sz w:val="22"/>
          <w:szCs w:val="22"/>
          <w:lang w:val="sr-Latn-ME"/>
        </w:rPr>
        <w:t xml:space="preserve"> je za koordinaciju procesa razvoja, implementacije i praćenja Strategije u saradnji sa svim zainteresovanim stranama.</w:t>
      </w:r>
    </w:p>
    <w:p w:rsidR="00430041" w:rsidRDefault="000F471C" w:rsidP="000F471C">
      <w:pPr>
        <w:pStyle w:val="NormalWeb"/>
        <w:jc w:val="both"/>
        <w:rPr>
          <w:rFonts w:ascii="Arial" w:hAnsi="Arial" w:cs="Arial"/>
          <w:sz w:val="22"/>
          <w:szCs w:val="22"/>
          <w:lang w:val="sr-Latn-ME"/>
        </w:rPr>
      </w:pPr>
      <w:r w:rsidRPr="001302F9">
        <w:rPr>
          <w:rFonts w:ascii="Arial" w:hAnsi="Arial" w:cs="Arial"/>
          <w:sz w:val="22"/>
          <w:szCs w:val="22"/>
          <w:lang w:val="sr-Latn-ME"/>
        </w:rPr>
        <w:t xml:space="preserve">Posebno je važno naglasiti da, u kontekstu implementacije ove Strategije, pored Direkcije za zaštitu finansijskih interesa EU /AFCOS, posebnu ulogu igraju </w:t>
      </w:r>
      <w:r w:rsidR="00430041">
        <w:rPr>
          <w:rFonts w:ascii="Arial" w:hAnsi="Arial" w:cs="Arial"/>
          <w:sz w:val="22"/>
          <w:szCs w:val="22"/>
          <w:lang w:val="sr-Latn-ME"/>
        </w:rPr>
        <w:t>sledeće institucije</w:t>
      </w:r>
      <w:r w:rsidRPr="001302F9">
        <w:rPr>
          <w:rFonts w:ascii="Arial" w:hAnsi="Arial" w:cs="Arial"/>
          <w:sz w:val="22"/>
          <w:szCs w:val="22"/>
          <w:lang w:val="sr-Latn-ME"/>
        </w:rPr>
        <w:t xml:space="preserve"> AFCOS sistema: </w:t>
      </w:r>
    </w:p>
    <w:p w:rsidR="00A76A38" w:rsidRPr="00EE1E09" w:rsidRDefault="00A76A38" w:rsidP="00A76A38">
      <w:pPr>
        <w:pStyle w:val="ListParagraph"/>
        <w:numPr>
          <w:ilvl w:val="0"/>
          <w:numId w:val="38"/>
        </w:numPr>
        <w:shd w:val="clear" w:color="auto" w:fill="auto"/>
        <w:spacing w:before="100" w:beforeAutospacing="1" w:after="100" w:afterAutospacing="1" w:line="240" w:lineRule="auto"/>
        <w:rPr>
          <w:rFonts w:cs="Arial"/>
          <w:sz w:val="22"/>
          <w:szCs w:val="22"/>
          <w:lang w:val="sr-Latn-BA"/>
        </w:rPr>
      </w:pPr>
      <w:r w:rsidRPr="00EE1E09">
        <w:rPr>
          <w:rFonts w:cs="Arial"/>
          <w:sz w:val="22"/>
          <w:szCs w:val="22"/>
          <w:lang w:val="sr-Latn-BA"/>
        </w:rPr>
        <w:t>Tijela sistema za upravljanje i kontrolu EU fondova (struktura za izvještavanje o nepravilnostima)</w:t>
      </w:r>
      <w:r w:rsidRPr="00EE1E09">
        <w:rPr>
          <w:rFonts w:cs="Arial"/>
          <w:lang w:val="sr-Latn-ME"/>
        </w:rPr>
        <w:t xml:space="preserve"> </w:t>
      </w:r>
    </w:p>
    <w:p w:rsidR="00A71ABA" w:rsidRPr="00A76A38" w:rsidRDefault="00A76A38" w:rsidP="00A76A38">
      <w:pPr>
        <w:pStyle w:val="NormalWeb"/>
        <w:numPr>
          <w:ilvl w:val="0"/>
          <w:numId w:val="38"/>
        </w:numPr>
        <w:jc w:val="both"/>
        <w:rPr>
          <w:rFonts w:ascii="Arial" w:hAnsi="Arial" w:cs="Arial"/>
          <w:sz w:val="22"/>
          <w:szCs w:val="22"/>
          <w:lang w:val="sr-Latn-ME"/>
        </w:rPr>
      </w:pPr>
      <w:r w:rsidRPr="00A76A38">
        <w:rPr>
          <w:rFonts w:ascii="Arial" w:hAnsi="Arial" w:cs="Arial"/>
          <w:bCs/>
          <w:lang w:val="sr-Latn-BA"/>
        </w:rPr>
        <w:t>I</w:t>
      </w:r>
      <w:r w:rsidRPr="00A76A38">
        <w:rPr>
          <w:rFonts w:ascii="Arial" w:hAnsi="Arial" w:cs="Arial"/>
          <w:bCs/>
          <w:sz w:val="22"/>
          <w:szCs w:val="22"/>
          <w:lang w:val="sr-Latn-BA"/>
        </w:rPr>
        <w:t>nstitucija sistema zaduženih za borbu protiv prevara, korupcije i drugih oblika nezakonitih aktivnosti</w:t>
      </w:r>
      <w:r w:rsidRPr="00A76A38">
        <w:rPr>
          <w:rFonts w:ascii="Arial" w:hAnsi="Arial" w:cs="Arial"/>
          <w:sz w:val="22"/>
          <w:szCs w:val="22"/>
          <w:lang w:val="sr-Latn-ME"/>
        </w:rPr>
        <w:t>: Ministarstvo pravde, Ministarstvo unutrašnjih poslova, Uprava policije, Poreska uprava, Uprava carina, Vrhovno državno tužilaštvo, Agencija za borbu protiv korupcije, Revizorsko tijelo, Ministarstvo evropskih poslova, Ministarstvo finansija (AFCOS mreža</w:t>
      </w:r>
      <w:r w:rsidRPr="00EE1E09">
        <w:rPr>
          <w:rFonts w:cs="Arial"/>
          <w:sz w:val="22"/>
          <w:szCs w:val="22"/>
          <w:lang w:val="sr-Latn-ME"/>
        </w:rPr>
        <w:t>)</w:t>
      </w:r>
      <w:r>
        <w:rPr>
          <w:rFonts w:cs="Arial"/>
          <w:sz w:val="22"/>
          <w:szCs w:val="22"/>
          <w:lang w:val="sr-Latn-ME"/>
        </w:rPr>
        <w:t>.</w:t>
      </w:r>
      <w:r w:rsidRPr="00EE1E09">
        <w:rPr>
          <w:rFonts w:cs="Arial"/>
          <w:sz w:val="22"/>
          <w:szCs w:val="22"/>
          <w:lang w:val="sr-Latn-ME"/>
        </w:rPr>
        <w:t xml:space="preserve"> </w:t>
      </w:r>
      <w:r w:rsidR="000F471C" w:rsidRPr="00430041">
        <w:rPr>
          <w:rFonts w:ascii="Arial" w:hAnsi="Arial" w:cs="Arial"/>
          <w:sz w:val="22"/>
          <w:szCs w:val="22"/>
          <w:lang w:val="sr-Latn-ME"/>
        </w:rPr>
        <w:t>Ov</w:t>
      </w:r>
      <w:r w:rsidR="00430041">
        <w:rPr>
          <w:rFonts w:ascii="Arial" w:hAnsi="Arial" w:cs="Arial"/>
          <w:sz w:val="22"/>
          <w:szCs w:val="22"/>
          <w:lang w:val="sr-Latn-ME"/>
        </w:rPr>
        <w:t xml:space="preserve">e institucije </w:t>
      </w:r>
      <w:r w:rsidR="000F471C" w:rsidRPr="00430041">
        <w:rPr>
          <w:rFonts w:ascii="Arial" w:hAnsi="Arial" w:cs="Arial"/>
          <w:sz w:val="22"/>
          <w:szCs w:val="22"/>
          <w:lang w:val="sr-Latn-ME"/>
        </w:rPr>
        <w:t>pružaju specijalizovanu stručnu podršku i olakšavaju razmjenu informacija sa IPA strukturama, posebno u složenim</w:t>
      </w:r>
      <w:r w:rsidR="00430041">
        <w:rPr>
          <w:rFonts w:ascii="Arial" w:hAnsi="Arial" w:cs="Arial"/>
          <w:sz w:val="22"/>
          <w:szCs w:val="22"/>
          <w:lang w:val="sr-Latn-ME"/>
        </w:rPr>
        <w:t xml:space="preserve"> i</w:t>
      </w:r>
      <w:r w:rsidR="000F471C" w:rsidRPr="00430041">
        <w:rPr>
          <w:rFonts w:ascii="Arial" w:hAnsi="Arial" w:cs="Arial"/>
          <w:sz w:val="22"/>
          <w:szCs w:val="22"/>
          <w:lang w:val="sr-Latn-ME"/>
        </w:rPr>
        <w:t xml:space="preserve"> slučajevima </w:t>
      </w:r>
      <w:r w:rsidR="00430041" w:rsidRPr="00430041">
        <w:rPr>
          <w:rFonts w:ascii="Arial" w:hAnsi="Arial" w:cs="Arial"/>
          <w:sz w:val="22"/>
          <w:szCs w:val="22"/>
          <w:lang w:val="sr-Latn-ME"/>
        </w:rPr>
        <w:t>potencijaln</w:t>
      </w:r>
      <w:r w:rsidR="00430041">
        <w:rPr>
          <w:rFonts w:ascii="Arial" w:hAnsi="Arial" w:cs="Arial"/>
          <w:sz w:val="22"/>
          <w:szCs w:val="22"/>
          <w:lang w:val="sr-Latn-ME"/>
        </w:rPr>
        <w:t>e</w:t>
      </w:r>
      <w:r w:rsidR="00430041" w:rsidRPr="00430041">
        <w:rPr>
          <w:rFonts w:ascii="Arial" w:hAnsi="Arial" w:cs="Arial"/>
          <w:sz w:val="22"/>
          <w:szCs w:val="22"/>
          <w:lang w:val="sr-Latn-ME"/>
        </w:rPr>
        <w:t xml:space="preserve"> prevar</w:t>
      </w:r>
      <w:r w:rsidR="00430041">
        <w:rPr>
          <w:rFonts w:ascii="Arial" w:hAnsi="Arial" w:cs="Arial"/>
          <w:sz w:val="22"/>
          <w:szCs w:val="22"/>
          <w:lang w:val="sr-Latn-ME"/>
        </w:rPr>
        <w:t>e</w:t>
      </w:r>
      <w:r w:rsidR="00430041" w:rsidRPr="00430041">
        <w:rPr>
          <w:rFonts w:ascii="Arial" w:hAnsi="Arial" w:cs="Arial"/>
          <w:sz w:val="22"/>
          <w:szCs w:val="22"/>
          <w:lang w:val="sr-Latn-ME"/>
        </w:rPr>
        <w:t xml:space="preserve"> </w:t>
      </w:r>
      <w:r w:rsidR="000F471C" w:rsidRPr="00430041">
        <w:rPr>
          <w:rFonts w:ascii="Arial" w:hAnsi="Arial" w:cs="Arial"/>
          <w:sz w:val="22"/>
          <w:szCs w:val="22"/>
          <w:lang w:val="sr-Latn-ME"/>
        </w:rPr>
        <w:t xml:space="preserve">u kojima nadležnosti i ovlašćenja možda nisu jasno razgraničena. Pored toga, </w:t>
      </w:r>
      <w:r w:rsidR="00430041">
        <w:rPr>
          <w:rFonts w:ascii="Arial" w:hAnsi="Arial" w:cs="Arial"/>
          <w:sz w:val="22"/>
          <w:szCs w:val="22"/>
          <w:lang w:val="sr-Latn-ME"/>
        </w:rPr>
        <w:t>ove institucije</w:t>
      </w:r>
      <w:r w:rsidR="000F471C" w:rsidRPr="00430041">
        <w:rPr>
          <w:rFonts w:ascii="Arial" w:hAnsi="Arial" w:cs="Arial"/>
          <w:sz w:val="22"/>
          <w:szCs w:val="22"/>
          <w:lang w:val="sr-Latn-ME"/>
        </w:rPr>
        <w:t xml:space="preserve"> su odgovorn</w:t>
      </w:r>
      <w:r w:rsidR="00430041">
        <w:rPr>
          <w:rFonts w:ascii="Arial" w:hAnsi="Arial" w:cs="Arial"/>
          <w:sz w:val="22"/>
          <w:szCs w:val="22"/>
          <w:lang w:val="sr-Latn-ME"/>
        </w:rPr>
        <w:t>e</w:t>
      </w:r>
      <w:r w:rsidR="000F471C" w:rsidRPr="00430041">
        <w:rPr>
          <w:rFonts w:ascii="Arial" w:hAnsi="Arial" w:cs="Arial"/>
          <w:sz w:val="22"/>
          <w:szCs w:val="22"/>
          <w:lang w:val="sr-Latn-ME"/>
        </w:rPr>
        <w:t xml:space="preserve"> za doprinos u procjeni rizika </w:t>
      </w:r>
      <w:r w:rsidR="006C1A8C">
        <w:rPr>
          <w:rFonts w:ascii="Arial" w:hAnsi="Arial" w:cs="Arial"/>
          <w:sz w:val="22"/>
          <w:szCs w:val="22"/>
          <w:lang w:val="sr-Latn-ME"/>
        </w:rPr>
        <w:t xml:space="preserve">od </w:t>
      </w:r>
      <w:r w:rsidR="00C26CC5" w:rsidRPr="00430041">
        <w:rPr>
          <w:rFonts w:ascii="Arial" w:hAnsi="Arial" w:cs="Arial"/>
          <w:sz w:val="22"/>
          <w:szCs w:val="22"/>
          <w:lang w:val="sr-Latn-ME"/>
        </w:rPr>
        <w:t xml:space="preserve">prevara i </w:t>
      </w:r>
      <w:r w:rsidR="000F471C" w:rsidRPr="00430041">
        <w:rPr>
          <w:rFonts w:ascii="Arial" w:hAnsi="Arial" w:cs="Arial"/>
          <w:sz w:val="22"/>
          <w:szCs w:val="22"/>
          <w:lang w:val="sr-Latn-ME"/>
        </w:rPr>
        <w:t>nepravilnosti, predlaganje i učešće u implementaciji efektivnih m</w:t>
      </w:r>
      <w:r w:rsidR="00C26CC5">
        <w:rPr>
          <w:rFonts w:ascii="Arial" w:hAnsi="Arial" w:cs="Arial"/>
          <w:sz w:val="22"/>
          <w:szCs w:val="22"/>
          <w:lang w:val="sr-Latn-ME"/>
        </w:rPr>
        <w:t>j</w:t>
      </w:r>
      <w:r w:rsidR="000F471C" w:rsidRPr="00430041">
        <w:rPr>
          <w:rFonts w:ascii="Arial" w:hAnsi="Arial" w:cs="Arial"/>
          <w:sz w:val="22"/>
          <w:szCs w:val="22"/>
          <w:lang w:val="sr-Latn-ME"/>
        </w:rPr>
        <w:t xml:space="preserve">era za zaštitu finansijskih interesa EU, kao i za koordinaciju procjene potreba za obukom </w:t>
      </w:r>
      <w:r w:rsidR="00C26CC5">
        <w:rPr>
          <w:rFonts w:ascii="Arial" w:hAnsi="Arial" w:cs="Arial"/>
          <w:sz w:val="22"/>
          <w:szCs w:val="22"/>
          <w:lang w:val="sr-Latn-ME"/>
        </w:rPr>
        <w:t>u institucijama koje</w:t>
      </w:r>
      <w:r w:rsidR="000F471C" w:rsidRPr="00430041">
        <w:rPr>
          <w:rFonts w:ascii="Arial" w:hAnsi="Arial" w:cs="Arial"/>
          <w:sz w:val="22"/>
          <w:szCs w:val="22"/>
          <w:lang w:val="sr-Latn-ME"/>
        </w:rPr>
        <w:t xml:space="preserve"> predstavljaju i informišu svoje kolege o dostupnim edukativnim aktivnostima koje se odnose na zaštitu finansijskih interesa EU.</w:t>
      </w:r>
    </w:p>
    <w:p w:rsidR="00A71ABA" w:rsidRPr="00EE1E09" w:rsidRDefault="00A71ABA" w:rsidP="00A71ABA">
      <w:pPr>
        <w:pStyle w:val="ListParagraph"/>
        <w:numPr>
          <w:ilvl w:val="0"/>
          <w:numId w:val="38"/>
        </w:numPr>
        <w:spacing w:before="60" w:after="60" w:line="240" w:lineRule="auto"/>
        <w:rPr>
          <w:rFonts w:cs="Arial"/>
          <w:sz w:val="22"/>
          <w:szCs w:val="22"/>
          <w:lang w:val="sr-Latn-ME"/>
        </w:rPr>
      </w:pPr>
      <w:r w:rsidRPr="00EE1E09">
        <w:rPr>
          <w:rFonts w:cs="Arial"/>
          <w:sz w:val="22"/>
          <w:szCs w:val="22"/>
          <w:lang w:val="sr-Latn-ME"/>
        </w:rPr>
        <w:t>Direkcija za zaštitu finansijskih interesa EU/AFCOS (AFCOS kancelarija)</w:t>
      </w:r>
    </w:p>
    <w:p w:rsidR="00A71ABA" w:rsidRPr="00430041" w:rsidRDefault="00A71ABA" w:rsidP="00A71ABA">
      <w:pPr>
        <w:pStyle w:val="NormalWeb"/>
        <w:jc w:val="both"/>
        <w:rPr>
          <w:rFonts w:ascii="Arial" w:hAnsi="Arial" w:cs="Arial"/>
          <w:sz w:val="22"/>
          <w:szCs w:val="22"/>
          <w:lang w:val="sr-Latn-ME"/>
        </w:rPr>
      </w:pPr>
    </w:p>
    <w:p w:rsidR="000F471C" w:rsidRPr="001302F9" w:rsidRDefault="000F471C" w:rsidP="000F471C">
      <w:pPr>
        <w:pStyle w:val="NormalWeb"/>
        <w:jc w:val="both"/>
        <w:rPr>
          <w:rFonts w:ascii="Arial" w:hAnsi="Arial" w:cs="Arial"/>
          <w:sz w:val="22"/>
          <w:szCs w:val="22"/>
          <w:lang w:val="sr-Latn-ME"/>
        </w:rPr>
      </w:pPr>
      <w:r w:rsidRPr="001302F9">
        <w:rPr>
          <w:rFonts w:ascii="Arial" w:hAnsi="Arial" w:cs="Arial"/>
          <w:sz w:val="22"/>
          <w:szCs w:val="22"/>
          <w:lang w:val="sr-Latn-ME"/>
        </w:rPr>
        <w:t>Takođe, identifikovane su i druge nezavisne institucije kao zainteresovane strane - na nacionalnom nivou</w:t>
      </w:r>
      <w:r w:rsidR="00C26CC5">
        <w:rPr>
          <w:rFonts w:ascii="Arial" w:hAnsi="Arial" w:cs="Arial"/>
          <w:sz w:val="22"/>
          <w:szCs w:val="22"/>
          <w:lang w:val="sr-Latn-ME"/>
        </w:rPr>
        <w:t xml:space="preserve"> to su</w:t>
      </w:r>
      <w:r w:rsidRPr="001302F9">
        <w:rPr>
          <w:rFonts w:ascii="Arial" w:hAnsi="Arial" w:cs="Arial"/>
          <w:sz w:val="22"/>
          <w:szCs w:val="22"/>
          <w:lang w:val="sr-Latn-ME"/>
        </w:rPr>
        <w:t>: Direk</w:t>
      </w:r>
      <w:r w:rsidR="004F657E">
        <w:rPr>
          <w:rFonts w:ascii="Arial" w:hAnsi="Arial" w:cs="Arial"/>
          <w:sz w:val="22"/>
          <w:szCs w:val="22"/>
          <w:lang w:val="sr-Latn-ME"/>
        </w:rPr>
        <w:t>torat za politiku javnih nabavki</w:t>
      </w:r>
      <w:r w:rsidR="00C26CC5">
        <w:rPr>
          <w:rFonts w:ascii="Arial" w:hAnsi="Arial" w:cs="Arial"/>
          <w:sz w:val="22"/>
          <w:szCs w:val="22"/>
          <w:lang w:val="sr-Latn-ME"/>
        </w:rPr>
        <w:t>;</w:t>
      </w:r>
      <w:r w:rsidRPr="001302F9">
        <w:rPr>
          <w:rFonts w:ascii="Arial" w:hAnsi="Arial" w:cs="Arial"/>
          <w:sz w:val="22"/>
          <w:szCs w:val="22"/>
          <w:lang w:val="sr-Latn-ME"/>
        </w:rPr>
        <w:t xml:space="preserve"> Centralna harmonizacij</w:t>
      </w:r>
      <w:r w:rsidR="00C26CC5">
        <w:rPr>
          <w:rFonts w:ascii="Arial" w:hAnsi="Arial" w:cs="Arial"/>
          <w:sz w:val="22"/>
          <w:szCs w:val="22"/>
          <w:lang w:val="sr-Latn-ME"/>
        </w:rPr>
        <w:t>ska</w:t>
      </w:r>
      <w:r w:rsidRPr="001302F9">
        <w:rPr>
          <w:rFonts w:ascii="Arial" w:hAnsi="Arial" w:cs="Arial"/>
          <w:sz w:val="22"/>
          <w:szCs w:val="22"/>
          <w:lang w:val="sr-Latn-ME"/>
        </w:rPr>
        <w:t xml:space="preserve"> jedinica</w:t>
      </w:r>
      <w:r w:rsidR="00C26CC5">
        <w:rPr>
          <w:rFonts w:ascii="Arial" w:hAnsi="Arial" w:cs="Arial"/>
          <w:sz w:val="22"/>
          <w:szCs w:val="22"/>
          <w:lang w:val="sr-Latn-ME"/>
        </w:rPr>
        <w:t xml:space="preserve"> i</w:t>
      </w:r>
      <w:r w:rsidRPr="001302F9">
        <w:rPr>
          <w:rFonts w:ascii="Arial" w:hAnsi="Arial" w:cs="Arial"/>
          <w:sz w:val="22"/>
          <w:szCs w:val="22"/>
          <w:lang w:val="sr-Latn-ME"/>
        </w:rPr>
        <w:t xml:space="preserve"> Direkcija za budžetsku inspekciju,</w:t>
      </w:r>
      <w:r w:rsidR="00C26CC5">
        <w:rPr>
          <w:rFonts w:ascii="Arial" w:hAnsi="Arial" w:cs="Arial"/>
          <w:sz w:val="22"/>
          <w:szCs w:val="22"/>
          <w:lang w:val="sr-Latn-ME"/>
        </w:rPr>
        <w:t xml:space="preserve"> </w:t>
      </w:r>
      <w:r w:rsidRPr="001302F9">
        <w:rPr>
          <w:rFonts w:ascii="Arial" w:hAnsi="Arial" w:cs="Arial"/>
          <w:sz w:val="22"/>
          <w:szCs w:val="22"/>
          <w:lang w:val="sr-Latn-ME"/>
        </w:rPr>
        <w:t>a na EU nivou</w:t>
      </w:r>
      <w:r w:rsidR="00C26CC5">
        <w:rPr>
          <w:rFonts w:ascii="Arial" w:hAnsi="Arial" w:cs="Arial"/>
          <w:sz w:val="22"/>
          <w:szCs w:val="22"/>
          <w:lang w:val="sr-Latn-ME"/>
        </w:rPr>
        <w:t xml:space="preserve"> su</w:t>
      </w:r>
      <w:r w:rsidRPr="001302F9">
        <w:rPr>
          <w:rFonts w:ascii="Arial" w:hAnsi="Arial" w:cs="Arial"/>
          <w:sz w:val="22"/>
          <w:szCs w:val="22"/>
          <w:lang w:val="sr-Latn-ME"/>
        </w:rPr>
        <w:t>: OLAF</w:t>
      </w:r>
      <w:r w:rsidR="00C26CC5">
        <w:rPr>
          <w:rFonts w:ascii="Arial" w:hAnsi="Arial" w:cs="Arial"/>
          <w:sz w:val="22"/>
          <w:szCs w:val="22"/>
          <w:lang w:val="sr-Latn-ME"/>
        </w:rPr>
        <w:t>;</w:t>
      </w:r>
      <w:r w:rsidRPr="001302F9">
        <w:rPr>
          <w:rFonts w:ascii="Arial" w:hAnsi="Arial" w:cs="Arial"/>
          <w:sz w:val="22"/>
          <w:szCs w:val="22"/>
          <w:lang w:val="sr-Latn-ME"/>
        </w:rPr>
        <w:t xml:space="preserve"> EPPO</w:t>
      </w:r>
      <w:r w:rsidR="00C26CC5">
        <w:rPr>
          <w:rFonts w:ascii="Arial" w:hAnsi="Arial" w:cs="Arial"/>
          <w:sz w:val="22"/>
          <w:szCs w:val="22"/>
          <w:lang w:val="sr-Latn-ME"/>
        </w:rPr>
        <w:t>;</w:t>
      </w:r>
      <w:r w:rsidRPr="001302F9">
        <w:rPr>
          <w:rFonts w:ascii="Arial" w:hAnsi="Arial" w:cs="Arial"/>
          <w:sz w:val="22"/>
          <w:szCs w:val="22"/>
          <w:lang w:val="sr-Latn-ME"/>
        </w:rPr>
        <w:t xml:space="preserve"> službe Evropske komisije i Evropski revizorski sud.</w:t>
      </w:r>
    </w:p>
    <w:p w:rsidR="003E6985" w:rsidRDefault="000F471C" w:rsidP="003E6985">
      <w:pPr>
        <w:pStyle w:val="NormalWeb"/>
        <w:jc w:val="both"/>
        <w:rPr>
          <w:rFonts w:ascii="Arial" w:hAnsi="Arial" w:cs="Arial"/>
          <w:sz w:val="22"/>
          <w:szCs w:val="22"/>
          <w:lang w:val="sr-Latn-ME"/>
        </w:rPr>
      </w:pPr>
      <w:r w:rsidRPr="001302F9">
        <w:rPr>
          <w:rFonts w:ascii="Arial" w:hAnsi="Arial" w:cs="Arial"/>
          <w:sz w:val="22"/>
          <w:szCs w:val="22"/>
          <w:lang w:val="sr-Latn-ME"/>
        </w:rPr>
        <w:t>Za potrebe razvoja ove Strategije, sve zainteresovane strane su grupisane u dv</w:t>
      </w:r>
      <w:r w:rsidR="00C26CC5">
        <w:rPr>
          <w:rFonts w:ascii="Arial" w:hAnsi="Arial" w:cs="Arial"/>
          <w:sz w:val="22"/>
          <w:szCs w:val="22"/>
          <w:lang w:val="sr-Latn-ME"/>
        </w:rPr>
        <w:t>ij</w:t>
      </w:r>
      <w:r w:rsidRPr="001302F9">
        <w:rPr>
          <w:rFonts w:ascii="Arial" w:hAnsi="Arial" w:cs="Arial"/>
          <w:sz w:val="22"/>
          <w:szCs w:val="22"/>
          <w:lang w:val="sr-Latn-ME"/>
        </w:rPr>
        <w:t>e kategorije</w:t>
      </w:r>
      <w:r w:rsidR="00DB2E45">
        <w:rPr>
          <w:rFonts w:ascii="Arial" w:hAnsi="Arial" w:cs="Arial"/>
          <w:sz w:val="22"/>
          <w:szCs w:val="22"/>
          <w:lang w:val="sr-Latn-ME"/>
        </w:rPr>
        <w:t xml:space="preserve"> </w:t>
      </w:r>
      <w:r w:rsidRPr="001302F9">
        <w:rPr>
          <w:rFonts w:ascii="Arial" w:hAnsi="Arial" w:cs="Arial"/>
          <w:sz w:val="22"/>
          <w:szCs w:val="22"/>
          <w:lang w:val="sr-Latn-ME"/>
        </w:rPr>
        <w:t xml:space="preserve">– </w:t>
      </w:r>
      <w:r w:rsidR="00DB2E45">
        <w:rPr>
          <w:rFonts w:ascii="Arial" w:hAnsi="Arial" w:cs="Arial"/>
          <w:sz w:val="22"/>
          <w:szCs w:val="22"/>
          <w:lang w:val="sr-Latn-ME"/>
        </w:rPr>
        <w:t xml:space="preserve"> </w:t>
      </w:r>
      <w:r w:rsidR="008C4A74">
        <w:rPr>
          <w:rFonts w:ascii="Arial" w:hAnsi="Arial" w:cs="Arial"/>
          <w:sz w:val="22"/>
          <w:szCs w:val="22"/>
          <w:lang w:val="sr-Latn-ME"/>
        </w:rPr>
        <w:t xml:space="preserve">interni </w:t>
      </w:r>
      <w:r w:rsidRPr="001302F9">
        <w:rPr>
          <w:rFonts w:ascii="Arial" w:hAnsi="Arial" w:cs="Arial"/>
          <w:sz w:val="22"/>
          <w:szCs w:val="22"/>
          <w:lang w:val="sr-Latn-ME"/>
        </w:rPr>
        <w:t xml:space="preserve">subjekti i </w:t>
      </w:r>
      <w:r w:rsidR="008C4A74">
        <w:rPr>
          <w:rFonts w:ascii="Arial" w:hAnsi="Arial" w:cs="Arial"/>
          <w:sz w:val="22"/>
          <w:szCs w:val="22"/>
          <w:lang w:val="sr-Latn-ME"/>
        </w:rPr>
        <w:t>eksterni</w:t>
      </w:r>
      <w:r w:rsidRPr="001302F9">
        <w:rPr>
          <w:rFonts w:ascii="Arial" w:hAnsi="Arial" w:cs="Arial"/>
          <w:sz w:val="22"/>
          <w:szCs w:val="22"/>
          <w:lang w:val="sr-Latn-ME"/>
        </w:rPr>
        <w:t xml:space="preserve"> subjekti, </w:t>
      </w:r>
      <w:r w:rsidR="008C4A74">
        <w:rPr>
          <w:rFonts w:ascii="Arial" w:hAnsi="Arial" w:cs="Arial"/>
          <w:sz w:val="22"/>
          <w:szCs w:val="22"/>
          <w:lang w:val="sr-Latn-ME"/>
        </w:rPr>
        <w:t xml:space="preserve">a </w:t>
      </w:r>
      <w:r w:rsidRPr="001302F9">
        <w:rPr>
          <w:rFonts w:ascii="Arial" w:hAnsi="Arial" w:cs="Arial"/>
          <w:sz w:val="22"/>
          <w:szCs w:val="22"/>
          <w:lang w:val="sr-Latn-ME"/>
        </w:rPr>
        <w:t>što je prikazano u sljedećoj tabeli</w:t>
      </w:r>
      <w:r w:rsidR="008C4A74">
        <w:rPr>
          <w:rFonts w:ascii="Arial" w:hAnsi="Arial" w:cs="Arial"/>
          <w:sz w:val="22"/>
          <w:szCs w:val="22"/>
          <w:lang w:val="sr-Latn-ME"/>
        </w:rPr>
        <w:t>:</w:t>
      </w:r>
    </w:p>
    <w:p w:rsidR="000F471C" w:rsidRPr="003E6985" w:rsidRDefault="003E6985" w:rsidP="003E6985">
      <w:pPr>
        <w:pStyle w:val="NormalWeb"/>
        <w:jc w:val="both"/>
        <w:rPr>
          <w:rFonts w:ascii="Arial" w:hAnsi="Arial" w:cs="Arial"/>
          <w:sz w:val="22"/>
          <w:szCs w:val="22"/>
          <w:lang w:val="sr-Latn-ME"/>
        </w:rPr>
      </w:pPr>
      <w:r w:rsidRPr="003E6985">
        <w:rPr>
          <w:noProof/>
        </w:rPr>
        <w:drawing>
          <wp:inline distT="0" distB="0" distL="0" distR="0" wp14:anchorId="29D05724" wp14:editId="449BBC16">
            <wp:extent cx="5731510" cy="18630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1863090"/>
                    </a:xfrm>
                    <a:prstGeom prst="rect">
                      <a:avLst/>
                    </a:prstGeom>
                  </pic:spPr>
                </pic:pic>
              </a:graphicData>
            </a:graphic>
          </wp:inline>
        </w:drawing>
      </w:r>
      <w:r w:rsidR="00C91833" w:rsidRPr="00C91833">
        <w:t xml:space="preserve"> </w:t>
      </w:r>
    </w:p>
    <w:p w:rsidR="000F471C" w:rsidRPr="001302F9" w:rsidRDefault="00A330B0" w:rsidP="000F471C">
      <w:pPr>
        <w:pStyle w:val="NormalWeb"/>
        <w:jc w:val="both"/>
        <w:rPr>
          <w:rFonts w:ascii="Arial" w:hAnsi="Arial" w:cs="Arial"/>
          <w:sz w:val="22"/>
          <w:szCs w:val="22"/>
          <w:lang w:val="sr-Latn-ME"/>
        </w:rPr>
      </w:pPr>
      <w:r>
        <w:rPr>
          <w:rStyle w:val="Strong"/>
          <w:rFonts w:ascii="Arial" w:hAnsi="Arial" w:cs="Arial"/>
          <w:sz w:val="22"/>
          <w:szCs w:val="22"/>
          <w:lang w:val="sr-Latn-ME"/>
        </w:rPr>
        <w:t>Interni</w:t>
      </w:r>
      <w:r w:rsidR="000F471C" w:rsidRPr="001302F9">
        <w:rPr>
          <w:rStyle w:val="Strong"/>
          <w:rFonts w:ascii="Arial" w:hAnsi="Arial" w:cs="Arial"/>
          <w:sz w:val="22"/>
          <w:szCs w:val="22"/>
          <w:lang w:val="sr-Latn-ME"/>
        </w:rPr>
        <w:t xml:space="preserve"> subjekti</w:t>
      </w:r>
      <w:r w:rsidR="000F471C" w:rsidRPr="001302F9">
        <w:rPr>
          <w:rFonts w:ascii="Arial" w:hAnsi="Arial" w:cs="Arial"/>
          <w:sz w:val="22"/>
          <w:szCs w:val="22"/>
          <w:lang w:val="sr-Latn-ME"/>
        </w:rPr>
        <w:t xml:space="preserve"> su institucije i organizacije AFCOS sistema, </w:t>
      </w:r>
      <w:r>
        <w:rPr>
          <w:rFonts w:ascii="Arial" w:hAnsi="Arial" w:cs="Arial"/>
          <w:sz w:val="22"/>
          <w:szCs w:val="22"/>
          <w:lang w:val="sr-Latn-ME"/>
        </w:rPr>
        <w:t>koje su</w:t>
      </w:r>
      <w:r w:rsidR="000F471C" w:rsidRPr="001302F9">
        <w:rPr>
          <w:rFonts w:ascii="Arial" w:hAnsi="Arial" w:cs="Arial"/>
          <w:sz w:val="22"/>
          <w:szCs w:val="22"/>
          <w:lang w:val="sr-Latn-ME"/>
        </w:rPr>
        <w:t xml:space="preserve"> direktno uključen</w:t>
      </w:r>
      <w:r>
        <w:rPr>
          <w:rFonts w:ascii="Arial" w:hAnsi="Arial" w:cs="Arial"/>
          <w:sz w:val="22"/>
          <w:szCs w:val="22"/>
          <w:lang w:val="sr-Latn-ME"/>
        </w:rPr>
        <w:t>e</w:t>
      </w:r>
      <w:r w:rsidR="000F471C" w:rsidRPr="001302F9">
        <w:rPr>
          <w:rFonts w:ascii="Arial" w:hAnsi="Arial" w:cs="Arial"/>
          <w:sz w:val="22"/>
          <w:szCs w:val="22"/>
          <w:lang w:val="sr-Latn-ME"/>
        </w:rPr>
        <w:t xml:space="preserve"> u razvoj i implementaciju Strategije  i njenog Akcionog plana.</w:t>
      </w:r>
    </w:p>
    <w:p w:rsidR="000F471C" w:rsidRPr="001302F9" w:rsidRDefault="00A330B0" w:rsidP="000F471C">
      <w:pPr>
        <w:pStyle w:val="NormalWeb"/>
        <w:jc w:val="both"/>
        <w:rPr>
          <w:rFonts w:ascii="Arial" w:hAnsi="Arial" w:cs="Arial"/>
          <w:sz w:val="22"/>
          <w:szCs w:val="22"/>
          <w:lang w:val="sr-Latn-ME"/>
        </w:rPr>
      </w:pPr>
      <w:r>
        <w:rPr>
          <w:rStyle w:val="Strong"/>
          <w:rFonts w:ascii="Arial" w:hAnsi="Arial" w:cs="Arial"/>
          <w:sz w:val="22"/>
          <w:szCs w:val="22"/>
          <w:lang w:val="sr-Latn-ME"/>
        </w:rPr>
        <w:t>Eksterni</w:t>
      </w:r>
      <w:r w:rsidR="000F471C" w:rsidRPr="001302F9">
        <w:rPr>
          <w:rStyle w:val="Strong"/>
          <w:rFonts w:ascii="Arial" w:hAnsi="Arial" w:cs="Arial"/>
          <w:sz w:val="22"/>
          <w:szCs w:val="22"/>
          <w:lang w:val="sr-Latn-ME"/>
        </w:rPr>
        <w:t xml:space="preserve"> subjekti</w:t>
      </w:r>
      <w:r w:rsidR="000F471C" w:rsidRPr="001302F9">
        <w:rPr>
          <w:rFonts w:ascii="Arial" w:hAnsi="Arial" w:cs="Arial"/>
          <w:sz w:val="22"/>
          <w:szCs w:val="22"/>
          <w:lang w:val="sr-Latn-ME"/>
        </w:rPr>
        <w:t xml:space="preserve"> su </w:t>
      </w:r>
      <w:r w:rsidRPr="001302F9">
        <w:rPr>
          <w:rFonts w:ascii="Arial" w:hAnsi="Arial" w:cs="Arial"/>
          <w:sz w:val="22"/>
          <w:szCs w:val="22"/>
          <w:lang w:val="sr-Latn-ME"/>
        </w:rPr>
        <w:t xml:space="preserve">institucije i </w:t>
      </w:r>
      <w:r w:rsidR="000F471C" w:rsidRPr="001302F9">
        <w:rPr>
          <w:rFonts w:ascii="Arial" w:hAnsi="Arial" w:cs="Arial"/>
          <w:sz w:val="22"/>
          <w:szCs w:val="22"/>
          <w:lang w:val="sr-Latn-ME"/>
        </w:rPr>
        <w:t>organizacije kojima su t</w:t>
      </w:r>
      <w:r w:rsidR="00213EC0">
        <w:rPr>
          <w:rFonts w:ascii="Arial" w:hAnsi="Arial" w:cs="Arial"/>
          <w:sz w:val="22"/>
          <w:szCs w:val="22"/>
          <w:lang w:val="sr-Latn-ME"/>
        </w:rPr>
        <w:t>ij</w:t>
      </w:r>
      <w:r w:rsidR="000F471C" w:rsidRPr="001302F9">
        <w:rPr>
          <w:rFonts w:ascii="Arial" w:hAnsi="Arial" w:cs="Arial"/>
          <w:sz w:val="22"/>
          <w:szCs w:val="22"/>
          <w:lang w:val="sr-Latn-ME"/>
        </w:rPr>
        <w:t>ela AFCOS sistema na neki način odgovorna za zaštitu finansijskih interesa EU.</w:t>
      </w:r>
    </w:p>
    <w:p w:rsidR="000F471C" w:rsidRPr="001302F9" w:rsidRDefault="000F471C" w:rsidP="000F471C">
      <w:pPr>
        <w:pStyle w:val="NormalWeb"/>
        <w:jc w:val="both"/>
        <w:rPr>
          <w:rFonts w:ascii="Arial" w:hAnsi="Arial" w:cs="Arial"/>
          <w:sz w:val="22"/>
          <w:szCs w:val="22"/>
          <w:lang w:val="sr-Latn-ME"/>
        </w:rPr>
      </w:pPr>
      <w:r w:rsidRPr="001302F9">
        <w:rPr>
          <w:rFonts w:ascii="Arial" w:hAnsi="Arial" w:cs="Arial"/>
          <w:sz w:val="22"/>
          <w:szCs w:val="22"/>
          <w:lang w:val="sr-Latn-ME"/>
        </w:rPr>
        <w:t>Izvođači</w:t>
      </w:r>
      <w:r w:rsidR="007D4E1A">
        <w:rPr>
          <w:rFonts w:ascii="Arial" w:hAnsi="Arial" w:cs="Arial"/>
          <w:sz w:val="22"/>
          <w:szCs w:val="22"/>
          <w:lang w:val="sr-Latn-ME"/>
        </w:rPr>
        <w:t>,</w:t>
      </w:r>
      <w:r w:rsidRPr="001302F9">
        <w:rPr>
          <w:rFonts w:ascii="Arial" w:hAnsi="Arial" w:cs="Arial"/>
          <w:sz w:val="22"/>
          <w:szCs w:val="22"/>
          <w:lang w:val="sr-Latn-ME"/>
        </w:rPr>
        <w:t xml:space="preserve"> korisnici </w:t>
      </w:r>
      <w:r w:rsidR="007D4E1A" w:rsidRPr="001302F9">
        <w:rPr>
          <w:rFonts w:ascii="Arial" w:hAnsi="Arial" w:cs="Arial"/>
          <w:sz w:val="22"/>
          <w:szCs w:val="22"/>
          <w:lang w:val="sr-Latn-ME"/>
        </w:rPr>
        <w:t xml:space="preserve">projekata finansiranih </w:t>
      </w:r>
      <w:r w:rsidRPr="001302F9">
        <w:rPr>
          <w:rFonts w:ascii="Arial" w:hAnsi="Arial" w:cs="Arial"/>
          <w:sz w:val="22"/>
          <w:szCs w:val="22"/>
          <w:lang w:val="sr-Latn-ME"/>
        </w:rPr>
        <w:t>EU</w:t>
      </w:r>
      <w:r w:rsidR="007D4E1A" w:rsidRPr="007D4E1A">
        <w:rPr>
          <w:rFonts w:ascii="Arial" w:hAnsi="Arial" w:cs="Arial"/>
          <w:sz w:val="22"/>
          <w:szCs w:val="22"/>
          <w:lang w:val="sr-Latn-ME"/>
        </w:rPr>
        <w:t xml:space="preserve"> </w:t>
      </w:r>
      <w:r w:rsidR="007D4E1A">
        <w:rPr>
          <w:rFonts w:ascii="Arial" w:hAnsi="Arial" w:cs="Arial"/>
          <w:sz w:val="22"/>
          <w:szCs w:val="22"/>
          <w:lang w:val="sr-Latn-ME"/>
        </w:rPr>
        <w:t>sredstvima</w:t>
      </w:r>
      <w:r w:rsidRPr="001302F9">
        <w:rPr>
          <w:rFonts w:ascii="Arial" w:hAnsi="Arial" w:cs="Arial"/>
          <w:sz w:val="22"/>
          <w:szCs w:val="22"/>
          <w:lang w:val="sr-Latn-ME"/>
        </w:rPr>
        <w:t xml:space="preserve">, poreski obveznici EU i Crne Gore, kao i crnogorsko društvo uopšte, nisu smatrani zainteresovanim stranama u odnosu na Strategiju, jer nisu direktno odgovorni </w:t>
      </w:r>
      <w:r w:rsidR="007D4E1A">
        <w:rPr>
          <w:rFonts w:ascii="Arial" w:hAnsi="Arial" w:cs="Arial"/>
          <w:sz w:val="22"/>
          <w:szCs w:val="22"/>
          <w:lang w:val="sr-Latn-ME"/>
        </w:rPr>
        <w:t>za njenu implementaciju i</w:t>
      </w:r>
      <w:r w:rsidRPr="001302F9">
        <w:rPr>
          <w:rFonts w:ascii="Arial" w:hAnsi="Arial" w:cs="Arial"/>
          <w:sz w:val="22"/>
          <w:szCs w:val="22"/>
          <w:lang w:val="sr-Latn-ME"/>
        </w:rPr>
        <w:t xml:space="preserve"> ispunjavanj</w:t>
      </w:r>
      <w:r w:rsidR="007D4E1A">
        <w:rPr>
          <w:rFonts w:ascii="Arial" w:hAnsi="Arial" w:cs="Arial"/>
          <w:sz w:val="22"/>
          <w:szCs w:val="22"/>
          <w:lang w:val="sr-Latn-ME"/>
        </w:rPr>
        <w:t>e</w:t>
      </w:r>
      <w:r w:rsidRPr="001302F9">
        <w:rPr>
          <w:rFonts w:ascii="Arial" w:hAnsi="Arial" w:cs="Arial"/>
          <w:sz w:val="22"/>
          <w:szCs w:val="22"/>
          <w:lang w:val="sr-Latn-ME"/>
        </w:rPr>
        <w:t xml:space="preserve"> zadataka iz</w:t>
      </w:r>
      <w:r w:rsidR="007D4E1A">
        <w:rPr>
          <w:rFonts w:ascii="Arial" w:hAnsi="Arial" w:cs="Arial"/>
          <w:sz w:val="22"/>
          <w:szCs w:val="22"/>
          <w:lang w:val="sr-Latn-ME"/>
        </w:rPr>
        <w:t xml:space="preserve"> </w:t>
      </w:r>
      <w:r w:rsidRPr="001302F9">
        <w:rPr>
          <w:rFonts w:ascii="Arial" w:hAnsi="Arial" w:cs="Arial"/>
          <w:sz w:val="22"/>
          <w:szCs w:val="22"/>
          <w:lang w:val="sr-Latn-ME"/>
        </w:rPr>
        <w:t>njenog Akcionog plana.</w:t>
      </w:r>
    </w:p>
    <w:p w:rsidR="000F471C" w:rsidRPr="001302F9" w:rsidRDefault="000F471C" w:rsidP="000F471C">
      <w:pPr>
        <w:rPr>
          <w:rFonts w:ascii="Arial" w:hAnsi="Arial" w:cs="Arial"/>
          <w:lang w:val="sr-Latn-ME"/>
        </w:rPr>
      </w:pPr>
      <w:r w:rsidRPr="001302F9">
        <w:rPr>
          <w:rFonts w:ascii="Arial" w:hAnsi="Arial" w:cs="Arial"/>
          <w:b/>
          <w:bCs/>
          <w:lang w:val="sr-Latn-ME"/>
        </w:rPr>
        <w:t>2.5.2. Mapa zainteresovanih strana</w:t>
      </w:r>
    </w:p>
    <w:p w:rsidR="000F471C" w:rsidRPr="001302F9" w:rsidRDefault="000F471C" w:rsidP="00346C60">
      <w:pPr>
        <w:jc w:val="both"/>
        <w:rPr>
          <w:rFonts w:ascii="Arial" w:hAnsi="Arial" w:cs="Arial"/>
          <w:lang w:val="sr-Latn-ME"/>
        </w:rPr>
      </w:pPr>
      <w:r w:rsidRPr="001302F9">
        <w:rPr>
          <w:rFonts w:ascii="Arial" w:hAnsi="Arial" w:cs="Arial"/>
          <w:lang w:val="sr-Latn-ME"/>
        </w:rPr>
        <w:t xml:space="preserve">U ovom </w:t>
      </w:r>
      <w:r w:rsidR="00503B80">
        <w:rPr>
          <w:rFonts w:ascii="Arial" w:hAnsi="Arial" w:cs="Arial"/>
          <w:lang w:val="sr-Latn-ME"/>
        </w:rPr>
        <w:t>poglavlju</w:t>
      </w:r>
      <w:r w:rsidRPr="001302F9">
        <w:rPr>
          <w:rFonts w:ascii="Arial" w:hAnsi="Arial" w:cs="Arial"/>
          <w:lang w:val="sr-Latn-ME"/>
        </w:rPr>
        <w:t xml:space="preserve"> izvršena je procjena svih identifikovanih zainteresovanih strana. Prvo je sprovedena procjena</w:t>
      </w:r>
      <w:r w:rsidR="00346C60">
        <w:rPr>
          <w:rFonts w:ascii="Arial" w:hAnsi="Arial" w:cs="Arial"/>
          <w:lang w:val="sr-Latn-ME"/>
        </w:rPr>
        <w:t xml:space="preserve">, </w:t>
      </w:r>
      <w:r w:rsidRPr="001302F9">
        <w:rPr>
          <w:rFonts w:ascii="Arial" w:hAnsi="Arial" w:cs="Arial"/>
          <w:lang w:val="sr-Latn-ME"/>
        </w:rPr>
        <w:t>kako bi se odredio nivo interesa i potencijalnog uticaja svake zainteresovane strane. Ocjena je data na skali od 1 do 5, gde je 1 najniža, a 5 najviša oc</w:t>
      </w:r>
      <w:r w:rsidR="00346C60">
        <w:rPr>
          <w:rFonts w:ascii="Arial" w:hAnsi="Arial" w:cs="Arial"/>
          <w:lang w:val="sr-Latn-ME"/>
        </w:rPr>
        <w:t>j</w:t>
      </w:r>
      <w:r w:rsidRPr="001302F9">
        <w:rPr>
          <w:rFonts w:ascii="Arial" w:hAnsi="Arial" w:cs="Arial"/>
          <w:lang w:val="sr-Latn-ME"/>
        </w:rPr>
        <w:t>ena, kao što je prikazano u sljedećoj tabeli.</w:t>
      </w:r>
    </w:p>
    <w:tbl>
      <w:tblPr>
        <w:tblpPr w:leftFromText="180" w:rightFromText="180" w:vertAnchor="text" w:tblpX="-10" w:tblpY="1"/>
        <w:tblOverlap w:val="never"/>
        <w:tblW w:w="9445" w:type="dxa"/>
        <w:tblCellSpacing w:w="15" w:type="dxa"/>
        <w:tblCellMar>
          <w:top w:w="15" w:type="dxa"/>
          <w:left w:w="15" w:type="dxa"/>
          <w:bottom w:w="15" w:type="dxa"/>
          <w:right w:w="15" w:type="dxa"/>
        </w:tblCellMar>
        <w:tblLook w:val="04A0" w:firstRow="1" w:lastRow="0" w:firstColumn="1" w:lastColumn="0" w:noHBand="0" w:noVBand="1"/>
      </w:tblPr>
      <w:tblGrid>
        <w:gridCol w:w="3259"/>
        <w:gridCol w:w="4613"/>
        <w:gridCol w:w="830"/>
        <w:gridCol w:w="743"/>
      </w:tblGrid>
      <w:tr w:rsidR="000F471C" w:rsidRPr="001302F9" w:rsidTr="00CB5F79">
        <w:trPr>
          <w:tblHeader/>
          <w:tblCellSpacing w:w="15" w:type="dxa"/>
        </w:trPr>
        <w:tc>
          <w:tcPr>
            <w:tcW w:w="3214" w:type="dxa"/>
            <w:tcBorders>
              <w:top w:val="single" w:sz="4" w:space="0" w:color="auto"/>
              <w:left w:val="single" w:sz="4" w:space="0" w:color="auto"/>
              <w:bottom w:val="single" w:sz="4" w:space="0" w:color="auto"/>
            </w:tcBorders>
            <w:shd w:val="clear" w:color="auto" w:fill="DEEAF6" w:themeFill="accent1" w:themeFillTint="33"/>
            <w:vAlign w:val="center"/>
            <w:hideMark/>
          </w:tcPr>
          <w:p w:rsidR="000F471C" w:rsidRPr="001302F9" w:rsidRDefault="000F471C" w:rsidP="00CB5F79">
            <w:pPr>
              <w:rPr>
                <w:rFonts w:ascii="Arial" w:hAnsi="Arial" w:cs="Arial"/>
                <w:b/>
                <w:bCs/>
                <w:color w:val="1F4E79" w:themeColor="accent1" w:themeShade="80"/>
                <w:lang w:val="sr-Latn-ME"/>
              </w:rPr>
            </w:pPr>
            <w:r w:rsidRPr="001302F9">
              <w:rPr>
                <w:rFonts w:ascii="Arial" w:hAnsi="Arial" w:cs="Arial"/>
                <w:b/>
                <w:bCs/>
                <w:color w:val="1F4E79" w:themeColor="accent1" w:themeShade="80"/>
                <w:lang w:val="sr-Latn-ME"/>
              </w:rPr>
              <w:t>Zainteresovana strana</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F471C" w:rsidRPr="001302F9" w:rsidRDefault="000F471C" w:rsidP="00CB5F79">
            <w:pPr>
              <w:rPr>
                <w:rFonts w:ascii="Arial" w:hAnsi="Arial" w:cs="Arial"/>
                <w:b/>
                <w:bCs/>
                <w:color w:val="1F4E79" w:themeColor="accent1" w:themeShade="80"/>
                <w:lang w:val="sr-Latn-ME"/>
              </w:rPr>
            </w:pPr>
            <w:r w:rsidRPr="001302F9">
              <w:rPr>
                <w:rFonts w:ascii="Arial" w:hAnsi="Arial" w:cs="Arial"/>
                <w:b/>
                <w:bCs/>
                <w:color w:val="1F4E79" w:themeColor="accent1" w:themeShade="80"/>
                <w:lang w:val="sr-Latn-ME"/>
              </w:rPr>
              <w:t>Veza sa strate</w:t>
            </w:r>
            <w:r w:rsidR="00346C60">
              <w:rPr>
                <w:rFonts w:ascii="Arial" w:hAnsi="Arial" w:cs="Arial"/>
                <w:b/>
                <w:bCs/>
                <w:color w:val="1F4E79" w:themeColor="accent1" w:themeShade="80"/>
                <w:lang w:val="sr-Latn-ME"/>
              </w:rPr>
              <w:t>škim</w:t>
            </w:r>
            <w:r w:rsidRPr="001302F9">
              <w:rPr>
                <w:rFonts w:ascii="Arial" w:hAnsi="Arial" w:cs="Arial"/>
                <w:b/>
                <w:bCs/>
                <w:color w:val="1F4E79" w:themeColor="accent1" w:themeShade="80"/>
                <w:lang w:val="sr-Latn-ME"/>
              </w:rPr>
              <w:t xml:space="preserve"> dokumentom</w:t>
            </w:r>
          </w:p>
        </w:tc>
        <w:tc>
          <w:tcPr>
            <w:tcW w:w="0" w:type="auto"/>
            <w:tcBorders>
              <w:top w:val="single" w:sz="4" w:space="0" w:color="auto"/>
              <w:bottom w:val="single" w:sz="4" w:space="0" w:color="auto"/>
            </w:tcBorders>
            <w:shd w:val="clear" w:color="auto" w:fill="DEEAF6" w:themeFill="accent1" w:themeFillTint="33"/>
            <w:vAlign w:val="center"/>
            <w:hideMark/>
          </w:tcPr>
          <w:p w:rsidR="000F471C" w:rsidRPr="001302F9" w:rsidRDefault="000F471C" w:rsidP="00CB5F79">
            <w:pPr>
              <w:rPr>
                <w:rFonts w:ascii="Arial" w:hAnsi="Arial" w:cs="Arial"/>
                <w:b/>
                <w:bCs/>
                <w:color w:val="1F4E79" w:themeColor="accent1" w:themeShade="80"/>
                <w:lang w:val="sr-Latn-ME"/>
              </w:rPr>
            </w:pPr>
            <w:r w:rsidRPr="001302F9">
              <w:rPr>
                <w:rFonts w:ascii="Arial" w:hAnsi="Arial" w:cs="Arial"/>
                <w:b/>
                <w:bCs/>
                <w:color w:val="1F4E79" w:themeColor="accent1" w:themeShade="80"/>
                <w:lang w:val="sr-Latn-ME"/>
              </w:rPr>
              <w:t>Interes (1-5)</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F471C" w:rsidRPr="001302F9" w:rsidRDefault="000F471C" w:rsidP="00CB5F79">
            <w:pPr>
              <w:rPr>
                <w:rFonts w:ascii="Arial" w:hAnsi="Arial" w:cs="Arial"/>
                <w:b/>
                <w:bCs/>
                <w:color w:val="1F4E79" w:themeColor="accent1" w:themeShade="80"/>
                <w:lang w:val="sr-Latn-ME"/>
              </w:rPr>
            </w:pPr>
            <w:r w:rsidRPr="001302F9">
              <w:rPr>
                <w:rFonts w:ascii="Arial" w:hAnsi="Arial" w:cs="Arial"/>
                <w:b/>
                <w:bCs/>
                <w:color w:val="1F4E79" w:themeColor="accent1" w:themeShade="80"/>
                <w:lang w:val="sr-Latn-ME"/>
              </w:rPr>
              <w:t>Uticaj (1-5)</w:t>
            </w:r>
          </w:p>
        </w:tc>
      </w:tr>
      <w:tr w:rsidR="000F471C" w:rsidRPr="001302F9" w:rsidTr="00CB5F79">
        <w:trPr>
          <w:tblCellSpacing w:w="15" w:type="dxa"/>
        </w:trPr>
        <w:tc>
          <w:tcPr>
            <w:tcW w:w="3214" w:type="dxa"/>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Direkcija za zaštitu finansijskih interesa EU/AFCOS</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Koordinacija razvoja i implementacije Strategije u Crnoj Gori</w:t>
            </w:r>
          </w:p>
        </w:tc>
        <w:tc>
          <w:tcPr>
            <w:tcW w:w="0" w:type="auto"/>
            <w:tcBorders>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5</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r>
      <w:tr w:rsidR="000F471C" w:rsidRPr="001302F9" w:rsidTr="00CB5F79">
        <w:trPr>
          <w:tblCellSpacing w:w="15" w:type="dxa"/>
        </w:trPr>
        <w:tc>
          <w:tcPr>
            <w:tcW w:w="3214" w:type="dxa"/>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EU Delegacija</w:t>
            </w:r>
            <w:r w:rsidRPr="001302F9">
              <w:rPr>
                <w:rFonts w:ascii="Arial" w:hAnsi="Arial" w:cs="Arial"/>
                <w:color w:val="1F4E79" w:themeColor="accent1" w:themeShade="80"/>
                <w:lang w:val="sr-Latn-ME"/>
              </w:rPr>
              <w:t xml:space="preserve"> - Delegacija Evropske unije u Crnoj Gori</w:t>
            </w:r>
          </w:p>
        </w:tc>
        <w:tc>
          <w:tcPr>
            <w:tcW w:w="0" w:type="auto"/>
            <w:tcBorders>
              <w:top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Nadzor i upravljanje EU fondovima (IPA ) u Crnoj Gori, sa stavom o nultoj toleranciji prema prevarama</w:t>
            </w:r>
          </w:p>
        </w:tc>
        <w:tc>
          <w:tcPr>
            <w:tcW w:w="0" w:type="auto"/>
            <w:tcBorders>
              <w:top w:val="single" w:sz="4" w:space="0" w:color="auto"/>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r>
      <w:tr w:rsidR="000F471C" w:rsidRPr="0050642E" w:rsidTr="00CB5F79">
        <w:trPr>
          <w:tblCellSpacing w:w="15" w:type="dxa"/>
        </w:trPr>
        <w:tc>
          <w:tcPr>
            <w:tcW w:w="3214" w:type="dxa"/>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IPA II / IPA III Strukture</w:t>
            </w:r>
            <w:r w:rsidRPr="001302F9">
              <w:rPr>
                <w:rFonts w:ascii="Arial" w:hAnsi="Arial" w:cs="Arial"/>
                <w:color w:val="1F4E79" w:themeColor="accent1" w:themeShade="80"/>
                <w:lang w:val="sr-Latn-ME"/>
              </w:rPr>
              <w:t>:</w:t>
            </w:r>
          </w:p>
        </w:tc>
        <w:tc>
          <w:tcPr>
            <w:tcW w:w="0" w:type="auto"/>
            <w:tcBorders>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p>
        </w:tc>
      </w:tr>
      <w:tr w:rsidR="000F471C" w:rsidRPr="001302F9" w:rsidTr="00CB5F79">
        <w:trPr>
          <w:tblCellSpacing w:w="15" w:type="dxa"/>
        </w:trPr>
        <w:tc>
          <w:tcPr>
            <w:tcW w:w="3214" w:type="dxa"/>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NIPAC</w:t>
            </w:r>
            <w:r w:rsidRPr="001302F9">
              <w:rPr>
                <w:rFonts w:ascii="Arial" w:hAnsi="Arial" w:cs="Arial"/>
                <w:color w:val="1F4E79" w:themeColor="accent1" w:themeShade="80"/>
                <w:lang w:val="sr-Latn-ME"/>
              </w:rPr>
              <w:t xml:space="preserve"> - Nacionalni IPA Koordinator</w:t>
            </w:r>
          </w:p>
        </w:tc>
        <w:tc>
          <w:tcPr>
            <w:tcW w:w="0" w:type="auto"/>
            <w:tcBorders>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Odgovoran za cjelokupno strateško planiranje, koordinaciju programiranja, praćenje implementacije, evaluaciju i izv</w:t>
            </w:r>
            <w:r w:rsidR="00032D9C">
              <w:rPr>
                <w:rFonts w:ascii="Arial" w:hAnsi="Arial" w:cs="Arial"/>
                <w:color w:val="1F4E79" w:themeColor="accent1" w:themeShade="80"/>
                <w:lang w:val="sr-Latn-ME"/>
              </w:rPr>
              <w:t>j</w:t>
            </w:r>
            <w:r w:rsidRPr="001302F9">
              <w:rPr>
                <w:rFonts w:ascii="Arial" w:hAnsi="Arial" w:cs="Arial"/>
                <w:color w:val="1F4E79" w:themeColor="accent1" w:themeShade="80"/>
                <w:lang w:val="sr-Latn-ME"/>
              </w:rPr>
              <w:t>eštavanje o IPA pomoći i saradnji sa Evropskom komisijom u vezi sa korišćenjem EU fondova</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3</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r>
      <w:tr w:rsidR="000F471C" w:rsidRPr="001302F9" w:rsidTr="00CB5F79">
        <w:trPr>
          <w:tblCellSpacing w:w="15" w:type="dxa"/>
        </w:trPr>
        <w:tc>
          <w:tcPr>
            <w:tcW w:w="3214" w:type="dxa"/>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NAO</w:t>
            </w:r>
            <w:r w:rsidRPr="001302F9">
              <w:rPr>
                <w:rFonts w:ascii="Arial" w:hAnsi="Arial" w:cs="Arial"/>
                <w:color w:val="1F4E79" w:themeColor="accent1" w:themeShade="80"/>
                <w:lang w:val="sr-Latn-ME"/>
              </w:rPr>
              <w:t xml:space="preserve"> – Nacionalni službenik za ovjeravanje</w:t>
            </w:r>
          </w:p>
        </w:tc>
        <w:tc>
          <w:tcPr>
            <w:tcW w:w="0" w:type="auto"/>
            <w:tcBorders>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Odgovoran za upravljanje IPA računima i finansijskim transakcijama i efikasno funkcionisanje sistema unutrašnje kontrole</w:t>
            </w:r>
            <w:r w:rsidR="00E273C6">
              <w:rPr>
                <w:rFonts w:ascii="Arial" w:hAnsi="Arial" w:cs="Arial"/>
                <w:color w:val="1F4E79" w:themeColor="accent1" w:themeShade="80"/>
                <w:lang w:val="sr-Latn-ME"/>
              </w:rPr>
              <w:t>:</w:t>
            </w:r>
            <w:r w:rsidRPr="001302F9">
              <w:rPr>
                <w:rFonts w:ascii="Arial" w:hAnsi="Arial" w:cs="Arial"/>
                <w:color w:val="1F4E79" w:themeColor="accent1" w:themeShade="80"/>
                <w:lang w:val="sr-Latn-ME"/>
              </w:rPr>
              <w:t xml:space="preserve"> </w:t>
            </w:r>
            <w:r w:rsidR="00E273C6">
              <w:rPr>
                <w:rFonts w:ascii="Arial" w:hAnsi="Arial" w:cs="Arial"/>
                <w:color w:val="1F4E79" w:themeColor="accent1" w:themeShade="80"/>
                <w:lang w:val="sr-Latn-ME"/>
              </w:rPr>
              <w:t>p</w:t>
            </w:r>
            <w:r w:rsidRPr="001302F9">
              <w:rPr>
                <w:rFonts w:ascii="Arial" w:hAnsi="Arial" w:cs="Arial"/>
                <w:color w:val="1F4E79" w:themeColor="accent1" w:themeShade="80"/>
                <w:lang w:val="sr-Latn-ME"/>
              </w:rPr>
              <w:t>rijem, kontrolisanje i konsolidacij</w:t>
            </w:r>
            <w:r w:rsidR="00E273C6">
              <w:rPr>
                <w:rFonts w:ascii="Arial" w:hAnsi="Arial" w:cs="Arial"/>
                <w:color w:val="1F4E79" w:themeColor="accent1" w:themeShade="80"/>
                <w:lang w:val="sr-Latn-ME"/>
              </w:rPr>
              <w:t>u</w:t>
            </w:r>
            <w:r w:rsidRPr="001302F9">
              <w:rPr>
                <w:rFonts w:ascii="Arial" w:hAnsi="Arial" w:cs="Arial"/>
                <w:color w:val="1F4E79" w:themeColor="accent1" w:themeShade="80"/>
                <w:lang w:val="sr-Latn-ME"/>
              </w:rPr>
              <w:t xml:space="preserve"> izv</w:t>
            </w:r>
            <w:r w:rsidR="00E273C6">
              <w:rPr>
                <w:rFonts w:ascii="Arial" w:hAnsi="Arial" w:cs="Arial"/>
                <w:color w:val="1F4E79" w:themeColor="accent1" w:themeShade="80"/>
                <w:lang w:val="sr-Latn-ME"/>
              </w:rPr>
              <w:t>j</w:t>
            </w:r>
            <w:r w:rsidRPr="001302F9">
              <w:rPr>
                <w:rFonts w:ascii="Arial" w:hAnsi="Arial" w:cs="Arial"/>
                <w:color w:val="1F4E79" w:themeColor="accent1" w:themeShade="80"/>
                <w:lang w:val="sr-Latn-ME"/>
              </w:rPr>
              <w:t>eštaja o nepravilnostima u upravljanju i korišćenju EU fondova</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r>
      <w:tr w:rsidR="000F471C" w:rsidRPr="001302F9" w:rsidTr="00CB5F79">
        <w:trPr>
          <w:tblCellSpacing w:w="15" w:type="dxa"/>
        </w:trPr>
        <w:tc>
          <w:tcPr>
            <w:tcW w:w="3214" w:type="dxa"/>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Struktura za upravljanje</w:t>
            </w:r>
            <w:r w:rsidRPr="001302F9">
              <w:rPr>
                <w:rFonts w:ascii="Arial" w:hAnsi="Arial" w:cs="Arial"/>
                <w:color w:val="1F4E79" w:themeColor="accent1" w:themeShade="80"/>
                <w:lang w:val="sr-Latn-ME"/>
              </w:rPr>
              <w:t xml:space="preserve"> (uključujući NAO i Direkcij</w:t>
            </w:r>
            <w:r w:rsidR="00E273C6">
              <w:rPr>
                <w:rFonts w:ascii="Arial" w:hAnsi="Arial" w:cs="Arial"/>
                <w:color w:val="1F4E79" w:themeColor="accent1" w:themeShade="80"/>
                <w:lang w:val="sr-Latn-ME"/>
              </w:rPr>
              <w:t>u</w:t>
            </w:r>
            <w:r w:rsidRPr="001302F9">
              <w:rPr>
                <w:rFonts w:ascii="Arial" w:hAnsi="Arial" w:cs="Arial"/>
                <w:color w:val="1F4E79" w:themeColor="accent1" w:themeShade="80"/>
                <w:lang w:val="sr-Latn-ME"/>
              </w:rPr>
              <w:t xml:space="preserve"> za nacionalni fond i upravljanje računima)</w:t>
            </w:r>
          </w:p>
        </w:tc>
        <w:tc>
          <w:tcPr>
            <w:tcW w:w="0" w:type="auto"/>
            <w:tcBorders>
              <w:bottom w:val="single" w:sz="4" w:space="0" w:color="auto"/>
            </w:tcBorders>
            <w:vAlign w:val="center"/>
            <w:hideMark/>
          </w:tcPr>
          <w:p w:rsidR="000F471C" w:rsidRPr="001302F9" w:rsidRDefault="00E273C6" w:rsidP="00CB5F79">
            <w:pPr>
              <w:rPr>
                <w:rFonts w:ascii="Arial" w:hAnsi="Arial" w:cs="Arial"/>
                <w:color w:val="1F4E79" w:themeColor="accent1" w:themeShade="80"/>
                <w:lang w:val="sr-Latn-ME"/>
              </w:rPr>
            </w:pPr>
            <w:r>
              <w:rPr>
                <w:rFonts w:ascii="Arial" w:hAnsi="Arial" w:cs="Arial"/>
                <w:color w:val="1F4E79" w:themeColor="accent1" w:themeShade="80"/>
                <w:lang w:val="sr-Latn-ME"/>
              </w:rPr>
              <w:t>Us</w:t>
            </w:r>
            <w:r w:rsidR="000F471C" w:rsidRPr="001302F9">
              <w:rPr>
                <w:rFonts w:ascii="Arial" w:hAnsi="Arial" w:cs="Arial"/>
                <w:color w:val="1F4E79" w:themeColor="accent1" w:themeShade="80"/>
                <w:lang w:val="sr-Latn-ME"/>
              </w:rPr>
              <w:t>ostavljanje sistema unutrašnje kontrole za IPA fondove, razvoj unutrašnjih procedura i distribuciju informacija, definisanje zahtjeva za izvještavanje o nepravilnostima i sumnjama na prevaru</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r>
      <w:tr w:rsidR="000F471C" w:rsidRPr="001302F9" w:rsidTr="00CB5F79">
        <w:trPr>
          <w:tblCellSpacing w:w="15" w:type="dxa"/>
        </w:trPr>
        <w:tc>
          <w:tcPr>
            <w:tcW w:w="3214" w:type="dxa"/>
            <w:tcBorders>
              <w:top w:val="single" w:sz="4" w:space="0" w:color="auto"/>
              <w:left w:val="single" w:sz="4" w:space="0" w:color="auto"/>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Posrednička tijela za finansijsko ili političko upravljanje za IPA III</w:t>
            </w:r>
          </w:p>
        </w:tc>
        <w:tc>
          <w:tcPr>
            <w:tcW w:w="0" w:type="auto"/>
            <w:tcBorders>
              <w:top w:val="single" w:sz="4" w:space="0" w:color="auto"/>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 xml:space="preserve">Kontrola pravilne upotrebe EU fondova vršenjem provjera i kontrola na nivou izvođača/korisnika grantova, uključujući </w:t>
            </w:r>
            <w:r w:rsidR="00E273C6">
              <w:rPr>
                <w:rFonts w:ascii="Arial" w:hAnsi="Arial" w:cs="Arial"/>
                <w:color w:val="1F4E79" w:themeColor="accent1" w:themeShade="80"/>
                <w:lang w:val="sr-Latn-ME"/>
              </w:rPr>
              <w:t>kontrole</w:t>
            </w:r>
            <w:r w:rsidRPr="001302F9">
              <w:rPr>
                <w:rFonts w:ascii="Arial" w:hAnsi="Arial" w:cs="Arial"/>
                <w:color w:val="1F4E79" w:themeColor="accent1" w:themeShade="80"/>
                <w:lang w:val="sr-Latn-ME"/>
              </w:rPr>
              <w:t xml:space="preserve"> na licu mjesta, identifikovanje neopravdanih izdataka </w:t>
            </w:r>
            <w:r w:rsidR="00E273C6">
              <w:rPr>
                <w:rFonts w:ascii="Arial" w:hAnsi="Arial" w:cs="Arial"/>
                <w:color w:val="1F4E79" w:themeColor="accent1" w:themeShade="80"/>
                <w:lang w:val="sr-Latn-ME"/>
              </w:rPr>
              <w:t>i/</w:t>
            </w:r>
            <w:r w:rsidRPr="001302F9">
              <w:rPr>
                <w:rFonts w:ascii="Arial" w:hAnsi="Arial" w:cs="Arial"/>
                <w:color w:val="1F4E79" w:themeColor="accent1" w:themeShade="80"/>
                <w:lang w:val="sr-Latn-ME"/>
              </w:rPr>
              <w:t>ili prevarnih radnji</w:t>
            </w:r>
          </w:p>
        </w:tc>
        <w:tc>
          <w:tcPr>
            <w:tcW w:w="0" w:type="auto"/>
            <w:tcBorders>
              <w:top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5</w:t>
            </w:r>
          </w:p>
        </w:tc>
        <w:tc>
          <w:tcPr>
            <w:tcW w:w="0" w:type="auto"/>
            <w:tcBorders>
              <w:top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r>
      <w:tr w:rsidR="000F471C" w:rsidRPr="001302F9" w:rsidTr="00CB5F79">
        <w:trPr>
          <w:tblCellSpacing w:w="15" w:type="dxa"/>
        </w:trPr>
        <w:tc>
          <w:tcPr>
            <w:tcW w:w="3214" w:type="dxa"/>
            <w:tcBorders>
              <w:lef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Interna revizija EU fondova u javnom sektoru</w:t>
            </w:r>
          </w:p>
        </w:tc>
        <w:tc>
          <w:tcPr>
            <w:tcW w:w="0" w:type="auto"/>
            <w:tcBorders>
              <w:left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Centralizovana jedinica za internu reviziju unutar Ministarstva finansija koja obavlja revizije EU fondov</w:t>
            </w:r>
            <w:r w:rsidR="00E273C6">
              <w:rPr>
                <w:rFonts w:ascii="Arial" w:hAnsi="Arial" w:cs="Arial"/>
                <w:color w:val="1F4E79" w:themeColor="accent1" w:themeShade="80"/>
                <w:lang w:val="sr-Latn-ME"/>
              </w:rPr>
              <w:t>a</w:t>
            </w:r>
          </w:p>
        </w:tc>
        <w:tc>
          <w:tcPr>
            <w:tcW w:w="0" w:type="auto"/>
            <w:tcBorders>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c>
          <w:tcPr>
            <w:tcW w:w="0" w:type="auto"/>
            <w:tcBorders>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r>
      <w:tr w:rsidR="000F471C" w:rsidRPr="001302F9" w:rsidTr="00CB5F79">
        <w:trPr>
          <w:tblCellSpacing w:w="15" w:type="dxa"/>
        </w:trPr>
        <w:tc>
          <w:tcPr>
            <w:tcW w:w="3214" w:type="dxa"/>
            <w:tcBorders>
              <w:top w:val="single" w:sz="4" w:space="0" w:color="auto"/>
              <w:left w:val="single" w:sz="4" w:space="0" w:color="auto"/>
              <w:bottom w:val="single" w:sz="4" w:space="0" w:color="auto"/>
            </w:tcBorders>
            <w:vAlign w:val="center"/>
            <w:hideMark/>
          </w:tcPr>
          <w:p w:rsidR="000F471C" w:rsidRPr="001302F9" w:rsidRDefault="00A76A38" w:rsidP="00CB5F79">
            <w:pPr>
              <w:rPr>
                <w:rFonts w:ascii="Arial" w:hAnsi="Arial" w:cs="Arial"/>
                <w:color w:val="1F4E79" w:themeColor="accent1" w:themeShade="80"/>
                <w:lang w:val="sr-Latn-ME"/>
              </w:rPr>
            </w:pPr>
            <w:r>
              <w:rPr>
                <w:rFonts w:ascii="Arial" w:hAnsi="Arial" w:cs="Arial"/>
                <w:b/>
                <w:bCs/>
                <w:color w:val="1F4E79" w:themeColor="accent1" w:themeShade="80"/>
                <w:lang w:val="sr-Latn-ME"/>
              </w:rPr>
              <w:t>Institucije sistema zadužene za borbu</w:t>
            </w:r>
            <w:r w:rsidR="007F046D">
              <w:rPr>
                <w:rFonts w:ascii="Arial" w:hAnsi="Arial" w:cs="Arial"/>
                <w:b/>
                <w:bCs/>
                <w:color w:val="1F4E79" w:themeColor="accent1" w:themeShade="80"/>
                <w:lang w:val="sr-Latn-ME"/>
              </w:rPr>
              <w:t xml:space="preserve"> </w:t>
            </w:r>
            <w:r>
              <w:rPr>
                <w:rFonts w:ascii="Arial" w:hAnsi="Arial" w:cs="Arial"/>
                <w:b/>
                <w:bCs/>
                <w:color w:val="1F4E79" w:themeColor="accent1" w:themeShade="80"/>
                <w:lang w:val="sr-Latn-ME"/>
              </w:rPr>
              <w:t>protiv prevara</w:t>
            </w:r>
            <w:r w:rsidR="007F046D">
              <w:rPr>
                <w:rFonts w:ascii="Arial" w:hAnsi="Arial" w:cs="Arial"/>
                <w:b/>
                <w:bCs/>
                <w:color w:val="1F4E79" w:themeColor="accent1" w:themeShade="80"/>
                <w:lang w:val="sr-Latn-ME"/>
              </w:rPr>
              <w:t>, korupcije</w:t>
            </w:r>
            <w:r>
              <w:rPr>
                <w:rFonts w:ascii="Arial" w:hAnsi="Arial" w:cs="Arial"/>
                <w:b/>
                <w:bCs/>
                <w:color w:val="1F4E79" w:themeColor="accent1" w:themeShade="80"/>
                <w:lang w:val="sr-Latn-ME"/>
              </w:rPr>
              <w:t xml:space="preserve"> i drugi</w:t>
            </w:r>
            <w:r w:rsidR="006C43DF">
              <w:rPr>
                <w:rFonts w:ascii="Arial" w:hAnsi="Arial" w:cs="Arial"/>
                <w:b/>
                <w:bCs/>
                <w:color w:val="1F4E79" w:themeColor="accent1" w:themeShade="80"/>
                <w:lang w:val="sr-Latn-ME"/>
              </w:rPr>
              <w:t>h</w:t>
            </w:r>
            <w:r>
              <w:rPr>
                <w:rFonts w:ascii="Arial" w:hAnsi="Arial" w:cs="Arial"/>
                <w:b/>
                <w:bCs/>
                <w:color w:val="1F4E79" w:themeColor="accent1" w:themeShade="80"/>
                <w:lang w:val="sr-Latn-ME"/>
              </w:rPr>
              <w:t xml:space="preserve"> oblika nezakonitih aktivnosti</w:t>
            </w:r>
            <w:r w:rsidR="000F471C" w:rsidRPr="001302F9">
              <w:rPr>
                <w:rFonts w:ascii="Arial" w:hAnsi="Arial" w:cs="Arial"/>
                <w:color w:val="1F4E79" w:themeColor="accent1" w:themeShade="80"/>
                <w:lang w:val="sr-Latn-ME"/>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p>
        </w:tc>
        <w:tc>
          <w:tcPr>
            <w:tcW w:w="0" w:type="auto"/>
            <w:tcBorders>
              <w:top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p>
        </w:tc>
        <w:tc>
          <w:tcPr>
            <w:tcW w:w="0" w:type="auto"/>
            <w:tcBorders>
              <w:top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p>
        </w:tc>
      </w:tr>
      <w:tr w:rsidR="000F471C" w:rsidRPr="001302F9" w:rsidTr="00CB5F79">
        <w:trPr>
          <w:tblCellSpacing w:w="15" w:type="dxa"/>
        </w:trPr>
        <w:tc>
          <w:tcPr>
            <w:tcW w:w="3214" w:type="dxa"/>
            <w:tcBorders>
              <w:left w:val="single" w:sz="4" w:space="0" w:color="auto"/>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Ministarstvo pravde</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 xml:space="preserve">Član koordinacionog tijela za nadgledanje i upravljanje politikom prevencije i borbe protiv nepravilnosti </w:t>
            </w:r>
            <w:r w:rsidR="00E273C6">
              <w:rPr>
                <w:rFonts w:ascii="Arial" w:hAnsi="Arial" w:cs="Arial"/>
                <w:color w:val="1F4E79" w:themeColor="accent1" w:themeShade="80"/>
                <w:lang w:val="sr-Latn-ME"/>
              </w:rPr>
              <w:t>u cilju</w:t>
            </w:r>
            <w:r w:rsidRPr="001302F9">
              <w:rPr>
                <w:rFonts w:ascii="Arial" w:hAnsi="Arial" w:cs="Arial"/>
                <w:color w:val="1F4E79" w:themeColor="accent1" w:themeShade="80"/>
                <w:lang w:val="sr-Latn-ME"/>
              </w:rPr>
              <w:t xml:space="preserve"> zaštite finansijskih interesa EU – AFCOS mreža</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r>
      <w:tr w:rsidR="000F471C" w:rsidRPr="001302F9" w:rsidTr="00CB5F79">
        <w:trPr>
          <w:tblCellSpacing w:w="15" w:type="dxa"/>
        </w:trPr>
        <w:tc>
          <w:tcPr>
            <w:tcW w:w="3214" w:type="dxa"/>
            <w:tcBorders>
              <w:left w:val="single" w:sz="4" w:space="0" w:color="auto"/>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Ministarstvo unutrašnjih poslova</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Član koordinacionog t</w:t>
            </w:r>
            <w:r w:rsidR="00E273C6">
              <w:rPr>
                <w:rFonts w:ascii="Arial" w:hAnsi="Arial" w:cs="Arial"/>
                <w:color w:val="1F4E79" w:themeColor="accent1" w:themeShade="80"/>
                <w:lang w:val="sr-Latn-ME"/>
              </w:rPr>
              <w:t>i</w:t>
            </w:r>
            <w:r w:rsidRPr="001302F9">
              <w:rPr>
                <w:rFonts w:ascii="Arial" w:hAnsi="Arial" w:cs="Arial"/>
                <w:color w:val="1F4E79" w:themeColor="accent1" w:themeShade="80"/>
                <w:lang w:val="sr-Latn-ME"/>
              </w:rPr>
              <w:t xml:space="preserve">ela za nadgledanje i upravljanje politikom prevencije i borbe protiv nepravilnosti </w:t>
            </w:r>
            <w:r w:rsidR="00E273C6" w:rsidRPr="0050642E">
              <w:rPr>
                <w:lang w:val="sr-Latn-ME"/>
              </w:rPr>
              <w:t xml:space="preserve"> </w:t>
            </w:r>
            <w:r w:rsidR="00E273C6" w:rsidRPr="00E273C6">
              <w:rPr>
                <w:rFonts w:ascii="Arial" w:hAnsi="Arial" w:cs="Arial"/>
                <w:color w:val="1F4E79" w:themeColor="accent1" w:themeShade="80"/>
                <w:lang w:val="sr-Latn-ME"/>
              </w:rPr>
              <w:t xml:space="preserve">u cilju </w:t>
            </w:r>
            <w:r w:rsidRPr="001302F9">
              <w:rPr>
                <w:rFonts w:ascii="Arial" w:hAnsi="Arial" w:cs="Arial"/>
                <w:color w:val="1F4E79" w:themeColor="accent1" w:themeShade="80"/>
                <w:lang w:val="sr-Latn-ME"/>
              </w:rPr>
              <w:t xml:space="preserve"> zaštite finansijskih interesa EU – AFCOS mreža</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5</w:t>
            </w:r>
          </w:p>
        </w:tc>
      </w:tr>
      <w:tr w:rsidR="000F471C" w:rsidRPr="001302F9" w:rsidTr="00CB5F79">
        <w:trPr>
          <w:tblCellSpacing w:w="15" w:type="dxa"/>
        </w:trPr>
        <w:tc>
          <w:tcPr>
            <w:tcW w:w="3214" w:type="dxa"/>
            <w:tcBorders>
              <w:left w:val="single" w:sz="4" w:space="0" w:color="auto"/>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Uprava policije</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Član koordinacionog t</w:t>
            </w:r>
            <w:r w:rsidR="00E273C6">
              <w:rPr>
                <w:rFonts w:ascii="Arial" w:hAnsi="Arial" w:cs="Arial"/>
                <w:color w:val="1F4E79" w:themeColor="accent1" w:themeShade="80"/>
                <w:lang w:val="sr-Latn-ME"/>
              </w:rPr>
              <w:t>ij</w:t>
            </w:r>
            <w:r w:rsidRPr="001302F9">
              <w:rPr>
                <w:rFonts w:ascii="Arial" w:hAnsi="Arial" w:cs="Arial"/>
                <w:color w:val="1F4E79" w:themeColor="accent1" w:themeShade="80"/>
                <w:lang w:val="sr-Latn-ME"/>
              </w:rPr>
              <w:t xml:space="preserve">ela za nadgledanje i upravljanje politikom prevencije i borbe protiv nepravilnosti </w:t>
            </w:r>
            <w:r w:rsidR="00E273C6" w:rsidRPr="0050642E">
              <w:rPr>
                <w:lang w:val="sr-Latn-ME"/>
              </w:rPr>
              <w:t xml:space="preserve"> </w:t>
            </w:r>
            <w:r w:rsidR="00E273C6" w:rsidRPr="00E273C6">
              <w:rPr>
                <w:rFonts w:ascii="Arial" w:hAnsi="Arial" w:cs="Arial"/>
                <w:color w:val="1F4E79" w:themeColor="accent1" w:themeShade="80"/>
                <w:lang w:val="sr-Latn-ME"/>
              </w:rPr>
              <w:t xml:space="preserve">u cilju </w:t>
            </w:r>
            <w:r w:rsidRPr="001302F9">
              <w:rPr>
                <w:rFonts w:ascii="Arial" w:hAnsi="Arial" w:cs="Arial"/>
                <w:color w:val="1F4E79" w:themeColor="accent1" w:themeShade="80"/>
                <w:lang w:val="sr-Latn-ME"/>
              </w:rPr>
              <w:t xml:space="preserve"> zaštite finansijskih interesa EU – AFCOS mreža</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5</w:t>
            </w:r>
          </w:p>
        </w:tc>
      </w:tr>
      <w:tr w:rsidR="000F471C" w:rsidRPr="001302F9" w:rsidTr="00CB5F79">
        <w:trPr>
          <w:tblCellSpacing w:w="15" w:type="dxa"/>
        </w:trPr>
        <w:tc>
          <w:tcPr>
            <w:tcW w:w="3214" w:type="dxa"/>
            <w:tcBorders>
              <w:left w:val="single" w:sz="4" w:space="0" w:color="auto"/>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Poreska uprava</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Član koordinacionog t</w:t>
            </w:r>
            <w:r w:rsidR="00E273C6">
              <w:rPr>
                <w:rFonts w:ascii="Arial" w:hAnsi="Arial" w:cs="Arial"/>
                <w:color w:val="1F4E79" w:themeColor="accent1" w:themeShade="80"/>
                <w:lang w:val="sr-Latn-ME"/>
              </w:rPr>
              <w:t>ij</w:t>
            </w:r>
            <w:r w:rsidRPr="001302F9">
              <w:rPr>
                <w:rFonts w:ascii="Arial" w:hAnsi="Arial" w:cs="Arial"/>
                <w:color w:val="1F4E79" w:themeColor="accent1" w:themeShade="80"/>
                <w:lang w:val="sr-Latn-ME"/>
              </w:rPr>
              <w:t xml:space="preserve">ela za nadgledanje i upravljanje politikom prevencije i borbe protiv nepravilnosti </w:t>
            </w:r>
            <w:r w:rsidR="00E273C6" w:rsidRPr="0050642E">
              <w:rPr>
                <w:lang w:val="sr-Latn-ME"/>
              </w:rPr>
              <w:t xml:space="preserve"> </w:t>
            </w:r>
            <w:r w:rsidR="00E273C6" w:rsidRPr="00E273C6">
              <w:rPr>
                <w:rFonts w:ascii="Arial" w:hAnsi="Arial" w:cs="Arial"/>
                <w:color w:val="1F4E79" w:themeColor="accent1" w:themeShade="80"/>
                <w:lang w:val="sr-Latn-ME"/>
              </w:rPr>
              <w:t xml:space="preserve">u cilju </w:t>
            </w:r>
            <w:r w:rsidRPr="001302F9">
              <w:rPr>
                <w:rFonts w:ascii="Arial" w:hAnsi="Arial" w:cs="Arial"/>
                <w:color w:val="1F4E79" w:themeColor="accent1" w:themeShade="80"/>
                <w:lang w:val="sr-Latn-ME"/>
              </w:rPr>
              <w:t xml:space="preserve"> zaštite finansijskih interesa EU – AFCOS mreža</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r>
      <w:tr w:rsidR="000F471C" w:rsidRPr="001302F9" w:rsidTr="00CB5F79">
        <w:trPr>
          <w:tblCellSpacing w:w="15" w:type="dxa"/>
        </w:trPr>
        <w:tc>
          <w:tcPr>
            <w:tcW w:w="3214" w:type="dxa"/>
            <w:tcBorders>
              <w:left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Uprava carina</w:t>
            </w:r>
          </w:p>
        </w:tc>
        <w:tc>
          <w:tcPr>
            <w:tcW w:w="0" w:type="auto"/>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Član koordinacionog t</w:t>
            </w:r>
            <w:r w:rsidR="00E273C6">
              <w:rPr>
                <w:rFonts w:ascii="Arial" w:hAnsi="Arial" w:cs="Arial"/>
                <w:color w:val="1F4E79" w:themeColor="accent1" w:themeShade="80"/>
                <w:lang w:val="sr-Latn-ME"/>
              </w:rPr>
              <w:t>ij</w:t>
            </w:r>
            <w:r w:rsidRPr="001302F9">
              <w:rPr>
                <w:rFonts w:ascii="Arial" w:hAnsi="Arial" w:cs="Arial"/>
                <w:color w:val="1F4E79" w:themeColor="accent1" w:themeShade="80"/>
                <w:lang w:val="sr-Latn-ME"/>
              </w:rPr>
              <w:t xml:space="preserve">ela za nadgledanje i upravljanje politikom prevencije i borbe protiv nepravilnosti </w:t>
            </w:r>
            <w:r w:rsidR="00E273C6" w:rsidRPr="0050642E">
              <w:rPr>
                <w:lang w:val="sr-Latn-ME"/>
              </w:rPr>
              <w:t xml:space="preserve"> </w:t>
            </w:r>
            <w:r w:rsidR="00E273C6" w:rsidRPr="00E273C6">
              <w:rPr>
                <w:rFonts w:ascii="Arial" w:hAnsi="Arial" w:cs="Arial"/>
                <w:color w:val="1F4E79" w:themeColor="accent1" w:themeShade="80"/>
                <w:lang w:val="sr-Latn-ME"/>
              </w:rPr>
              <w:t xml:space="preserve">u cilju </w:t>
            </w:r>
            <w:r w:rsidRPr="001302F9">
              <w:rPr>
                <w:rFonts w:ascii="Arial" w:hAnsi="Arial" w:cs="Arial"/>
                <w:color w:val="1F4E79" w:themeColor="accent1" w:themeShade="80"/>
                <w:lang w:val="sr-Latn-ME"/>
              </w:rPr>
              <w:t xml:space="preserve"> zaštite finansijskih interesa EU – AFCOS mreža</w:t>
            </w:r>
          </w:p>
        </w:tc>
        <w:tc>
          <w:tcPr>
            <w:tcW w:w="0" w:type="auto"/>
            <w:tcBorders>
              <w:left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c>
          <w:tcPr>
            <w:tcW w:w="0" w:type="auto"/>
            <w:tcBorders>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r>
      <w:tr w:rsidR="000F471C" w:rsidRPr="001302F9" w:rsidTr="00CB5F79">
        <w:trPr>
          <w:tblCellSpacing w:w="15" w:type="dxa"/>
        </w:trPr>
        <w:tc>
          <w:tcPr>
            <w:tcW w:w="3214" w:type="dxa"/>
            <w:tcBorders>
              <w:top w:val="single" w:sz="4" w:space="0" w:color="auto"/>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Vrhovno državno tužilaštvo</w:t>
            </w:r>
          </w:p>
        </w:tc>
        <w:tc>
          <w:tcPr>
            <w:tcW w:w="0" w:type="auto"/>
            <w:tcBorders>
              <w:top w:val="single" w:sz="4" w:space="0" w:color="auto"/>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Član koordinacionog t</w:t>
            </w:r>
            <w:r w:rsidR="00E273C6">
              <w:rPr>
                <w:rFonts w:ascii="Arial" w:hAnsi="Arial" w:cs="Arial"/>
                <w:color w:val="1F4E79" w:themeColor="accent1" w:themeShade="80"/>
                <w:lang w:val="sr-Latn-ME"/>
              </w:rPr>
              <w:t>ij</w:t>
            </w:r>
            <w:r w:rsidRPr="001302F9">
              <w:rPr>
                <w:rFonts w:ascii="Arial" w:hAnsi="Arial" w:cs="Arial"/>
                <w:color w:val="1F4E79" w:themeColor="accent1" w:themeShade="80"/>
                <w:lang w:val="sr-Latn-ME"/>
              </w:rPr>
              <w:t xml:space="preserve">ela za nadgledanje i upravljanje politikom prevencije i borbe protiv nepravilnosti </w:t>
            </w:r>
            <w:r w:rsidR="00E273C6" w:rsidRPr="0050642E">
              <w:rPr>
                <w:lang w:val="sr-Latn-ME"/>
              </w:rPr>
              <w:t xml:space="preserve"> </w:t>
            </w:r>
            <w:r w:rsidR="00E273C6" w:rsidRPr="00E273C6">
              <w:rPr>
                <w:rFonts w:ascii="Arial" w:hAnsi="Arial" w:cs="Arial"/>
                <w:color w:val="1F4E79" w:themeColor="accent1" w:themeShade="80"/>
                <w:lang w:val="sr-Latn-ME"/>
              </w:rPr>
              <w:t xml:space="preserve">u cilju </w:t>
            </w:r>
            <w:r w:rsidRPr="001302F9">
              <w:rPr>
                <w:rFonts w:ascii="Arial" w:hAnsi="Arial" w:cs="Arial"/>
                <w:color w:val="1F4E79" w:themeColor="accent1" w:themeShade="80"/>
                <w:lang w:val="sr-Latn-ME"/>
              </w:rPr>
              <w:t xml:space="preserve"> zaštite finansijskih interesa EU – AFCOS mreža</w:t>
            </w:r>
          </w:p>
        </w:tc>
        <w:tc>
          <w:tcPr>
            <w:tcW w:w="0" w:type="auto"/>
            <w:tcBorders>
              <w:top w:val="single" w:sz="4" w:space="0" w:color="auto"/>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c>
          <w:tcPr>
            <w:tcW w:w="0" w:type="auto"/>
            <w:tcBorders>
              <w:top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5</w:t>
            </w:r>
          </w:p>
        </w:tc>
      </w:tr>
      <w:tr w:rsidR="000F471C" w:rsidRPr="001302F9" w:rsidTr="00CB5F79">
        <w:trPr>
          <w:trHeight w:val="2119"/>
          <w:tblCellSpacing w:w="15" w:type="dxa"/>
        </w:trPr>
        <w:tc>
          <w:tcPr>
            <w:tcW w:w="3214" w:type="dxa"/>
            <w:tcBorders>
              <w:top w:val="single" w:sz="4" w:space="0" w:color="auto"/>
              <w:lef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Agencija za borbu protiv korupcije</w:t>
            </w:r>
          </w:p>
        </w:tc>
        <w:tc>
          <w:tcPr>
            <w:tcW w:w="0" w:type="auto"/>
            <w:tcBorders>
              <w:top w:val="single" w:sz="4" w:space="0" w:color="auto"/>
              <w:lef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Član koordinacionog t</w:t>
            </w:r>
            <w:r w:rsidR="00E273C6">
              <w:rPr>
                <w:rFonts w:ascii="Arial" w:hAnsi="Arial" w:cs="Arial"/>
                <w:color w:val="1F4E79" w:themeColor="accent1" w:themeShade="80"/>
                <w:lang w:val="sr-Latn-ME"/>
              </w:rPr>
              <w:t>ij</w:t>
            </w:r>
            <w:r w:rsidRPr="001302F9">
              <w:rPr>
                <w:rFonts w:ascii="Arial" w:hAnsi="Arial" w:cs="Arial"/>
                <w:color w:val="1F4E79" w:themeColor="accent1" w:themeShade="80"/>
                <w:lang w:val="sr-Latn-ME"/>
              </w:rPr>
              <w:t xml:space="preserve">ela za nadgledanje i upravljanje politikom prevencije i borbe protiv nepravilnosti </w:t>
            </w:r>
            <w:r w:rsidR="00E273C6" w:rsidRPr="0050642E">
              <w:rPr>
                <w:lang w:val="sr-Latn-ME"/>
              </w:rPr>
              <w:t xml:space="preserve"> </w:t>
            </w:r>
            <w:r w:rsidR="00E273C6" w:rsidRPr="00E273C6">
              <w:rPr>
                <w:rFonts w:ascii="Arial" w:hAnsi="Arial" w:cs="Arial"/>
                <w:color w:val="1F4E79" w:themeColor="accent1" w:themeShade="80"/>
                <w:lang w:val="sr-Latn-ME"/>
              </w:rPr>
              <w:t xml:space="preserve">u cilju </w:t>
            </w:r>
            <w:r w:rsidRPr="001302F9">
              <w:rPr>
                <w:rFonts w:ascii="Arial" w:hAnsi="Arial" w:cs="Arial"/>
                <w:color w:val="1F4E79" w:themeColor="accent1" w:themeShade="80"/>
                <w:lang w:val="sr-Latn-ME"/>
              </w:rPr>
              <w:t xml:space="preserve"> zaštite finansijskih interesa  EU-AFCOS mreža</w:t>
            </w:r>
          </w:p>
        </w:tc>
        <w:tc>
          <w:tcPr>
            <w:tcW w:w="0" w:type="auto"/>
            <w:tcBorders>
              <w:top w:val="single" w:sz="4" w:space="0" w:color="auto"/>
              <w:left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5</w:t>
            </w:r>
          </w:p>
        </w:tc>
        <w:tc>
          <w:tcPr>
            <w:tcW w:w="0" w:type="auto"/>
            <w:tcBorders>
              <w:top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r>
      <w:tr w:rsidR="000F471C" w:rsidRPr="001302F9" w:rsidTr="00CB5F79">
        <w:trPr>
          <w:tblCellSpacing w:w="15" w:type="dxa"/>
        </w:trPr>
        <w:tc>
          <w:tcPr>
            <w:tcW w:w="3214" w:type="dxa"/>
            <w:tcBorders>
              <w:left w:val="single" w:sz="4" w:space="0" w:color="auto"/>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Revizorsko tijelo</w:t>
            </w:r>
          </w:p>
        </w:tc>
        <w:tc>
          <w:tcPr>
            <w:tcW w:w="0" w:type="auto"/>
            <w:tcBorders>
              <w:left w:val="single" w:sz="4" w:space="0" w:color="auto"/>
              <w:bottom w:val="single" w:sz="4" w:space="0" w:color="auto"/>
            </w:tcBorders>
            <w:vAlign w:val="center"/>
            <w:hideMark/>
          </w:tcPr>
          <w:p w:rsidR="000F471C" w:rsidRDefault="00C07A09" w:rsidP="00CB5F79">
            <w:pPr>
              <w:rPr>
                <w:rFonts w:ascii="Arial" w:hAnsi="Arial" w:cs="Arial"/>
                <w:color w:val="1F4E79" w:themeColor="accent1" w:themeShade="80"/>
                <w:lang w:val="sr-Latn-ME"/>
              </w:rPr>
            </w:pPr>
            <w:r>
              <w:rPr>
                <w:rFonts w:ascii="Arial" w:hAnsi="Arial" w:cs="Arial"/>
                <w:color w:val="1F4E79" w:themeColor="accent1" w:themeShade="80"/>
                <w:lang w:val="sr-Latn-ME"/>
              </w:rPr>
              <w:t>Eksterni</w:t>
            </w:r>
            <w:r w:rsidR="000F471C" w:rsidRPr="001302F9">
              <w:rPr>
                <w:rFonts w:ascii="Arial" w:hAnsi="Arial" w:cs="Arial"/>
                <w:color w:val="1F4E79" w:themeColor="accent1" w:themeShade="80"/>
                <w:lang w:val="sr-Latn-ME"/>
              </w:rPr>
              <w:t xml:space="preserve"> revizor nakon završetka drugih nacionalnih kontrola za upravljanje indirektnim EU fondovima, identifikovanje preostalih nepravilnosti </w:t>
            </w:r>
            <w:r>
              <w:rPr>
                <w:rFonts w:ascii="Arial" w:hAnsi="Arial" w:cs="Arial"/>
                <w:color w:val="1F4E79" w:themeColor="accent1" w:themeShade="80"/>
                <w:lang w:val="sr-Latn-ME"/>
              </w:rPr>
              <w:t>i/</w:t>
            </w:r>
            <w:r w:rsidR="000F471C" w:rsidRPr="001302F9">
              <w:rPr>
                <w:rFonts w:ascii="Arial" w:hAnsi="Arial" w:cs="Arial"/>
                <w:color w:val="1F4E79" w:themeColor="accent1" w:themeShade="80"/>
                <w:lang w:val="sr-Latn-ME"/>
              </w:rPr>
              <w:t>ili potencijalnih prevara</w:t>
            </w:r>
          </w:p>
          <w:p w:rsidR="00C07A09" w:rsidRPr="001302F9" w:rsidRDefault="00C07A09" w:rsidP="00CB5F79">
            <w:pPr>
              <w:rPr>
                <w:rFonts w:ascii="Arial" w:hAnsi="Arial" w:cs="Arial"/>
                <w:color w:val="1F4E79" w:themeColor="accent1" w:themeShade="80"/>
                <w:lang w:val="sr-Latn-ME"/>
              </w:rPr>
            </w:pPr>
            <w:r>
              <w:rPr>
                <w:rFonts w:ascii="Arial" w:hAnsi="Arial" w:cs="Arial"/>
                <w:color w:val="1F4E79" w:themeColor="accent1" w:themeShade="80"/>
                <w:lang w:val="sr-Latn-ME"/>
              </w:rPr>
              <w:t>Takođe, član AFCOS mreže</w:t>
            </w:r>
          </w:p>
        </w:tc>
        <w:tc>
          <w:tcPr>
            <w:tcW w:w="0" w:type="auto"/>
            <w:tcBorders>
              <w:left w:val="single" w:sz="4" w:space="0" w:color="auto"/>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5</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r>
      <w:tr w:rsidR="000F471C" w:rsidRPr="001302F9" w:rsidTr="00CB5F79">
        <w:trPr>
          <w:tblCellSpacing w:w="15" w:type="dxa"/>
        </w:trPr>
        <w:tc>
          <w:tcPr>
            <w:tcW w:w="3214" w:type="dxa"/>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Ministarstvo finansija</w:t>
            </w:r>
          </w:p>
        </w:tc>
        <w:tc>
          <w:tcPr>
            <w:tcW w:w="0" w:type="auto"/>
            <w:tcBorders>
              <w:bottom w:val="single" w:sz="4" w:space="0" w:color="auto"/>
            </w:tcBorders>
            <w:vAlign w:val="center"/>
            <w:hideMark/>
          </w:tcPr>
          <w:p w:rsidR="000F471C" w:rsidRPr="001302F9" w:rsidRDefault="00FC7DF5" w:rsidP="00CB5F79">
            <w:pPr>
              <w:rPr>
                <w:rFonts w:ascii="Arial" w:hAnsi="Arial" w:cs="Arial"/>
                <w:color w:val="1F4E79" w:themeColor="accent1" w:themeShade="80"/>
                <w:lang w:val="sr-Latn-ME"/>
              </w:rPr>
            </w:pPr>
            <w:r>
              <w:rPr>
                <w:rFonts w:ascii="Arial" w:hAnsi="Arial" w:cs="Arial"/>
                <w:color w:val="1F4E79" w:themeColor="accent1" w:themeShade="80"/>
                <w:lang w:val="sr-Latn-ME"/>
              </w:rPr>
              <w:t>O</w:t>
            </w:r>
            <w:r w:rsidR="000F471C" w:rsidRPr="001302F9">
              <w:rPr>
                <w:rFonts w:ascii="Arial" w:hAnsi="Arial" w:cs="Arial"/>
                <w:color w:val="1F4E79" w:themeColor="accent1" w:themeShade="80"/>
                <w:lang w:val="sr-Latn-ME"/>
              </w:rPr>
              <w:t xml:space="preserve">perativni nosilac odgovornosti za planiranje i zaštitu kako nacionalnog budžeta tako i </w:t>
            </w:r>
            <w:r>
              <w:rPr>
                <w:rFonts w:ascii="Arial" w:hAnsi="Arial" w:cs="Arial"/>
                <w:color w:val="1F4E79" w:themeColor="accent1" w:themeShade="80"/>
                <w:lang w:val="sr-Latn-ME"/>
              </w:rPr>
              <w:t>budžeta</w:t>
            </w:r>
            <w:r w:rsidR="000F471C" w:rsidRPr="001302F9">
              <w:rPr>
                <w:rFonts w:ascii="Arial" w:hAnsi="Arial" w:cs="Arial"/>
                <w:color w:val="1F4E79" w:themeColor="accent1" w:themeShade="80"/>
                <w:lang w:val="sr-Latn-ME"/>
              </w:rPr>
              <w:t xml:space="preserve"> EU, kao i za koordinaciju procesa razvoja Strategije</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3</w:t>
            </w:r>
          </w:p>
        </w:tc>
      </w:tr>
      <w:tr w:rsidR="000F471C" w:rsidRPr="001302F9" w:rsidTr="00CB5F79">
        <w:trPr>
          <w:tblCellSpacing w:w="15" w:type="dxa"/>
        </w:trPr>
        <w:tc>
          <w:tcPr>
            <w:tcW w:w="3214" w:type="dxa"/>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Ostala tijela koja imaju interese i uticaj u vezi sa ovom Strategijom</w:t>
            </w:r>
            <w:r w:rsidRPr="001302F9">
              <w:rPr>
                <w:rFonts w:ascii="Arial" w:hAnsi="Arial" w:cs="Arial"/>
                <w:color w:val="1F4E79" w:themeColor="accent1" w:themeShade="80"/>
                <w:lang w:val="sr-Latn-ME"/>
              </w:rPr>
              <w:t>:</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p>
        </w:tc>
      </w:tr>
      <w:tr w:rsidR="004F657E" w:rsidRPr="001302F9" w:rsidTr="00CB4234">
        <w:trPr>
          <w:tblCellSpacing w:w="15" w:type="dxa"/>
        </w:trPr>
        <w:tc>
          <w:tcPr>
            <w:tcW w:w="3214" w:type="dxa"/>
            <w:tcBorders>
              <w:left w:val="single" w:sz="4" w:space="0" w:color="auto"/>
              <w:bottom w:val="single" w:sz="4" w:space="0" w:color="auto"/>
            </w:tcBorders>
            <w:vAlign w:val="center"/>
          </w:tcPr>
          <w:p w:rsidR="004F657E" w:rsidRPr="001302F9" w:rsidRDefault="004F657E" w:rsidP="004F657E">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Ministarstvo evropsk</w:t>
            </w:r>
            <w:r>
              <w:rPr>
                <w:rFonts w:ascii="Arial" w:hAnsi="Arial" w:cs="Arial"/>
                <w:b/>
                <w:bCs/>
                <w:color w:val="1F4E79" w:themeColor="accent1" w:themeShade="80"/>
                <w:lang w:val="sr-Latn-ME"/>
              </w:rPr>
              <w:t>ih</w:t>
            </w:r>
            <w:r w:rsidRPr="001302F9">
              <w:rPr>
                <w:rFonts w:ascii="Arial" w:hAnsi="Arial" w:cs="Arial"/>
                <w:b/>
                <w:bCs/>
                <w:color w:val="1F4E79" w:themeColor="accent1" w:themeShade="80"/>
                <w:lang w:val="sr-Latn-ME"/>
              </w:rPr>
              <w:t xml:space="preserve"> poslov</w:t>
            </w:r>
            <w:r>
              <w:rPr>
                <w:rFonts w:ascii="Arial" w:hAnsi="Arial" w:cs="Arial"/>
                <w:b/>
                <w:bCs/>
                <w:color w:val="1F4E79" w:themeColor="accent1" w:themeShade="80"/>
                <w:lang w:val="sr-Latn-ME"/>
              </w:rPr>
              <w:t>a</w:t>
            </w:r>
          </w:p>
        </w:tc>
        <w:tc>
          <w:tcPr>
            <w:tcW w:w="0" w:type="auto"/>
            <w:tcBorders>
              <w:left w:val="single" w:sz="4" w:space="0" w:color="auto"/>
              <w:bottom w:val="single" w:sz="4" w:space="0" w:color="auto"/>
              <w:right w:val="single" w:sz="4" w:space="0" w:color="auto"/>
            </w:tcBorders>
            <w:vAlign w:val="center"/>
          </w:tcPr>
          <w:p w:rsidR="004F657E" w:rsidRPr="001302F9" w:rsidRDefault="004F657E" w:rsidP="004F657E">
            <w:pPr>
              <w:rPr>
                <w:rFonts w:ascii="Arial" w:hAnsi="Arial" w:cs="Arial"/>
                <w:color w:val="1F4E79" w:themeColor="accent1" w:themeShade="80"/>
                <w:lang w:val="sr-Latn-ME"/>
              </w:rPr>
            </w:pPr>
            <w:r>
              <w:rPr>
                <w:rFonts w:ascii="Arial" w:hAnsi="Arial" w:cs="Arial"/>
                <w:color w:val="1F4E79" w:themeColor="accent1" w:themeShade="80"/>
                <w:lang w:val="sr-Latn-ME"/>
              </w:rPr>
              <w:t>O</w:t>
            </w:r>
            <w:r w:rsidRPr="001302F9">
              <w:rPr>
                <w:rFonts w:ascii="Arial" w:hAnsi="Arial" w:cs="Arial"/>
                <w:color w:val="1F4E79" w:themeColor="accent1" w:themeShade="80"/>
                <w:lang w:val="sr-Latn-ME"/>
              </w:rPr>
              <w:t>dgovorno za upravljanje i koordinaciju procesa pristupanja Crne Gore Evropskoj uniji</w:t>
            </w:r>
          </w:p>
        </w:tc>
        <w:tc>
          <w:tcPr>
            <w:tcW w:w="0" w:type="auto"/>
            <w:tcBorders>
              <w:left w:val="single" w:sz="4" w:space="0" w:color="auto"/>
              <w:bottom w:val="single" w:sz="4" w:space="0" w:color="auto"/>
              <w:right w:val="single" w:sz="4" w:space="0" w:color="auto"/>
            </w:tcBorders>
            <w:vAlign w:val="center"/>
          </w:tcPr>
          <w:p w:rsidR="004F657E" w:rsidRPr="001302F9" w:rsidRDefault="004F657E" w:rsidP="004F657E">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c>
          <w:tcPr>
            <w:tcW w:w="0" w:type="auto"/>
            <w:tcBorders>
              <w:bottom w:val="single" w:sz="4" w:space="0" w:color="auto"/>
              <w:right w:val="single" w:sz="4" w:space="0" w:color="auto"/>
            </w:tcBorders>
            <w:vAlign w:val="center"/>
          </w:tcPr>
          <w:p w:rsidR="004F657E" w:rsidRPr="001302F9" w:rsidRDefault="004F657E" w:rsidP="004F657E">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r>
      <w:tr w:rsidR="004F657E" w:rsidRPr="001302F9" w:rsidTr="00CB5F79">
        <w:trPr>
          <w:tblCellSpacing w:w="15" w:type="dxa"/>
        </w:trPr>
        <w:tc>
          <w:tcPr>
            <w:tcW w:w="3214" w:type="dxa"/>
            <w:tcBorders>
              <w:left w:val="single" w:sz="4" w:space="0" w:color="auto"/>
              <w:bottom w:val="single" w:sz="4" w:space="0" w:color="auto"/>
              <w:right w:val="single" w:sz="4" w:space="0" w:color="auto"/>
            </w:tcBorders>
            <w:vAlign w:val="center"/>
          </w:tcPr>
          <w:p w:rsidR="004F657E" w:rsidRPr="001302F9" w:rsidRDefault="004F657E" w:rsidP="004F657E">
            <w:pPr>
              <w:rPr>
                <w:rFonts w:ascii="Arial" w:hAnsi="Arial" w:cs="Arial"/>
                <w:b/>
                <w:bCs/>
                <w:color w:val="1F4E79" w:themeColor="accent1" w:themeShade="80"/>
                <w:lang w:val="sr-Latn-ME"/>
              </w:rPr>
            </w:pPr>
            <w:r w:rsidRPr="001302F9">
              <w:rPr>
                <w:rFonts w:ascii="Arial" w:hAnsi="Arial" w:cs="Arial"/>
                <w:b/>
                <w:bCs/>
                <w:color w:val="1F4E79" w:themeColor="accent1" w:themeShade="80"/>
                <w:lang w:val="sr-Latn-ME"/>
              </w:rPr>
              <w:t>Dir</w:t>
            </w:r>
            <w:r>
              <w:rPr>
                <w:rFonts w:ascii="Arial" w:hAnsi="Arial" w:cs="Arial"/>
                <w:b/>
                <w:bCs/>
                <w:color w:val="1F4E79" w:themeColor="accent1" w:themeShade="80"/>
                <w:lang w:val="sr-Latn-ME"/>
              </w:rPr>
              <w:t>ektorat za politiku</w:t>
            </w:r>
            <w:r w:rsidRPr="001302F9">
              <w:rPr>
                <w:rFonts w:ascii="Arial" w:hAnsi="Arial" w:cs="Arial"/>
                <w:b/>
                <w:bCs/>
                <w:color w:val="1F4E79" w:themeColor="accent1" w:themeShade="80"/>
                <w:lang w:val="sr-Latn-ME"/>
              </w:rPr>
              <w:t xml:space="preserve">  javn</w:t>
            </w:r>
            <w:r>
              <w:rPr>
                <w:rFonts w:ascii="Arial" w:hAnsi="Arial" w:cs="Arial"/>
                <w:b/>
                <w:bCs/>
                <w:color w:val="1F4E79" w:themeColor="accent1" w:themeShade="80"/>
                <w:lang w:val="sr-Latn-ME"/>
              </w:rPr>
              <w:t>ih</w:t>
            </w:r>
            <w:r w:rsidRPr="001302F9">
              <w:rPr>
                <w:rFonts w:ascii="Arial" w:hAnsi="Arial" w:cs="Arial"/>
                <w:b/>
                <w:bCs/>
                <w:color w:val="1F4E79" w:themeColor="accent1" w:themeShade="80"/>
                <w:lang w:val="sr-Latn-ME"/>
              </w:rPr>
              <w:t xml:space="preserve"> nabavk</w:t>
            </w:r>
            <w:r>
              <w:rPr>
                <w:rFonts w:ascii="Arial" w:hAnsi="Arial" w:cs="Arial"/>
                <w:b/>
                <w:bCs/>
                <w:color w:val="1F4E79" w:themeColor="accent1" w:themeShade="80"/>
                <w:lang w:val="sr-Latn-ME"/>
              </w:rPr>
              <w:t>i</w:t>
            </w:r>
          </w:p>
        </w:tc>
        <w:tc>
          <w:tcPr>
            <w:tcW w:w="0" w:type="auto"/>
            <w:tcBorders>
              <w:bottom w:val="single" w:sz="4" w:space="0" w:color="auto"/>
              <w:right w:val="single" w:sz="4" w:space="0" w:color="auto"/>
            </w:tcBorders>
            <w:vAlign w:val="center"/>
          </w:tcPr>
          <w:p w:rsidR="004F657E" w:rsidRPr="001302F9" w:rsidRDefault="004F657E" w:rsidP="004F657E">
            <w:pPr>
              <w:rPr>
                <w:rFonts w:ascii="Arial" w:hAnsi="Arial" w:cs="Arial"/>
                <w:color w:val="1F4E79" w:themeColor="accent1" w:themeShade="80"/>
                <w:lang w:val="sr-Latn-ME"/>
              </w:rPr>
            </w:pPr>
            <w:r w:rsidRPr="001302F9">
              <w:rPr>
                <w:rFonts w:ascii="Arial" w:hAnsi="Arial" w:cs="Arial"/>
                <w:color w:val="1F4E79" w:themeColor="accent1" w:themeShade="80"/>
                <w:lang w:val="sr-Latn-ME"/>
              </w:rPr>
              <w:t>Nadzor nad prim</w:t>
            </w:r>
            <w:r>
              <w:rPr>
                <w:rFonts w:ascii="Arial" w:hAnsi="Arial" w:cs="Arial"/>
                <w:color w:val="1F4E79" w:themeColor="accent1" w:themeShade="80"/>
                <w:lang w:val="sr-Latn-ME"/>
              </w:rPr>
              <w:t>j</w:t>
            </w:r>
            <w:r w:rsidRPr="001302F9">
              <w:rPr>
                <w:rFonts w:ascii="Arial" w:hAnsi="Arial" w:cs="Arial"/>
                <w:color w:val="1F4E79" w:themeColor="accent1" w:themeShade="80"/>
                <w:lang w:val="sr-Latn-ME"/>
              </w:rPr>
              <w:t>enom odgovarajuće legislative i sprovođenje kontrola nabavki</w:t>
            </w:r>
          </w:p>
        </w:tc>
        <w:tc>
          <w:tcPr>
            <w:tcW w:w="0" w:type="auto"/>
            <w:tcBorders>
              <w:bottom w:val="single" w:sz="4" w:space="0" w:color="auto"/>
              <w:right w:val="single" w:sz="4" w:space="0" w:color="auto"/>
            </w:tcBorders>
            <w:vAlign w:val="center"/>
          </w:tcPr>
          <w:p w:rsidR="004F657E" w:rsidRPr="001302F9" w:rsidRDefault="004F657E" w:rsidP="004F657E">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c>
          <w:tcPr>
            <w:tcW w:w="0" w:type="auto"/>
            <w:tcBorders>
              <w:bottom w:val="single" w:sz="4" w:space="0" w:color="auto"/>
              <w:right w:val="single" w:sz="4" w:space="0" w:color="auto"/>
            </w:tcBorders>
            <w:vAlign w:val="center"/>
          </w:tcPr>
          <w:p w:rsidR="004F657E" w:rsidRPr="001302F9" w:rsidRDefault="004F657E" w:rsidP="004F657E">
            <w:pPr>
              <w:rPr>
                <w:rFonts w:ascii="Arial" w:hAnsi="Arial" w:cs="Arial"/>
                <w:color w:val="1F4E79" w:themeColor="accent1" w:themeShade="80"/>
                <w:lang w:val="sr-Latn-ME"/>
              </w:rPr>
            </w:pPr>
            <w:r w:rsidRPr="001302F9">
              <w:rPr>
                <w:rFonts w:ascii="Arial" w:hAnsi="Arial" w:cs="Arial"/>
                <w:color w:val="1F4E79" w:themeColor="accent1" w:themeShade="80"/>
                <w:lang w:val="sr-Latn-ME"/>
              </w:rPr>
              <w:t>3</w:t>
            </w:r>
          </w:p>
        </w:tc>
      </w:tr>
      <w:tr w:rsidR="000F471C" w:rsidRPr="001302F9" w:rsidTr="00CB5F79">
        <w:trPr>
          <w:tblCellSpacing w:w="15" w:type="dxa"/>
        </w:trPr>
        <w:tc>
          <w:tcPr>
            <w:tcW w:w="3214" w:type="dxa"/>
            <w:tcBorders>
              <w:left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Centralna harmonizacij</w:t>
            </w:r>
            <w:r w:rsidR="00346C60">
              <w:rPr>
                <w:rFonts w:ascii="Arial" w:hAnsi="Arial" w:cs="Arial"/>
                <w:b/>
                <w:bCs/>
                <w:color w:val="1F4E79" w:themeColor="accent1" w:themeShade="80"/>
                <w:lang w:val="sr-Latn-ME"/>
              </w:rPr>
              <w:t xml:space="preserve">ska </w:t>
            </w:r>
            <w:r w:rsidRPr="001302F9">
              <w:rPr>
                <w:rFonts w:ascii="Arial" w:hAnsi="Arial" w:cs="Arial"/>
                <w:b/>
                <w:bCs/>
                <w:color w:val="1F4E79" w:themeColor="accent1" w:themeShade="80"/>
                <w:lang w:val="sr-Latn-ME"/>
              </w:rPr>
              <w:t>jedinica</w:t>
            </w:r>
          </w:p>
        </w:tc>
        <w:tc>
          <w:tcPr>
            <w:tcW w:w="0" w:type="auto"/>
            <w:tcBorders>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Zadužena za koordinaciju uspostavljanja i razvoja sistema unutrašnje finansijske kontrole u javnom sektoru</w:t>
            </w:r>
          </w:p>
        </w:tc>
        <w:tc>
          <w:tcPr>
            <w:tcW w:w="0" w:type="auto"/>
            <w:tcBorders>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c>
          <w:tcPr>
            <w:tcW w:w="0" w:type="auto"/>
            <w:tcBorders>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r>
      <w:tr w:rsidR="000F471C" w:rsidRPr="001302F9" w:rsidTr="00CB5F79">
        <w:trPr>
          <w:tblCellSpacing w:w="15" w:type="dxa"/>
        </w:trPr>
        <w:tc>
          <w:tcPr>
            <w:tcW w:w="3214" w:type="dxa"/>
            <w:tcBorders>
              <w:top w:val="single" w:sz="4" w:space="0" w:color="auto"/>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Direkcija za budžetsku inspekciju</w:t>
            </w:r>
          </w:p>
        </w:tc>
        <w:tc>
          <w:tcPr>
            <w:tcW w:w="0" w:type="auto"/>
            <w:tcBorders>
              <w:top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 xml:space="preserve">Obavlja inspekcijski nadzor nad </w:t>
            </w:r>
            <w:r w:rsidR="004F2348">
              <w:rPr>
                <w:rFonts w:ascii="Arial" w:hAnsi="Arial" w:cs="Arial"/>
                <w:color w:val="1F4E79" w:themeColor="accent1" w:themeShade="80"/>
                <w:lang w:val="sr-Latn-ME"/>
              </w:rPr>
              <w:t xml:space="preserve">primjenom </w:t>
            </w:r>
            <w:r w:rsidRPr="001302F9">
              <w:rPr>
                <w:rFonts w:ascii="Arial" w:hAnsi="Arial" w:cs="Arial"/>
                <w:color w:val="1F4E79" w:themeColor="accent1" w:themeShade="80"/>
                <w:lang w:val="sr-Latn-ME"/>
              </w:rPr>
              <w:t>zakonodavstv</w:t>
            </w:r>
            <w:r w:rsidR="004F2348">
              <w:rPr>
                <w:rFonts w:ascii="Arial" w:hAnsi="Arial" w:cs="Arial"/>
                <w:color w:val="1F4E79" w:themeColor="accent1" w:themeShade="80"/>
                <w:lang w:val="sr-Latn-ME"/>
              </w:rPr>
              <w:t>a</w:t>
            </w:r>
            <w:r w:rsidRPr="001302F9">
              <w:rPr>
                <w:rFonts w:ascii="Arial" w:hAnsi="Arial" w:cs="Arial"/>
                <w:color w:val="1F4E79" w:themeColor="accent1" w:themeShade="80"/>
                <w:lang w:val="sr-Latn-ME"/>
              </w:rPr>
              <w:t xml:space="preserve"> o platama zaposlenih u javnom sektoru, finansiranju lokalne samouprave</w:t>
            </w:r>
            <w:r w:rsidR="004F2348">
              <w:rPr>
                <w:rFonts w:ascii="Arial" w:hAnsi="Arial" w:cs="Arial"/>
                <w:color w:val="1F4E79" w:themeColor="accent1" w:themeShade="80"/>
                <w:lang w:val="sr-Latn-ME"/>
              </w:rPr>
              <w:t xml:space="preserve"> i</w:t>
            </w:r>
            <w:r w:rsidRPr="001302F9">
              <w:rPr>
                <w:rFonts w:ascii="Arial" w:hAnsi="Arial" w:cs="Arial"/>
                <w:color w:val="1F4E79" w:themeColor="accent1" w:themeShade="80"/>
                <w:lang w:val="sr-Latn-ME"/>
              </w:rPr>
              <w:t xml:space="preserve"> budžetskoj i fiskalnoj odgovornosti</w:t>
            </w:r>
          </w:p>
        </w:tc>
        <w:tc>
          <w:tcPr>
            <w:tcW w:w="0" w:type="auto"/>
            <w:tcBorders>
              <w:top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c>
          <w:tcPr>
            <w:tcW w:w="0" w:type="auto"/>
            <w:tcBorders>
              <w:top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2</w:t>
            </w:r>
          </w:p>
        </w:tc>
      </w:tr>
      <w:tr w:rsidR="000F471C" w:rsidRPr="001302F9" w:rsidTr="00CB5F79">
        <w:trPr>
          <w:tblCellSpacing w:w="15" w:type="dxa"/>
        </w:trPr>
        <w:tc>
          <w:tcPr>
            <w:tcW w:w="3214" w:type="dxa"/>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Državna revizorska institucija</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Nezavisna, vrhovna institucija za reviziju koja vrši profesionalnu kontrolu budžetskih rashoda i upravljanja državnom imovinom</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3</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3</w:t>
            </w:r>
          </w:p>
        </w:tc>
      </w:tr>
      <w:tr w:rsidR="000F471C" w:rsidRPr="001302F9" w:rsidTr="00CB5F79">
        <w:trPr>
          <w:tblCellSpacing w:w="15" w:type="dxa"/>
        </w:trPr>
        <w:tc>
          <w:tcPr>
            <w:tcW w:w="3214" w:type="dxa"/>
            <w:tcBorders>
              <w:left w:val="single" w:sz="4" w:space="0" w:color="auto"/>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EU institucije</w:t>
            </w:r>
            <w:r w:rsidRPr="001302F9">
              <w:rPr>
                <w:rFonts w:ascii="Arial" w:hAnsi="Arial" w:cs="Arial"/>
                <w:color w:val="1F4E79" w:themeColor="accent1" w:themeShade="80"/>
                <w:lang w:val="sr-Latn-ME"/>
              </w:rPr>
              <w:t>:</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p>
        </w:tc>
      </w:tr>
      <w:tr w:rsidR="000F471C" w:rsidRPr="001302F9" w:rsidTr="00CB5F79">
        <w:trPr>
          <w:tblCellSpacing w:w="15" w:type="dxa"/>
        </w:trPr>
        <w:tc>
          <w:tcPr>
            <w:tcW w:w="3214" w:type="dxa"/>
            <w:tcBorders>
              <w:top w:val="single" w:sz="4" w:space="0" w:color="auto"/>
              <w:left w:val="single" w:sz="4" w:space="0" w:color="auto"/>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OLAF</w:t>
            </w:r>
            <w:r w:rsidRPr="001302F9">
              <w:rPr>
                <w:rFonts w:ascii="Arial" w:hAnsi="Arial" w:cs="Arial"/>
                <w:color w:val="1F4E79" w:themeColor="accent1" w:themeShade="80"/>
                <w:lang w:val="sr-Latn-ME"/>
              </w:rPr>
              <w:t xml:space="preserve"> – Evropska kancelarija za borbu protiv prevara</w:t>
            </w:r>
          </w:p>
        </w:tc>
        <w:tc>
          <w:tcPr>
            <w:tcW w:w="0" w:type="auto"/>
            <w:tcBorders>
              <w:top w:val="single" w:sz="4" w:space="0" w:color="auto"/>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 xml:space="preserve">Radi na zaštiti finansijskih interesa EU u zemljama </w:t>
            </w:r>
            <w:r w:rsidR="004F2348">
              <w:rPr>
                <w:rFonts w:ascii="Arial" w:hAnsi="Arial" w:cs="Arial"/>
                <w:color w:val="1F4E79" w:themeColor="accent1" w:themeShade="80"/>
                <w:lang w:val="sr-Latn-ME"/>
              </w:rPr>
              <w:t xml:space="preserve">članicama i </w:t>
            </w:r>
            <w:r w:rsidRPr="001302F9">
              <w:rPr>
                <w:rFonts w:ascii="Arial" w:hAnsi="Arial" w:cs="Arial"/>
                <w:color w:val="1F4E79" w:themeColor="accent1" w:themeShade="80"/>
                <w:lang w:val="sr-Latn-ME"/>
              </w:rPr>
              <w:t>kandidatima, prima izv</w:t>
            </w:r>
            <w:r w:rsidR="004F2348">
              <w:rPr>
                <w:rFonts w:ascii="Arial" w:hAnsi="Arial" w:cs="Arial"/>
                <w:color w:val="1F4E79" w:themeColor="accent1" w:themeShade="80"/>
                <w:lang w:val="sr-Latn-ME"/>
              </w:rPr>
              <w:t>j</w:t>
            </w:r>
            <w:r w:rsidRPr="001302F9">
              <w:rPr>
                <w:rFonts w:ascii="Arial" w:hAnsi="Arial" w:cs="Arial"/>
                <w:color w:val="1F4E79" w:themeColor="accent1" w:themeShade="80"/>
                <w:lang w:val="sr-Latn-ME"/>
              </w:rPr>
              <w:t>eštaje o nepravilnostima putem IMS-a i vrši nezavisne administrativne istrage</w:t>
            </w:r>
          </w:p>
        </w:tc>
        <w:tc>
          <w:tcPr>
            <w:tcW w:w="0" w:type="auto"/>
            <w:tcBorders>
              <w:top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5</w:t>
            </w:r>
          </w:p>
        </w:tc>
        <w:tc>
          <w:tcPr>
            <w:tcW w:w="0" w:type="auto"/>
            <w:tcBorders>
              <w:top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5</w:t>
            </w:r>
          </w:p>
        </w:tc>
      </w:tr>
      <w:tr w:rsidR="000F471C" w:rsidRPr="001302F9" w:rsidTr="00CB5F79">
        <w:trPr>
          <w:tblCellSpacing w:w="15" w:type="dxa"/>
        </w:trPr>
        <w:tc>
          <w:tcPr>
            <w:tcW w:w="3214" w:type="dxa"/>
            <w:tcBorders>
              <w:top w:val="single" w:sz="4" w:space="0" w:color="auto"/>
              <w:left w:val="single" w:sz="4" w:space="0" w:color="auto"/>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EPPO</w:t>
            </w:r>
            <w:r w:rsidRPr="001302F9">
              <w:rPr>
                <w:rFonts w:ascii="Arial" w:hAnsi="Arial" w:cs="Arial"/>
                <w:color w:val="1F4E79" w:themeColor="accent1" w:themeShade="80"/>
                <w:lang w:val="sr-Latn-ME"/>
              </w:rPr>
              <w:t xml:space="preserve"> – Evropska kancelarija javnog tužioca</w:t>
            </w:r>
          </w:p>
        </w:tc>
        <w:tc>
          <w:tcPr>
            <w:tcW w:w="0" w:type="auto"/>
            <w:tcBorders>
              <w:top w:val="single" w:sz="4" w:space="0" w:color="auto"/>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 xml:space="preserve">Nezavisno tijelo Evropske unije koje je odgovorno za istragu i krivično gonjenje ozbiljnih prekršaja koji utiču na finansijske interese EU, kao što su prevara, korupcija, i zloupotreba EU sredstava. </w:t>
            </w:r>
            <w:r w:rsidR="004F2348">
              <w:rPr>
                <w:rFonts w:ascii="Arial" w:hAnsi="Arial" w:cs="Arial"/>
                <w:color w:val="1F4E79" w:themeColor="accent1" w:themeShade="80"/>
                <w:lang w:val="sr-Latn-ME"/>
              </w:rPr>
              <w:t>I</w:t>
            </w:r>
            <w:r w:rsidRPr="001302F9">
              <w:rPr>
                <w:rFonts w:ascii="Arial" w:hAnsi="Arial" w:cs="Arial"/>
                <w:color w:val="1F4E79" w:themeColor="accent1" w:themeShade="80"/>
                <w:lang w:val="sr-Latn-ME"/>
              </w:rPr>
              <w:t>ma ovlašćenje da istražuje i procesuira prekršaje protiv EU budžeta, kako na teritoriji članica EU, tako i u zemljama koje su u procesu pristupanja EU</w:t>
            </w:r>
          </w:p>
        </w:tc>
        <w:tc>
          <w:tcPr>
            <w:tcW w:w="0" w:type="auto"/>
            <w:tcBorders>
              <w:top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5</w:t>
            </w:r>
          </w:p>
        </w:tc>
        <w:tc>
          <w:tcPr>
            <w:tcW w:w="0" w:type="auto"/>
            <w:tcBorders>
              <w:top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r>
      <w:tr w:rsidR="000F471C" w:rsidRPr="001302F9" w:rsidTr="00CB5F79">
        <w:trPr>
          <w:tblCellSpacing w:w="15" w:type="dxa"/>
        </w:trPr>
        <w:tc>
          <w:tcPr>
            <w:tcW w:w="3214" w:type="dxa"/>
            <w:tcBorders>
              <w:left w:val="single" w:sz="4" w:space="0" w:color="auto"/>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Evropska komisija (DG NEAR, DG AGRI, druge službe)</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Dodjeljuje pretpristupna sredstva unutar višegodišnjeg finansijskog okvira , a odgovornost je Crne Gore kao korisnika za pravilno upravljanje tim fondovima</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5</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4</w:t>
            </w:r>
          </w:p>
        </w:tc>
      </w:tr>
      <w:tr w:rsidR="000F471C" w:rsidRPr="001302F9" w:rsidTr="00CB5F79">
        <w:trPr>
          <w:tblCellSpacing w:w="15" w:type="dxa"/>
        </w:trPr>
        <w:tc>
          <w:tcPr>
            <w:tcW w:w="3214" w:type="dxa"/>
            <w:tcBorders>
              <w:left w:val="single" w:sz="4" w:space="0" w:color="auto"/>
              <w:bottom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b/>
                <w:bCs/>
                <w:color w:val="1F4E79" w:themeColor="accent1" w:themeShade="80"/>
                <w:lang w:val="sr-Latn-ME"/>
              </w:rPr>
              <w:t>ECA</w:t>
            </w:r>
            <w:r w:rsidRPr="001302F9">
              <w:rPr>
                <w:rFonts w:ascii="Arial" w:hAnsi="Arial" w:cs="Arial"/>
                <w:color w:val="1F4E79" w:themeColor="accent1" w:themeShade="80"/>
                <w:lang w:val="sr-Latn-ME"/>
              </w:rPr>
              <w:t xml:space="preserve"> – Evropski revizorski sud</w:t>
            </w:r>
          </w:p>
        </w:tc>
        <w:tc>
          <w:tcPr>
            <w:tcW w:w="0" w:type="auto"/>
            <w:tcBorders>
              <w:left w:val="single" w:sz="4" w:space="0" w:color="auto"/>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 xml:space="preserve">Izvršavanje nezavisnih </w:t>
            </w:r>
            <w:r w:rsidR="007022AF">
              <w:rPr>
                <w:rFonts w:ascii="Arial" w:hAnsi="Arial" w:cs="Arial"/>
                <w:color w:val="1F4E79" w:themeColor="accent1" w:themeShade="80"/>
                <w:lang w:val="sr-Latn-ME"/>
              </w:rPr>
              <w:t>eksternih</w:t>
            </w:r>
            <w:r w:rsidRPr="001302F9">
              <w:rPr>
                <w:rFonts w:ascii="Arial" w:hAnsi="Arial" w:cs="Arial"/>
                <w:color w:val="1F4E79" w:themeColor="accent1" w:themeShade="80"/>
                <w:lang w:val="sr-Latn-ME"/>
              </w:rPr>
              <w:t xml:space="preserve"> revizija za cijelu potrošnju budžeta EU, uključujući pretpristupne fondove</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5</w:t>
            </w:r>
          </w:p>
        </w:tc>
        <w:tc>
          <w:tcPr>
            <w:tcW w:w="0" w:type="auto"/>
            <w:tcBorders>
              <w:bottom w:val="single" w:sz="4" w:space="0" w:color="auto"/>
              <w:right w:val="single" w:sz="4" w:space="0" w:color="auto"/>
            </w:tcBorders>
            <w:vAlign w:val="center"/>
            <w:hideMark/>
          </w:tcPr>
          <w:p w:rsidR="000F471C" w:rsidRPr="001302F9" w:rsidRDefault="000F471C" w:rsidP="00CB5F79">
            <w:pPr>
              <w:rPr>
                <w:rFonts w:ascii="Arial" w:hAnsi="Arial" w:cs="Arial"/>
                <w:color w:val="1F4E79" w:themeColor="accent1" w:themeShade="80"/>
                <w:lang w:val="sr-Latn-ME"/>
              </w:rPr>
            </w:pPr>
            <w:r w:rsidRPr="001302F9">
              <w:rPr>
                <w:rFonts w:ascii="Arial" w:hAnsi="Arial" w:cs="Arial"/>
                <w:color w:val="1F4E79" w:themeColor="accent1" w:themeShade="80"/>
                <w:lang w:val="sr-Latn-ME"/>
              </w:rPr>
              <w:t>3</w:t>
            </w:r>
          </w:p>
        </w:tc>
      </w:tr>
    </w:tbl>
    <w:p w:rsidR="000F471C" w:rsidRPr="001302F9" w:rsidRDefault="000F471C" w:rsidP="000F471C">
      <w:pPr>
        <w:rPr>
          <w:rFonts w:ascii="Arial" w:hAnsi="Arial" w:cs="Arial"/>
          <w:lang w:val="sr-Latn-ME"/>
        </w:rPr>
      </w:pPr>
    </w:p>
    <w:p w:rsidR="000F471C" w:rsidRPr="001302F9" w:rsidRDefault="000F471C" w:rsidP="000F471C">
      <w:pPr>
        <w:jc w:val="both"/>
        <w:rPr>
          <w:rFonts w:ascii="Arial" w:hAnsi="Arial" w:cs="Arial"/>
          <w:lang w:val="sr-Latn-ME"/>
        </w:rPr>
      </w:pPr>
      <w:r w:rsidRPr="001302F9">
        <w:rPr>
          <w:rFonts w:ascii="Arial" w:hAnsi="Arial" w:cs="Arial"/>
          <w:lang w:val="sr-Latn-ME"/>
        </w:rPr>
        <w:t xml:space="preserve">Naime izvršena klasifikacija zainteresovanih strana pomaže u  njihovom  grupisanju prema  </w:t>
      </w:r>
      <w:r w:rsidR="007022AF" w:rsidRPr="001302F9">
        <w:rPr>
          <w:rFonts w:ascii="Arial" w:hAnsi="Arial" w:cs="Arial"/>
          <w:lang w:val="sr-Latn-ME"/>
        </w:rPr>
        <w:t xml:space="preserve">interesu </w:t>
      </w:r>
      <w:r w:rsidR="007022AF">
        <w:rPr>
          <w:rFonts w:ascii="Arial" w:hAnsi="Arial" w:cs="Arial"/>
          <w:lang w:val="sr-Latn-ME"/>
        </w:rPr>
        <w:t xml:space="preserve">i </w:t>
      </w:r>
      <w:r w:rsidRPr="001302F9">
        <w:rPr>
          <w:rFonts w:ascii="Arial" w:hAnsi="Arial" w:cs="Arial"/>
          <w:lang w:val="sr-Latn-ME"/>
        </w:rPr>
        <w:t xml:space="preserve">uticaju u oblasti zaštite finansijskih interesa EU. Ova klasifikacija pomaže u identifikovanju ključnih zainteresovanih strana kojima bi trebalo dodijeliti glavne zadatke i aktivnosti </w:t>
      </w:r>
      <w:r w:rsidR="00A91374">
        <w:rPr>
          <w:rFonts w:ascii="Arial" w:hAnsi="Arial" w:cs="Arial"/>
          <w:lang w:val="sr-Latn-ME"/>
        </w:rPr>
        <w:t>u sklopu</w:t>
      </w:r>
      <w:r w:rsidRPr="001302F9">
        <w:rPr>
          <w:rFonts w:ascii="Arial" w:hAnsi="Arial" w:cs="Arial"/>
          <w:lang w:val="sr-Latn-ME"/>
        </w:rPr>
        <w:t xml:space="preserve"> Strategije, </w:t>
      </w:r>
      <w:r w:rsidR="00A91374">
        <w:rPr>
          <w:rFonts w:ascii="Arial" w:hAnsi="Arial" w:cs="Arial"/>
          <w:lang w:val="sr-Latn-ME"/>
        </w:rPr>
        <w:t xml:space="preserve">a </w:t>
      </w:r>
      <w:r w:rsidRPr="001302F9">
        <w:rPr>
          <w:rFonts w:ascii="Arial" w:hAnsi="Arial" w:cs="Arial"/>
          <w:lang w:val="sr-Latn-ME"/>
        </w:rPr>
        <w:t xml:space="preserve">kako bi se izbjeglo dodjeljivanje nepotrebnih zadataka i aktivnosti </w:t>
      </w:r>
      <w:r w:rsidR="00A91374">
        <w:rPr>
          <w:rFonts w:ascii="Arial" w:hAnsi="Arial" w:cs="Arial"/>
          <w:lang w:val="sr-Latn-ME"/>
        </w:rPr>
        <w:t>tijelima koja</w:t>
      </w:r>
      <w:r w:rsidRPr="001302F9">
        <w:rPr>
          <w:rFonts w:ascii="Arial" w:hAnsi="Arial" w:cs="Arial"/>
          <w:lang w:val="sr-Latn-ME"/>
        </w:rPr>
        <w:t xml:space="preserve"> nisu dovoljno angažovan</w:t>
      </w:r>
      <w:r w:rsidR="00A91374">
        <w:rPr>
          <w:rFonts w:ascii="Arial" w:hAnsi="Arial" w:cs="Arial"/>
          <w:lang w:val="sr-Latn-ME"/>
        </w:rPr>
        <w:t>a i/ili u stanju</w:t>
      </w:r>
      <w:r w:rsidRPr="001302F9">
        <w:rPr>
          <w:rFonts w:ascii="Arial" w:hAnsi="Arial" w:cs="Arial"/>
          <w:lang w:val="sr-Latn-ME"/>
        </w:rPr>
        <w:t xml:space="preserve"> da implementiraju aktivnosti </w:t>
      </w:r>
      <w:r w:rsidR="00A91374" w:rsidRPr="001302F9">
        <w:rPr>
          <w:rFonts w:ascii="Arial" w:hAnsi="Arial" w:cs="Arial"/>
          <w:lang w:val="sr-Latn-ME"/>
        </w:rPr>
        <w:t xml:space="preserve">u zadatim rokovima i </w:t>
      </w:r>
      <w:r w:rsidRPr="001302F9">
        <w:rPr>
          <w:rFonts w:ascii="Arial" w:hAnsi="Arial" w:cs="Arial"/>
          <w:lang w:val="sr-Latn-ME"/>
        </w:rPr>
        <w:t>sa potrebnom posvećenošću.</w:t>
      </w:r>
    </w:p>
    <w:p w:rsidR="000F471C" w:rsidRPr="001302F9" w:rsidRDefault="000F471C" w:rsidP="000F471C">
      <w:pPr>
        <w:rPr>
          <w:rFonts w:ascii="Arial" w:hAnsi="Arial" w:cs="Arial"/>
          <w:lang w:val="sr-Latn-ME"/>
        </w:rPr>
      </w:pPr>
    </w:p>
    <w:p w:rsidR="000F471C" w:rsidRPr="001302F9" w:rsidRDefault="000F471C" w:rsidP="000F471C">
      <w:pPr>
        <w:shd w:val="clear" w:color="auto" w:fill="FFFFFF"/>
        <w:spacing w:before="120" w:after="120" w:line="240" w:lineRule="auto"/>
        <w:jc w:val="center"/>
        <w:rPr>
          <w:rFonts w:ascii="Arial" w:eastAsia="Times New Roman" w:hAnsi="Arial" w:cs="Arial"/>
          <w:b/>
          <w:color w:val="000000"/>
          <w:lang w:val="sr-Latn-ME" w:eastAsia="x-none"/>
        </w:rPr>
      </w:pPr>
      <w:r w:rsidRPr="001302F9">
        <w:rPr>
          <w:rFonts w:ascii="Arial" w:eastAsia="Times New Roman" w:hAnsi="Arial" w:cs="Arial"/>
          <w:b/>
          <w:color w:val="000000"/>
          <w:lang w:val="sr-Latn-ME" w:eastAsia="x-none"/>
        </w:rPr>
        <w:t>Interes –</w:t>
      </w:r>
      <w:r w:rsidR="00C04F98">
        <w:rPr>
          <w:rFonts w:ascii="Arial" w:eastAsia="Times New Roman" w:hAnsi="Arial" w:cs="Arial"/>
          <w:b/>
          <w:color w:val="000000"/>
          <w:lang w:val="sr-Latn-ME" w:eastAsia="x-none"/>
        </w:rPr>
        <w:t xml:space="preserve"> Uticaj </w:t>
      </w:r>
      <w:r w:rsidRPr="001302F9">
        <w:rPr>
          <w:rFonts w:ascii="Arial" w:eastAsia="Times New Roman" w:hAnsi="Arial" w:cs="Arial"/>
          <w:b/>
          <w:color w:val="000000"/>
          <w:lang w:val="sr-Latn-ME" w:eastAsia="x-none"/>
        </w:rPr>
        <w:t>matri</w:t>
      </w:r>
      <w:r w:rsidR="00C04F98">
        <w:rPr>
          <w:rFonts w:ascii="Arial" w:eastAsia="Times New Roman" w:hAnsi="Arial" w:cs="Arial"/>
          <w:b/>
          <w:color w:val="000000"/>
          <w:lang w:val="sr-Latn-ME" w:eastAsia="x-none"/>
        </w:rPr>
        <w:t>ca</w:t>
      </w:r>
      <w:r w:rsidRPr="001302F9">
        <w:rPr>
          <w:rFonts w:ascii="Arial" w:eastAsia="Times New Roman" w:hAnsi="Arial" w:cs="Arial"/>
          <w:b/>
          <w:color w:val="000000"/>
          <w:lang w:val="sr-Latn-ME" w:eastAsia="x-none"/>
        </w:rPr>
        <w:t xml:space="preserve"> </w:t>
      </w:r>
      <w:r w:rsidR="00C04F98">
        <w:rPr>
          <w:rFonts w:ascii="Arial" w:eastAsia="Times New Roman" w:hAnsi="Arial" w:cs="Arial"/>
          <w:b/>
          <w:color w:val="000000"/>
          <w:lang w:val="sr-Latn-ME" w:eastAsia="x-none"/>
        </w:rPr>
        <w:t>zainteresovanih strana</w:t>
      </w:r>
    </w:p>
    <w:p w:rsidR="000F471C" w:rsidRPr="001302F9" w:rsidRDefault="00C04F98" w:rsidP="000F471C">
      <w:pPr>
        <w:rPr>
          <w:rFonts w:ascii="Arial" w:hAnsi="Arial" w:cs="Arial"/>
          <w:lang w:val="sr-Latn-ME"/>
        </w:rPr>
      </w:pPr>
      <w:r w:rsidRPr="00C04F98">
        <w:rPr>
          <w:noProof/>
        </w:rPr>
        <w:drawing>
          <wp:inline distT="0" distB="0" distL="0" distR="0" wp14:anchorId="23BA695A" wp14:editId="5543B1D4">
            <wp:extent cx="5637530" cy="3387907"/>
            <wp:effectExtent l="0" t="0" r="127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45220" cy="3392528"/>
                    </a:xfrm>
                    <a:prstGeom prst="rect">
                      <a:avLst/>
                    </a:prstGeom>
                  </pic:spPr>
                </pic:pic>
              </a:graphicData>
            </a:graphic>
          </wp:inline>
        </w:drawing>
      </w:r>
      <w:r w:rsidRPr="00C04F98">
        <w:t xml:space="preserve"> </w:t>
      </w:r>
    </w:p>
    <w:p w:rsidR="000F471C" w:rsidRDefault="000F471C" w:rsidP="000F471C">
      <w:pPr>
        <w:jc w:val="both"/>
        <w:rPr>
          <w:rFonts w:ascii="Arial" w:hAnsi="Arial" w:cs="Arial"/>
          <w:lang w:val="sr-Latn-ME"/>
        </w:rPr>
      </w:pPr>
      <w:r w:rsidRPr="001302F9">
        <w:rPr>
          <w:rFonts w:ascii="Arial" w:hAnsi="Arial" w:cs="Arial"/>
          <w:lang w:val="sr-Latn-ME"/>
        </w:rPr>
        <w:t xml:space="preserve">Na ovaj način, identifikovane su ciljne grupe Strategije i kreirane aktivnosti za njihovo uključivanje u implementaciju Akcionog plana. Može se zaključiti da institucije sa najvećim interesovanjem za razvoj Strategije i zaštitu finansijskih interesa EU nisu uvijek najuticajnije u implementaciji ključnih aktivnosti potrebnih za pravilnu zaštitu, kako EU, tako i nacionalnih javnih sredstava. Važno je napomenuti da u matrici nema mnogo institucija sa niskim interesovanjem i/ili niskim uticajem u odnosu na Strategiju , zbog činjenice da su potencijalni akteri koji nemaju direktnu odgovornost i doprinos Strategiji (kao što su izvođači/korisnici EU </w:t>
      </w:r>
      <w:r w:rsidR="00A70B58">
        <w:rPr>
          <w:rFonts w:ascii="Arial" w:hAnsi="Arial" w:cs="Arial"/>
          <w:lang w:val="sr-Latn-ME"/>
        </w:rPr>
        <w:t>sredstava</w:t>
      </w:r>
      <w:r w:rsidRPr="001302F9">
        <w:rPr>
          <w:rFonts w:ascii="Arial" w:hAnsi="Arial" w:cs="Arial"/>
          <w:lang w:val="sr-Latn-ME"/>
        </w:rPr>
        <w:t xml:space="preserve">, poreski obveznici EU i Crne Gore, kao i crnogosko društvo uopšte) isključeni iz ove analize, kako je već pomenuto u </w:t>
      </w:r>
      <w:r w:rsidR="00A70B58">
        <w:rPr>
          <w:rFonts w:ascii="Arial" w:hAnsi="Arial" w:cs="Arial"/>
          <w:lang w:val="sr-Latn-ME"/>
        </w:rPr>
        <w:t>poglavlju</w:t>
      </w:r>
      <w:r w:rsidRPr="001302F9">
        <w:rPr>
          <w:rFonts w:ascii="Arial" w:hAnsi="Arial" w:cs="Arial"/>
          <w:lang w:val="sr-Latn-ME"/>
        </w:rPr>
        <w:t xml:space="preserve"> 2.5.1.</w:t>
      </w:r>
    </w:p>
    <w:p w:rsidR="007B0E8C" w:rsidRPr="001302F9" w:rsidRDefault="007B0E8C" w:rsidP="000F471C">
      <w:pPr>
        <w:jc w:val="both"/>
        <w:rPr>
          <w:rFonts w:ascii="Arial" w:hAnsi="Arial" w:cs="Arial"/>
          <w:lang w:val="sr-Latn-ME"/>
        </w:rPr>
      </w:pPr>
    </w:p>
    <w:p w:rsidR="000F471C" w:rsidRPr="001302F9" w:rsidRDefault="000F471C" w:rsidP="000F471C">
      <w:pPr>
        <w:jc w:val="both"/>
        <w:rPr>
          <w:rFonts w:ascii="Arial" w:hAnsi="Arial" w:cs="Arial"/>
          <w:lang w:val="sr-Latn-ME"/>
        </w:rPr>
      </w:pPr>
    </w:p>
    <w:p w:rsidR="00A70B58" w:rsidRDefault="000F471C" w:rsidP="000F471C">
      <w:pPr>
        <w:jc w:val="both"/>
        <w:rPr>
          <w:rFonts w:ascii="Arial" w:hAnsi="Arial" w:cs="Arial"/>
          <w:lang w:val="sr-Latn-ME"/>
        </w:rPr>
      </w:pPr>
      <w:r w:rsidRPr="00A70B58">
        <w:rPr>
          <w:rFonts w:ascii="Arial" w:hAnsi="Arial" w:cs="Arial"/>
          <w:b/>
          <w:lang w:val="sr-Latn-ME"/>
        </w:rPr>
        <w:t xml:space="preserve">2.6. Analiza trenutnog stanja u svim fazama ciklusa borbe protiv </w:t>
      </w:r>
      <w:r w:rsidR="00EF67BE">
        <w:rPr>
          <w:rFonts w:ascii="Arial" w:hAnsi="Arial" w:cs="Arial"/>
          <w:b/>
          <w:lang w:val="sr-Latn-ME"/>
        </w:rPr>
        <w:t>nepravilnost</w:t>
      </w:r>
      <w:r w:rsidR="005656D0">
        <w:rPr>
          <w:rFonts w:ascii="Arial" w:hAnsi="Arial" w:cs="Arial"/>
          <w:b/>
          <w:lang w:val="sr-Latn-ME"/>
        </w:rPr>
        <w:t xml:space="preserve">i </w:t>
      </w:r>
      <w:r w:rsidR="00EF67BE">
        <w:rPr>
          <w:rFonts w:ascii="Arial" w:hAnsi="Arial" w:cs="Arial"/>
          <w:b/>
          <w:lang w:val="sr-Latn-ME"/>
        </w:rPr>
        <w:t xml:space="preserve">i </w:t>
      </w:r>
      <w:r w:rsidRPr="00A70B58">
        <w:rPr>
          <w:rFonts w:ascii="Arial" w:hAnsi="Arial" w:cs="Arial"/>
          <w:b/>
          <w:lang w:val="sr-Latn-ME"/>
        </w:rPr>
        <w:t>prevara</w:t>
      </w:r>
    </w:p>
    <w:p w:rsidR="000F471C" w:rsidRPr="001302F9" w:rsidRDefault="000F471C" w:rsidP="000F471C">
      <w:pPr>
        <w:jc w:val="both"/>
        <w:rPr>
          <w:rFonts w:ascii="Arial" w:hAnsi="Arial" w:cs="Arial"/>
          <w:lang w:val="sr-Latn-ME"/>
        </w:rPr>
      </w:pPr>
      <w:r w:rsidRPr="001302F9">
        <w:rPr>
          <w:rFonts w:ascii="Arial" w:hAnsi="Arial" w:cs="Arial"/>
          <w:lang w:val="sr-Latn-ME"/>
        </w:rPr>
        <w:br/>
        <w:t>Smjernice EK o nacionalnim strategijama za borbu protiv prevara propisuju da Strategija treba da razmotri svaku fazu ciklusa u borbi borbu protiv prevara:</w:t>
      </w:r>
    </w:p>
    <w:p w:rsidR="000F471C" w:rsidRPr="001302F9" w:rsidRDefault="000F471C" w:rsidP="000F471C">
      <w:pPr>
        <w:jc w:val="both"/>
        <w:rPr>
          <w:rFonts w:ascii="Arial" w:hAnsi="Arial" w:cs="Arial"/>
          <w:lang w:val="sr-Latn-ME"/>
        </w:rPr>
      </w:pPr>
      <w:r w:rsidRPr="001302F9">
        <w:rPr>
          <w:rFonts w:ascii="Arial" w:hAnsi="Arial" w:cs="Arial"/>
          <w:lang w:val="sr-Latn-ME"/>
        </w:rPr>
        <w:t xml:space="preserve">                                     </w:t>
      </w:r>
      <w:r w:rsidR="00C04F98" w:rsidRPr="00C04F98">
        <w:rPr>
          <w:noProof/>
        </w:rPr>
        <w:drawing>
          <wp:inline distT="0" distB="0" distL="0" distR="0" wp14:anchorId="0E5CCCC5" wp14:editId="0F369938">
            <wp:extent cx="3429861" cy="22034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482643" cy="2237359"/>
                    </a:xfrm>
                    <a:prstGeom prst="rect">
                      <a:avLst/>
                    </a:prstGeom>
                  </pic:spPr>
                </pic:pic>
              </a:graphicData>
            </a:graphic>
          </wp:inline>
        </w:drawing>
      </w:r>
    </w:p>
    <w:p w:rsidR="000F471C" w:rsidRPr="001302F9" w:rsidRDefault="000F471C" w:rsidP="000F471C">
      <w:pPr>
        <w:jc w:val="both"/>
        <w:rPr>
          <w:rFonts w:ascii="Arial" w:hAnsi="Arial" w:cs="Arial"/>
          <w:lang w:val="sr-Latn-ME"/>
        </w:rPr>
      </w:pPr>
    </w:p>
    <w:p w:rsidR="000F471C" w:rsidRPr="001302F9" w:rsidRDefault="00E96A68" w:rsidP="000F471C">
      <w:pPr>
        <w:jc w:val="both"/>
        <w:rPr>
          <w:rFonts w:ascii="Arial" w:hAnsi="Arial" w:cs="Arial"/>
          <w:lang w:val="sr-Latn-ME"/>
        </w:rPr>
      </w:pPr>
      <w:r>
        <w:rPr>
          <w:rFonts w:ascii="Arial" w:hAnsi="Arial" w:cs="Arial"/>
          <w:lang w:val="sr-Latn-ME"/>
        </w:rPr>
        <w:t>U cilju</w:t>
      </w:r>
      <w:r w:rsidR="000F471C" w:rsidRPr="001302F9">
        <w:rPr>
          <w:rFonts w:ascii="Arial" w:hAnsi="Arial" w:cs="Arial"/>
          <w:lang w:val="sr-Latn-ME"/>
        </w:rPr>
        <w:t xml:space="preserve"> uskla</w:t>
      </w:r>
      <w:r>
        <w:rPr>
          <w:rFonts w:ascii="Arial" w:hAnsi="Arial" w:cs="Arial"/>
          <w:lang w:val="sr-Latn-ME"/>
        </w:rPr>
        <w:t>đivanja sa</w:t>
      </w:r>
      <w:r w:rsidR="000F471C" w:rsidRPr="001302F9">
        <w:rPr>
          <w:rFonts w:ascii="Arial" w:hAnsi="Arial" w:cs="Arial"/>
          <w:lang w:val="sr-Latn-ME"/>
        </w:rPr>
        <w:t xml:space="preserve"> </w:t>
      </w:r>
      <w:r>
        <w:rPr>
          <w:rFonts w:ascii="Arial" w:hAnsi="Arial" w:cs="Arial"/>
          <w:lang w:val="sr-Latn-ME"/>
        </w:rPr>
        <w:t>navedenim</w:t>
      </w:r>
      <w:r w:rsidR="000F471C" w:rsidRPr="001302F9">
        <w:rPr>
          <w:rFonts w:ascii="Arial" w:hAnsi="Arial" w:cs="Arial"/>
          <w:lang w:val="sr-Latn-ME"/>
        </w:rPr>
        <w:t xml:space="preserve"> smjernica</w:t>
      </w:r>
      <w:r>
        <w:rPr>
          <w:rFonts w:ascii="Arial" w:hAnsi="Arial" w:cs="Arial"/>
          <w:lang w:val="sr-Latn-ME"/>
        </w:rPr>
        <w:t>ma</w:t>
      </w:r>
      <w:r w:rsidR="000F471C" w:rsidRPr="001302F9">
        <w:rPr>
          <w:rFonts w:ascii="Arial" w:hAnsi="Arial" w:cs="Arial"/>
          <w:lang w:val="sr-Latn-ME"/>
        </w:rPr>
        <w:t xml:space="preserve">, izvršena je analiza trenutnog stanja u okviru </w:t>
      </w:r>
      <w:r>
        <w:rPr>
          <w:rFonts w:ascii="Arial" w:hAnsi="Arial" w:cs="Arial"/>
          <w:lang w:val="sr-Latn-ME"/>
        </w:rPr>
        <w:t>svake faze</w:t>
      </w:r>
      <w:r w:rsidR="000F471C" w:rsidRPr="001302F9">
        <w:rPr>
          <w:rFonts w:ascii="Arial" w:hAnsi="Arial" w:cs="Arial"/>
          <w:lang w:val="sr-Latn-ME"/>
        </w:rPr>
        <w:t xml:space="preserve"> ciklusa borbe protiv</w:t>
      </w:r>
      <w:r w:rsidR="005656D0">
        <w:rPr>
          <w:rFonts w:ascii="Arial" w:hAnsi="Arial" w:cs="Arial"/>
          <w:lang w:val="sr-Latn-ME"/>
        </w:rPr>
        <w:t xml:space="preserve"> nepravilnosti i</w:t>
      </w:r>
      <w:r w:rsidR="000F471C" w:rsidRPr="001302F9">
        <w:rPr>
          <w:rFonts w:ascii="Arial" w:hAnsi="Arial" w:cs="Arial"/>
          <w:lang w:val="sr-Latn-ME"/>
        </w:rPr>
        <w:t xml:space="preserve"> prevara.</w:t>
      </w:r>
    </w:p>
    <w:p w:rsidR="000F471C" w:rsidRPr="00622BC6" w:rsidRDefault="000F471C" w:rsidP="000F471C">
      <w:pPr>
        <w:jc w:val="both"/>
        <w:rPr>
          <w:rFonts w:ascii="Arial" w:hAnsi="Arial" w:cs="Arial"/>
          <w:b/>
          <w:lang w:val="sr-Latn-ME"/>
        </w:rPr>
      </w:pPr>
      <w:r w:rsidRPr="00622BC6">
        <w:rPr>
          <w:rFonts w:ascii="Arial" w:hAnsi="Arial" w:cs="Arial"/>
          <w:b/>
          <w:lang w:val="sr-Latn-ME"/>
        </w:rPr>
        <w:t>2.6.1. Spr</w:t>
      </w:r>
      <w:r w:rsidR="00EF67BE">
        <w:rPr>
          <w:rFonts w:ascii="Arial" w:hAnsi="Arial" w:cs="Arial"/>
          <w:b/>
          <w:lang w:val="sr-Latn-ME"/>
        </w:rPr>
        <w:t>ij</w:t>
      </w:r>
      <w:r w:rsidRPr="00622BC6">
        <w:rPr>
          <w:rFonts w:ascii="Arial" w:hAnsi="Arial" w:cs="Arial"/>
          <w:b/>
          <w:lang w:val="sr-Latn-ME"/>
        </w:rPr>
        <w:t xml:space="preserve">ečavanje </w:t>
      </w:r>
      <w:r w:rsidR="005656D0">
        <w:rPr>
          <w:rFonts w:ascii="Arial" w:hAnsi="Arial" w:cs="Arial"/>
          <w:b/>
          <w:lang w:val="sr-Latn-ME"/>
        </w:rPr>
        <w:t xml:space="preserve">nepravilnosti i </w:t>
      </w:r>
      <w:r w:rsidRPr="00622BC6">
        <w:rPr>
          <w:rFonts w:ascii="Arial" w:hAnsi="Arial" w:cs="Arial"/>
          <w:b/>
          <w:lang w:val="sr-Latn-ME"/>
        </w:rPr>
        <w:t>prevara</w:t>
      </w:r>
    </w:p>
    <w:p w:rsidR="000F471C" w:rsidRPr="001302F9" w:rsidRDefault="000F471C" w:rsidP="000F471C">
      <w:pPr>
        <w:jc w:val="both"/>
        <w:rPr>
          <w:rFonts w:ascii="Arial" w:hAnsi="Arial" w:cs="Arial"/>
          <w:lang w:val="sr-Latn-ME"/>
        </w:rPr>
      </w:pPr>
      <w:r w:rsidRPr="001302F9">
        <w:rPr>
          <w:rFonts w:ascii="Arial" w:hAnsi="Arial" w:cs="Arial"/>
          <w:lang w:val="sr-Latn-ME"/>
        </w:rPr>
        <w:t>Spr</w:t>
      </w:r>
      <w:r w:rsidR="00EF67BE">
        <w:rPr>
          <w:rFonts w:ascii="Arial" w:hAnsi="Arial" w:cs="Arial"/>
          <w:lang w:val="sr-Latn-ME"/>
        </w:rPr>
        <w:t>ij</w:t>
      </w:r>
      <w:r w:rsidRPr="001302F9">
        <w:rPr>
          <w:rFonts w:ascii="Arial" w:hAnsi="Arial" w:cs="Arial"/>
          <w:lang w:val="sr-Latn-ME"/>
        </w:rPr>
        <w:t xml:space="preserve">ečavanje </w:t>
      </w:r>
      <w:r w:rsidR="00772979" w:rsidRPr="001302F9">
        <w:rPr>
          <w:rFonts w:ascii="Arial" w:hAnsi="Arial" w:cs="Arial"/>
          <w:lang w:val="sr-Latn-ME"/>
        </w:rPr>
        <w:t xml:space="preserve">prevara i </w:t>
      </w:r>
      <w:r w:rsidRPr="001302F9">
        <w:rPr>
          <w:rFonts w:ascii="Arial" w:hAnsi="Arial" w:cs="Arial"/>
          <w:lang w:val="sr-Latn-ME"/>
        </w:rPr>
        <w:t>nepravilnosti uključuje, između ostalog i:</w:t>
      </w:r>
    </w:p>
    <w:p w:rsidR="000F471C" w:rsidRPr="001302F9" w:rsidRDefault="000F471C" w:rsidP="000F471C">
      <w:pPr>
        <w:jc w:val="both"/>
        <w:rPr>
          <w:rFonts w:ascii="Arial" w:hAnsi="Arial" w:cs="Arial"/>
          <w:lang w:val="sr-Latn-ME"/>
        </w:rPr>
      </w:pPr>
      <w:r w:rsidRPr="001302F9">
        <w:rPr>
          <w:rFonts w:ascii="Arial" w:hAnsi="Arial" w:cs="Arial"/>
          <w:lang w:val="sr-Latn-ME"/>
        </w:rPr>
        <w:t xml:space="preserve">- jačanje administrativnih kapaciteta </w:t>
      </w:r>
      <w:r w:rsidR="00772979">
        <w:rPr>
          <w:rFonts w:ascii="Arial" w:hAnsi="Arial" w:cs="Arial"/>
          <w:lang w:val="sr-Latn-ME"/>
        </w:rPr>
        <w:t>institucija</w:t>
      </w:r>
      <w:r w:rsidRPr="001302F9">
        <w:rPr>
          <w:rFonts w:ascii="Arial" w:hAnsi="Arial" w:cs="Arial"/>
          <w:lang w:val="sr-Latn-ME"/>
        </w:rPr>
        <w:t xml:space="preserve"> koji učestvuju u zaštiti finansijskih interesa EU;</w:t>
      </w:r>
    </w:p>
    <w:p w:rsidR="000F471C" w:rsidRPr="001302F9" w:rsidRDefault="000F471C" w:rsidP="000F471C">
      <w:pPr>
        <w:jc w:val="both"/>
        <w:rPr>
          <w:rFonts w:ascii="Arial" w:hAnsi="Arial" w:cs="Arial"/>
          <w:lang w:val="sr-Latn-ME"/>
        </w:rPr>
      </w:pPr>
      <w:r w:rsidRPr="001302F9">
        <w:rPr>
          <w:rFonts w:ascii="Arial" w:hAnsi="Arial" w:cs="Arial"/>
          <w:lang w:val="sr-Latn-ME"/>
        </w:rPr>
        <w:t>- održavanje efikasnog upravljanja rizicima u oblasti nepravilnosti i prevara;</w:t>
      </w:r>
    </w:p>
    <w:p w:rsidR="000F471C" w:rsidRPr="001302F9" w:rsidRDefault="000F471C" w:rsidP="000F471C">
      <w:pPr>
        <w:jc w:val="both"/>
        <w:rPr>
          <w:rFonts w:ascii="Arial" w:hAnsi="Arial" w:cs="Arial"/>
          <w:lang w:val="sr-Latn-ME"/>
        </w:rPr>
      </w:pPr>
      <w:r w:rsidRPr="001302F9">
        <w:rPr>
          <w:rFonts w:ascii="Arial" w:hAnsi="Arial" w:cs="Arial"/>
          <w:lang w:val="sr-Latn-ME"/>
        </w:rPr>
        <w:t>- rad na efikasnoj komunikaciji i podizanju sv</w:t>
      </w:r>
      <w:r w:rsidR="00772979">
        <w:rPr>
          <w:rFonts w:ascii="Arial" w:hAnsi="Arial" w:cs="Arial"/>
          <w:lang w:val="sr-Latn-ME"/>
        </w:rPr>
        <w:t>ij</w:t>
      </w:r>
      <w:r w:rsidRPr="001302F9">
        <w:rPr>
          <w:rFonts w:ascii="Arial" w:hAnsi="Arial" w:cs="Arial"/>
          <w:lang w:val="sr-Latn-ME"/>
        </w:rPr>
        <w:t>esti javnosti;</w:t>
      </w:r>
    </w:p>
    <w:p w:rsidR="000F471C" w:rsidRPr="001302F9" w:rsidRDefault="000F471C" w:rsidP="000F471C">
      <w:pPr>
        <w:jc w:val="both"/>
        <w:rPr>
          <w:rFonts w:ascii="Arial" w:hAnsi="Arial" w:cs="Arial"/>
          <w:lang w:val="sr-Latn-ME"/>
        </w:rPr>
      </w:pPr>
      <w:r w:rsidRPr="001302F9">
        <w:rPr>
          <w:rFonts w:ascii="Arial" w:hAnsi="Arial" w:cs="Arial"/>
          <w:lang w:val="sr-Latn-ME"/>
        </w:rPr>
        <w:t>- promovisanje etike i integriteta u javnoj upravi;</w:t>
      </w:r>
    </w:p>
    <w:p w:rsidR="000F471C" w:rsidRPr="001302F9" w:rsidRDefault="000F471C" w:rsidP="000F471C">
      <w:pPr>
        <w:jc w:val="both"/>
        <w:rPr>
          <w:rFonts w:ascii="Arial" w:hAnsi="Arial" w:cs="Arial"/>
          <w:lang w:val="sr-Latn-ME"/>
        </w:rPr>
      </w:pPr>
      <w:r w:rsidRPr="001302F9">
        <w:rPr>
          <w:rFonts w:ascii="Arial" w:hAnsi="Arial" w:cs="Arial"/>
          <w:lang w:val="sr-Latn-ME"/>
        </w:rPr>
        <w:t>- zaštit</w:t>
      </w:r>
      <w:r w:rsidR="00772979">
        <w:rPr>
          <w:rFonts w:ascii="Arial" w:hAnsi="Arial" w:cs="Arial"/>
          <w:lang w:val="sr-Latn-ME"/>
        </w:rPr>
        <w:t>u</w:t>
      </w:r>
      <w:r w:rsidRPr="001302F9">
        <w:rPr>
          <w:rFonts w:ascii="Arial" w:hAnsi="Arial" w:cs="Arial"/>
          <w:lang w:val="sr-Latn-ME"/>
        </w:rPr>
        <w:t xml:space="preserve"> zviždača.</w:t>
      </w:r>
    </w:p>
    <w:p w:rsidR="000F471C" w:rsidRPr="00622BC6" w:rsidRDefault="000F471C" w:rsidP="000F471C">
      <w:pPr>
        <w:jc w:val="both"/>
        <w:rPr>
          <w:rFonts w:ascii="Arial" w:hAnsi="Arial" w:cs="Arial"/>
          <w:b/>
          <w:lang w:val="sr-Latn-ME"/>
        </w:rPr>
      </w:pPr>
      <w:r w:rsidRPr="00772979">
        <w:rPr>
          <w:rFonts w:ascii="Arial" w:hAnsi="Arial" w:cs="Arial"/>
          <w:lang w:val="sr-Latn-ME"/>
        </w:rPr>
        <w:t>•</w:t>
      </w:r>
      <w:r w:rsidRPr="001302F9">
        <w:rPr>
          <w:rFonts w:ascii="Arial" w:hAnsi="Arial" w:cs="Arial"/>
          <w:b/>
          <w:lang w:val="sr-Latn-ME"/>
        </w:rPr>
        <w:t xml:space="preserve"> </w:t>
      </w:r>
      <w:r w:rsidRPr="00772979">
        <w:rPr>
          <w:rFonts w:ascii="Arial" w:hAnsi="Arial" w:cs="Arial"/>
          <w:i/>
          <w:lang w:val="sr-Latn-ME"/>
        </w:rPr>
        <w:t xml:space="preserve">Jačanje administrativnih kapaciteta </w:t>
      </w:r>
      <w:r w:rsidR="00772979">
        <w:rPr>
          <w:rFonts w:ascii="Arial" w:hAnsi="Arial" w:cs="Arial"/>
          <w:i/>
          <w:lang w:val="sr-Latn-ME"/>
        </w:rPr>
        <w:t>institucija</w:t>
      </w:r>
      <w:r w:rsidRPr="00772979">
        <w:rPr>
          <w:rFonts w:ascii="Arial" w:hAnsi="Arial" w:cs="Arial"/>
          <w:i/>
          <w:lang w:val="sr-Latn-ME"/>
        </w:rPr>
        <w:t xml:space="preserve"> koji učestvuju u zaštiti finansijskih interesa EU</w:t>
      </w:r>
    </w:p>
    <w:p w:rsidR="000F471C" w:rsidRPr="001302F9" w:rsidRDefault="000F471C" w:rsidP="000F471C">
      <w:pPr>
        <w:jc w:val="both"/>
        <w:rPr>
          <w:rFonts w:ascii="Arial" w:hAnsi="Arial" w:cs="Arial"/>
          <w:lang w:val="sr-Latn-ME"/>
        </w:rPr>
      </w:pPr>
      <w:r w:rsidRPr="001302F9">
        <w:rPr>
          <w:rFonts w:ascii="Arial" w:hAnsi="Arial" w:cs="Arial"/>
          <w:lang w:val="sr-Latn-ME"/>
        </w:rPr>
        <w:t>Jačanje administrativnih kapaciteta odnosi se na sistematsko planiranje aktivnosti obuke, čiji je cilj unaprijeđenje znanja i vještina potrebnih za efikasno i efektivno obavljanje dodijeljenih funkcija  i zadataka (npr. poznavanje zakonskog okvira i procedura u vezi sa upravljanjem i implementacijom IPA II i IPA III, prepoznavanje indikatora za detekciju nepravilnosti i prevara</w:t>
      </w:r>
      <w:r w:rsidR="00772979">
        <w:rPr>
          <w:rFonts w:ascii="Arial" w:hAnsi="Arial" w:cs="Arial"/>
          <w:lang w:val="sr-Latn-ME"/>
        </w:rPr>
        <w:t xml:space="preserve"> itd.</w:t>
      </w:r>
      <w:r w:rsidRPr="001302F9">
        <w:rPr>
          <w:rFonts w:ascii="Arial" w:hAnsi="Arial" w:cs="Arial"/>
          <w:lang w:val="sr-Latn-ME"/>
        </w:rPr>
        <w:t xml:space="preserve">) tako da predstavlja važan faktor u borbi protiv nepravilnosti i prevara. Sistematski pristup jačanju administrativnih kapaciteta </w:t>
      </w:r>
      <w:r w:rsidR="00772979">
        <w:rPr>
          <w:rFonts w:ascii="Arial" w:hAnsi="Arial" w:cs="Arial"/>
          <w:lang w:val="sr-Latn-ME"/>
        </w:rPr>
        <w:t>institucija</w:t>
      </w:r>
      <w:r w:rsidRPr="001302F9">
        <w:rPr>
          <w:rFonts w:ascii="Arial" w:hAnsi="Arial" w:cs="Arial"/>
          <w:lang w:val="sr-Latn-ME"/>
        </w:rPr>
        <w:t xml:space="preserve"> koji učestvuju u zaštiti finansijskih interesa EU uključuje: </w:t>
      </w:r>
    </w:p>
    <w:p w:rsidR="000F471C" w:rsidRPr="001302F9" w:rsidRDefault="000F471C" w:rsidP="000F471C">
      <w:pPr>
        <w:jc w:val="both"/>
        <w:rPr>
          <w:rFonts w:ascii="Arial" w:hAnsi="Arial" w:cs="Arial"/>
          <w:lang w:val="sr-Latn-ME"/>
        </w:rPr>
      </w:pPr>
      <w:r w:rsidRPr="001302F9">
        <w:rPr>
          <w:rFonts w:ascii="Arial" w:hAnsi="Arial" w:cs="Arial"/>
          <w:lang w:val="sr-Latn-ME"/>
        </w:rPr>
        <w:t xml:space="preserve">- sprovođenje analize potreba za obukom na nivou </w:t>
      </w:r>
      <w:r w:rsidR="00772979">
        <w:rPr>
          <w:rFonts w:ascii="Arial" w:hAnsi="Arial" w:cs="Arial"/>
          <w:lang w:val="sr-Latn-ME"/>
        </w:rPr>
        <w:t>institucija</w:t>
      </w:r>
      <w:r w:rsidRPr="001302F9">
        <w:rPr>
          <w:rFonts w:ascii="Arial" w:hAnsi="Arial" w:cs="Arial"/>
          <w:lang w:val="sr-Latn-ME"/>
        </w:rPr>
        <w:t xml:space="preserve"> koji učestvuju u zaštiti finansijskih interesa EU u cilju procjene postojećih kapaciteta službenika, kao i identifikovanja nedostataka koje je potrebno </w:t>
      </w:r>
      <w:r w:rsidR="00772979">
        <w:rPr>
          <w:rFonts w:ascii="Arial" w:hAnsi="Arial" w:cs="Arial"/>
          <w:lang w:val="sr-Latn-ME"/>
        </w:rPr>
        <w:t>otkloniti</w:t>
      </w:r>
      <w:r w:rsidRPr="001302F9">
        <w:rPr>
          <w:rFonts w:ascii="Arial" w:hAnsi="Arial" w:cs="Arial"/>
          <w:lang w:val="sr-Latn-ME"/>
        </w:rPr>
        <w:t xml:space="preserve">; </w:t>
      </w:r>
    </w:p>
    <w:p w:rsidR="000F471C" w:rsidRPr="001302F9" w:rsidRDefault="000F471C" w:rsidP="000F471C">
      <w:pPr>
        <w:jc w:val="both"/>
        <w:rPr>
          <w:rFonts w:ascii="Arial" w:hAnsi="Arial" w:cs="Arial"/>
          <w:lang w:val="sr-Latn-ME"/>
        </w:rPr>
      </w:pPr>
      <w:r w:rsidRPr="001302F9">
        <w:rPr>
          <w:rFonts w:ascii="Arial" w:hAnsi="Arial" w:cs="Arial"/>
          <w:lang w:val="sr-Latn-ME"/>
        </w:rPr>
        <w:t xml:space="preserve">- usklađivanje programa obuke u skladu sa rezultatima sprovedene analize potreba za obukom, u cilju otklanjanja utvrđenih slabosti; </w:t>
      </w:r>
    </w:p>
    <w:p w:rsidR="000F471C" w:rsidRPr="001302F9" w:rsidRDefault="000F471C" w:rsidP="000F471C">
      <w:pPr>
        <w:jc w:val="both"/>
        <w:rPr>
          <w:rFonts w:ascii="Arial" w:hAnsi="Arial" w:cs="Arial"/>
          <w:lang w:val="sr-Latn-ME"/>
        </w:rPr>
      </w:pPr>
      <w:r w:rsidRPr="001302F9">
        <w:rPr>
          <w:rFonts w:ascii="Arial" w:hAnsi="Arial" w:cs="Arial"/>
          <w:lang w:val="sr-Latn-ME"/>
        </w:rPr>
        <w:t xml:space="preserve">- praćenje i evaluacija uspostavljenih programa obuke. </w:t>
      </w:r>
    </w:p>
    <w:p w:rsidR="000F471C" w:rsidRPr="001302F9" w:rsidRDefault="000F471C" w:rsidP="000F471C">
      <w:pPr>
        <w:jc w:val="both"/>
        <w:rPr>
          <w:rFonts w:ascii="Arial" w:hAnsi="Arial" w:cs="Arial"/>
          <w:lang w:val="sr-Latn-ME"/>
        </w:rPr>
      </w:pPr>
      <w:r w:rsidRPr="001302F9">
        <w:rPr>
          <w:rFonts w:ascii="Arial" w:hAnsi="Arial" w:cs="Arial"/>
          <w:lang w:val="sr-Latn-ME"/>
        </w:rPr>
        <w:t>Sprovođenje aktivnosti obuke već je započelo tokom implementacije Strategije 2019-2022 pripremom analize potreba za obukom. Na osnovu rezultata analize, preporučen je indikativni plan obuk</w:t>
      </w:r>
      <w:r w:rsidR="00F273E0">
        <w:rPr>
          <w:rFonts w:ascii="Arial" w:hAnsi="Arial" w:cs="Arial"/>
          <w:lang w:val="sr-Latn-ME"/>
        </w:rPr>
        <w:t>a</w:t>
      </w:r>
      <w:r w:rsidRPr="001302F9">
        <w:rPr>
          <w:rFonts w:ascii="Arial" w:hAnsi="Arial" w:cs="Arial"/>
          <w:lang w:val="sr-Latn-ME"/>
        </w:rPr>
        <w:t xml:space="preserve"> i katalog obuk</w:t>
      </w:r>
      <w:r w:rsidR="00C2413F">
        <w:rPr>
          <w:rFonts w:ascii="Arial" w:hAnsi="Arial" w:cs="Arial"/>
          <w:lang w:val="sr-Latn-ME"/>
        </w:rPr>
        <w:t>a</w:t>
      </w:r>
      <w:r w:rsidRPr="001302F9">
        <w:rPr>
          <w:rFonts w:ascii="Arial" w:hAnsi="Arial" w:cs="Arial"/>
          <w:lang w:val="sr-Latn-ME"/>
        </w:rPr>
        <w:t xml:space="preserve"> za period 2019. – 2021. Pandemija COVID 19 je uticala na </w:t>
      </w:r>
      <w:r w:rsidR="00F273E0">
        <w:rPr>
          <w:rFonts w:ascii="Arial" w:hAnsi="Arial" w:cs="Arial"/>
          <w:lang w:val="sr-Latn-ME"/>
        </w:rPr>
        <w:t>mogućnos</w:t>
      </w:r>
      <w:r w:rsidRPr="001302F9">
        <w:rPr>
          <w:rFonts w:ascii="Arial" w:hAnsi="Arial" w:cs="Arial"/>
          <w:lang w:val="sr-Latn-ME"/>
        </w:rPr>
        <w:t>t organizovanja i održavanja obuk</w:t>
      </w:r>
      <w:r w:rsidR="00F273E0">
        <w:rPr>
          <w:rFonts w:ascii="Arial" w:hAnsi="Arial" w:cs="Arial"/>
          <w:lang w:val="sr-Latn-ME"/>
        </w:rPr>
        <w:t>a</w:t>
      </w:r>
      <w:r w:rsidRPr="001302F9">
        <w:rPr>
          <w:rFonts w:ascii="Arial" w:hAnsi="Arial" w:cs="Arial"/>
          <w:lang w:val="sr-Latn-ME"/>
        </w:rPr>
        <w:t xml:space="preserve">. </w:t>
      </w:r>
      <w:r w:rsidR="00F273E0">
        <w:rPr>
          <w:rFonts w:ascii="Arial" w:hAnsi="Arial" w:cs="Arial"/>
          <w:lang w:val="sr-Latn-ME"/>
        </w:rPr>
        <w:t>A</w:t>
      </w:r>
      <w:r w:rsidRPr="001302F9">
        <w:rPr>
          <w:rFonts w:ascii="Arial" w:hAnsi="Arial" w:cs="Arial"/>
          <w:lang w:val="sr-Latn-ME"/>
        </w:rPr>
        <w:t>naliz</w:t>
      </w:r>
      <w:r w:rsidR="00F273E0">
        <w:rPr>
          <w:rFonts w:ascii="Arial" w:hAnsi="Arial" w:cs="Arial"/>
          <w:lang w:val="sr-Latn-ME"/>
        </w:rPr>
        <w:t>a</w:t>
      </w:r>
      <w:r w:rsidRPr="001302F9">
        <w:rPr>
          <w:rFonts w:ascii="Arial" w:hAnsi="Arial" w:cs="Arial"/>
          <w:lang w:val="sr-Latn-ME"/>
        </w:rPr>
        <w:t xml:space="preserve"> rizika od prevare koju je izradila Direkcija za zaštitu finansijskih interesa EU/AFCOS u 2024. godini otkrila je da je neophodno uraditi novu analizu </w:t>
      </w:r>
      <w:r w:rsidR="00F273E0">
        <w:rPr>
          <w:rFonts w:ascii="Arial" w:hAnsi="Arial" w:cs="Arial"/>
          <w:lang w:val="sr-Latn-ME"/>
        </w:rPr>
        <w:t xml:space="preserve">potreba za </w:t>
      </w:r>
      <w:r w:rsidRPr="001302F9">
        <w:rPr>
          <w:rFonts w:ascii="Arial" w:hAnsi="Arial" w:cs="Arial"/>
          <w:lang w:val="sr-Latn-ME"/>
        </w:rPr>
        <w:t>obuk</w:t>
      </w:r>
      <w:r w:rsidR="00F273E0">
        <w:rPr>
          <w:rFonts w:ascii="Arial" w:hAnsi="Arial" w:cs="Arial"/>
          <w:lang w:val="sr-Latn-ME"/>
        </w:rPr>
        <w:t>om</w:t>
      </w:r>
      <w:r w:rsidRPr="001302F9">
        <w:rPr>
          <w:rFonts w:ascii="Arial" w:hAnsi="Arial" w:cs="Arial"/>
          <w:lang w:val="sr-Latn-ME"/>
        </w:rPr>
        <w:t xml:space="preserve"> za službenike </w:t>
      </w:r>
      <w:r w:rsidR="00F273E0">
        <w:rPr>
          <w:rFonts w:ascii="Arial" w:hAnsi="Arial" w:cs="Arial"/>
          <w:lang w:val="sr-Latn-ME"/>
        </w:rPr>
        <w:t>AFCOS sistema</w:t>
      </w:r>
      <w:r w:rsidRPr="001302F9">
        <w:rPr>
          <w:rFonts w:ascii="Arial" w:hAnsi="Arial" w:cs="Arial"/>
          <w:lang w:val="sr-Latn-ME"/>
        </w:rPr>
        <w:t>, kao i kreirati novi katalog obuk</w:t>
      </w:r>
      <w:r w:rsidR="00F273E0">
        <w:rPr>
          <w:rFonts w:ascii="Arial" w:hAnsi="Arial" w:cs="Arial"/>
          <w:lang w:val="sr-Latn-ME"/>
        </w:rPr>
        <w:t>a</w:t>
      </w:r>
      <w:r w:rsidRPr="001302F9">
        <w:rPr>
          <w:rFonts w:ascii="Arial" w:hAnsi="Arial" w:cs="Arial"/>
          <w:lang w:val="sr-Latn-ME"/>
        </w:rPr>
        <w:t xml:space="preserve"> i plan obuk</w:t>
      </w:r>
      <w:r w:rsidR="00F273E0">
        <w:rPr>
          <w:rFonts w:ascii="Arial" w:hAnsi="Arial" w:cs="Arial"/>
          <w:lang w:val="sr-Latn-ME"/>
        </w:rPr>
        <w:t>a</w:t>
      </w:r>
      <w:r w:rsidRPr="001302F9">
        <w:rPr>
          <w:rFonts w:ascii="Arial" w:hAnsi="Arial" w:cs="Arial"/>
          <w:lang w:val="sr-Latn-ME"/>
        </w:rPr>
        <w:t xml:space="preserve">. </w:t>
      </w:r>
      <w:r w:rsidR="00F273E0">
        <w:rPr>
          <w:rFonts w:ascii="Arial" w:hAnsi="Arial" w:cs="Arial"/>
          <w:lang w:val="sr-Latn-ME"/>
        </w:rPr>
        <w:t xml:space="preserve">Shodno navedenom, u saradnji sa </w:t>
      </w:r>
      <w:r w:rsidRPr="001302F9">
        <w:rPr>
          <w:rFonts w:ascii="Arial" w:hAnsi="Arial" w:cs="Arial"/>
          <w:lang w:val="sr-Latn-ME"/>
        </w:rPr>
        <w:t>Uprav</w:t>
      </w:r>
      <w:r w:rsidR="00F273E0">
        <w:rPr>
          <w:rFonts w:ascii="Arial" w:hAnsi="Arial" w:cs="Arial"/>
          <w:lang w:val="sr-Latn-ME"/>
        </w:rPr>
        <w:t>om</w:t>
      </w:r>
      <w:r w:rsidRPr="001302F9">
        <w:rPr>
          <w:rFonts w:ascii="Arial" w:hAnsi="Arial" w:cs="Arial"/>
          <w:lang w:val="sr-Latn-ME"/>
        </w:rPr>
        <w:t xml:space="preserve"> za </w:t>
      </w:r>
      <w:r w:rsidR="00CD515D">
        <w:rPr>
          <w:rFonts w:ascii="Arial" w:hAnsi="Arial" w:cs="Arial"/>
          <w:lang w:val="sr-Latn-ME"/>
        </w:rPr>
        <w:t>upravljanje</w:t>
      </w:r>
      <w:r w:rsidRPr="001302F9">
        <w:rPr>
          <w:rFonts w:ascii="Arial" w:hAnsi="Arial" w:cs="Arial"/>
          <w:lang w:val="sr-Latn-ME"/>
        </w:rPr>
        <w:t xml:space="preserve"> ljudsk</w:t>
      </w:r>
      <w:r w:rsidR="00CD515D">
        <w:rPr>
          <w:rFonts w:ascii="Arial" w:hAnsi="Arial" w:cs="Arial"/>
          <w:lang w:val="sr-Latn-ME"/>
        </w:rPr>
        <w:t>im</w:t>
      </w:r>
      <w:r w:rsidRPr="001302F9">
        <w:rPr>
          <w:rFonts w:ascii="Arial" w:hAnsi="Arial" w:cs="Arial"/>
          <w:lang w:val="sr-Latn-ME"/>
        </w:rPr>
        <w:t xml:space="preserve"> resurs</w:t>
      </w:r>
      <w:r w:rsidR="00CD515D">
        <w:rPr>
          <w:rFonts w:ascii="Arial" w:hAnsi="Arial" w:cs="Arial"/>
          <w:lang w:val="sr-Latn-ME"/>
        </w:rPr>
        <w:t>ima</w:t>
      </w:r>
      <w:r w:rsidR="00F273E0">
        <w:rPr>
          <w:rFonts w:ascii="Arial" w:hAnsi="Arial" w:cs="Arial"/>
          <w:lang w:val="sr-Latn-ME"/>
        </w:rPr>
        <w:t>,</w:t>
      </w:r>
      <w:r w:rsidRPr="001302F9">
        <w:rPr>
          <w:rFonts w:ascii="Arial" w:hAnsi="Arial" w:cs="Arial"/>
          <w:lang w:val="sr-Latn-ME"/>
        </w:rPr>
        <w:t xml:space="preserve"> definisa</w:t>
      </w:r>
      <w:r w:rsidR="00F273E0">
        <w:rPr>
          <w:rFonts w:ascii="Arial" w:hAnsi="Arial" w:cs="Arial"/>
          <w:lang w:val="sr-Latn-ME"/>
        </w:rPr>
        <w:t>n je</w:t>
      </w:r>
      <w:r w:rsidRPr="001302F9">
        <w:rPr>
          <w:rFonts w:ascii="Arial" w:hAnsi="Arial" w:cs="Arial"/>
          <w:lang w:val="sr-Latn-ME"/>
        </w:rPr>
        <w:t xml:space="preserve"> IPA modul u koj</w:t>
      </w:r>
      <w:r w:rsidR="00F273E0">
        <w:rPr>
          <w:rFonts w:ascii="Arial" w:hAnsi="Arial" w:cs="Arial"/>
          <w:lang w:val="sr-Latn-ME"/>
        </w:rPr>
        <w:t>em</w:t>
      </w:r>
      <w:r w:rsidRPr="001302F9">
        <w:rPr>
          <w:rFonts w:ascii="Arial" w:hAnsi="Arial" w:cs="Arial"/>
          <w:lang w:val="sr-Latn-ME"/>
        </w:rPr>
        <w:t xml:space="preserve"> su uključene obuke vezane za nepravilnosti i prevare koje mogu nastati tokom implementacije IPA programa, </w:t>
      </w:r>
      <w:r w:rsidR="00F273E0">
        <w:rPr>
          <w:rFonts w:ascii="Arial" w:hAnsi="Arial" w:cs="Arial"/>
          <w:lang w:val="sr-Latn-ME"/>
        </w:rPr>
        <w:t xml:space="preserve">kao i obuke vezane za </w:t>
      </w:r>
      <w:r w:rsidRPr="001302F9">
        <w:rPr>
          <w:rFonts w:ascii="Arial" w:hAnsi="Arial" w:cs="Arial"/>
          <w:lang w:val="sr-Latn-ME"/>
        </w:rPr>
        <w:t>upotreb</w:t>
      </w:r>
      <w:r w:rsidR="00F273E0">
        <w:rPr>
          <w:rFonts w:ascii="Arial" w:hAnsi="Arial" w:cs="Arial"/>
          <w:lang w:val="sr-Latn-ME"/>
        </w:rPr>
        <w:t>u</w:t>
      </w:r>
      <w:r w:rsidRPr="001302F9">
        <w:rPr>
          <w:rFonts w:ascii="Arial" w:hAnsi="Arial" w:cs="Arial"/>
          <w:lang w:val="sr-Latn-ME"/>
        </w:rPr>
        <w:t xml:space="preserve"> IMS s</w:t>
      </w:r>
      <w:r w:rsidR="00F273E0">
        <w:rPr>
          <w:rFonts w:ascii="Arial" w:hAnsi="Arial" w:cs="Arial"/>
          <w:lang w:val="sr-Latn-ME"/>
        </w:rPr>
        <w:t>oftvera</w:t>
      </w:r>
      <w:r w:rsidRPr="001302F9">
        <w:rPr>
          <w:rFonts w:ascii="Arial" w:hAnsi="Arial" w:cs="Arial"/>
          <w:lang w:val="sr-Latn-ME"/>
        </w:rPr>
        <w:t>, upravljanje rizicima od prevare itd.</w:t>
      </w:r>
    </w:p>
    <w:p w:rsidR="000F471C" w:rsidRPr="00995629" w:rsidRDefault="000F471C" w:rsidP="009B6B3B">
      <w:pPr>
        <w:pStyle w:val="ListParagraph"/>
        <w:numPr>
          <w:ilvl w:val="0"/>
          <w:numId w:val="21"/>
        </w:numPr>
        <w:rPr>
          <w:rFonts w:cs="Arial"/>
          <w:i/>
          <w:sz w:val="22"/>
          <w:szCs w:val="22"/>
          <w:lang w:val="sr-Latn-ME"/>
        </w:rPr>
      </w:pPr>
      <w:r w:rsidRPr="00995629">
        <w:rPr>
          <w:rFonts w:cs="Arial"/>
          <w:i/>
          <w:sz w:val="22"/>
          <w:szCs w:val="22"/>
          <w:lang w:val="sr-Latn-ME"/>
        </w:rPr>
        <w:t>Upravljanje rizicima u oblasti nepravilnosti i prevara</w:t>
      </w:r>
    </w:p>
    <w:p w:rsidR="000F471C" w:rsidRPr="001302F9" w:rsidRDefault="000F471C" w:rsidP="000F471C">
      <w:pPr>
        <w:jc w:val="both"/>
        <w:rPr>
          <w:rFonts w:ascii="Arial" w:hAnsi="Arial" w:cs="Arial"/>
          <w:lang w:val="sr-Latn-ME"/>
        </w:rPr>
      </w:pPr>
      <w:r w:rsidRPr="001302F9">
        <w:rPr>
          <w:rFonts w:ascii="Arial" w:hAnsi="Arial" w:cs="Arial"/>
          <w:lang w:val="sr-Latn-ME"/>
        </w:rPr>
        <w:t>Upravljanje rizicima podrazumijeva razmatranje potencijalnih događaja koji bi mogli ugroziti ostvarenje ciljeva, njihovih uzroka i posl</w:t>
      </w:r>
      <w:r w:rsidR="00D30952">
        <w:rPr>
          <w:rFonts w:ascii="Arial" w:hAnsi="Arial" w:cs="Arial"/>
          <w:lang w:val="sr-Latn-ME"/>
        </w:rPr>
        <w:t>j</w:t>
      </w:r>
      <w:r w:rsidRPr="001302F9">
        <w:rPr>
          <w:rFonts w:ascii="Arial" w:hAnsi="Arial" w:cs="Arial"/>
          <w:lang w:val="sr-Latn-ME"/>
        </w:rPr>
        <w:t xml:space="preserve">edica, kao i </w:t>
      </w:r>
      <w:r w:rsidR="00D30952">
        <w:rPr>
          <w:rFonts w:ascii="Arial" w:hAnsi="Arial" w:cs="Arial"/>
          <w:lang w:val="sr-Latn-ME"/>
        </w:rPr>
        <w:t xml:space="preserve">identifikovanje </w:t>
      </w:r>
      <w:r w:rsidRPr="001302F9">
        <w:rPr>
          <w:rFonts w:ascii="Arial" w:hAnsi="Arial" w:cs="Arial"/>
          <w:lang w:val="sr-Latn-ME"/>
        </w:rPr>
        <w:t>mjer</w:t>
      </w:r>
      <w:r w:rsidR="00D30952">
        <w:rPr>
          <w:rFonts w:ascii="Arial" w:hAnsi="Arial" w:cs="Arial"/>
          <w:lang w:val="sr-Latn-ME"/>
        </w:rPr>
        <w:t>a</w:t>
      </w:r>
      <w:r w:rsidRPr="001302F9">
        <w:rPr>
          <w:rFonts w:ascii="Arial" w:hAnsi="Arial" w:cs="Arial"/>
          <w:lang w:val="sr-Latn-ME"/>
        </w:rPr>
        <w:t xml:space="preserve"> koje treba preduzeti kako bi se ovi događaji spriječili. Stoga, upravljanje rizicima pomaže da se uspostavi efikasan sistem upravljanja i kontrole, sa (transparentnim, sveobuhvatnim i jednostavnim za korišćenje) internim pravilima i procedurama za d</w:t>
      </w:r>
      <w:r w:rsidR="00D30952">
        <w:rPr>
          <w:rFonts w:ascii="Arial" w:hAnsi="Arial" w:cs="Arial"/>
          <w:lang w:val="sr-Latn-ME"/>
        </w:rPr>
        <w:t>j</w:t>
      </w:r>
      <w:r w:rsidRPr="001302F9">
        <w:rPr>
          <w:rFonts w:ascii="Arial" w:hAnsi="Arial" w:cs="Arial"/>
          <w:lang w:val="sr-Latn-ME"/>
        </w:rPr>
        <w:t>elovanje, kao i jasno propisanom institucionalnom i ličnom odgovornošću. Slabe kontrole mogu dovesti do čestih slučajeva nepravilnosti i prevare. U takvim situacijama sve institucije koje se bave zaštitom finansijskih interesa EU dužne su da preduzmu odgovarajuće mjere, u cilju spriječavanja nepravilnosti i prevara, odnosno zaštite finansijskih interesa EU. Tokom implementacije Strategije 2019-2022 razvijena je metodologija upravljanja rizicima u slučaju nepravilnosti i prevara kao alat za spriječavanje prevara</w:t>
      </w:r>
      <w:r w:rsidR="00D30952">
        <w:rPr>
          <w:rFonts w:ascii="Arial" w:hAnsi="Arial" w:cs="Arial"/>
          <w:lang w:val="sr-Latn-ME"/>
        </w:rPr>
        <w:t xml:space="preserve"> prema kojoj je, između ostalog, i izrađena</w:t>
      </w:r>
      <w:r w:rsidRPr="001302F9">
        <w:rPr>
          <w:rFonts w:ascii="Arial" w:hAnsi="Arial" w:cs="Arial"/>
          <w:lang w:val="sr-Latn-ME"/>
        </w:rPr>
        <w:t xml:space="preserve"> analiza rizika od prevare od strane Direkcije za zaštitu finansijskih interesa EU/AFCOS u 2024 godini.</w:t>
      </w:r>
      <w:r w:rsidRPr="001302F9">
        <w:rPr>
          <w:rStyle w:val="FootnoteReference"/>
          <w:rFonts w:ascii="Arial" w:hAnsi="Arial" w:cs="Arial"/>
          <w:lang w:val="sr-Latn-ME"/>
        </w:rPr>
        <w:footnoteReference w:id="4"/>
      </w:r>
    </w:p>
    <w:p w:rsidR="00BD166E" w:rsidRDefault="000F471C" w:rsidP="00BD166E">
      <w:pPr>
        <w:rPr>
          <w:rFonts w:ascii="Arial" w:hAnsi="Arial" w:cs="Arial"/>
          <w:lang w:val="sr-Latn-ME"/>
        </w:rPr>
      </w:pPr>
      <w:r w:rsidRPr="001302F9">
        <w:rPr>
          <w:rFonts w:ascii="Arial" w:hAnsi="Arial" w:cs="Arial"/>
          <w:lang w:val="sr-Latn-ME"/>
        </w:rPr>
        <w:t xml:space="preserve">• </w:t>
      </w:r>
      <w:r w:rsidRPr="00995629">
        <w:rPr>
          <w:rFonts w:ascii="Arial" w:hAnsi="Arial" w:cs="Arial"/>
          <w:i/>
          <w:lang w:val="sr-Latn-ME"/>
        </w:rPr>
        <w:t>Komunikacija i podizanje svijesti javnosti</w:t>
      </w:r>
    </w:p>
    <w:p w:rsidR="00AA1A52" w:rsidRPr="00AA1A52" w:rsidRDefault="000F471C" w:rsidP="00AA1A52">
      <w:pPr>
        <w:jc w:val="both"/>
        <w:rPr>
          <w:rFonts w:ascii="Arial" w:hAnsi="Arial" w:cs="Arial"/>
          <w:lang w:val="sr-Latn-ME"/>
        </w:rPr>
      </w:pPr>
      <w:r w:rsidRPr="001302F9">
        <w:rPr>
          <w:rFonts w:ascii="Arial" w:hAnsi="Arial" w:cs="Arial"/>
          <w:lang w:val="sr-Latn-ME"/>
        </w:rPr>
        <w:br/>
      </w:r>
      <w:r w:rsidR="00AA1A52" w:rsidRPr="00AA1A52">
        <w:rPr>
          <w:rFonts w:ascii="Arial" w:hAnsi="Arial" w:cs="Arial"/>
        </w:rPr>
        <w:t>Komunikacija</w:t>
      </w:r>
      <w:r w:rsidR="00AA1A52" w:rsidRPr="00AA1A52">
        <w:rPr>
          <w:rFonts w:ascii="Arial" w:hAnsi="Arial" w:cs="Arial"/>
          <w:lang w:val="sr-Latn-ME"/>
        </w:rPr>
        <w:t xml:space="preserve"> </w:t>
      </w:r>
      <w:r w:rsidR="00AA1A52" w:rsidRPr="00AA1A52">
        <w:rPr>
          <w:rFonts w:ascii="Arial" w:hAnsi="Arial" w:cs="Arial"/>
        </w:rPr>
        <w:t>i</w:t>
      </w:r>
      <w:r w:rsidR="00AA1A52" w:rsidRPr="00AA1A52">
        <w:rPr>
          <w:rFonts w:ascii="Arial" w:hAnsi="Arial" w:cs="Arial"/>
          <w:lang w:val="sr-Latn-ME"/>
        </w:rPr>
        <w:t xml:space="preserve"> </w:t>
      </w:r>
      <w:r w:rsidR="00AA1A52" w:rsidRPr="00AA1A52">
        <w:rPr>
          <w:rFonts w:ascii="Arial" w:hAnsi="Arial" w:cs="Arial"/>
        </w:rPr>
        <w:t>podizanje</w:t>
      </w:r>
      <w:r w:rsidR="00AA1A52" w:rsidRPr="00AA1A52">
        <w:rPr>
          <w:rFonts w:ascii="Arial" w:hAnsi="Arial" w:cs="Arial"/>
          <w:lang w:val="sr-Latn-ME"/>
        </w:rPr>
        <w:t xml:space="preserve"> </w:t>
      </w:r>
      <w:r w:rsidR="00AA1A52" w:rsidRPr="00AA1A52">
        <w:rPr>
          <w:rFonts w:ascii="Arial" w:hAnsi="Arial" w:cs="Arial"/>
        </w:rPr>
        <w:t>svijesti</w:t>
      </w:r>
      <w:r w:rsidR="00AA1A52" w:rsidRPr="00AA1A52">
        <w:rPr>
          <w:rFonts w:ascii="Arial" w:hAnsi="Arial" w:cs="Arial"/>
          <w:lang w:val="sr-Latn-ME"/>
        </w:rPr>
        <w:t xml:space="preserve"> </w:t>
      </w:r>
      <w:r w:rsidR="00AA1A52" w:rsidRPr="00AA1A52">
        <w:rPr>
          <w:rFonts w:ascii="Arial" w:hAnsi="Arial" w:cs="Arial"/>
        </w:rPr>
        <w:t>javnosti</w:t>
      </w:r>
      <w:r w:rsidR="00AA1A52" w:rsidRPr="00AA1A52">
        <w:rPr>
          <w:rFonts w:ascii="Arial" w:hAnsi="Arial" w:cs="Arial"/>
          <w:lang w:val="sr-Latn-ME"/>
        </w:rPr>
        <w:t xml:space="preserve"> </w:t>
      </w:r>
      <w:r w:rsidR="00AA1A52" w:rsidRPr="00AA1A52">
        <w:rPr>
          <w:rFonts w:ascii="Arial" w:hAnsi="Arial" w:cs="Arial"/>
        </w:rPr>
        <w:t>o</w:t>
      </w:r>
      <w:r w:rsidR="00AA1A52" w:rsidRPr="00AA1A52">
        <w:rPr>
          <w:rFonts w:ascii="Arial" w:hAnsi="Arial" w:cs="Arial"/>
          <w:lang w:val="sr-Latn-ME"/>
        </w:rPr>
        <w:t xml:space="preserve"> </w:t>
      </w:r>
      <w:r w:rsidR="00AA1A52" w:rsidRPr="00AA1A52">
        <w:rPr>
          <w:rFonts w:ascii="Arial" w:hAnsi="Arial" w:cs="Arial"/>
        </w:rPr>
        <w:t>za</w:t>
      </w:r>
      <w:r w:rsidR="00AA1A52" w:rsidRPr="00AA1A52">
        <w:rPr>
          <w:rFonts w:ascii="Arial" w:hAnsi="Arial" w:cs="Arial"/>
          <w:lang w:val="sr-Latn-ME"/>
        </w:rPr>
        <w:t>š</w:t>
      </w:r>
      <w:r w:rsidR="00AA1A52" w:rsidRPr="00AA1A52">
        <w:rPr>
          <w:rFonts w:ascii="Arial" w:hAnsi="Arial" w:cs="Arial"/>
        </w:rPr>
        <w:t>titi</w:t>
      </w:r>
      <w:r w:rsidR="00AA1A52" w:rsidRPr="00AA1A52">
        <w:rPr>
          <w:rFonts w:ascii="Arial" w:hAnsi="Arial" w:cs="Arial"/>
          <w:lang w:val="sr-Latn-ME"/>
        </w:rPr>
        <w:t xml:space="preserve"> </w:t>
      </w:r>
      <w:r w:rsidR="00AA1A52" w:rsidRPr="00AA1A52">
        <w:rPr>
          <w:rFonts w:ascii="Arial" w:hAnsi="Arial" w:cs="Arial"/>
        </w:rPr>
        <w:t>finansijskih</w:t>
      </w:r>
      <w:r w:rsidR="00AA1A52" w:rsidRPr="00AA1A52">
        <w:rPr>
          <w:rFonts w:ascii="Arial" w:hAnsi="Arial" w:cs="Arial"/>
          <w:lang w:val="sr-Latn-ME"/>
        </w:rPr>
        <w:t xml:space="preserve"> </w:t>
      </w:r>
      <w:r w:rsidR="00AA1A52" w:rsidRPr="00AA1A52">
        <w:rPr>
          <w:rFonts w:ascii="Arial" w:hAnsi="Arial" w:cs="Arial"/>
        </w:rPr>
        <w:t>interesa</w:t>
      </w:r>
      <w:r w:rsidR="00AA1A52" w:rsidRPr="00AA1A52">
        <w:rPr>
          <w:rFonts w:ascii="Arial" w:hAnsi="Arial" w:cs="Arial"/>
          <w:lang w:val="sr-Latn-ME"/>
        </w:rPr>
        <w:t xml:space="preserve"> </w:t>
      </w:r>
      <w:r w:rsidR="00AA1A52" w:rsidRPr="00AA1A52">
        <w:rPr>
          <w:rFonts w:ascii="Arial" w:hAnsi="Arial" w:cs="Arial"/>
        </w:rPr>
        <w:t>EU</w:t>
      </w:r>
      <w:r w:rsidR="00AA1A52" w:rsidRPr="00AA1A52">
        <w:rPr>
          <w:rFonts w:ascii="Arial" w:hAnsi="Arial" w:cs="Arial"/>
          <w:lang w:val="sr-Latn-ME"/>
        </w:rPr>
        <w:t xml:space="preserve"> </w:t>
      </w:r>
      <w:r w:rsidR="00AA1A52" w:rsidRPr="00AA1A52">
        <w:rPr>
          <w:rFonts w:ascii="Arial" w:hAnsi="Arial" w:cs="Arial"/>
        </w:rPr>
        <w:t>predstavljaju</w:t>
      </w:r>
      <w:r w:rsidR="00AA1A52" w:rsidRPr="00AA1A52">
        <w:rPr>
          <w:rFonts w:ascii="Arial" w:hAnsi="Arial" w:cs="Arial"/>
          <w:lang w:val="sr-Latn-ME"/>
        </w:rPr>
        <w:t xml:space="preserve"> </w:t>
      </w:r>
      <w:r w:rsidR="00AA1A52" w:rsidRPr="00AA1A52">
        <w:rPr>
          <w:rFonts w:ascii="Arial" w:hAnsi="Arial" w:cs="Arial"/>
        </w:rPr>
        <w:t>klju</w:t>
      </w:r>
      <w:r w:rsidR="00AA1A52" w:rsidRPr="00AA1A52">
        <w:rPr>
          <w:rFonts w:ascii="Arial" w:hAnsi="Arial" w:cs="Arial"/>
          <w:lang w:val="sr-Latn-ME"/>
        </w:rPr>
        <w:t>č</w:t>
      </w:r>
      <w:r w:rsidR="00AA1A52" w:rsidRPr="00AA1A52">
        <w:rPr>
          <w:rFonts w:ascii="Arial" w:hAnsi="Arial" w:cs="Arial"/>
        </w:rPr>
        <w:t>ne</w:t>
      </w:r>
      <w:r w:rsidR="00AA1A52" w:rsidRPr="00AA1A52">
        <w:rPr>
          <w:rFonts w:ascii="Arial" w:hAnsi="Arial" w:cs="Arial"/>
          <w:lang w:val="sr-Latn-ME"/>
        </w:rPr>
        <w:t xml:space="preserve"> </w:t>
      </w:r>
      <w:r w:rsidR="00AA1A52" w:rsidRPr="00AA1A52">
        <w:rPr>
          <w:rFonts w:ascii="Arial" w:hAnsi="Arial" w:cs="Arial"/>
        </w:rPr>
        <w:t>elemente</w:t>
      </w:r>
      <w:r w:rsidR="00AA1A52" w:rsidRPr="00AA1A52">
        <w:rPr>
          <w:rFonts w:ascii="Arial" w:hAnsi="Arial" w:cs="Arial"/>
          <w:lang w:val="sr-Latn-ME"/>
        </w:rPr>
        <w:t xml:space="preserve"> </w:t>
      </w:r>
      <w:r w:rsidR="00AA1A52" w:rsidRPr="00AA1A52">
        <w:rPr>
          <w:rFonts w:ascii="Arial" w:hAnsi="Arial" w:cs="Arial"/>
        </w:rPr>
        <w:t>u</w:t>
      </w:r>
      <w:r w:rsidR="00AA1A52" w:rsidRPr="00AA1A52">
        <w:rPr>
          <w:rFonts w:ascii="Arial" w:hAnsi="Arial" w:cs="Arial"/>
          <w:lang w:val="sr-Latn-ME"/>
        </w:rPr>
        <w:t xml:space="preserve"> </w:t>
      </w:r>
      <w:r w:rsidR="00AA1A52" w:rsidRPr="00AA1A52">
        <w:rPr>
          <w:rFonts w:ascii="Arial" w:hAnsi="Arial" w:cs="Arial"/>
        </w:rPr>
        <w:t>efikasnoj</w:t>
      </w:r>
      <w:r w:rsidR="00AA1A52" w:rsidRPr="00AA1A52">
        <w:rPr>
          <w:rFonts w:ascii="Arial" w:hAnsi="Arial" w:cs="Arial"/>
          <w:lang w:val="sr-Latn-ME"/>
        </w:rPr>
        <w:t xml:space="preserve"> </w:t>
      </w:r>
      <w:r w:rsidR="00AA1A52" w:rsidRPr="00AA1A52">
        <w:rPr>
          <w:rFonts w:ascii="Arial" w:hAnsi="Arial" w:cs="Arial"/>
        </w:rPr>
        <w:t>prevenciji</w:t>
      </w:r>
      <w:r w:rsidR="00AA1A52" w:rsidRPr="00AA1A52">
        <w:rPr>
          <w:rFonts w:ascii="Arial" w:hAnsi="Arial" w:cs="Arial"/>
          <w:lang w:val="sr-Latn-ME"/>
        </w:rPr>
        <w:t xml:space="preserve"> </w:t>
      </w:r>
      <w:r w:rsidR="00AA1A52" w:rsidRPr="00AA1A52">
        <w:rPr>
          <w:rFonts w:ascii="Arial" w:hAnsi="Arial" w:cs="Arial"/>
        </w:rPr>
        <w:t>nepravilnosti</w:t>
      </w:r>
      <w:r w:rsidR="00AA1A52" w:rsidRPr="00AA1A52">
        <w:rPr>
          <w:rFonts w:ascii="Arial" w:hAnsi="Arial" w:cs="Arial"/>
          <w:lang w:val="sr-Latn-ME"/>
        </w:rPr>
        <w:t xml:space="preserve"> </w:t>
      </w:r>
      <w:r w:rsidR="00AA1A52" w:rsidRPr="00AA1A52">
        <w:rPr>
          <w:rFonts w:ascii="Arial" w:hAnsi="Arial" w:cs="Arial"/>
        </w:rPr>
        <w:t>i</w:t>
      </w:r>
      <w:r w:rsidR="00AA1A52" w:rsidRPr="00AA1A52">
        <w:rPr>
          <w:rFonts w:ascii="Arial" w:hAnsi="Arial" w:cs="Arial"/>
          <w:lang w:val="sr-Latn-ME"/>
        </w:rPr>
        <w:t xml:space="preserve"> </w:t>
      </w:r>
      <w:r w:rsidR="00AA1A52" w:rsidRPr="00AA1A52">
        <w:rPr>
          <w:rFonts w:ascii="Arial" w:hAnsi="Arial" w:cs="Arial"/>
        </w:rPr>
        <w:t>prevara</w:t>
      </w:r>
      <w:r w:rsidR="00AA1A52" w:rsidRPr="00AA1A52">
        <w:rPr>
          <w:rFonts w:ascii="Arial" w:hAnsi="Arial" w:cs="Arial"/>
          <w:lang w:val="sr-Latn-ME"/>
        </w:rPr>
        <w:t xml:space="preserve">. </w:t>
      </w:r>
      <w:r w:rsidR="00AA1A52" w:rsidRPr="00AA1A52">
        <w:rPr>
          <w:rFonts w:ascii="Arial" w:hAnsi="Arial" w:cs="Arial"/>
        </w:rPr>
        <w:t>U</w:t>
      </w:r>
      <w:r w:rsidR="00AA1A52" w:rsidRPr="00AA1A52">
        <w:rPr>
          <w:rFonts w:ascii="Arial" w:hAnsi="Arial" w:cs="Arial"/>
          <w:lang w:val="sr-Latn-ME"/>
        </w:rPr>
        <w:t xml:space="preserve"> </w:t>
      </w:r>
      <w:r w:rsidR="00AA1A52" w:rsidRPr="00AA1A52">
        <w:rPr>
          <w:rFonts w:ascii="Arial" w:hAnsi="Arial" w:cs="Arial"/>
        </w:rPr>
        <w:t>tom</w:t>
      </w:r>
      <w:r w:rsidR="00AA1A52" w:rsidRPr="00AA1A52">
        <w:rPr>
          <w:rFonts w:ascii="Arial" w:hAnsi="Arial" w:cs="Arial"/>
          <w:lang w:val="sr-Latn-ME"/>
        </w:rPr>
        <w:t xml:space="preserve"> </w:t>
      </w:r>
      <w:r w:rsidR="00AA1A52" w:rsidRPr="00AA1A52">
        <w:rPr>
          <w:rFonts w:ascii="Arial" w:hAnsi="Arial" w:cs="Arial"/>
        </w:rPr>
        <w:t>cilju</w:t>
      </w:r>
      <w:r w:rsidR="00AA1A52" w:rsidRPr="00AA1A52">
        <w:rPr>
          <w:rFonts w:ascii="Arial" w:hAnsi="Arial" w:cs="Arial"/>
          <w:lang w:val="sr-Latn-ME"/>
        </w:rPr>
        <w:t xml:space="preserve">, </w:t>
      </w:r>
      <w:r w:rsidR="00AA1A52" w:rsidRPr="00AA1A52">
        <w:rPr>
          <w:rFonts w:ascii="Arial" w:hAnsi="Arial" w:cs="Arial"/>
        </w:rPr>
        <w:t>u</w:t>
      </w:r>
      <w:r w:rsidR="00AA1A52" w:rsidRPr="00AA1A52">
        <w:rPr>
          <w:rFonts w:ascii="Arial" w:hAnsi="Arial" w:cs="Arial"/>
          <w:lang w:val="sr-Latn-ME"/>
        </w:rPr>
        <w:t xml:space="preserve"> </w:t>
      </w:r>
      <w:r w:rsidR="00AA1A52" w:rsidRPr="00AA1A52">
        <w:rPr>
          <w:rFonts w:ascii="Arial" w:hAnsi="Arial" w:cs="Arial"/>
        </w:rPr>
        <w:t>okviru</w:t>
      </w:r>
      <w:r w:rsidR="00AA1A52" w:rsidRPr="00AA1A52">
        <w:rPr>
          <w:rFonts w:ascii="Arial" w:hAnsi="Arial" w:cs="Arial"/>
          <w:lang w:val="sr-Latn-ME"/>
        </w:rPr>
        <w:t xml:space="preserve"> </w:t>
      </w:r>
      <w:r w:rsidR="00AA1A52" w:rsidRPr="00AA1A52">
        <w:rPr>
          <w:rFonts w:ascii="Arial" w:hAnsi="Arial" w:cs="Arial"/>
        </w:rPr>
        <w:t>Twinning</w:t>
      </w:r>
      <w:r w:rsidR="00AA1A52" w:rsidRPr="00AA1A52">
        <w:rPr>
          <w:rFonts w:ascii="Arial" w:hAnsi="Arial" w:cs="Arial"/>
          <w:lang w:val="sr-Latn-ME"/>
        </w:rPr>
        <w:t xml:space="preserve"> </w:t>
      </w:r>
      <w:r w:rsidR="00AA1A52" w:rsidRPr="00AA1A52">
        <w:rPr>
          <w:rFonts w:ascii="Arial" w:hAnsi="Arial" w:cs="Arial"/>
        </w:rPr>
        <w:t>Light</w:t>
      </w:r>
      <w:r w:rsidR="00AA1A52" w:rsidRPr="00AA1A52">
        <w:rPr>
          <w:rFonts w:ascii="Arial" w:hAnsi="Arial" w:cs="Arial"/>
          <w:lang w:val="sr-Latn-ME"/>
        </w:rPr>
        <w:t xml:space="preserve"> </w:t>
      </w:r>
      <w:r w:rsidR="00AA1A52" w:rsidRPr="00AA1A52">
        <w:rPr>
          <w:rFonts w:ascii="Arial" w:hAnsi="Arial" w:cs="Arial"/>
        </w:rPr>
        <w:t>projekta</w:t>
      </w:r>
      <w:r w:rsidR="00AA1A52" w:rsidRPr="00AA1A52">
        <w:rPr>
          <w:rFonts w:ascii="Arial" w:hAnsi="Arial" w:cs="Arial"/>
          <w:lang w:val="sr-Latn-ME"/>
        </w:rPr>
        <w:t xml:space="preserve"> </w:t>
      </w:r>
      <w:r w:rsidR="00AA1A52" w:rsidRPr="00AA1A52">
        <w:rPr>
          <w:rFonts w:ascii="Arial" w:hAnsi="Arial" w:cs="Arial"/>
          <w:b/>
          <w:bCs/>
          <w:lang w:val="sr-Latn-ME"/>
        </w:rPr>
        <w:t>"</w:t>
      </w:r>
      <w:r w:rsidR="00AA1A52" w:rsidRPr="00AA1A52">
        <w:rPr>
          <w:rFonts w:ascii="Arial" w:hAnsi="Arial" w:cs="Arial"/>
          <w:b/>
          <w:bCs/>
        </w:rPr>
        <w:t>Razvoj</w:t>
      </w:r>
      <w:r w:rsidR="00AA1A52" w:rsidRPr="00AA1A52">
        <w:rPr>
          <w:rFonts w:ascii="Arial" w:hAnsi="Arial" w:cs="Arial"/>
          <w:b/>
          <w:bCs/>
          <w:lang w:val="sr-Latn-ME"/>
        </w:rPr>
        <w:t xml:space="preserve"> </w:t>
      </w:r>
      <w:r w:rsidR="00AA1A52" w:rsidRPr="00AA1A52">
        <w:rPr>
          <w:rFonts w:ascii="Arial" w:hAnsi="Arial" w:cs="Arial"/>
          <w:b/>
          <w:bCs/>
        </w:rPr>
        <w:t>kapaciteta</w:t>
      </w:r>
      <w:r w:rsidR="00AA1A52" w:rsidRPr="00AA1A52">
        <w:rPr>
          <w:rFonts w:ascii="Arial" w:hAnsi="Arial" w:cs="Arial"/>
          <w:b/>
          <w:bCs/>
          <w:lang w:val="sr-Latn-ME"/>
        </w:rPr>
        <w:t xml:space="preserve"> </w:t>
      </w:r>
      <w:r w:rsidR="00AA1A52" w:rsidRPr="00AA1A52">
        <w:rPr>
          <w:rFonts w:ascii="Arial" w:hAnsi="Arial" w:cs="Arial"/>
          <w:b/>
          <w:bCs/>
        </w:rPr>
        <w:t>odjeljenja</w:t>
      </w:r>
      <w:r w:rsidR="00AA1A52" w:rsidRPr="00AA1A52">
        <w:rPr>
          <w:rFonts w:ascii="Arial" w:hAnsi="Arial" w:cs="Arial"/>
          <w:b/>
          <w:bCs/>
          <w:lang w:val="sr-Latn-ME"/>
        </w:rPr>
        <w:t xml:space="preserve"> </w:t>
      </w:r>
      <w:r w:rsidR="00AA1A52" w:rsidRPr="00AA1A52">
        <w:rPr>
          <w:rFonts w:ascii="Arial" w:hAnsi="Arial" w:cs="Arial"/>
          <w:b/>
          <w:bCs/>
        </w:rPr>
        <w:t>za</w:t>
      </w:r>
      <w:r w:rsidR="00AA1A52" w:rsidRPr="00AA1A52">
        <w:rPr>
          <w:rFonts w:ascii="Arial" w:hAnsi="Arial" w:cs="Arial"/>
          <w:b/>
          <w:bCs/>
          <w:lang w:val="sr-Latn-ME"/>
        </w:rPr>
        <w:t xml:space="preserve"> </w:t>
      </w:r>
      <w:r w:rsidR="00AA1A52" w:rsidRPr="00AA1A52">
        <w:rPr>
          <w:rFonts w:ascii="Arial" w:hAnsi="Arial" w:cs="Arial"/>
          <w:b/>
          <w:bCs/>
        </w:rPr>
        <w:t>suzbijanje</w:t>
      </w:r>
      <w:r w:rsidR="00AA1A52" w:rsidRPr="00AA1A52">
        <w:rPr>
          <w:rFonts w:ascii="Arial" w:hAnsi="Arial" w:cs="Arial"/>
          <w:b/>
          <w:bCs/>
          <w:lang w:val="sr-Latn-ME"/>
        </w:rPr>
        <w:t xml:space="preserve"> </w:t>
      </w:r>
      <w:r w:rsidR="00AA1A52" w:rsidRPr="00AA1A52">
        <w:rPr>
          <w:rFonts w:ascii="Arial" w:hAnsi="Arial" w:cs="Arial"/>
          <w:b/>
          <w:bCs/>
        </w:rPr>
        <w:t>nepravilnosti</w:t>
      </w:r>
      <w:r w:rsidR="00AA1A52" w:rsidRPr="00AA1A52">
        <w:rPr>
          <w:rFonts w:ascii="Arial" w:hAnsi="Arial" w:cs="Arial"/>
          <w:b/>
          <w:bCs/>
          <w:lang w:val="sr-Latn-ME"/>
        </w:rPr>
        <w:t xml:space="preserve"> </w:t>
      </w:r>
      <w:r w:rsidR="00AA1A52" w:rsidRPr="00AA1A52">
        <w:rPr>
          <w:rFonts w:ascii="Arial" w:hAnsi="Arial" w:cs="Arial"/>
          <w:b/>
          <w:bCs/>
        </w:rPr>
        <w:t>i</w:t>
      </w:r>
      <w:r w:rsidR="00AA1A52" w:rsidRPr="00AA1A52">
        <w:rPr>
          <w:rFonts w:ascii="Arial" w:hAnsi="Arial" w:cs="Arial"/>
          <w:b/>
          <w:bCs/>
          <w:lang w:val="sr-Latn-ME"/>
        </w:rPr>
        <w:t xml:space="preserve"> </w:t>
      </w:r>
      <w:r w:rsidR="00AA1A52" w:rsidRPr="00AA1A52">
        <w:rPr>
          <w:rFonts w:ascii="Arial" w:hAnsi="Arial" w:cs="Arial"/>
          <w:b/>
          <w:bCs/>
        </w:rPr>
        <w:t>prevara</w:t>
      </w:r>
      <w:r w:rsidR="00AA1A52" w:rsidRPr="00AA1A52">
        <w:rPr>
          <w:rFonts w:ascii="Arial" w:hAnsi="Arial" w:cs="Arial"/>
          <w:b/>
          <w:bCs/>
          <w:lang w:val="sr-Latn-ME"/>
        </w:rPr>
        <w:t xml:space="preserve"> (</w:t>
      </w:r>
      <w:r w:rsidR="00AA1A52" w:rsidRPr="00AA1A52">
        <w:rPr>
          <w:rFonts w:ascii="Arial" w:hAnsi="Arial" w:cs="Arial"/>
          <w:b/>
          <w:bCs/>
        </w:rPr>
        <w:t>AFCOS</w:t>
      </w:r>
      <w:r w:rsidR="00AA1A52" w:rsidRPr="00AA1A52">
        <w:rPr>
          <w:rFonts w:ascii="Arial" w:hAnsi="Arial" w:cs="Arial"/>
          <w:b/>
          <w:bCs/>
          <w:lang w:val="sr-Latn-ME"/>
        </w:rPr>
        <w:t>)"</w:t>
      </w:r>
      <w:r w:rsidR="00AA1A52" w:rsidRPr="00AA1A52">
        <w:rPr>
          <w:rFonts w:ascii="Arial" w:hAnsi="Arial" w:cs="Arial"/>
          <w:lang w:val="sr-Latn-ME"/>
        </w:rPr>
        <w:t xml:space="preserve">, </w:t>
      </w:r>
      <w:r w:rsidR="00AA1A52" w:rsidRPr="00AA1A52">
        <w:rPr>
          <w:rFonts w:ascii="Arial" w:hAnsi="Arial" w:cs="Arial"/>
        </w:rPr>
        <w:t>izra</w:t>
      </w:r>
      <w:r w:rsidR="00AA1A52" w:rsidRPr="00AA1A52">
        <w:rPr>
          <w:rFonts w:ascii="Arial" w:hAnsi="Arial" w:cs="Arial"/>
          <w:lang w:val="sr-Latn-ME"/>
        </w:rPr>
        <w:t>đ</w:t>
      </w:r>
      <w:r w:rsidR="00AA1A52" w:rsidRPr="00AA1A52">
        <w:rPr>
          <w:rFonts w:ascii="Arial" w:hAnsi="Arial" w:cs="Arial"/>
        </w:rPr>
        <w:t>eni</w:t>
      </w:r>
      <w:r w:rsidR="00AA1A52" w:rsidRPr="00AA1A52">
        <w:rPr>
          <w:rFonts w:ascii="Arial" w:hAnsi="Arial" w:cs="Arial"/>
          <w:lang w:val="sr-Latn-ME"/>
        </w:rPr>
        <w:t xml:space="preserve"> </w:t>
      </w:r>
      <w:r w:rsidR="00AA1A52" w:rsidRPr="00AA1A52">
        <w:rPr>
          <w:rFonts w:ascii="Arial" w:hAnsi="Arial" w:cs="Arial"/>
        </w:rPr>
        <w:t>su</w:t>
      </w:r>
      <w:r w:rsidR="00AA1A52" w:rsidRPr="00AA1A52">
        <w:rPr>
          <w:rFonts w:ascii="Arial" w:hAnsi="Arial" w:cs="Arial"/>
          <w:lang w:val="sr-Latn-ME"/>
        </w:rPr>
        <w:t xml:space="preserve"> </w:t>
      </w:r>
      <w:r w:rsidR="00AA1A52" w:rsidRPr="00AA1A52">
        <w:rPr>
          <w:rFonts w:ascii="Arial" w:hAnsi="Arial" w:cs="Arial"/>
        </w:rPr>
        <w:t>promotivni</w:t>
      </w:r>
      <w:r w:rsidR="00AA1A52" w:rsidRPr="00AA1A52">
        <w:rPr>
          <w:rFonts w:ascii="Arial" w:hAnsi="Arial" w:cs="Arial"/>
          <w:lang w:val="sr-Latn-ME"/>
        </w:rPr>
        <w:t xml:space="preserve"> </w:t>
      </w:r>
      <w:r w:rsidR="00AA1A52" w:rsidRPr="00AA1A52">
        <w:rPr>
          <w:rFonts w:ascii="Arial" w:hAnsi="Arial" w:cs="Arial"/>
        </w:rPr>
        <w:t>materijali</w:t>
      </w:r>
      <w:r w:rsidR="00AA1A52" w:rsidRPr="00AA1A52">
        <w:rPr>
          <w:rFonts w:ascii="Arial" w:hAnsi="Arial" w:cs="Arial"/>
          <w:lang w:val="sr-Latn-ME"/>
        </w:rPr>
        <w:t xml:space="preserve"> </w:t>
      </w:r>
      <w:r w:rsidR="00AA1A52" w:rsidRPr="00AA1A52">
        <w:rPr>
          <w:rFonts w:ascii="Arial" w:hAnsi="Arial" w:cs="Arial"/>
        </w:rPr>
        <w:t>u</w:t>
      </w:r>
      <w:r w:rsidR="00AA1A52" w:rsidRPr="00AA1A52">
        <w:rPr>
          <w:rFonts w:ascii="Arial" w:hAnsi="Arial" w:cs="Arial"/>
          <w:lang w:val="sr-Latn-ME"/>
        </w:rPr>
        <w:t xml:space="preserve"> </w:t>
      </w:r>
      <w:r w:rsidR="00AA1A52" w:rsidRPr="00AA1A52">
        <w:rPr>
          <w:rFonts w:ascii="Arial" w:hAnsi="Arial" w:cs="Arial"/>
        </w:rPr>
        <w:t>formi</w:t>
      </w:r>
      <w:r w:rsidR="00AA1A52" w:rsidRPr="00AA1A52">
        <w:rPr>
          <w:rFonts w:ascii="Arial" w:hAnsi="Arial" w:cs="Arial"/>
          <w:lang w:val="sr-Latn-ME"/>
        </w:rPr>
        <w:t xml:space="preserve"> </w:t>
      </w:r>
      <w:r w:rsidR="00AA1A52" w:rsidRPr="00AA1A52">
        <w:rPr>
          <w:rFonts w:ascii="Arial" w:hAnsi="Arial" w:cs="Arial"/>
        </w:rPr>
        <w:t>letaka</w:t>
      </w:r>
      <w:r w:rsidR="00AA1A52" w:rsidRPr="00AA1A52">
        <w:rPr>
          <w:rFonts w:ascii="Arial" w:hAnsi="Arial" w:cs="Arial"/>
          <w:lang w:val="sr-Latn-ME"/>
        </w:rPr>
        <w:t xml:space="preserve"> </w:t>
      </w:r>
      <w:r w:rsidR="00AA1A52">
        <w:rPr>
          <w:rFonts w:ascii="Arial" w:hAnsi="Arial" w:cs="Arial"/>
          <w:lang w:val="sr-Latn-ME"/>
        </w:rPr>
        <w:t xml:space="preserve">i brošura, ali je neophodan i dalje sistmski pristup u promociji i vidljivosti ove oblasti, što će se u budućnosti i realizovati kroz izradu </w:t>
      </w:r>
      <w:r w:rsidR="00AA1A52">
        <w:rPr>
          <w:rFonts w:ascii="Arial" w:hAnsi="Arial" w:cs="Arial"/>
        </w:rPr>
        <w:t>K</w:t>
      </w:r>
      <w:r w:rsidR="00AA1A52" w:rsidRPr="00AA1A52">
        <w:rPr>
          <w:rFonts w:ascii="Arial" w:hAnsi="Arial" w:cs="Arial"/>
        </w:rPr>
        <w:t>omunikaciona</w:t>
      </w:r>
      <w:r w:rsidR="00AA1A52" w:rsidRPr="00AA1A52">
        <w:rPr>
          <w:rFonts w:ascii="Arial" w:hAnsi="Arial" w:cs="Arial"/>
          <w:lang w:val="sr-Latn-ME"/>
        </w:rPr>
        <w:t xml:space="preserve"> </w:t>
      </w:r>
      <w:r w:rsidR="00AA1A52" w:rsidRPr="00AA1A52">
        <w:rPr>
          <w:rFonts w:ascii="Arial" w:hAnsi="Arial" w:cs="Arial"/>
        </w:rPr>
        <w:t>strategij</w:t>
      </w:r>
      <w:r w:rsidR="00AA1A52">
        <w:rPr>
          <w:rFonts w:ascii="Arial" w:hAnsi="Arial" w:cs="Arial"/>
        </w:rPr>
        <w:t>e</w:t>
      </w:r>
      <w:r w:rsidR="00AA1A52" w:rsidRPr="00AA1A52">
        <w:rPr>
          <w:rFonts w:ascii="Arial" w:hAnsi="Arial" w:cs="Arial"/>
          <w:lang w:val="sr-Latn-ME"/>
        </w:rPr>
        <w:t>.</w:t>
      </w:r>
    </w:p>
    <w:p w:rsidR="000F471C" w:rsidRPr="00CD515D" w:rsidRDefault="000F471C" w:rsidP="000F471C">
      <w:pPr>
        <w:rPr>
          <w:rFonts w:ascii="Arial" w:hAnsi="Arial" w:cs="Arial"/>
          <w:i/>
          <w:color w:val="111111"/>
          <w:lang w:val="sr-Latn-ME"/>
        </w:rPr>
      </w:pPr>
      <w:r w:rsidRPr="00CD515D">
        <w:rPr>
          <w:rFonts w:ascii="Arial" w:hAnsi="Arial" w:cs="Arial"/>
          <w:i/>
          <w:color w:val="111111"/>
          <w:lang w:val="sr-Latn-ME"/>
        </w:rPr>
        <w:t>• Promovisanje etike i integriteta u javnoj upravi</w:t>
      </w:r>
    </w:p>
    <w:p w:rsidR="000F471C" w:rsidRPr="001302F9" w:rsidRDefault="000F471C" w:rsidP="000F471C">
      <w:pPr>
        <w:jc w:val="both"/>
        <w:rPr>
          <w:rFonts w:ascii="Arial" w:hAnsi="Arial" w:cs="Arial"/>
          <w:color w:val="111111"/>
          <w:lang w:val="sr-Latn-ME"/>
        </w:rPr>
      </w:pPr>
      <w:r w:rsidRPr="001302F9">
        <w:rPr>
          <w:rFonts w:ascii="Arial" w:hAnsi="Arial" w:cs="Arial"/>
          <w:color w:val="111111"/>
          <w:lang w:val="sr-Latn-ME"/>
        </w:rPr>
        <w:br/>
        <w:t>Promovisanje etike i integriteta u državnoj službi znači razvijanje mehanizama kojima se teži postizanje najvišeg nivoa integriteta</w:t>
      </w:r>
      <w:r w:rsidR="00CD515D">
        <w:rPr>
          <w:rFonts w:ascii="Arial" w:hAnsi="Arial" w:cs="Arial"/>
          <w:color w:val="111111"/>
          <w:lang w:val="sr-Latn-ME"/>
        </w:rPr>
        <w:t>, kako</w:t>
      </w:r>
      <w:r w:rsidRPr="001302F9">
        <w:rPr>
          <w:rFonts w:ascii="Arial" w:hAnsi="Arial" w:cs="Arial"/>
          <w:color w:val="111111"/>
          <w:lang w:val="sr-Latn-ME"/>
        </w:rPr>
        <w:t xml:space="preserve"> na nivou organizacije</w:t>
      </w:r>
      <w:r w:rsidR="00CD515D">
        <w:rPr>
          <w:rFonts w:ascii="Arial" w:hAnsi="Arial" w:cs="Arial"/>
          <w:color w:val="111111"/>
          <w:lang w:val="sr-Latn-ME"/>
        </w:rPr>
        <w:t>, tako i na</w:t>
      </w:r>
      <w:r w:rsidRPr="001302F9">
        <w:rPr>
          <w:rFonts w:ascii="Arial" w:hAnsi="Arial" w:cs="Arial"/>
          <w:color w:val="111111"/>
          <w:lang w:val="sr-Latn-ME"/>
        </w:rPr>
        <w:t xml:space="preserve"> i </w:t>
      </w:r>
      <w:r w:rsidR="00CD515D">
        <w:rPr>
          <w:rFonts w:ascii="Arial" w:hAnsi="Arial" w:cs="Arial"/>
          <w:color w:val="111111"/>
          <w:lang w:val="sr-Latn-ME"/>
        </w:rPr>
        <w:t xml:space="preserve">nivou pojedninačnih </w:t>
      </w:r>
      <w:r w:rsidRPr="001302F9">
        <w:rPr>
          <w:rFonts w:ascii="Arial" w:hAnsi="Arial" w:cs="Arial"/>
          <w:color w:val="111111"/>
          <w:lang w:val="sr-Latn-ME"/>
        </w:rPr>
        <w:t>službenika.</w:t>
      </w:r>
      <w:r w:rsidR="00CD515D">
        <w:rPr>
          <w:rFonts w:ascii="Arial" w:hAnsi="Arial" w:cs="Arial"/>
          <w:color w:val="111111"/>
          <w:lang w:val="sr-Latn-ME"/>
        </w:rPr>
        <w:t xml:space="preserve"> </w:t>
      </w:r>
      <w:r w:rsidRPr="001302F9">
        <w:rPr>
          <w:rFonts w:ascii="Arial" w:hAnsi="Arial" w:cs="Arial"/>
          <w:color w:val="111111"/>
          <w:lang w:val="sr-Latn-ME"/>
        </w:rPr>
        <w:t>Integritet, nepristrasnost i odgovornost su osnovni principi koji su uključeni u promovisanje etike u državnoj službi. Državni službenici postupaju u skladu sa principima etike i integriteta, ako održavaju nivo znanja i vještina neophodnih za obavljanje povjerenih zadataka, ako postupaju u skladu sa zakonskim i moralnim uslovima i ako nisu skloni</w:t>
      </w:r>
      <w:r w:rsidR="00CD515D">
        <w:rPr>
          <w:rFonts w:ascii="Arial" w:hAnsi="Arial" w:cs="Arial"/>
          <w:color w:val="111111"/>
          <w:lang w:val="sr-Latn-ME"/>
        </w:rPr>
        <w:t xml:space="preserve"> </w:t>
      </w:r>
      <w:r w:rsidRPr="001302F9">
        <w:rPr>
          <w:rFonts w:ascii="Arial" w:hAnsi="Arial" w:cs="Arial"/>
          <w:color w:val="111111"/>
          <w:lang w:val="sr-Latn-ME"/>
        </w:rPr>
        <w:t>neetičkom</w:t>
      </w:r>
      <w:r w:rsidR="00CD515D">
        <w:rPr>
          <w:rFonts w:ascii="Arial" w:hAnsi="Arial" w:cs="Arial"/>
          <w:color w:val="111111"/>
          <w:lang w:val="sr-Latn-ME"/>
        </w:rPr>
        <w:t xml:space="preserve"> </w:t>
      </w:r>
      <w:r w:rsidRPr="001302F9">
        <w:rPr>
          <w:rFonts w:ascii="Arial" w:hAnsi="Arial" w:cs="Arial"/>
          <w:color w:val="111111"/>
          <w:lang w:val="sr-Latn-ME"/>
        </w:rPr>
        <w:t>ili</w:t>
      </w:r>
      <w:r w:rsidR="00CD515D">
        <w:rPr>
          <w:rFonts w:ascii="Arial" w:hAnsi="Arial" w:cs="Arial"/>
          <w:color w:val="111111"/>
          <w:lang w:val="sr-Latn-ME"/>
        </w:rPr>
        <w:t xml:space="preserve"> </w:t>
      </w:r>
      <w:r w:rsidRPr="001302F9">
        <w:rPr>
          <w:rFonts w:ascii="Arial" w:hAnsi="Arial" w:cs="Arial"/>
          <w:color w:val="111111"/>
          <w:lang w:val="sr-Latn-ME"/>
        </w:rPr>
        <w:t>koruptivnom</w:t>
      </w:r>
      <w:r w:rsidR="00CD515D">
        <w:rPr>
          <w:rFonts w:ascii="Arial" w:hAnsi="Arial" w:cs="Arial"/>
          <w:color w:val="111111"/>
          <w:lang w:val="sr-Latn-ME"/>
        </w:rPr>
        <w:t xml:space="preserve"> </w:t>
      </w:r>
      <w:r w:rsidRPr="001302F9">
        <w:rPr>
          <w:rFonts w:ascii="Arial" w:hAnsi="Arial" w:cs="Arial"/>
          <w:color w:val="111111"/>
          <w:lang w:val="sr-Latn-ME"/>
        </w:rPr>
        <w:t>ponašanju.</w:t>
      </w:r>
      <w:r w:rsidR="00CD515D">
        <w:rPr>
          <w:rFonts w:ascii="Arial" w:hAnsi="Arial" w:cs="Arial"/>
          <w:color w:val="111111"/>
          <w:lang w:val="sr-Latn-ME"/>
        </w:rPr>
        <w:t xml:space="preserve"> </w:t>
      </w:r>
      <w:r w:rsidRPr="001302F9">
        <w:rPr>
          <w:rFonts w:ascii="Arial" w:hAnsi="Arial" w:cs="Arial"/>
          <w:color w:val="111111"/>
          <w:lang w:val="sr-Latn-ME"/>
        </w:rPr>
        <w:t>Tokom sprovođenja Strategije 2019-2022 organizovane su obuke za promociju etike i integriteta u javnoj upravi. Pored toga, Uprava za upravljanje ljudskim resursima u Crnoj Gori uključila je u svoje godišnje komponente planiranja obuke koje se odnose na etiku i integritet u javnom sektoru.</w:t>
      </w:r>
    </w:p>
    <w:p w:rsidR="000F471C" w:rsidRPr="001302F9" w:rsidRDefault="000F471C" w:rsidP="000F471C">
      <w:pPr>
        <w:jc w:val="both"/>
        <w:rPr>
          <w:rFonts w:ascii="Arial" w:hAnsi="Arial" w:cs="Arial"/>
          <w:color w:val="111111"/>
          <w:lang w:val="sr-Latn-ME"/>
        </w:rPr>
      </w:pPr>
      <w:r w:rsidRPr="001302F9">
        <w:rPr>
          <w:rFonts w:ascii="Arial" w:hAnsi="Arial" w:cs="Arial"/>
          <w:color w:val="111111"/>
          <w:lang w:val="sr-Latn-ME"/>
        </w:rPr>
        <w:t xml:space="preserve">U periodu Strategije 2019-2022 sprovedeno je dvadeset devet seminara na temu etike </w:t>
      </w:r>
      <w:r w:rsidR="00CD515D">
        <w:rPr>
          <w:rFonts w:ascii="Arial" w:hAnsi="Arial" w:cs="Arial"/>
          <w:color w:val="111111"/>
          <w:lang w:val="sr-Latn-ME"/>
        </w:rPr>
        <w:t>i</w:t>
      </w:r>
      <w:r w:rsidRPr="001302F9">
        <w:rPr>
          <w:rFonts w:ascii="Arial" w:hAnsi="Arial" w:cs="Arial"/>
          <w:color w:val="111111"/>
          <w:lang w:val="sr-Latn-ME"/>
        </w:rPr>
        <w:t xml:space="preserve"> integriteta, prema podacima Uprave za ljudske resurse.</w:t>
      </w:r>
    </w:p>
    <w:p w:rsidR="0031167B" w:rsidRPr="0031167B" w:rsidRDefault="0031167B" w:rsidP="0031167B">
      <w:pPr>
        <w:jc w:val="both"/>
        <w:rPr>
          <w:rFonts w:ascii="Arial" w:hAnsi="Arial" w:cs="Arial"/>
          <w:i/>
          <w:lang w:val="sr-Latn-ME"/>
        </w:rPr>
      </w:pPr>
      <w:r w:rsidRPr="0031167B">
        <w:rPr>
          <w:rFonts w:ascii="Arial" w:hAnsi="Arial" w:cs="Arial"/>
          <w:i/>
          <w:lang w:val="sr-Latn-ME"/>
        </w:rPr>
        <w:t>• Zaštita zviždača</w:t>
      </w:r>
    </w:p>
    <w:p w:rsidR="000F471C" w:rsidRPr="001302F9" w:rsidRDefault="0031167B" w:rsidP="0031167B">
      <w:pPr>
        <w:jc w:val="both"/>
        <w:rPr>
          <w:rFonts w:ascii="Arial" w:hAnsi="Arial" w:cs="Arial"/>
          <w:lang w:val="sr-Latn-ME"/>
        </w:rPr>
      </w:pPr>
      <w:r w:rsidRPr="0031167B">
        <w:rPr>
          <w:rFonts w:ascii="Arial" w:hAnsi="Arial" w:cs="Arial"/>
          <w:lang w:val="sr-Latn-ME"/>
        </w:rPr>
        <w:t>Tokom implementacije Strategije 2019-2022 kreirana je e-mail adresa za anonimne prijave od strane zviždača. Međutim, zbog nedovoljnog prepoznavanja uloge AFCOS sistema u javnosti, nedovoljnog pov</w:t>
      </w:r>
      <w:r>
        <w:rPr>
          <w:rFonts w:ascii="Arial" w:hAnsi="Arial" w:cs="Arial"/>
          <w:lang w:val="sr-Latn-ME"/>
        </w:rPr>
        <w:t>j</w:t>
      </w:r>
      <w:r w:rsidRPr="0031167B">
        <w:rPr>
          <w:rFonts w:ascii="Arial" w:hAnsi="Arial" w:cs="Arial"/>
          <w:lang w:val="sr-Latn-ME"/>
        </w:rPr>
        <w:t>erenja u institucije ili nepoznavanja mehanizma anonimnog prijavljivanja sumnjivih nepravilnosti, potencijalni zviždači i potencijalni aplikanti nisu skloni da prijavljuju nepravilnosti, odnosno sumnje na prevaru, ili ne daju adekvatne informacije kako bi se pokrenuo postupak utvrđivanja nepravilnosti.</w:t>
      </w:r>
      <w:r>
        <w:rPr>
          <w:rFonts w:ascii="Arial" w:hAnsi="Arial" w:cs="Arial"/>
          <w:lang w:val="sr-Latn-ME"/>
        </w:rPr>
        <w:t xml:space="preserve"> </w:t>
      </w:r>
      <w:r w:rsidR="00997E6F" w:rsidRPr="00997E6F">
        <w:rPr>
          <w:rFonts w:ascii="Arial" w:hAnsi="Arial" w:cs="Arial"/>
          <w:lang w:val="sr-Latn-ME"/>
        </w:rPr>
        <w:t>Ovo je dodatni razlog zašto je od suštinskog značaja poboljšati komunikaciju s širom javnošću, kao i podići svijest svih aktera o važnosti odgovorne i transparentne potrošnje EU sredstava.</w:t>
      </w:r>
    </w:p>
    <w:p w:rsidR="000F471C" w:rsidRPr="001302F9" w:rsidRDefault="000F471C" w:rsidP="000F471C">
      <w:pPr>
        <w:jc w:val="both"/>
        <w:rPr>
          <w:rFonts w:ascii="Arial" w:hAnsi="Arial" w:cs="Arial"/>
          <w:b/>
          <w:lang w:val="sr-Latn-ME"/>
        </w:rPr>
      </w:pPr>
      <w:r w:rsidRPr="001302F9">
        <w:rPr>
          <w:rFonts w:ascii="Arial" w:hAnsi="Arial" w:cs="Arial"/>
          <w:b/>
          <w:lang w:val="sr-Latn-ME"/>
        </w:rPr>
        <w:t xml:space="preserve">2.6.2. Otkrivanje i prijavljivanje </w:t>
      </w:r>
      <w:r w:rsidR="005656D0">
        <w:rPr>
          <w:rFonts w:ascii="Arial" w:hAnsi="Arial" w:cs="Arial"/>
          <w:b/>
          <w:lang w:val="sr-Latn-ME"/>
        </w:rPr>
        <w:t xml:space="preserve">nepravilnosti i </w:t>
      </w:r>
      <w:r w:rsidRPr="001302F9">
        <w:rPr>
          <w:rFonts w:ascii="Arial" w:hAnsi="Arial" w:cs="Arial"/>
          <w:b/>
          <w:lang w:val="sr-Latn-ME"/>
        </w:rPr>
        <w:t xml:space="preserve">prevara </w:t>
      </w:r>
    </w:p>
    <w:p w:rsidR="000F471C" w:rsidRPr="009B4B11" w:rsidRDefault="000F471C" w:rsidP="000F471C">
      <w:pPr>
        <w:jc w:val="both"/>
        <w:rPr>
          <w:rFonts w:ascii="Arial" w:hAnsi="Arial" w:cs="Arial"/>
          <w:i/>
          <w:lang w:val="sr-Latn-ME"/>
        </w:rPr>
      </w:pPr>
      <w:r w:rsidRPr="001302F9">
        <w:rPr>
          <w:rFonts w:ascii="Arial" w:hAnsi="Arial" w:cs="Arial"/>
          <w:lang w:val="sr-Latn-ME"/>
        </w:rPr>
        <w:br/>
      </w:r>
      <w:r w:rsidRPr="009B4B11">
        <w:rPr>
          <w:rFonts w:ascii="Arial" w:hAnsi="Arial" w:cs="Arial"/>
          <w:i/>
          <w:lang w:val="sr-Latn-ME"/>
        </w:rPr>
        <w:t>• Otkrivanje nepravilnosti</w:t>
      </w:r>
      <w:r w:rsidR="005656D0">
        <w:rPr>
          <w:rFonts w:ascii="Arial" w:hAnsi="Arial" w:cs="Arial"/>
          <w:i/>
          <w:lang w:val="sr-Latn-ME"/>
        </w:rPr>
        <w:t xml:space="preserve"> i prevara</w:t>
      </w:r>
    </w:p>
    <w:p w:rsidR="009B4B11" w:rsidRDefault="000F471C" w:rsidP="009B4B11">
      <w:pPr>
        <w:rPr>
          <w:rFonts w:ascii="Arial" w:hAnsi="Arial" w:cs="Arial"/>
          <w:lang w:val="sr-Latn-ME"/>
        </w:rPr>
      </w:pPr>
      <w:r w:rsidRPr="001302F9">
        <w:rPr>
          <w:rFonts w:ascii="Arial" w:hAnsi="Arial" w:cs="Arial"/>
          <w:lang w:val="sr-Latn-ME"/>
        </w:rPr>
        <w:br/>
        <w:t>Otkrivanje nepravilnosti i prevara u sistemu upravljanja i kontrole IPA sredstava, počinje upozorenjem o nepravilnostima ili sumnji na prevaru.</w:t>
      </w:r>
      <w:r w:rsidRPr="001302F9">
        <w:rPr>
          <w:rFonts w:ascii="Arial" w:hAnsi="Arial" w:cs="Arial"/>
          <w:lang w:val="sr-Latn-ME"/>
        </w:rPr>
        <w:br/>
      </w:r>
    </w:p>
    <w:p w:rsidR="000F471C" w:rsidRPr="001302F9" w:rsidRDefault="000F471C" w:rsidP="000F471C">
      <w:pPr>
        <w:jc w:val="both"/>
        <w:rPr>
          <w:rFonts w:ascii="Arial" w:hAnsi="Arial" w:cs="Arial"/>
          <w:lang w:val="sr-Latn-ME"/>
        </w:rPr>
      </w:pPr>
      <w:r w:rsidRPr="001302F9">
        <w:rPr>
          <w:rFonts w:ascii="Arial" w:hAnsi="Arial" w:cs="Arial"/>
          <w:lang w:val="sr-Latn-ME"/>
        </w:rPr>
        <w:t>Postoji nekoliko izvora upozorenja:</w:t>
      </w:r>
    </w:p>
    <w:p w:rsidR="000F471C" w:rsidRPr="001302F9" w:rsidRDefault="000F471C" w:rsidP="009B6B3B">
      <w:pPr>
        <w:pStyle w:val="ListParagraph"/>
        <w:numPr>
          <w:ilvl w:val="0"/>
          <w:numId w:val="22"/>
        </w:numPr>
        <w:rPr>
          <w:rFonts w:cs="Arial"/>
          <w:sz w:val="22"/>
          <w:szCs w:val="22"/>
          <w:lang w:val="sr-Latn-ME"/>
        </w:rPr>
      </w:pPr>
      <w:r w:rsidRPr="001302F9">
        <w:rPr>
          <w:rFonts w:cs="Arial"/>
          <w:sz w:val="22"/>
          <w:szCs w:val="22"/>
          <w:lang w:val="sr-Latn-ME"/>
        </w:rPr>
        <w:t>Upozorenje unutar institucija</w:t>
      </w:r>
      <w:r w:rsidR="009B4B11">
        <w:rPr>
          <w:rFonts w:cs="Arial"/>
          <w:sz w:val="22"/>
          <w:szCs w:val="22"/>
          <w:lang w:val="sr-Latn-ME"/>
        </w:rPr>
        <w:t>,</w:t>
      </w:r>
      <w:r w:rsidRPr="001302F9">
        <w:rPr>
          <w:rFonts w:cs="Arial"/>
          <w:sz w:val="22"/>
          <w:szCs w:val="22"/>
          <w:lang w:val="sr-Latn-ME"/>
        </w:rPr>
        <w:t xml:space="preserve"> od strane IPA struktura, tokom obavljanja redovnih zadataka (npr. desk provjere, kontrola na licu mjesta, itd.);</w:t>
      </w:r>
    </w:p>
    <w:p w:rsidR="000F471C" w:rsidRPr="001302F9" w:rsidRDefault="000F471C" w:rsidP="009B6B3B">
      <w:pPr>
        <w:pStyle w:val="ListParagraph"/>
        <w:numPr>
          <w:ilvl w:val="0"/>
          <w:numId w:val="22"/>
        </w:numPr>
        <w:rPr>
          <w:rFonts w:cs="Arial"/>
          <w:sz w:val="22"/>
          <w:szCs w:val="22"/>
          <w:lang w:val="sr-Latn-ME"/>
        </w:rPr>
      </w:pPr>
      <w:r w:rsidRPr="001302F9">
        <w:rPr>
          <w:rFonts w:cs="Arial"/>
          <w:sz w:val="22"/>
          <w:szCs w:val="22"/>
          <w:lang w:val="sr-Latn-ME"/>
        </w:rPr>
        <w:t xml:space="preserve">Upozorenje u skladu sa nalazima revizije (npr. nalazi Revizorskog tijela, Interna revizija EU fondova u javnom sektoru, </w:t>
      </w:r>
      <w:r w:rsidRPr="009B4B11">
        <w:rPr>
          <w:rFonts w:cs="Arial"/>
          <w:sz w:val="22"/>
          <w:szCs w:val="22"/>
          <w:lang w:val="sr-Latn-ME"/>
        </w:rPr>
        <w:t>Evropski revizorski sud</w:t>
      </w:r>
      <w:r w:rsidRPr="001302F9">
        <w:rPr>
          <w:rFonts w:cs="Arial"/>
          <w:sz w:val="22"/>
          <w:szCs w:val="22"/>
          <w:lang w:val="sr-Latn-ME"/>
        </w:rPr>
        <w:t>, EK direktorati – DG NEAR/DG AGRI, Državna revizorska institucija, itd.);</w:t>
      </w:r>
    </w:p>
    <w:p w:rsidR="000F471C" w:rsidRPr="001302F9" w:rsidRDefault="000F471C" w:rsidP="009B6B3B">
      <w:pPr>
        <w:pStyle w:val="ListParagraph"/>
        <w:numPr>
          <w:ilvl w:val="0"/>
          <w:numId w:val="22"/>
        </w:numPr>
        <w:rPr>
          <w:rFonts w:cs="Arial"/>
          <w:sz w:val="22"/>
          <w:szCs w:val="22"/>
          <w:lang w:val="sr-Latn-ME"/>
        </w:rPr>
      </w:pPr>
      <w:r w:rsidRPr="001302F9">
        <w:rPr>
          <w:rFonts w:cs="Arial"/>
          <w:sz w:val="22"/>
          <w:szCs w:val="22"/>
          <w:lang w:val="sr-Latn-ME"/>
        </w:rPr>
        <w:t>Upozorenja od strane trećih lica (npr. od medija, zviždača, itd.);</w:t>
      </w:r>
    </w:p>
    <w:p w:rsidR="00AA1A52" w:rsidRDefault="000F471C" w:rsidP="00AA1A52">
      <w:pPr>
        <w:pStyle w:val="ListParagraph"/>
        <w:numPr>
          <w:ilvl w:val="0"/>
          <w:numId w:val="41"/>
        </w:numPr>
        <w:rPr>
          <w:rFonts w:cs="Arial"/>
          <w:color w:val="111111"/>
          <w:lang w:val="sr-Latn-ME"/>
        </w:rPr>
      </w:pPr>
      <w:r w:rsidRPr="001302F9">
        <w:rPr>
          <w:rFonts w:cs="Arial"/>
          <w:sz w:val="22"/>
          <w:szCs w:val="22"/>
          <w:lang w:val="sr-Latn-ME"/>
        </w:rPr>
        <w:t xml:space="preserve">Upozorenja od drugih institucija (npr. </w:t>
      </w:r>
      <w:r w:rsidR="009B4B11">
        <w:rPr>
          <w:rFonts w:cs="Arial"/>
          <w:sz w:val="22"/>
          <w:szCs w:val="22"/>
          <w:lang w:val="sr-Latn-ME"/>
        </w:rPr>
        <w:t>o</w:t>
      </w:r>
      <w:r w:rsidRPr="009B4B11">
        <w:rPr>
          <w:rFonts w:cs="Arial"/>
          <w:sz w:val="22"/>
          <w:szCs w:val="22"/>
          <w:lang w:val="sr-Latn-ME"/>
        </w:rPr>
        <w:t xml:space="preserve">d </w:t>
      </w:r>
      <w:r w:rsidR="009B4B11" w:rsidRPr="009B4B11">
        <w:rPr>
          <w:rFonts w:cs="Arial"/>
          <w:sz w:val="22"/>
          <w:szCs w:val="22"/>
          <w:lang w:val="sr-Latn-ME"/>
        </w:rPr>
        <w:t>institucija</w:t>
      </w:r>
      <w:r w:rsidRPr="009B4B11">
        <w:rPr>
          <w:rFonts w:cs="Arial"/>
          <w:sz w:val="22"/>
          <w:szCs w:val="22"/>
          <w:lang w:val="sr-Latn-ME"/>
        </w:rPr>
        <w:t xml:space="preserve"> koj</w:t>
      </w:r>
      <w:r w:rsidR="009B4B11">
        <w:rPr>
          <w:rFonts w:cs="Arial"/>
          <w:sz w:val="22"/>
          <w:szCs w:val="22"/>
          <w:lang w:val="sr-Latn-ME"/>
        </w:rPr>
        <w:t>e</w:t>
      </w:r>
      <w:r w:rsidRPr="009B4B11">
        <w:rPr>
          <w:rFonts w:cs="Arial"/>
          <w:sz w:val="22"/>
          <w:szCs w:val="22"/>
          <w:lang w:val="sr-Latn-ME"/>
        </w:rPr>
        <w:t xml:space="preserve"> su nezavisn</w:t>
      </w:r>
      <w:r w:rsidR="009B4B11">
        <w:rPr>
          <w:rFonts w:cs="Arial"/>
          <w:sz w:val="22"/>
          <w:szCs w:val="22"/>
          <w:lang w:val="sr-Latn-ME"/>
        </w:rPr>
        <w:t>e</w:t>
      </w:r>
      <w:r w:rsidRPr="009B4B11">
        <w:rPr>
          <w:rFonts w:cs="Arial"/>
          <w:sz w:val="22"/>
          <w:szCs w:val="22"/>
          <w:lang w:val="sr-Latn-ME"/>
        </w:rPr>
        <w:t xml:space="preserve"> od IPA struktura, a bave se politikom suzbijanja nepravilnosti i prevara na nivou sistema).</w:t>
      </w:r>
      <w:r w:rsidRPr="001302F9">
        <w:rPr>
          <w:rFonts w:cs="Arial"/>
          <w:sz w:val="22"/>
          <w:szCs w:val="22"/>
          <w:lang w:val="sr-Latn-ME"/>
        </w:rPr>
        <w:br/>
      </w:r>
    </w:p>
    <w:p w:rsidR="000F471C" w:rsidRPr="003A0155" w:rsidRDefault="00384527" w:rsidP="00AA1A52">
      <w:pPr>
        <w:pStyle w:val="ListParagraph"/>
        <w:ind w:left="0"/>
        <w:rPr>
          <w:rFonts w:cs="Arial"/>
          <w:color w:val="111111"/>
          <w:shd w:val="clear" w:color="auto" w:fill="F7F7F7"/>
          <w:lang w:val="sr-Latn-ME"/>
        </w:rPr>
      </w:pPr>
      <w:r w:rsidRPr="008220AE">
        <w:rPr>
          <w:rFonts w:cs="Arial"/>
          <w:color w:val="111111"/>
          <w:sz w:val="22"/>
          <w:szCs w:val="22"/>
          <w:lang w:val="sr-Latn-ME"/>
        </w:rPr>
        <w:t xml:space="preserve">Greške u administrativnom postupanju </w:t>
      </w:r>
      <w:r w:rsidR="00E8594F" w:rsidRPr="008220AE">
        <w:rPr>
          <w:rFonts w:cs="Arial"/>
          <w:color w:val="111111"/>
          <w:sz w:val="22"/>
          <w:szCs w:val="22"/>
          <w:lang w:val="sr-Latn-ME"/>
        </w:rPr>
        <w:t>se pokazuju kao č</w:t>
      </w:r>
      <w:r w:rsidR="004E1052" w:rsidRPr="008220AE">
        <w:rPr>
          <w:rFonts w:cs="Arial"/>
          <w:color w:val="111111"/>
          <w:sz w:val="22"/>
          <w:szCs w:val="22"/>
          <w:lang w:val="sr-Latn-ME"/>
        </w:rPr>
        <w:t>e</w:t>
      </w:r>
      <w:r w:rsidR="00E8594F" w:rsidRPr="008220AE">
        <w:rPr>
          <w:rFonts w:cs="Arial"/>
          <w:color w:val="111111"/>
          <w:sz w:val="22"/>
          <w:szCs w:val="22"/>
          <w:lang w:val="sr-Latn-ME"/>
        </w:rPr>
        <w:t>ste</w:t>
      </w:r>
      <w:r w:rsidR="004E1052" w:rsidRPr="008220AE">
        <w:rPr>
          <w:rFonts w:cs="Arial"/>
          <w:color w:val="111111"/>
          <w:sz w:val="22"/>
          <w:szCs w:val="22"/>
          <w:lang w:val="sr-Latn-ME"/>
        </w:rPr>
        <w:t xml:space="preserve"> </w:t>
      </w:r>
      <w:r w:rsidR="000F471C" w:rsidRPr="008220AE">
        <w:rPr>
          <w:rFonts w:cs="Arial"/>
          <w:color w:val="111111"/>
          <w:sz w:val="22"/>
          <w:szCs w:val="22"/>
          <w:lang w:val="sr-Latn-ME"/>
        </w:rPr>
        <w:t>što ukazuje na važnost redovnih administrativnih provjera kako bi se osigurala usklađenost sa propisima i otkrile potencijalne nepravilnosti u ranim fazama. Kombinacija redovnih administrativnih provjera, ciljanih kontrola i praćenja ključnih faza implementacije projekata igra ključnu ulogu u osiguravanju transparentnosti i integriteta u upravljanju nacionalnim i EU fondovima</w:t>
      </w:r>
      <w:r w:rsidR="000F471C" w:rsidRPr="003A0155">
        <w:rPr>
          <w:rFonts w:cs="Arial"/>
          <w:color w:val="111111"/>
          <w:shd w:val="clear" w:color="auto" w:fill="F7F7F7"/>
          <w:lang w:val="sr-Latn-ME"/>
        </w:rPr>
        <w:t>.</w:t>
      </w:r>
    </w:p>
    <w:p w:rsidR="000F471C" w:rsidRPr="003A0155" w:rsidRDefault="003A0155" w:rsidP="000F471C">
      <w:pPr>
        <w:jc w:val="both"/>
        <w:rPr>
          <w:rFonts w:ascii="Arial" w:hAnsi="Arial" w:cs="Arial"/>
          <w:color w:val="111111"/>
          <w:shd w:val="clear" w:color="auto" w:fill="F7F7F7"/>
          <w:lang w:val="sr-Latn-ME"/>
        </w:rPr>
      </w:pPr>
      <w:r>
        <w:rPr>
          <w:rFonts w:ascii="Arial" w:hAnsi="Arial" w:cs="Arial"/>
          <w:color w:val="111111"/>
          <w:shd w:val="clear" w:color="auto" w:fill="F7F7F7"/>
          <w:lang w:val="sr-Latn-ME"/>
        </w:rPr>
        <w:t>Od početka perioda izvještavanja kroz IMS, po</w:t>
      </w:r>
      <w:r w:rsidR="000F471C" w:rsidRPr="003A0155">
        <w:rPr>
          <w:rFonts w:ascii="Arial" w:hAnsi="Arial" w:cs="Arial"/>
          <w:color w:val="111111"/>
          <w:shd w:val="clear" w:color="auto" w:fill="F7F7F7"/>
          <w:lang w:val="sr-Latn-ME"/>
        </w:rPr>
        <w:t>čevši od 2018. godine, identifikovano je</w:t>
      </w:r>
      <w:r>
        <w:rPr>
          <w:rFonts w:ascii="Arial" w:hAnsi="Arial" w:cs="Arial"/>
          <w:color w:val="111111"/>
          <w:shd w:val="clear" w:color="auto" w:fill="F7F7F7"/>
          <w:lang w:val="sr-Latn-ME"/>
        </w:rPr>
        <w:t xml:space="preserve"> nepravilnosti u iznosu od</w:t>
      </w:r>
      <w:r w:rsidR="000F471C" w:rsidRPr="003A0155">
        <w:rPr>
          <w:rFonts w:ascii="Arial" w:hAnsi="Arial" w:cs="Arial"/>
          <w:color w:val="111111"/>
          <w:shd w:val="clear" w:color="auto" w:fill="F7F7F7"/>
          <w:lang w:val="sr-Latn-ME"/>
        </w:rPr>
        <w:t xml:space="preserve"> €2,373,208.48, a prosječna stopa otkrivanja nepravilnosti (prevarnih i nepr</w:t>
      </w:r>
      <w:r w:rsidR="00761B71">
        <w:rPr>
          <w:rFonts w:ascii="Arial" w:hAnsi="Arial" w:cs="Arial"/>
          <w:color w:val="111111"/>
          <w:shd w:val="clear" w:color="auto" w:fill="F7F7F7"/>
          <w:lang w:val="sr-Latn-ME"/>
        </w:rPr>
        <w:t>evarnih</w:t>
      </w:r>
      <w:r w:rsidR="000F471C" w:rsidRPr="003A0155">
        <w:rPr>
          <w:rFonts w:ascii="Arial" w:hAnsi="Arial" w:cs="Arial"/>
          <w:color w:val="111111"/>
          <w:shd w:val="clear" w:color="auto" w:fill="F7F7F7"/>
          <w:lang w:val="sr-Latn-ME"/>
        </w:rPr>
        <w:t>) među svim finansijskim komponentama bila je 1.53%. U poređenju sa podacima iz PIF izveštaja 2023. godine</w:t>
      </w:r>
      <w:r w:rsidR="000F471C" w:rsidRPr="003A0155">
        <w:rPr>
          <w:rStyle w:val="FootnoteReference"/>
          <w:rFonts w:ascii="Arial" w:hAnsi="Arial" w:cs="Arial"/>
          <w:color w:val="111111"/>
          <w:shd w:val="clear" w:color="auto" w:fill="F7F7F7"/>
          <w:lang w:val="sr-Latn-ME"/>
        </w:rPr>
        <w:footnoteReference w:id="5"/>
      </w:r>
      <w:r w:rsidR="000F471C" w:rsidRPr="003A0155">
        <w:rPr>
          <w:rFonts w:ascii="Arial" w:hAnsi="Arial" w:cs="Arial"/>
          <w:color w:val="111111"/>
          <w:shd w:val="clear" w:color="auto" w:fill="F7F7F7"/>
          <w:lang w:val="sr-Latn-ME"/>
        </w:rPr>
        <w:t xml:space="preserve"> za 27 članica EU, stopa otkrivanja prevara bila je 0.53%, dok je stopa otkrivanja nepravilnosti (ne prevara) bila 0.67%, što je niže od stope u Crnoj Gori.</w:t>
      </w:r>
    </w:p>
    <w:p w:rsidR="000F471C" w:rsidRPr="001302F9" w:rsidRDefault="000F471C" w:rsidP="000F471C">
      <w:pPr>
        <w:jc w:val="both"/>
        <w:rPr>
          <w:rFonts w:ascii="Arial" w:hAnsi="Arial" w:cs="Arial"/>
          <w:color w:val="111111"/>
          <w:shd w:val="clear" w:color="auto" w:fill="F7F7F7"/>
          <w:lang w:val="sr-Latn-ME"/>
        </w:rPr>
      </w:pPr>
      <w:r w:rsidRPr="00AA1A52">
        <w:rPr>
          <w:rFonts w:ascii="Arial" w:hAnsi="Arial" w:cs="Arial"/>
          <w:color w:val="111111"/>
          <w:shd w:val="clear" w:color="auto" w:fill="F7F7F7"/>
          <w:lang w:val="sr-Latn-ME"/>
        </w:rPr>
        <w:t>U okviru procjene rizika od prevara, utvrđeno je da Implementacionim agencijama/ Posredničkim tijelima za finansijsko upravljanje nedostaje vještina i znanja u oblasti identifikacije nepravilnosti i prijavljivanja sumnjivih postupanja. Aktivnosti podizanja svijesti i obuke trebale bi biti prvenstveno usmjerene na zaposlene u tijelima na implementacionom nivou kako bi se efikasno povećala sposobnost otkrivanja nepravilnosti i sumnje na prevaru</w:t>
      </w:r>
      <w:r w:rsidRPr="00AA1A52">
        <w:rPr>
          <w:rStyle w:val="FootnoteReference"/>
          <w:rFonts w:ascii="Arial" w:hAnsi="Arial" w:cs="Arial"/>
          <w:color w:val="111111"/>
          <w:shd w:val="clear" w:color="auto" w:fill="F7F7F7"/>
          <w:lang w:val="sr-Latn-ME"/>
        </w:rPr>
        <w:footnoteReference w:id="6"/>
      </w:r>
      <w:r w:rsidRPr="00AA1A52">
        <w:rPr>
          <w:rFonts w:ascii="Arial" w:hAnsi="Arial" w:cs="Arial"/>
          <w:color w:val="111111"/>
          <w:shd w:val="clear" w:color="auto" w:fill="F7F7F7"/>
          <w:lang w:val="sr-Latn-ME"/>
        </w:rPr>
        <w:t>. Što se tiče uloge posredničkih tijela za upravljanje sektorskim politikama u okviru IPA II i IPA III programa, važno je uključiti službenike odgovarajućih IPA jedinica u predstojeće obuke u oblasti nepravilnosti.</w:t>
      </w:r>
    </w:p>
    <w:p w:rsidR="009B4B11" w:rsidRPr="009B4B11" w:rsidRDefault="009B4B11" w:rsidP="009B4B11">
      <w:pPr>
        <w:jc w:val="both"/>
        <w:rPr>
          <w:rFonts w:ascii="Arial" w:hAnsi="Arial" w:cs="Arial"/>
          <w:lang w:val="sr-Latn-ME"/>
        </w:rPr>
      </w:pPr>
      <w:r w:rsidRPr="009B4B11">
        <w:rPr>
          <w:rFonts w:ascii="Arial" w:hAnsi="Arial" w:cs="Arial"/>
          <w:lang w:val="sr-Latn-ME"/>
        </w:rPr>
        <w:t>Takođe, zaključeno je da je samo 5% nepravilnosti prijavljeno kao prevar</w:t>
      </w:r>
      <w:r>
        <w:rPr>
          <w:rFonts w:ascii="Arial" w:hAnsi="Arial" w:cs="Arial"/>
          <w:lang w:val="sr-Latn-ME"/>
        </w:rPr>
        <w:t xml:space="preserve">a, dok </w:t>
      </w:r>
      <w:r w:rsidR="000C587D">
        <w:rPr>
          <w:rFonts w:ascii="Arial" w:hAnsi="Arial" w:cs="Arial"/>
          <w:lang w:val="sr-Latn-ME"/>
        </w:rPr>
        <w:t>podaci</w:t>
      </w:r>
      <w:r w:rsidRPr="009B4B11">
        <w:rPr>
          <w:rFonts w:ascii="Arial" w:hAnsi="Arial" w:cs="Arial"/>
          <w:lang w:val="sr-Latn-ME"/>
        </w:rPr>
        <w:t xml:space="preserve"> iz PIF izveštaja 2023. godine </w:t>
      </w:r>
      <w:r w:rsidR="000C587D">
        <w:rPr>
          <w:rFonts w:ascii="Arial" w:hAnsi="Arial" w:cs="Arial"/>
          <w:lang w:val="sr-Latn-ME"/>
        </w:rPr>
        <w:t xml:space="preserve">pokazuju da su, u prosjeku, </w:t>
      </w:r>
      <w:r w:rsidRPr="009B4B11">
        <w:rPr>
          <w:rFonts w:ascii="Arial" w:hAnsi="Arial" w:cs="Arial"/>
          <w:lang w:val="sr-Latn-ME"/>
        </w:rPr>
        <w:t>zemlj</w:t>
      </w:r>
      <w:r w:rsidR="000C587D">
        <w:rPr>
          <w:rFonts w:ascii="Arial" w:hAnsi="Arial" w:cs="Arial"/>
          <w:lang w:val="sr-Latn-ME"/>
        </w:rPr>
        <w:t>e</w:t>
      </w:r>
      <w:r w:rsidRPr="009B4B11">
        <w:rPr>
          <w:rFonts w:ascii="Arial" w:hAnsi="Arial" w:cs="Arial"/>
          <w:lang w:val="sr-Latn-ME"/>
        </w:rPr>
        <w:t xml:space="preserve"> koje primaju  pretpristupna sredstva, </w:t>
      </w:r>
      <w:r w:rsidR="000C587D" w:rsidRPr="009B4B11">
        <w:rPr>
          <w:rFonts w:ascii="Arial" w:hAnsi="Arial" w:cs="Arial"/>
          <w:lang w:val="sr-Latn-ME"/>
        </w:rPr>
        <w:t>prijav</w:t>
      </w:r>
      <w:r w:rsidR="000C587D">
        <w:rPr>
          <w:rFonts w:ascii="Arial" w:hAnsi="Arial" w:cs="Arial"/>
          <w:lang w:val="sr-Latn-ME"/>
        </w:rPr>
        <w:t>ile</w:t>
      </w:r>
      <w:r w:rsidR="000C587D" w:rsidRPr="009B4B11">
        <w:rPr>
          <w:rFonts w:ascii="Arial" w:hAnsi="Arial" w:cs="Arial"/>
          <w:lang w:val="sr-Latn-ME"/>
        </w:rPr>
        <w:t xml:space="preserve"> </w:t>
      </w:r>
      <w:r w:rsidRPr="009B4B11">
        <w:rPr>
          <w:rFonts w:ascii="Arial" w:hAnsi="Arial" w:cs="Arial"/>
          <w:lang w:val="sr-Latn-ME"/>
        </w:rPr>
        <w:t>oko 8% nepravilnosti</w:t>
      </w:r>
      <w:r w:rsidR="000C587D">
        <w:rPr>
          <w:rFonts w:ascii="Arial" w:hAnsi="Arial" w:cs="Arial"/>
          <w:lang w:val="sr-Latn-ME"/>
        </w:rPr>
        <w:t xml:space="preserve"> </w:t>
      </w:r>
      <w:r w:rsidRPr="009B4B11">
        <w:rPr>
          <w:rFonts w:ascii="Arial" w:hAnsi="Arial" w:cs="Arial"/>
          <w:lang w:val="sr-Latn-ME"/>
        </w:rPr>
        <w:t>kao prevar</w:t>
      </w:r>
      <w:r w:rsidR="000C587D">
        <w:rPr>
          <w:rFonts w:ascii="Arial" w:hAnsi="Arial" w:cs="Arial"/>
          <w:lang w:val="sr-Latn-ME"/>
        </w:rPr>
        <w:t>u</w:t>
      </w:r>
      <w:r w:rsidRPr="009B4B11">
        <w:rPr>
          <w:rFonts w:ascii="Arial" w:hAnsi="Arial" w:cs="Arial"/>
          <w:lang w:val="sr-Latn-ME"/>
        </w:rPr>
        <w:t xml:space="preserve">. </w:t>
      </w:r>
      <w:r w:rsidR="000C587D">
        <w:rPr>
          <w:rFonts w:ascii="Arial" w:hAnsi="Arial" w:cs="Arial"/>
          <w:lang w:val="sr-Latn-ME"/>
        </w:rPr>
        <w:t>Iako se o</w:t>
      </w:r>
      <w:r w:rsidRPr="009B4B11">
        <w:rPr>
          <w:rFonts w:ascii="Arial" w:hAnsi="Arial" w:cs="Arial"/>
          <w:lang w:val="sr-Latn-ME"/>
        </w:rPr>
        <w:t xml:space="preserve">vaj procenat (nivoi učestalosti prevara – FFL) mijenjao tokom vremena </w:t>
      </w:r>
      <w:r w:rsidR="000C587D">
        <w:rPr>
          <w:rFonts w:ascii="Arial" w:hAnsi="Arial" w:cs="Arial"/>
          <w:lang w:val="sr-Latn-ME"/>
        </w:rPr>
        <w:t>(</w:t>
      </w:r>
      <w:r w:rsidRPr="009B4B11">
        <w:rPr>
          <w:rFonts w:ascii="Arial" w:hAnsi="Arial" w:cs="Arial"/>
          <w:lang w:val="sr-Latn-ME"/>
        </w:rPr>
        <w:t>značajno se povećavao tokom 2020. godine (15%) i dostigao vrhunac u 2021. godini (19%)</w:t>
      </w:r>
      <w:r w:rsidR="000C587D">
        <w:rPr>
          <w:rFonts w:ascii="Arial" w:hAnsi="Arial" w:cs="Arial"/>
          <w:lang w:val="sr-Latn-ME"/>
        </w:rPr>
        <w:t>),</w:t>
      </w:r>
      <w:r w:rsidRPr="009B4B11">
        <w:rPr>
          <w:rFonts w:ascii="Arial" w:hAnsi="Arial" w:cs="Arial"/>
          <w:lang w:val="sr-Latn-ME"/>
        </w:rPr>
        <w:t xml:space="preserve"> </w:t>
      </w:r>
      <w:r w:rsidR="000C587D">
        <w:rPr>
          <w:rFonts w:ascii="Arial" w:hAnsi="Arial" w:cs="Arial"/>
          <w:lang w:val="sr-Latn-ME"/>
        </w:rPr>
        <w:t>o</w:t>
      </w:r>
      <w:r w:rsidRPr="009B4B11">
        <w:rPr>
          <w:rFonts w:ascii="Arial" w:hAnsi="Arial" w:cs="Arial"/>
          <w:lang w:val="sr-Latn-ME"/>
        </w:rPr>
        <w:t xml:space="preserve">ve razlike u podacima ukazuju da u Crnoj Gori </w:t>
      </w:r>
      <w:r w:rsidR="000C587D">
        <w:rPr>
          <w:rFonts w:ascii="Arial" w:hAnsi="Arial" w:cs="Arial"/>
          <w:lang w:val="sr-Latn-ME"/>
        </w:rPr>
        <w:t>može</w:t>
      </w:r>
      <w:r w:rsidRPr="009B4B11">
        <w:rPr>
          <w:rFonts w:ascii="Arial" w:hAnsi="Arial" w:cs="Arial"/>
          <w:lang w:val="sr-Latn-ME"/>
        </w:rPr>
        <w:t xml:space="preserve"> postoj</w:t>
      </w:r>
      <w:r w:rsidR="000C587D">
        <w:rPr>
          <w:rFonts w:ascii="Arial" w:hAnsi="Arial" w:cs="Arial"/>
          <w:lang w:val="sr-Latn-ME"/>
        </w:rPr>
        <w:t xml:space="preserve">ati značajan broj </w:t>
      </w:r>
      <w:r w:rsidRPr="009B4B11">
        <w:rPr>
          <w:rFonts w:ascii="Arial" w:hAnsi="Arial" w:cs="Arial"/>
          <w:lang w:val="sr-Latn-ME"/>
        </w:rPr>
        <w:t xml:space="preserve">prevara </w:t>
      </w:r>
      <w:r w:rsidR="000C587D">
        <w:rPr>
          <w:rFonts w:ascii="Arial" w:hAnsi="Arial" w:cs="Arial"/>
          <w:lang w:val="sr-Latn-ME"/>
        </w:rPr>
        <w:t xml:space="preserve">koje nisu otkrive </w:t>
      </w:r>
      <w:r w:rsidRPr="009B4B11">
        <w:rPr>
          <w:rFonts w:ascii="Arial" w:hAnsi="Arial" w:cs="Arial"/>
          <w:lang w:val="sr-Latn-ME"/>
        </w:rPr>
        <w:t xml:space="preserve">zbog nedovoljnih kapaciteta  u okviru IPA sistema upravljanja i kontrole, te se stoga aktivnosti za poboljšanje vještina i alata za bolju detekciju uključuju u novu Strategiju </w:t>
      </w:r>
      <w:r w:rsidR="000C587D">
        <w:rPr>
          <w:rFonts w:ascii="Arial" w:hAnsi="Arial" w:cs="Arial"/>
          <w:lang w:val="sr-Latn-ME"/>
        </w:rPr>
        <w:t>i</w:t>
      </w:r>
      <w:r w:rsidRPr="009B4B11">
        <w:rPr>
          <w:rFonts w:ascii="Arial" w:hAnsi="Arial" w:cs="Arial"/>
          <w:lang w:val="sr-Latn-ME"/>
        </w:rPr>
        <w:t xml:space="preserve"> njen Akcioni plan.</w:t>
      </w:r>
    </w:p>
    <w:p w:rsidR="009B4B11" w:rsidRPr="000C587D" w:rsidRDefault="009B4B11" w:rsidP="009B4B11">
      <w:pPr>
        <w:jc w:val="both"/>
        <w:rPr>
          <w:rFonts w:ascii="Arial" w:hAnsi="Arial" w:cs="Arial"/>
          <w:i/>
          <w:lang w:val="sr-Latn-ME"/>
        </w:rPr>
      </w:pPr>
      <w:r w:rsidRPr="000C587D">
        <w:rPr>
          <w:rFonts w:ascii="Arial" w:hAnsi="Arial" w:cs="Arial"/>
          <w:i/>
          <w:lang w:val="sr-Latn-ME"/>
        </w:rPr>
        <w:t>• Prijavljivanje prevara i nepravilnosti</w:t>
      </w:r>
    </w:p>
    <w:p w:rsidR="009B4B11" w:rsidRPr="009B4B11" w:rsidRDefault="009B4B11" w:rsidP="000C587D">
      <w:pPr>
        <w:jc w:val="both"/>
        <w:rPr>
          <w:rFonts w:ascii="Arial" w:hAnsi="Arial" w:cs="Arial"/>
          <w:lang w:val="sr-Latn-ME"/>
        </w:rPr>
      </w:pPr>
      <w:r w:rsidRPr="009B4B11">
        <w:rPr>
          <w:rFonts w:ascii="Arial" w:hAnsi="Arial" w:cs="Arial"/>
          <w:lang w:val="sr-Latn-ME"/>
        </w:rPr>
        <w:t xml:space="preserve">Cilj prijavljivanja nepravilnosti je pravilno otkrivanje informacija o identifikovanim slučajevima nepravilnosti i sumnje na prevaru. Takođe, Izvještaj o nepravilnostima odražava efikasno funkcionisanje </w:t>
      </w:r>
      <w:r w:rsidR="000C587D">
        <w:rPr>
          <w:rFonts w:ascii="Arial" w:hAnsi="Arial" w:cs="Arial"/>
          <w:lang w:val="sr-Latn-ME"/>
        </w:rPr>
        <w:t>s</w:t>
      </w:r>
      <w:r w:rsidRPr="009B4B11">
        <w:rPr>
          <w:rFonts w:ascii="Arial" w:hAnsi="Arial" w:cs="Arial"/>
          <w:lang w:val="sr-Latn-ME"/>
        </w:rPr>
        <w:t>istema zaštite finansijskih interesa EU</w:t>
      </w:r>
      <w:r w:rsidR="006C6B2A">
        <w:rPr>
          <w:rFonts w:ascii="Arial" w:hAnsi="Arial" w:cs="Arial"/>
          <w:lang w:val="sr-Latn-ME"/>
        </w:rPr>
        <w:t>,</w:t>
      </w:r>
      <w:r w:rsidRPr="009B4B11">
        <w:rPr>
          <w:rFonts w:ascii="Arial" w:hAnsi="Arial" w:cs="Arial"/>
          <w:lang w:val="sr-Latn-ME"/>
        </w:rPr>
        <w:t xml:space="preserve"> na način koji jasno pokazuje da li nadležn</w:t>
      </w:r>
      <w:r w:rsidR="000C587D">
        <w:rPr>
          <w:rFonts w:ascii="Arial" w:hAnsi="Arial" w:cs="Arial"/>
          <w:lang w:val="sr-Latn-ME"/>
        </w:rPr>
        <w:t xml:space="preserve">e institucije </w:t>
      </w:r>
      <w:r w:rsidRPr="009B4B11">
        <w:rPr>
          <w:rFonts w:ascii="Arial" w:hAnsi="Arial" w:cs="Arial"/>
          <w:lang w:val="sr-Latn-ME"/>
        </w:rPr>
        <w:t>znaju kako da kvalifikuju nepravilnost, kako i koliko brzo djeluju u slučajevima identifikovanih nepravilnosti i prevara, kao i da li postoje svi mehanizmi kako bi se obezbijedio povra</w:t>
      </w:r>
      <w:r w:rsidR="000C587D">
        <w:rPr>
          <w:rFonts w:ascii="Arial" w:hAnsi="Arial" w:cs="Arial"/>
          <w:lang w:val="sr-Latn-ME"/>
        </w:rPr>
        <w:t>ćaj</w:t>
      </w:r>
      <w:r w:rsidRPr="009B4B11">
        <w:rPr>
          <w:rFonts w:ascii="Arial" w:hAnsi="Arial" w:cs="Arial"/>
          <w:lang w:val="sr-Latn-ME"/>
        </w:rPr>
        <w:t xml:space="preserve"> sredstava u budžet EU i sankcionisali prekršioci.</w:t>
      </w:r>
    </w:p>
    <w:p w:rsidR="009B4B11" w:rsidRDefault="009B4B11" w:rsidP="000C587D">
      <w:pPr>
        <w:jc w:val="both"/>
        <w:rPr>
          <w:rFonts w:ascii="Arial" w:hAnsi="Arial" w:cs="Arial"/>
          <w:lang w:val="sr-Latn-ME"/>
        </w:rPr>
      </w:pPr>
      <w:r w:rsidRPr="009B4B11">
        <w:rPr>
          <w:rFonts w:ascii="Arial" w:hAnsi="Arial" w:cs="Arial"/>
          <w:lang w:val="sr-Latn-ME"/>
        </w:rPr>
        <w:t xml:space="preserve">Odgovornost za prijavljivanje nepravilnosti leži na zemlji korisnici </w:t>
      </w:r>
      <w:r w:rsidR="006C6B2A">
        <w:rPr>
          <w:rFonts w:ascii="Arial" w:hAnsi="Arial" w:cs="Arial"/>
          <w:lang w:val="sr-Latn-ME"/>
        </w:rPr>
        <w:t xml:space="preserve">EU </w:t>
      </w:r>
      <w:r w:rsidRPr="009B4B11">
        <w:rPr>
          <w:rFonts w:ascii="Arial" w:hAnsi="Arial" w:cs="Arial"/>
          <w:lang w:val="sr-Latn-ME"/>
        </w:rPr>
        <w:t>pomoći. U tom smislu, sve nadležne institucije u Crnoj Gori koje su uključene u implementaciju IPA II i IPA III programa (IPA strukture)</w:t>
      </w:r>
      <w:r w:rsidR="006C6B2A">
        <w:rPr>
          <w:rFonts w:ascii="Arial" w:hAnsi="Arial" w:cs="Arial"/>
          <w:lang w:val="sr-Latn-ME"/>
        </w:rPr>
        <w:t xml:space="preserve"> i drugih instrumenata EU pomoći</w:t>
      </w:r>
      <w:r w:rsidRPr="009B4B11">
        <w:rPr>
          <w:rFonts w:ascii="Arial" w:hAnsi="Arial" w:cs="Arial"/>
          <w:lang w:val="sr-Latn-ME"/>
        </w:rPr>
        <w:t xml:space="preserve"> obavezne su da prijave nepravilnosti.</w:t>
      </w:r>
    </w:p>
    <w:p w:rsidR="000F471C" w:rsidRPr="008D554D" w:rsidRDefault="000F471C" w:rsidP="008D554D">
      <w:pPr>
        <w:jc w:val="both"/>
        <w:rPr>
          <w:rFonts w:ascii="Arial" w:hAnsi="Arial" w:cs="Arial"/>
          <w:color w:val="111111"/>
          <w:shd w:val="clear" w:color="auto" w:fill="F7F7F7"/>
          <w:lang w:val="sr-Latn-ME"/>
        </w:rPr>
      </w:pPr>
      <w:r w:rsidRPr="001302F9">
        <w:rPr>
          <w:rFonts w:ascii="Arial" w:hAnsi="Arial" w:cs="Arial"/>
          <w:lang w:val="sr-Latn-ME"/>
        </w:rPr>
        <w:t>Pravna osnova za obavezu prijavljivanja nepravilnosti utvrđena je Okvirnim sporazumom, kao i Uredbom o organizaciji indirektnog upravljanja sprovođenja finansijske pomoći u okviru instrumenta pretpristupne podrške Evropske unije (IPA II I IPA III) i važećoj verziji Priručnika</w:t>
      </w:r>
      <w:r w:rsidR="000C587D">
        <w:rPr>
          <w:rFonts w:ascii="Arial" w:hAnsi="Arial" w:cs="Arial"/>
          <w:lang w:val="sr-Latn-ME"/>
        </w:rPr>
        <w:t xml:space="preserve"> o </w:t>
      </w:r>
      <w:r w:rsidRPr="001302F9">
        <w:rPr>
          <w:rFonts w:ascii="Arial" w:hAnsi="Arial" w:cs="Arial"/>
          <w:lang w:val="sr-Latn-ME"/>
        </w:rPr>
        <w:t>procedura</w:t>
      </w:r>
      <w:r w:rsidR="000C587D">
        <w:rPr>
          <w:rFonts w:ascii="Arial" w:hAnsi="Arial" w:cs="Arial"/>
          <w:lang w:val="sr-Latn-ME"/>
        </w:rPr>
        <w:t>ma,</w:t>
      </w:r>
      <w:r w:rsidRPr="001302F9">
        <w:rPr>
          <w:rFonts w:ascii="Arial" w:hAnsi="Arial" w:cs="Arial"/>
          <w:lang w:val="sr-Latn-ME"/>
        </w:rPr>
        <w:t xml:space="preserve"> za referentne programe.</w:t>
      </w:r>
      <w:r w:rsidR="000C587D">
        <w:rPr>
          <w:rFonts w:ascii="Arial" w:hAnsi="Arial" w:cs="Arial"/>
          <w:lang w:val="sr-Latn-ME"/>
        </w:rPr>
        <w:t xml:space="preserve"> </w:t>
      </w:r>
      <w:r w:rsidRPr="001302F9">
        <w:rPr>
          <w:rFonts w:ascii="Arial" w:hAnsi="Arial" w:cs="Arial"/>
          <w:lang w:val="sr-Latn-ME"/>
        </w:rPr>
        <w:t xml:space="preserve">U slučajevima sumnje na nepravilnosti, kao i u slučajevima identifikovanih nepravilnosti i sumnje na prevaru, koordinaciju </w:t>
      </w:r>
      <w:r w:rsidR="000C587D">
        <w:rPr>
          <w:rFonts w:ascii="Arial" w:hAnsi="Arial" w:cs="Arial"/>
          <w:lang w:val="sr-Latn-ME"/>
        </w:rPr>
        <w:t xml:space="preserve">prijavljivanja </w:t>
      </w:r>
      <w:r w:rsidRPr="001302F9">
        <w:rPr>
          <w:rFonts w:ascii="Arial" w:hAnsi="Arial" w:cs="Arial"/>
          <w:lang w:val="sr-Latn-ME"/>
        </w:rPr>
        <w:t>(prikupljanje informacija i prijavljivanje nepravilnosti i sumnje na prevaru) vrše službenici za nepravilnosti imenovani u IPA strukturama.</w:t>
      </w:r>
      <w:r w:rsidR="000C587D">
        <w:rPr>
          <w:rFonts w:ascii="Arial" w:hAnsi="Arial" w:cs="Arial"/>
          <w:lang w:val="sr-Latn-ME"/>
        </w:rPr>
        <w:t xml:space="preserve"> </w:t>
      </w:r>
      <w:r w:rsidRPr="001302F9">
        <w:rPr>
          <w:rFonts w:ascii="Arial" w:hAnsi="Arial" w:cs="Arial"/>
          <w:lang w:val="sr-Latn-ME"/>
        </w:rPr>
        <w:t xml:space="preserve">Proces utvrđivanja autentičnosti informacija o sumnji na nepravilnost ili prevaru započinje nakon prijema informacija i završava PACA dokumentom kojim se utvrđuje postojanje nepravilnosti ili sumnje na prevaru. Konkretno, PACA je definisana kao prvi pisani nalaz nadležnog organa, bilo administrativnog ili pravosudnog, zasnovan na određenim činjenicama koje ukazuju na to da je počinjena nepravilnost, bez prejudiciranja mogućnosti da odluka bude kasnije promijenjena ili povučena kao rezultat daljih administrativnih ili pravosudnih postupaka. NAO je odgovoran za prijavljivanje Evropskoj komisiji, svake sumnje na prevaru i drugih nepravilnosti koje su bile predmet primarnog administrativnog ili pravosudnog nalaza, bez odlaganja, i </w:t>
      </w:r>
      <w:r w:rsidR="002446CF">
        <w:rPr>
          <w:rFonts w:ascii="Arial" w:hAnsi="Arial" w:cs="Arial"/>
          <w:lang w:val="sr-Latn-ME"/>
        </w:rPr>
        <w:t>dužan je</w:t>
      </w:r>
      <w:r w:rsidRPr="001302F9">
        <w:rPr>
          <w:rFonts w:ascii="Arial" w:hAnsi="Arial" w:cs="Arial"/>
          <w:lang w:val="sr-Latn-ME"/>
        </w:rPr>
        <w:t xml:space="preserve"> stalno obavještavati  o napretku administrativnih i pravnih postupaka, istovremeno  obavještavajući i Direkciju za zaštitu finansijskih interesa EU/AFCOS.</w:t>
      </w:r>
      <w:r w:rsidR="008D554D">
        <w:rPr>
          <w:rFonts w:ascii="Arial" w:hAnsi="Arial" w:cs="Arial"/>
          <w:lang w:val="sr-Latn-ME"/>
        </w:rPr>
        <w:t xml:space="preserve"> </w:t>
      </w:r>
      <w:r w:rsidRPr="001302F9">
        <w:rPr>
          <w:rFonts w:ascii="Arial" w:hAnsi="Arial" w:cs="Arial"/>
          <w:lang w:val="sr-Latn-ME"/>
        </w:rPr>
        <w:t>Prijavljivanje nepravilnosti vrši se elektronskim putem, korišćenjem IMS sistema koji je uspostavila EK za ovu svrhu.</w:t>
      </w:r>
      <w:r w:rsidRPr="001302F9">
        <w:rPr>
          <w:rFonts w:ascii="Arial" w:hAnsi="Arial" w:cs="Arial"/>
          <w:lang w:val="sr-Latn-ME"/>
        </w:rPr>
        <w:br/>
        <w:t>U skladu sa Smjernicama za prijavljivanje nepravilnosti, propisano je da detekcija nepravilnosti i donošenje zaključka o postojanju/nepostojanju nepravilnosti treba da se izvrši u roku od 30 radnih dana od dana pokretanja postupka utvrđivanja, a samo u posebnim i opravdanim slučajevima ovaj rok može biti produžen</w:t>
      </w:r>
      <w:r w:rsidR="008D554D">
        <w:rPr>
          <w:rFonts w:ascii="Arial" w:hAnsi="Arial" w:cs="Arial"/>
          <w:lang w:val="sr-Latn-ME"/>
        </w:rPr>
        <w:t>,</w:t>
      </w:r>
      <w:r w:rsidRPr="001302F9">
        <w:rPr>
          <w:rFonts w:ascii="Arial" w:hAnsi="Arial" w:cs="Arial"/>
          <w:lang w:val="sr-Latn-ME"/>
        </w:rPr>
        <w:t xml:space="preserve"> uz prethodnu saglasnost NAO-a.</w:t>
      </w:r>
      <w:r w:rsidRPr="001302F9">
        <w:rPr>
          <w:rFonts w:ascii="Arial" w:hAnsi="Arial" w:cs="Arial"/>
          <w:lang w:val="sr-Latn-ME"/>
        </w:rPr>
        <w:br/>
        <w:t>Međutim, prema informacijama iz IMS-a, zaključeno je da je većina nepravilnosti prijavljena nakon dužeg vremenskog perioda – 75% slučajeva prijavljeno je u roku od 3 do 6 meseci ili duže</w:t>
      </w:r>
      <w:r w:rsidRPr="001302F9">
        <w:rPr>
          <w:rStyle w:val="FootnoteReference"/>
          <w:rFonts w:ascii="Arial" w:hAnsi="Arial" w:cs="Arial"/>
          <w:lang w:val="sr-Latn-ME"/>
        </w:rPr>
        <w:footnoteReference w:id="7"/>
      </w:r>
      <w:r w:rsidRPr="001302F9">
        <w:rPr>
          <w:rFonts w:ascii="Arial" w:hAnsi="Arial" w:cs="Arial"/>
          <w:lang w:val="sr-Latn-ME"/>
        </w:rPr>
        <w:t>. Ovaj problem treba da se tretira sa najvećom pažnjom u narednom periodu kako bi se potpuno poštovao period prijavljivanja predviđen procedurama.</w:t>
      </w:r>
    </w:p>
    <w:p w:rsidR="000F471C" w:rsidRPr="001302F9" w:rsidRDefault="000F471C" w:rsidP="000F471C">
      <w:pPr>
        <w:rPr>
          <w:rFonts w:ascii="Arial" w:hAnsi="Arial" w:cs="Arial"/>
          <w:lang w:val="sr-Latn-ME"/>
        </w:rPr>
      </w:pPr>
    </w:p>
    <w:p w:rsidR="000F471C" w:rsidRPr="001302F9" w:rsidRDefault="000F471C" w:rsidP="000F471C">
      <w:pPr>
        <w:pStyle w:val="NoSpacing"/>
        <w:jc w:val="both"/>
        <w:rPr>
          <w:rStyle w:val="Strong"/>
          <w:rFonts w:ascii="Arial" w:hAnsi="Arial" w:cs="Arial"/>
          <w:lang w:val="sr-Latn-ME"/>
        </w:rPr>
      </w:pPr>
      <w:r w:rsidRPr="008D554D">
        <w:rPr>
          <w:rFonts w:ascii="Arial" w:hAnsi="Arial" w:cs="Arial"/>
          <w:b/>
          <w:lang w:val="sr-Latn-ME"/>
        </w:rPr>
        <w:t>2.6.3.</w:t>
      </w:r>
      <w:r w:rsidRPr="001302F9">
        <w:rPr>
          <w:rFonts w:ascii="Arial" w:hAnsi="Arial" w:cs="Arial"/>
          <w:lang w:val="sr-Latn-ME"/>
        </w:rPr>
        <w:t xml:space="preserve"> </w:t>
      </w:r>
      <w:r w:rsidRPr="001302F9">
        <w:rPr>
          <w:rStyle w:val="Strong"/>
          <w:rFonts w:ascii="Arial" w:hAnsi="Arial" w:cs="Arial"/>
          <w:lang w:val="sr-Latn-ME"/>
        </w:rPr>
        <w:t>Istraga prevara i krivično gonjenje</w:t>
      </w:r>
    </w:p>
    <w:p w:rsidR="000F471C" w:rsidRPr="001302F9" w:rsidRDefault="000F471C" w:rsidP="000F471C">
      <w:pPr>
        <w:pStyle w:val="NoSpacing"/>
        <w:jc w:val="both"/>
        <w:rPr>
          <w:rFonts w:ascii="Arial" w:hAnsi="Arial" w:cs="Arial"/>
          <w:lang w:val="sr-Latn-ME"/>
        </w:rPr>
      </w:pPr>
      <w:r w:rsidRPr="001302F9">
        <w:rPr>
          <w:rFonts w:ascii="Arial" w:hAnsi="Arial" w:cs="Arial"/>
          <w:lang w:val="sr-Latn-ME"/>
        </w:rPr>
        <w:br/>
        <w:t>U skladu sa članom 51 (5f) Okvirnog sporazuma, sumnja na prevaru znači nepravilnost koja dovodi do pokretanja administrativnih ili pravosudnih postupaka na nacionalnom nivou kako bi se utvrdilo postojanje namjernog ponašanja.</w:t>
      </w:r>
    </w:p>
    <w:p w:rsidR="000F471C" w:rsidRPr="001302F9" w:rsidRDefault="000F471C" w:rsidP="000F471C">
      <w:pPr>
        <w:pStyle w:val="NoSpacing"/>
        <w:jc w:val="both"/>
        <w:rPr>
          <w:rFonts w:ascii="Arial" w:hAnsi="Arial" w:cs="Arial"/>
          <w:lang w:val="sr-Latn-ME"/>
        </w:rPr>
      </w:pPr>
      <w:r w:rsidRPr="001302F9">
        <w:rPr>
          <w:rFonts w:ascii="Arial" w:hAnsi="Arial" w:cs="Arial"/>
          <w:lang w:val="sr-Latn-ME"/>
        </w:rPr>
        <w:br/>
        <w:t>Sa druge strane, u skladu sa članom 51 (5e) Okvirnog sporazuma, prevara znači bilo koji nam</w:t>
      </w:r>
      <w:r w:rsidR="00D66209">
        <w:rPr>
          <w:rFonts w:ascii="Arial" w:hAnsi="Arial" w:cs="Arial"/>
          <w:lang w:val="sr-Latn-ME"/>
        </w:rPr>
        <w:t>j</w:t>
      </w:r>
      <w:r w:rsidRPr="001302F9">
        <w:rPr>
          <w:rFonts w:ascii="Arial" w:hAnsi="Arial" w:cs="Arial"/>
          <w:lang w:val="sr-Latn-ME"/>
        </w:rPr>
        <w:t>erni akt ili propust koji se odnosi na:</w:t>
      </w:r>
    </w:p>
    <w:p w:rsidR="000F471C" w:rsidRPr="001302F9" w:rsidRDefault="000F471C" w:rsidP="000F471C">
      <w:pPr>
        <w:pStyle w:val="NoSpacing"/>
        <w:jc w:val="both"/>
        <w:rPr>
          <w:rFonts w:ascii="Arial" w:hAnsi="Arial" w:cs="Arial"/>
          <w:lang w:val="sr-Latn-ME"/>
        </w:rPr>
      </w:pPr>
      <w:r w:rsidRPr="001302F9">
        <w:rPr>
          <w:rFonts w:ascii="Arial" w:hAnsi="Arial" w:cs="Arial"/>
          <w:lang w:val="sr-Latn-ME"/>
        </w:rPr>
        <w:br/>
        <w:t>– korišćenje ili predstavljanje lažnih, netačnih ili nepotpunih izjava ili dokumenata, što ima za posl</w:t>
      </w:r>
      <w:r w:rsidR="00D66209">
        <w:rPr>
          <w:rFonts w:ascii="Arial" w:hAnsi="Arial" w:cs="Arial"/>
          <w:lang w:val="sr-Latn-ME"/>
        </w:rPr>
        <w:t>j</w:t>
      </w:r>
      <w:r w:rsidRPr="001302F9">
        <w:rPr>
          <w:rFonts w:ascii="Arial" w:hAnsi="Arial" w:cs="Arial"/>
          <w:lang w:val="sr-Latn-ME"/>
        </w:rPr>
        <w:t>edicu nezakonito prisvajanje ili neosnovano zadržavanje sredstava iz opšteg budžeta Unije ili budžeta kojima upravlja EU ili se upravlja u njeno ime;</w:t>
      </w:r>
    </w:p>
    <w:p w:rsidR="000F471C" w:rsidRPr="001302F9" w:rsidRDefault="000F471C" w:rsidP="000F471C">
      <w:pPr>
        <w:pStyle w:val="NoSpacing"/>
        <w:jc w:val="both"/>
        <w:rPr>
          <w:rFonts w:ascii="Arial" w:hAnsi="Arial" w:cs="Arial"/>
          <w:lang w:val="sr-Latn-ME"/>
        </w:rPr>
      </w:pPr>
      <w:r w:rsidRPr="001302F9">
        <w:rPr>
          <w:rFonts w:ascii="Arial" w:hAnsi="Arial" w:cs="Arial"/>
          <w:lang w:val="sr-Latn-ME"/>
        </w:rPr>
        <w:br/>
        <w:t>– neobjavljivanje informacija u suprotnosti sa specifičnom obavezom sa istim učinkom;</w:t>
      </w:r>
    </w:p>
    <w:p w:rsidR="000F471C" w:rsidRPr="001302F9" w:rsidRDefault="000F471C" w:rsidP="000F471C">
      <w:pPr>
        <w:pStyle w:val="NoSpacing"/>
        <w:jc w:val="both"/>
        <w:rPr>
          <w:rFonts w:ascii="Arial" w:hAnsi="Arial" w:cs="Arial"/>
          <w:lang w:val="sr-Latn-ME"/>
        </w:rPr>
      </w:pPr>
      <w:r w:rsidRPr="001302F9">
        <w:rPr>
          <w:rFonts w:ascii="Arial" w:hAnsi="Arial" w:cs="Arial"/>
          <w:lang w:val="sr-Latn-ME"/>
        </w:rPr>
        <w:br/>
        <w:t>– neprimjerena primjena tih sredstava za druge svrhe osim onih za koje su izvorno dodijeljena.</w:t>
      </w:r>
    </w:p>
    <w:p w:rsidR="000F471C" w:rsidRPr="001302F9" w:rsidRDefault="000F471C" w:rsidP="000F471C">
      <w:pPr>
        <w:pStyle w:val="NoSpacing"/>
        <w:jc w:val="both"/>
        <w:rPr>
          <w:rFonts w:ascii="Arial" w:hAnsi="Arial" w:cs="Arial"/>
          <w:lang w:val="sr-Latn-ME"/>
        </w:rPr>
      </w:pPr>
      <w:r w:rsidRPr="001302F9">
        <w:rPr>
          <w:rFonts w:ascii="Arial" w:hAnsi="Arial" w:cs="Arial"/>
          <w:lang w:val="sr-Latn-ME"/>
        </w:rPr>
        <w:br/>
        <w:t xml:space="preserve">Takođe, član 51 (5g i h) Okvirnog sporazuma definiše </w:t>
      </w:r>
      <w:r w:rsidR="00D66209">
        <w:rPr>
          <w:rFonts w:ascii="Arial" w:hAnsi="Arial" w:cs="Arial"/>
          <w:lang w:val="sr-Latn-ME"/>
        </w:rPr>
        <w:t>a</w:t>
      </w:r>
      <w:r w:rsidRPr="001302F9">
        <w:rPr>
          <w:rFonts w:ascii="Arial" w:hAnsi="Arial" w:cs="Arial"/>
          <w:lang w:val="sr-Latn-ME"/>
        </w:rPr>
        <w:t xml:space="preserve">ktivnu i </w:t>
      </w:r>
      <w:r w:rsidR="00D66209">
        <w:rPr>
          <w:rFonts w:ascii="Arial" w:hAnsi="Arial" w:cs="Arial"/>
          <w:lang w:val="sr-Latn-ME"/>
        </w:rPr>
        <w:t>p</w:t>
      </w:r>
      <w:r w:rsidRPr="001302F9">
        <w:rPr>
          <w:rFonts w:ascii="Arial" w:hAnsi="Arial" w:cs="Arial"/>
          <w:lang w:val="sr-Latn-ME"/>
        </w:rPr>
        <w:t xml:space="preserve">asivnu </w:t>
      </w:r>
      <w:r w:rsidR="00D66209">
        <w:rPr>
          <w:rFonts w:ascii="Arial" w:hAnsi="Arial" w:cs="Arial"/>
          <w:lang w:val="sr-Latn-ME"/>
        </w:rPr>
        <w:t>k</w:t>
      </w:r>
      <w:r w:rsidRPr="001302F9">
        <w:rPr>
          <w:rFonts w:ascii="Arial" w:hAnsi="Arial" w:cs="Arial"/>
          <w:lang w:val="sr-Latn-ME"/>
        </w:rPr>
        <w:t>orupciju.</w:t>
      </w:r>
      <w:r w:rsidRPr="001302F9">
        <w:rPr>
          <w:rFonts w:ascii="Arial" w:hAnsi="Arial" w:cs="Arial"/>
          <w:lang w:val="sr-Latn-ME"/>
        </w:rPr>
        <w:br/>
        <w:t>Krivična d</w:t>
      </w:r>
      <w:r w:rsidR="00D66209">
        <w:rPr>
          <w:rFonts w:ascii="Arial" w:hAnsi="Arial" w:cs="Arial"/>
          <w:lang w:val="sr-Latn-ME"/>
        </w:rPr>
        <w:t>j</w:t>
      </w:r>
      <w:r w:rsidRPr="001302F9">
        <w:rPr>
          <w:rFonts w:ascii="Arial" w:hAnsi="Arial" w:cs="Arial"/>
          <w:lang w:val="sr-Latn-ME"/>
        </w:rPr>
        <w:t>ela se definišu na nacionalnom nivou Zakonom o krivičnom postupku.</w:t>
      </w:r>
      <w:r w:rsidRPr="001302F9">
        <w:rPr>
          <w:rFonts w:ascii="Arial" w:hAnsi="Arial" w:cs="Arial"/>
          <w:lang w:val="sr-Latn-ME"/>
        </w:rPr>
        <w:br/>
        <w:t>U slučaju sumnje na prevaru, Implementaciona agencija/Posredničko t</w:t>
      </w:r>
      <w:r w:rsidR="00D66209">
        <w:rPr>
          <w:rFonts w:ascii="Arial" w:hAnsi="Arial" w:cs="Arial"/>
          <w:lang w:val="sr-Latn-ME"/>
        </w:rPr>
        <w:t>i</w:t>
      </w:r>
      <w:r w:rsidRPr="001302F9">
        <w:rPr>
          <w:rFonts w:ascii="Arial" w:hAnsi="Arial" w:cs="Arial"/>
          <w:lang w:val="sr-Latn-ME"/>
        </w:rPr>
        <w:t>jelo za finansijsko upravljanje (šef tijela/ovlašćeno lice) odmah po saznanju o sumnji na prevaru i uz saglasnost NAO-a, šalje zvanično pismo, kao i svu relevantnu dokumentaciju Vrhovnom državnom tužilaštvu.</w:t>
      </w:r>
    </w:p>
    <w:p w:rsidR="000F471C" w:rsidRPr="001302F9" w:rsidRDefault="000F471C" w:rsidP="000F471C">
      <w:pPr>
        <w:pStyle w:val="NoSpacing"/>
        <w:jc w:val="both"/>
        <w:rPr>
          <w:rFonts w:ascii="Arial" w:hAnsi="Arial" w:cs="Arial"/>
          <w:lang w:val="sr-Latn-ME"/>
        </w:rPr>
      </w:pPr>
      <w:r w:rsidRPr="001302F9">
        <w:rPr>
          <w:rFonts w:ascii="Arial" w:hAnsi="Arial" w:cs="Arial"/>
          <w:lang w:val="sr-Latn-ME"/>
        </w:rPr>
        <w:br/>
        <w:t>Implementaciona agencija/Posredničko tijelo za finansijsko upravljanje koja je obav</w:t>
      </w:r>
      <w:r w:rsidR="00D66209">
        <w:rPr>
          <w:rFonts w:ascii="Arial" w:hAnsi="Arial" w:cs="Arial"/>
          <w:lang w:val="sr-Latn-ME"/>
        </w:rPr>
        <w:t>ij</w:t>
      </w:r>
      <w:r w:rsidRPr="001302F9">
        <w:rPr>
          <w:rFonts w:ascii="Arial" w:hAnsi="Arial" w:cs="Arial"/>
          <w:lang w:val="sr-Latn-ME"/>
        </w:rPr>
        <w:t xml:space="preserve">estila Vrhovno državno tužilaštvo o sumnji na prevaru o podnijetoj prijavi obavještava Direkciju za zaštitu finansijskih interesa EU/ AFCOS i, po potrebi, druge nadležne osobe i/ili </w:t>
      </w:r>
      <w:r w:rsidR="00D66209">
        <w:rPr>
          <w:rFonts w:ascii="Arial" w:hAnsi="Arial" w:cs="Arial"/>
          <w:lang w:val="sr-Latn-ME"/>
        </w:rPr>
        <w:t>institucije</w:t>
      </w:r>
      <w:r w:rsidRPr="001302F9">
        <w:rPr>
          <w:rFonts w:ascii="Arial" w:hAnsi="Arial" w:cs="Arial"/>
          <w:lang w:val="sr-Latn-ME"/>
        </w:rPr>
        <w:t xml:space="preserve"> (npr. NIPAK kancelariju, šefa operativne strukture za programe prekogranične saradnje, šefa Upravljačkog tijela za Program ruralnog razvoja, Jedinice za implementaciju projekata/Posrednička tijela za upravljanje sektorskim politikama, Upravljačka t</w:t>
      </w:r>
      <w:r w:rsidR="00DA395B">
        <w:rPr>
          <w:rFonts w:ascii="Arial" w:hAnsi="Arial" w:cs="Arial"/>
          <w:lang w:val="sr-Latn-ME"/>
        </w:rPr>
        <w:t>ij</w:t>
      </w:r>
      <w:r w:rsidRPr="001302F9">
        <w:rPr>
          <w:rFonts w:ascii="Arial" w:hAnsi="Arial" w:cs="Arial"/>
          <w:lang w:val="sr-Latn-ME"/>
        </w:rPr>
        <w:t>ela za IPA III programe, Revizorsko tijelo, NAO/Upravljačka struktura</w:t>
      </w:r>
      <w:r w:rsidR="00DA395B">
        <w:rPr>
          <w:rFonts w:ascii="Arial" w:hAnsi="Arial" w:cs="Arial"/>
          <w:lang w:val="sr-Latn-ME"/>
        </w:rPr>
        <w:t xml:space="preserve"> itd.</w:t>
      </w:r>
      <w:r w:rsidRPr="001302F9">
        <w:rPr>
          <w:rFonts w:ascii="Arial" w:hAnsi="Arial" w:cs="Arial"/>
          <w:lang w:val="sr-Latn-ME"/>
        </w:rPr>
        <w:t>).</w:t>
      </w:r>
      <w:r w:rsidRPr="001302F9">
        <w:rPr>
          <w:rFonts w:ascii="Arial" w:hAnsi="Arial" w:cs="Arial"/>
          <w:lang w:val="sr-Latn-ME"/>
        </w:rPr>
        <w:br/>
        <w:t>Implementaciona agencija/Posredničko tijelo za finansijsko upravljanje koje je obavijestilo</w:t>
      </w:r>
      <w:r w:rsidR="00DA395B">
        <w:rPr>
          <w:rFonts w:ascii="Arial" w:hAnsi="Arial" w:cs="Arial"/>
          <w:lang w:val="sr-Latn-ME"/>
        </w:rPr>
        <w:t xml:space="preserve"> </w:t>
      </w:r>
      <w:r w:rsidRPr="001302F9">
        <w:rPr>
          <w:rFonts w:ascii="Arial" w:hAnsi="Arial" w:cs="Arial"/>
          <w:lang w:val="sr-Latn-ME"/>
        </w:rPr>
        <w:t>Vrhovno državno tužilaštvo o sumnji na prevaru nastavlja da postupa u okviru svoje nadležnosti.</w:t>
      </w:r>
    </w:p>
    <w:p w:rsidR="000F471C" w:rsidRPr="001302F9" w:rsidRDefault="000F471C" w:rsidP="000F471C">
      <w:pPr>
        <w:pStyle w:val="NoSpacing"/>
        <w:jc w:val="both"/>
        <w:rPr>
          <w:rFonts w:ascii="Arial" w:hAnsi="Arial" w:cs="Arial"/>
          <w:lang w:val="sr-Latn-ME"/>
        </w:rPr>
      </w:pPr>
      <w:r w:rsidRPr="001302F9">
        <w:rPr>
          <w:rFonts w:ascii="Arial" w:hAnsi="Arial" w:cs="Arial"/>
          <w:lang w:val="sr-Latn-ME"/>
        </w:rPr>
        <w:br/>
        <w:t>Revizorsko tijelo direktno dostavlja dokumentaciju zajedno sa revizorskim nalazima Vrhovnom državnom tužilaštvu. IPARD Agencija takođe ima mogućnost da direktno obavijesti Vrhovno državno tužilaštvo.</w:t>
      </w:r>
    </w:p>
    <w:p w:rsidR="00F02A2C" w:rsidRDefault="000F471C" w:rsidP="000F471C">
      <w:pPr>
        <w:pStyle w:val="NoSpacing"/>
        <w:jc w:val="both"/>
        <w:rPr>
          <w:rFonts w:ascii="Arial" w:hAnsi="Arial" w:cs="Arial"/>
          <w:lang w:val="sr-Latn-ME"/>
        </w:rPr>
      </w:pPr>
      <w:r w:rsidRPr="001302F9">
        <w:rPr>
          <w:rFonts w:ascii="Arial" w:hAnsi="Arial" w:cs="Arial"/>
          <w:lang w:val="sr-Latn-ME"/>
        </w:rPr>
        <w:br/>
        <w:t>Uprava policije vrši istrage – prikupljanje informacija, podataka, dokumenata i dokaza o konkretnim slučajevima sumnje na prevaru, a na osnovu dokaza koji izazivaju razumnu sumnju na krivično d</w:t>
      </w:r>
      <w:r w:rsidR="00DA395B">
        <w:rPr>
          <w:rFonts w:ascii="Arial" w:hAnsi="Arial" w:cs="Arial"/>
          <w:lang w:val="sr-Latn-ME"/>
        </w:rPr>
        <w:t>j</w:t>
      </w:r>
      <w:r w:rsidRPr="001302F9">
        <w:rPr>
          <w:rFonts w:ascii="Arial" w:hAnsi="Arial" w:cs="Arial"/>
          <w:lang w:val="sr-Latn-ME"/>
        </w:rPr>
        <w:t>elo</w:t>
      </w:r>
      <w:r w:rsidR="00DA395B">
        <w:rPr>
          <w:rFonts w:ascii="Arial" w:hAnsi="Arial" w:cs="Arial"/>
          <w:lang w:val="sr-Latn-ME"/>
        </w:rPr>
        <w:t xml:space="preserve"> - i</w:t>
      </w:r>
      <w:r w:rsidRPr="001302F9">
        <w:rPr>
          <w:rFonts w:ascii="Arial" w:hAnsi="Arial" w:cs="Arial"/>
          <w:lang w:val="sr-Latn-ME"/>
        </w:rPr>
        <w:t xml:space="preserve"> podnosi krivičnu prijavu Vrhovnom državnom tužilaštvu. Nadležna tužilaštva daju uputstva za dalji istražni postupak.</w:t>
      </w:r>
      <w:r w:rsidR="00DA395B">
        <w:rPr>
          <w:rFonts w:ascii="Arial" w:hAnsi="Arial" w:cs="Arial"/>
          <w:lang w:val="sr-Latn-ME"/>
        </w:rPr>
        <w:t xml:space="preserve"> </w:t>
      </w:r>
      <w:r w:rsidRPr="001302F9">
        <w:rPr>
          <w:rFonts w:ascii="Arial" w:hAnsi="Arial" w:cs="Arial"/>
          <w:lang w:val="sr-Latn-ME"/>
        </w:rPr>
        <w:t xml:space="preserve">Slučajevi o kojima je obaviješteno Vrhovno državno tužilaštvo evidentiraju se u IMS sistemu kao </w:t>
      </w:r>
      <w:r w:rsidR="00DA395B">
        <w:rPr>
          <w:rFonts w:ascii="Arial" w:hAnsi="Arial" w:cs="Arial"/>
          <w:lang w:val="sr-Latn-ME"/>
        </w:rPr>
        <w:t>sumnja na prevaru</w:t>
      </w:r>
      <w:r w:rsidRPr="001302F9">
        <w:rPr>
          <w:rFonts w:ascii="Arial" w:hAnsi="Arial" w:cs="Arial"/>
          <w:lang w:val="sr-Latn-ME"/>
        </w:rPr>
        <w:t xml:space="preserve">, </w:t>
      </w:r>
      <w:r w:rsidR="00F02A2C">
        <w:rPr>
          <w:rFonts w:ascii="Arial" w:hAnsi="Arial" w:cs="Arial"/>
          <w:lang w:val="sr-Latn-ME"/>
        </w:rPr>
        <w:t>a</w:t>
      </w:r>
      <w:r w:rsidRPr="001302F9">
        <w:rPr>
          <w:rFonts w:ascii="Arial" w:hAnsi="Arial" w:cs="Arial"/>
          <w:lang w:val="sr-Latn-ME"/>
        </w:rPr>
        <w:t xml:space="preserve"> </w:t>
      </w:r>
      <w:r w:rsidR="00F02A2C">
        <w:rPr>
          <w:rFonts w:ascii="Arial" w:hAnsi="Arial" w:cs="Arial"/>
          <w:lang w:val="sr-Latn-ME"/>
        </w:rPr>
        <w:t>n</w:t>
      </w:r>
      <w:r w:rsidRPr="001302F9">
        <w:rPr>
          <w:rFonts w:ascii="Arial" w:hAnsi="Arial" w:cs="Arial"/>
          <w:lang w:val="sr-Latn-ME"/>
        </w:rPr>
        <w:t>akon što se donese konačna presuda, kvalifikacija prijavljenog slučaja može biti promijenjena u "Prevara".</w:t>
      </w:r>
      <w:r w:rsidRPr="001302F9">
        <w:rPr>
          <w:rFonts w:ascii="Arial" w:hAnsi="Arial" w:cs="Arial"/>
          <w:lang w:val="sr-Latn-ME"/>
        </w:rPr>
        <w:br/>
        <w:t xml:space="preserve">Kao što se može vidjeti iz poglavlja 2.6.2. ove Strategije, tokom perioda od 2018. godine samo dva (2) slučaja sumnje na prevaru su poslata Vrhovnom državnom tužilaštvu na dalju obradu, što je premalo da bi se analizirala efikasnost istrage ili procesa krivičnog gonjenja. Međutim, analiza sprovedena u okviru Twinning Light projekta "Dalje unapređenje funkcionisanja crnogorskog AFCOS sistema s ciljem efikasne zaštite finansijskih interesa EU" pokazala je da ne postoji </w:t>
      </w:r>
      <w:r w:rsidR="00F02A2C">
        <w:rPr>
          <w:rFonts w:ascii="Arial" w:hAnsi="Arial" w:cs="Arial"/>
          <w:lang w:val="sr-Latn-ME"/>
        </w:rPr>
        <w:t xml:space="preserve">adekvatna </w:t>
      </w:r>
      <w:r w:rsidRPr="001302F9">
        <w:rPr>
          <w:rFonts w:ascii="Arial" w:hAnsi="Arial" w:cs="Arial"/>
          <w:lang w:val="sr-Latn-ME"/>
        </w:rPr>
        <w:t>pravn</w:t>
      </w:r>
      <w:r w:rsidR="00F02A2C">
        <w:rPr>
          <w:rFonts w:ascii="Arial" w:hAnsi="Arial" w:cs="Arial"/>
          <w:lang w:val="sr-Latn-ME"/>
        </w:rPr>
        <w:t>a</w:t>
      </w:r>
      <w:r w:rsidRPr="001302F9">
        <w:rPr>
          <w:rFonts w:ascii="Arial" w:hAnsi="Arial" w:cs="Arial"/>
          <w:lang w:val="sr-Latn-ME"/>
        </w:rPr>
        <w:t xml:space="preserve"> osnov</w:t>
      </w:r>
      <w:r w:rsidR="00F02A2C">
        <w:rPr>
          <w:rFonts w:ascii="Arial" w:hAnsi="Arial" w:cs="Arial"/>
          <w:lang w:val="sr-Latn-ME"/>
        </w:rPr>
        <w:t>a</w:t>
      </w:r>
      <w:r w:rsidRPr="001302F9">
        <w:rPr>
          <w:rFonts w:ascii="Arial" w:hAnsi="Arial" w:cs="Arial"/>
          <w:lang w:val="sr-Latn-ME"/>
        </w:rPr>
        <w:t xml:space="preserve"> za saradnju između t</w:t>
      </w:r>
      <w:r w:rsidR="00F02A2C">
        <w:rPr>
          <w:rFonts w:ascii="Arial" w:hAnsi="Arial" w:cs="Arial"/>
          <w:lang w:val="sr-Latn-ME"/>
        </w:rPr>
        <w:t>ij</w:t>
      </w:r>
      <w:r w:rsidRPr="001302F9">
        <w:rPr>
          <w:rFonts w:ascii="Arial" w:hAnsi="Arial" w:cs="Arial"/>
          <w:lang w:val="sr-Latn-ME"/>
        </w:rPr>
        <w:t>ela koja sprovode krivičnu istragu, Direkcije za zaštitu finansijskih interesa EU/AFCOS i OLAF-a. Kao rezultat ove analize, preporučeno je uspostavljanje mehanizma u nacionalnim zakonodavnim aktima za:</w:t>
      </w:r>
      <w:r w:rsidRPr="001302F9">
        <w:rPr>
          <w:rFonts w:ascii="Arial" w:hAnsi="Arial" w:cs="Arial"/>
          <w:lang w:val="sr-Latn-ME"/>
        </w:rPr>
        <w:br/>
      </w:r>
    </w:p>
    <w:p w:rsidR="00F02A2C" w:rsidRDefault="000F471C" w:rsidP="00F02A2C">
      <w:pPr>
        <w:pStyle w:val="NoSpacing"/>
        <w:numPr>
          <w:ilvl w:val="0"/>
          <w:numId w:val="39"/>
        </w:numPr>
        <w:rPr>
          <w:rFonts w:ascii="Arial" w:hAnsi="Arial" w:cs="Arial"/>
          <w:lang w:val="sr-Latn-ME"/>
        </w:rPr>
      </w:pPr>
      <w:r w:rsidRPr="001302F9">
        <w:rPr>
          <w:rFonts w:ascii="Arial" w:hAnsi="Arial" w:cs="Arial"/>
          <w:lang w:val="sr-Latn-ME"/>
        </w:rPr>
        <w:t xml:space="preserve">pratnju </w:t>
      </w:r>
      <w:r w:rsidR="00F02A2C">
        <w:rPr>
          <w:rFonts w:ascii="Arial" w:hAnsi="Arial" w:cs="Arial"/>
          <w:lang w:val="sr-Latn-ME"/>
        </w:rPr>
        <w:t xml:space="preserve">i asistenciju </w:t>
      </w:r>
      <w:r w:rsidRPr="001302F9">
        <w:rPr>
          <w:rFonts w:ascii="Arial" w:hAnsi="Arial" w:cs="Arial"/>
          <w:lang w:val="sr-Latn-ME"/>
        </w:rPr>
        <w:t>istražitelj</w:t>
      </w:r>
      <w:r w:rsidR="00F02A2C">
        <w:rPr>
          <w:rFonts w:ascii="Arial" w:hAnsi="Arial" w:cs="Arial"/>
          <w:lang w:val="sr-Latn-ME"/>
        </w:rPr>
        <w:t>ima</w:t>
      </w:r>
      <w:r w:rsidRPr="001302F9">
        <w:rPr>
          <w:rFonts w:ascii="Arial" w:hAnsi="Arial" w:cs="Arial"/>
          <w:lang w:val="sr-Latn-ME"/>
        </w:rPr>
        <w:t xml:space="preserve"> OLAF-a tokom njihovih kontrola na licu mjesta;</w:t>
      </w:r>
      <w:r w:rsidRPr="001302F9">
        <w:rPr>
          <w:rFonts w:ascii="Arial" w:hAnsi="Arial" w:cs="Arial"/>
          <w:lang w:val="sr-Latn-ME"/>
        </w:rPr>
        <w:br/>
      </w:r>
    </w:p>
    <w:p w:rsidR="00F02A2C" w:rsidRDefault="000F471C" w:rsidP="00F02A2C">
      <w:pPr>
        <w:pStyle w:val="NoSpacing"/>
        <w:numPr>
          <w:ilvl w:val="0"/>
          <w:numId w:val="39"/>
        </w:numPr>
        <w:rPr>
          <w:rFonts w:ascii="Arial" w:hAnsi="Arial" w:cs="Arial"/>
          <w:lang w:val="sr-Latn-ME"/>
        </w:rPr>
      </w:pPr>
      <w:r w:rsidRPr="001302F9">
        <w:rPr>
          <w:rFonts w:ascii="Arial" w:hAnsi="Arial" w:cs="Arial"/>
          <w:lang w:val="sr-Latn-ME"/>
        </w:rPr>
        <w:t xml:space="preserve">postupanje u situacijama kada izvođači/korisnici  IPA II i IPA III </w:t>
      </w:r>
      <w:r w:rsidR="00F02A2C">
        <w:rPr>
          <w:rFonts w:ascii="Arial" w:hAnsi="Arial" w:cs="Arial"/>
          <w:lang w:val="sr-Latn-ME"/>
        </w:rPr>
        <w:t>sredstava</w:t>
      </w:r>
      <w:r w:rsidRPr="001302F9">
        <w:rPr>
          <w:rFonts w:ascii="Arial" w:hAnsi="Arial" w:cs="Arial"/>
          <w:lang w:val="sr-Latn-ME"/>
        </w:rPr>
        <w:t xml:space="preserve"> opstruiraju kontrole na licu mjesta;</w:t>
      </w:r>
      <w:r w:rsidRPr="001302F9">
        <w:rPr>
          <w:rFonts w:ascii="Arial" w:hAnsi="Arial" w:cs="Arial"/>
          <w:lang w:val="sr-Latn-ME"/>
        </w:rPr>
        <w:br/>
      </w:r>
    </w:p>
    <w:p w:rsidR="000F471C" w:rsidRPr="001302F9" w:rsidRDefault="000F471C" w:rsidP="00F02A2C">
      <w:pPr>
        <w:pStyle w:val="NoSpacing"/>
        <w:numPr>
          <w:ilvl w:val="0"/>
          <w:numId w:val="39"/>
        </w:numPr>
        <w:rPr>
          <w:rFonts w:ascii="Arial" w:hAnsi="Arial" w:cs="Arial"/>
          <w:lang w:val="sr-Latn-ME"/>
        </w:rPr>
      </w:pPr>
      <w:r w:rsidRPr="001302F9">
        <w:rPr>
          <w:rFonts w:ascii="Arial" w:hAnsi="Arial" w:cs="Arial"/>
          <w:lang w:val="sr-Latn-ME"/>
        </w:rPr>
        <w:t>pribavljanje informacija o bankovnim računima relevantnim za istraživačku aktivnost OLAF-a.</w:t>
      </w:r>
    </w:p>
    <w:p w:rsidR="00AA6195" w:rsidRDefault="000F471C" w:rsidP="000F471C">
      <w:pPr>
        <w:pStyle w:val="NoSpacing"/>
        <w:jc w:val="both"/>
        <w:rPr>
          <w:rFonts w:ascii="Arial" w:hAnsi="Arial" w:cs="Arial"/>
          <w:lang w:val="sr-Latn-ME"/>
        </w:rPr>
      </w:pPr>
      <w:r w:rsidRPr="001302F9">
        <w:rPr>
          <w:rFonts w:ascii="Arial" w:hAnsi="Arial" w:cs="Arial"/>
          <w:lang w:val="sr-Latn-ME"/>
        </w:rPr>
        <w:br/>
      </w:r>
      <w:r w:rsidR="00AA6195" w:rsidRPr="00AA6195">
        <w:rPr>
          <w:rFonts w:ascii="Arial" w:hAnsi="Arial" w:cs="Arial"/>
        </w:rPr>
        <w:t>Kancelarija</w:t>
      </w:r>
      <w:r w:rsidR="00AA6195" w:rsidRPr="00AA6195">
        <w:rPr>
          <w:rFonts w:ascii="Arial" w:hAnsi="Arial" w:cs="Arial"/>
          <w:lang w:val="sr-Latn-ME"/>
        </w:rPr>
        <w:t xml:space="preserve"> </w:t>
      </w:r>
      <w:r w:rsidR="00AA6195" w:rsidRPr="00AA6195">
        <w:rPr>
          <w:rFonts w:ascii="Arial" w:hAnsi="Arial" w:cs="Arial"/>
        </w:rPr>
        <w:t>Evropskog</w:t>
      </w:r>
      <w:r w:rsidR="00AA6195" w:rsidRPr="00AA6195">
        <w:rPr>
          <w:rFonts w:ascii="Arial" w:hAnsi="Arial" w:cs="Arial"/>
          <w:lang w:val="sr-Latn-ME"/>
        </w:rPr>
        <w:t xml:space="preserve"> </w:t>
      </w:r>
      <w:r w:rsidR="00AA6195" w:rsidRPr="00AA6195">
        <w:rPr>
          <w:rFonts w:ascii="Arial" w:hAnsi="Arial" w:cs="Arial"/>
        </w:rPr>
        <w:t>javnog</w:t>
      </w:r>
      <w:r w:rsidR="00AA6195" w:rsidRPr="00AA6195">
        <w:rPr>
          <w:rFonts w:ascii="Arial" w:hAnsi="Arial" w:cs="Arial"/>
          <w:lang w:val="sr-Latn-ME"/>
        </w:rPr>
        <w:t xml:space="preserve"> </w:t>
      </w:r>
      <w:r w:rsidR="00AA6195" w:rsidRPr="00AA6195">
        <w:rPr>
          <w:rFonts w:ascii="Arial" w:hAnsi="Arial" w:cs="Arial"/>
        </w:rPr>
        <w:t>tu</w:t>
      </w:r>
      <w:r w:rsidR="00AA6195" w:rsidRPr="00AA6195">
        <w:rPr>
          <w:rFonts w:ascii="Arial" w:hAnsi="Arial" w:cs="Arial"/>
          <w:lang w:val="sr-Latn-ME"/>
        </w:rPr>
        <w:t>ž</w:t>
      </w:r>
      <w:r w:rsidR="00AA6195" w:rsidRPr="00AA6195">
        <w:rPr>
          <w:rFonts w:ascii="Arial" w:hAnsi="Arial" w:cs="Arial"/>
        </w:rPr>
        <w:t>ioca</w:t>
      </w:r>
      <w:r w:rsidR="00AA6195" w:rsidRPr="00AA6195">
        <w:rPr>
          <w:rFonts w:ascii="Arial" w:hAnsi="Arial" w:cs="Arial"/>
          <w:lang w:val="sr-Latn-ME"/>
        </w:rPr>
        <w:t xml:space="preserve"> (</w:t>
      </w:r>
      <w:r w:rsidR="00AA6195" w:rsidRPr="00AA6195">
        <w:rPr>
          <w:rFonts w:ascii="Arial" w:hAnsi="Arial" w:cs="Arial"/>
        </w:rPr>
        <w:t>EPPO</w:t>
      </w:r>
      <w:r w:rsidR="00AA6195" w:rsidRPr="00AA6195">
        <w:rPr>
          <w:rFonts w:ascii="Arial" w:hAnsi="Arial" w:cs="Arial"/>
          <w:lang w:val="sr-Latn-ME"/>
        </w:rPr>
        <w:t xml:space="preserve">) </w:t>
      </w:r>
      <w:r w:rsidR="00AA6195" w:rsidRPr="00AA6195">
        <w:rPr>
          <w:rFonts w:ascii="Arial" w:hAnsi="Arial" w:cs="Arial"/>
        </w:rPr>
        <w:t>postala</w:t>
      </w:r>
      <w:r w:rsidR="00AA6195" w:rsidRPr="00AA6195">
        <w:rPr>
          <w:rFonts w:ascii="Arial" w:hAnsi="Arial" w:cs="Arial"/>
          <w:lang w:val="sr-Latn-ME"/>
        </w:rPr>
        <w:t xml:space="preserve"> </w:t>
      </w:r>
      <w:r w:rsidR="00AA6195" w:rsidRPr="00AA6195">
        <w:rPr>
          <w:rFonts w:ascii="Arial" w:hAnsi="Arial" w:cs="Arial"/>
        </w:rPr>
        <w:t>je</w:t>
      </w:r>
      <w:r w:rsidR="00AA6195" w:rsidRPr="00AA6195">
        <w:rPr>
          <w:rFonts w:ascii="Arial" w:hAnsi="Arial" w:cs="Arial"/>
          <w:lang w:val="sr-Latn-ME"/>
        </w:rPr>
        <w:t xml:space="preserve"> </w:t>
      </w:r>
      <w:r w:rsidR="00AA6195" w:rsidRPr="00AA6195">
        <w:rPr>
          <w:rFonts w:ascii="Arial" w:hAnsi="Arial" w:cs="Arial"/>
        </w:rPr>
        <w:t>operativna</w:t>
      </w:r>
      <w:r w:rsidR="00AA6195" w:rsidRPr="00AA6195">
        <w:rPr>
          <w:rFonts w:ascii="Arial" w:hAnsi="Arial" w:cs="Arial"/>
          <w:lang w:val="sr-Latn-ME"/>
        </w:rPr>
        <w:t xml:space="preserve"> </w:t>
      </w:r>
      <w:r w:rsidR="00AA6195" w:rsidRPr="00AA6195">
        <w:rPr>
          <w:rFonts w:ascii="Arial" w:hAnsi="Arial" w:cs="Arial"/>
        </w:rPr>
        <w:t>u</w:t>
      </w:r>
      <w:r w:rsidR="00AA6195" w:rsidRPr="00AA6195">
        <w:rPr>
          <w:rFonts w:ascii="Arial" w:hAnsi="Arial" w:cs="Arial"/>
          <w:lang w:val="sr-Latn-ME"/>
        </w:rPr>
        <w:t xml:space="preserve"> </w:t>
      </w:r>
      <w:r w:rsidR="00AA6195" w:rsidRPr="00AA6195">
        <w:rPr>
          <w:rFonts w:ascii="Arial" w:hAnsi="Arial" w:cs="Arial"/>
        </w:rPr>
        <w:t>junu</w:t>
      </w:r>
      <w:r w:rsidR="00AA6195" w:rsidRPr="00AA6195">
        <w:rPr>
          <w:rFonts w:ascii="Arial" w:hAnsi="Arial" w:cs="Arial"/>
          <w:lang w:val="sr-Latn-ME"/>
        </w:rPr>
        <w:t xml:space="preserve"> 2021. </w:t>
      </w:r>
      <w:r w:rsidR="00AA6195" w:rsidRPr="00AA6195">
        <w:rPr>
          <w:rFonts w:ascii="Arial" w:hAnsi="Arial" w:cs="Arial"/>
        </w:rPr>
        <w:t>godine</w:t>
      </w:r>
      <w:r w:rsidR="00AA6195" w:rsidRPr="00AA6195">
        <w:rPr>
          <w:rFonts w:ascii="Arial" w:hAnsi="Arial" w:cs="Arial"/>
          <w:lang w:val="sr-Latn-ME"/>
        </w:rPr>
        <w:t>, š</w:t>
      </w:r>
      <w:r w:rsidR="00AA6195" w:rsidRPr="00AA6195">
        <w:rPr>
          <w:rFonts w:ascii="Arial" w:hAnsi="Arial" w:cs="Arial"/>
        </w:rPr>
        <w:t>to</w:t>
      </w:r>
      <w:r w:rsidR="00AA6195" w:rsidRPr="00AA6195">
        <w:rPr>
          <w:rFonts w:ascii="Arial" w:hAnsi="Arial" w:cs="Arial"/>
          <w:lang w:val="sr-Latn-ME"/>
        </w:rPr>
        <w:t xml:space="preserve"> </w:t>
      </w:r>
      <w:r w:rsidR="00AA6195" w:rsidRPr="00AA6195">
        <w:rPr>
          <w:rFonts w:ascii="Arial" w:hAnsi="Arial" w:cs="Arial"/>
        </w:rPr>
        <w:t>predstavlja</w:t>
      </w:r>
      <w:r w:rsidR="00AA6195" w:rsidRPr="00AA6195">
        <w:rPr>
          <w:rFonts w:ascii="Arial" w:hAnsi="Arial" w:cs="Arial"/>
          <w:lang w:val="sr-Latn-ME"/>
        </w:rPr>
        <w:t xml:space="preserve"> </w:t>
      </w:r>
      <w:r w:rsidR="00AA6195" w:rsidRPr="00AA6195">
        <w:rPr>
          <w:rFonts w:ascii="Arial" w:hAnsi="Arial" w:cs="Arial"/>
        </w:rPr>
        <w:t>zna</w:t>
      </w:r>
      <w:r w:rsidR="00AA6195" w:rsidRPr="00AA6195">
        <w:rPr>
          <w:rFonts w:ascii="Arial" w:hAnsi="Arial" w:cs="Arial"/>
          <w:lang w:val="sr-Latn-ME"/>
        </w:rPr>
        <w:t>č</w:t>
      </w:r>
      <w:r w:rsidR="00AA6195" w:rsidRPr="00AA6195">
        <w:rPr>
          <w:rFonts w:ascii="Arial" w:hAnsi="Arial" w:cs="Arial"/>
        </w:rPr>
        <w:t>ajan</w:t>
      </w:r>
      <w:r w:rsidR="00AA6195" w:rsidRPr="00AA6195">
        <w:rPr>
          <w:rFonts w:ascii="Arial" w:hAnsi="Arial" w:cs="Arial"/>
          <w:lang w:val="sr-Latn-ME"/>
        </w:rPr>
        <w:t xml:space="preserve"> </w:t>
      </w:r>
      <w:r w:rsidR="00AA6195" w:rsidRPr="00AA6195">
        <w:rPr>
          <w:rFonts w:ascii="Arial" w:hAnsi="Arial" w:cs="Arial"/>
        </w:rPr>
        <w:t>korak</w:t>
      </w:r>
      <w:r w:rsidR="00AA6195" w:rsidRPr="00AA6195">
        <w:rPr>
          <w:rFonts w:ascii="Arial" w:hAnsi="Arial" w:cs="Arial"/>
          <w:lang w:val="sr-Latn-ME"/>
        </w:rPr>
        <w:t xml:space="preserve"> </w:t>
      </w:r>
      <w:r w:rsidR="00AA6195" w:rsidRPr="00AA6195">
        <w:rPr>
          <w:rFonts w:ascii="Arial" w:hAnsi="Arial" w:cs="Arial"/>
        </w:rPr>
        <w:t>u</w:t>
      </w:r>
      <w:r w:rsidR="00AA6195" w:rsidRPr="00AA6195">
        <w:rPr>
          <w:rFonts w:ascii="Arial" w:hAnsi="Arial" w:cs="Arial"/>
          <w:lang w:val="sr-Latn-ME"/>
        </w:rPr>
        <w:t xml:space="preserve"> </w:t>
      </w:r>
      <w:r w:rsidR="00AA6195" w:rsidRPr="00AA6195">
        <w:rPr>
          <w:rFonts w:ascii="Arial" w:hAnsi="Arial" w:cs="Arial"/>
        </w:rPr>
        <w:t>za</w:t>
      </w:r>
      <w:r w:rsidR="00AA6195" w:rsidRPr="00AA6195">
        <w:rPr>
          <w:rFonts w:ascii="Arial" w:hAnsi="Arial" w:cs="Arial"/>
          <w:lang w:val="sr-Latn-ME"/>
        </w:rPr>
        <w:t>š</w:t>
      </w:r>
      <w:r w:rsidR="00AA6195" w:rsidRPr="00AA6195">
        <w:rPr>
          <w:rFonts w:ascii="Arial" w:hAnsi="Arial" w:cs="Arial"/>
        </w:rPr>
        <w:t>titi</w:t>
      </w:r>
      <w:r w:rsidR="00AA6195" w:rsidRPr="00AA6195">
        <w:rPr>
          <w:rFonts w:ascii="Arial" w:hAnsi="Arial" w:cs="Arial"/>
          <w:lang w:val="sr-Latn-ME"/>
        </w:rPr>
        <w:t xml:space="preserve"> </w:t>
      </w:r>
      <w:r w:rsidR="00AA6195" w:rsidRPr="00AA6195">
        <w:rPr>
          <w:rFonts w:ascii="Arial" w:hAnsi="Arial" w:cs="Arial"/>
        </w:rPr>
        <w:t>finansijskih</w:t>
      </w:r>
      <w:r w:rsidR="00AA6195" w:rsidRPr="00AA6195">
        <w:rPr>
          <w:rFonts w:ascii="Arial" w:hAnsi="Arial" w:cs="Arial"/>
          <w:lang w:val="sr-Latn-ME"/>
        </w:rPr>
        <w:t xml:space="preserve"> </w:t>
      </w:r>
      <w:r w:rsidR="00AA6195" w:rsidRPr="00AA6195">
        <w:rPr>
          <w:rFonts w:ascii="Arial" w:hAnsi="Arial" w:cs="Arial"/>
        </w:rPr>
        <w:t>interesa</w:t>
      </w:r>
      <w:r w:rsidR="00AA6195" w:rsidRPr="00AA6195">
        <w:rPr>
          <w:rFonts w:ascii="Arial" w:hAnsi="Arial" w:cs="Arial"/>
          <w:lang w:val="sr-Latn-ME"/>
        </w:rPr>
        <w:t xml:space="preserve"> </w:t>
      </w:r>
      <w:r w:rsidR="00AA6195" w:rsidRPr="00AA6195">
        <w:rPr>
          <w:rFonts w:ascii="Arial" w:hAnsi="Arial" w:cs="Arial"/>
        </w:rPr>
        <w:t>Evropske</w:t>
      </w:r>
      <w:r w:rsidR="00AA6195" w:rsidRPr="00AA6195">
        <w:rPr>
          <w:rFonts w:ascii="Arial" w:hAnsi="Arial" w:cs="Arial"/>
          <w:lang w:val="sr-Latn-ME"/>
        </w:rPr>
        <w:t xml:space="preserve"> </w:t>
      </w:r>
      <w:r w:rsidR="00AA6195" w:rsidRPr="00AA6195">
        <w:rPr>
          <w:rFonts w:ascii="Arial" w:hAnsi="Arial" w:cs="Arial"/>
        </w:rPr>
        <w:t>unije</w:t>
      </w:r>
      <w:r w:rsidR="00AA6195" w:rsidRPr="00AA6195">
        <w:rPr>
          <w:rFonts w:ascii="Arial" w:hAnsi="Arial" w:cs="Arial"/>
          <w:lang w:val="sr-Latn-ME"/>
        </w:rPr>
        <w:t xml:space="preserve">. </w:t>
      </w:r>
      <w:r w:rsidR="00AA6195" w:rsidRPr="00AA6195">
        <w:rPr>
          <w:rFonts w:ascii="Arial" w:hAnsi="Arial" w:cs="Arial"/>
        </w:rPr>
        <w:t>Po</w:t>
      </w:r>
      <w:r w:rsidR="00AA6195" w:rsidRPr="00AA6195">
        <w:rPr>
          <w:rFonts w:ascii="Arial" w:hAnsi="Arial" w:cs="Arial"/>
          <w:lang w:val="sr-Latn-ME"/>
        </w:rPr>
        <w:t xml:space="preserve"> </w:t>
      </w:r>
      <w:r w:rsidR="00AA6195" w:rsidRPr="00AA6195">
        <w:rPr>
          <w:rFonts w:ascii="Arial" w:hAnsi="Arial" w:cs="Arial"/>
        </w:rPr>
        <w:t>prvi</w:t>
      </w:r>
      <w:r w:rsidR="00AA6195" w:rsidRPr="00AA6195">
        <w:rPr>
          <w:rFonts w:ascii="Arial" w:hAnsi="Arial" w:cs="Arial"/>
          <w:lang w:val="sr-Latn-ME"/>
        </w:rPr>
        <w:t xml:space="preserve"> </w:t>
      </w:r>
      <w:r w:rsidR="00AA6195" w:rsidRPr="00AA6195">
        <w:rPr>
          <w:rFonts w:ascii="Arial" w:hAnsi="Arial" w:cs="Arial"/>
        </w:rPr>
        <w:t>put</w:t>
      </w:r>
      <w:r w:rsidR="00AA6195" w:rsidRPr="00AA6195">
        <w:rPr>
          <w:rFonts w:ascii="Arial" w:hAnsi="Arial" w:cs="Arial"/>
          <w:lang w:val="sr-Latn-ME"/>
        </w:rPr>
        <w:t xml:space="preserve"> </w:t>
      </w:r>
      <w:r w:rsidR="00AA6195" w:rsidRPr="00AA6195">
        <w:rPr>
          <w:rFonts w:ascii="Arial" w:hAnsi="Arial" w:cs="Arial"/>
        </w:rPr>
        <w:t>je</w:t>
      </w:r>
      <w:r w:rsidR="00AA6195" w:rsidRPr="00AA6195">
        <w:rPr>
          <w:rFonts w:ascii="Arial" w:hAnsi="Arial" w:cs="Arial"/>
          <w:lang w:val="sr-Latn-ME"/>
        </w:rPr>
        <w:t xml:space="preserve"> </w:t>
      </w:r>
      <w:r w:rsidR="00AA6195" w:rsidRPr="00AA6195">
        <w:rPr>
          <w:rFonts w:ascii="Arial" w:hAnsi="Arial" w:cs="Arial"/>
        </w:rPr>
        <w:t>uspostavljena</w:t>
      </w:r>
      <w:r w:rsidR="00AA6195" w:rsidRPr="00AA6195">
        <w:rPr>
          <w:rFonts w:ascii="Arial" w:hAnsi="Arial" w:cs="Arial"/>
          <w:lang w:val="sr-Latn-ME"/>
        </w:rPr>
        <w:t xml:space="preserve"> </w:t>
      </w:r>
      <w:r w:rsidR="00AA6195" w:rsidRPr="00AA6195">
        <w:rPr>
          <w:rFonts w:ascii="Arial" w:hAnsi="Arial" w:cs="Arial"/>
        </w:rPr>
        <w:t>struktura</w:t>
      </w:r>
      <w:r w:rsidR="00AA6195" w:rsidRPr="00AA6195">
        <w:rPr>
          <w:rFonts w:ascii="Arial" w:hAnsi="Arial" w:cs="Arial"/>
          <w:lang w:val="sr-Latn-ME"/>
        </w:rPr>
        <w:t xml:space="preserve"> </w:t>
      </w:r>
      <w:r w:rsidR="00AA6195" w:rsidRPr="00AA6195">
        <w:rPr>
          <w:rFonts w:ascii="Arial" w:hAnsi="Arial" w:cs="Arial"/>
        </w:rPr>
        <w:t>za</w:t>
      </w:r>
      <w:r w:rsidR="00AA6195" w:rsidRPr="00AA6195">
        <w:rPr>
          <w:rFonts w:ascii="Arial" w:hAnsi="Arial" w:cs="Arial"/>
          <w:lang w:val="sr-Latn-ME"/>
        </w:rPr>
        <w:t xml:space="preserve"> </w:t>
      </w:r>
      <w:r w:rsidR="00AA6195" w:rsidRPr="00AA6195">
        <w:rPr>
          <w:rFonts w:ascii="Arial" w:hAnsi="Arial" w:cs="Arial"/>
        </w:rPr>
        <w:t>krivi</w:t>
      </w:r>
      <w:r w:rsidR="00AA6195" w:rsidRPr="00AA6195">
        <w:rPr>
          <w:rFonts w:ascii="Arial" w:hAnsi="Arial" w:cs="Arial"/>
          <w:lang w:val="sr-Latn-ME"/>
        </w:rPr>
        <w:t>č</w:t>
      </w:r>
      <w:r w:rsidR="00AA6195" w:rsidRPr="00AA6195">
        <w:rPr>
          <w:rFonts w:ascii="Arial" w:hAnsi="Arial" w:cs="Arial"/>
        </w:rPr>
        <w:t>no</w:t>
      </w:r>
      <w:r w:rsidR="00AA6195" w:rsidRPr="00AA6195">
        <w:rPr>
          <w:rFonts w:ascii="Arial" w:hAnsi="Arial" w:cs="Arial"/>
          <w:lang w:val="sr-Latn-ME"/>
        </w:rPr>
        <w:t xml:space="preserve"> </w:t>
      </w:r>
      <w:r w:rsidR="00AA6195" w:rsidRPr="00AA6195">
        <w:rPr>
          <w:rFonts w:ascii="Arial" w:hAnsi="Arial" w:cs="Arial"/>
        </w:rPr>
        <w:t>gonjenje</w:t>
      </w:r>
      <w:r w:rsidR="00AA6195" w:rsidRPr="00AA6195">
        <w:rPr>
          <w:rFonts w:ascii="Arial" w:hAnsi="Arial" w:cs="Arial"/>
          <w:lang w:val="sr-Latn-ME"/>
        </w:rPr>
        <w:t xml:space="preserve"> </w:t>
      </w:r>
      <w:r w:rsidR="00AA6195" w:rsidRPr="00AA6195">
        <w:rPr>
          <w:rFonts w:ascii="Arial" w:hAnsi="Arial" w:cs="Arial"/>
        </w:rPr>
        <w:t>na</w:t>
      </w:r>
      <w:r w:rsidR="00AA6195" w:rsidRPr="00AA6195">
        <w:rPr>
          <w:rFonts w:ascii="Arial" w:hAnsi="Arial" w:cs="Arial"/>
          <w:lang w:val="sr-Latn-ME"/>
        </w:rPr>
        <w:t xml:space="preserve"> </w:t>
      </w:r>
      <w:r w:rsidR="00AA6195" w:rsidRPr="00AA6195">
        <w:rPr>
          <w:rFonts w:ascii="Arial" w:hAnsi="Arial" w:cs="Arial"/>
        </w:rPr>
        <w:t>nivou</w:t>
      </w:r>
      <w:r w:rsidR="00AA6195" w:rsidRPr="00AA6195">
        <w:rPr>
          <w:rFonts w:ascii="Arial" w:hAnsi="Arial" w:cs="Arial"/>
          <w:lang w:val="sr-Latn-ME"/>
        </w:rPr>
        <w:t xml:space="preserve"> </w:t>
      </w:r>
      <w:r w:rsidR="00AA6195" w:rsidRPr="00AA6195">
        <w:rPr>
          <w:rFonts w:ascii="Arial" w:hAnsi="Arial" w:cs="Arial"/>
        </w:rPr>
        <w:t>EU</w:t>
      </w:r>
      <w:r w:rsidR="00AA6195" w:rsidRPr="00AA6195">
        <w:rPr>
          <w:rFonts w:ascii="Arial" w:hAnsi="Arial" w:cs="Arial"/>
          <w:lang w:val="sr-Latn-ME"/>
        </w:rPr>
        <w:t xml:space="preserve">, </w:t>
      </w:r>
      <w:r w:rsidR="00AA6195" w:rsidRPr="00AA6195">
        <w:rPr>
          <w:rFonts w:ascii="Arial" w:hAnsi="Arial" w:cs="Arial"/>
        </w:rPr>
        <w:t>omogu</w:t>
      </w:r>
      <w:r w:rsidR="00AA6195" w:rsidRPr="00AA6195">
        <w:rPr>
          <w:rFonts w:ascii="Arial" w:hAnsi="Arial" w:cs="Arial"/>
          <w:lang w:val="sr-Latn-ME"/>
        </w:rPr>
        <w:t>ć</w:t>
      </w:r>
      <w:r w:rsidR="00AA6195" w:rsidRPr="00AA6195">
        <w:rPr>
          <w:rFonts w:ascii="Arial" w:hAnsi="Arial" w:cs="Arial"/>
        </w:rPr>
        <w:t>avaju</w:t>
      </w:r>
      <w:r w:rsidR="00AA6195" w:rsidRPr="00AA6195">
        <w:rPr>
          <w:rFonts w:ascii="Arial" w:hAnsi="Arial" w:cs="Arial"/>
          <w:lang w:val="sr-Latn-ME"/>
        </w:rPr>
        <w:t>ć</w:t>
      </w:r>
      <w:r w:rsidR="00AA6195" w:rsidRPr="00AA6195">
        <w:rPr>
          <w:rFonts w:ascii="Arial" w:hAnsi="Arial" w:cs="Arial"/>
        </w:rPr>
        <w:t>i</w:t>
      </w:r>
      <w:r w:rsidR="00AA6195" w:rsidRPr="00AA6195">
        <w:rPr>
          <w:rFonts w:ascii="Arial" w:hAnsi="Arial" w:cs="Arial"/>
          <w:lang w:val="sr-Latn-ME"/>
        </w:rPr>
        <w:t xml:space="preserve"> </w:t>
      </w:r>
      <w:r w:rsidR="00AA6195" w:rsidRPr="00AA6195">
        <w:rPr>
          <w:rFonts w:ascii="Arial" w:hAnsi="Arial" w:cs="Arial"/>
        </w:rPr>
        <w:t>efikasnije</w:t>
      </w:r>
      <w:r w:rsidR="00AA6195" w:rsidRPr="00AA6195">
        <w:rPr>
          <w:rFonts w:ascii="Arial" w:hAnsi="Arial" w:cs="Arial"/>
          <w:lang w:val="sr-Latn-ME"/>
        </w:rPr>
        <w:t xml:space="preserve"> </w:t>
      </w:r>
      <w:r w:rsidR="00AA6195" w:rsidRPr="00AA6195">
        <w:rPr>
          <w:rFonts w:ascii="Arial" w:hAnsi="Arial" w:cs="Arial"/>
        </w:rPr>
        <w:t>procesuiranje</w:t>
      </w:r>
      <w:r w:rsidR="00AA6195" w:rsidRPr="00AA6195">
        <w:rPr>
          <w:rFonts w:ascii="Arial" w:hAnsi="Arial" w:cs="Arial"/>
          <w:lang w:val="sr-Latn-ME"/>
        </w:rPr>
        <w:t xml:space="preserve"> </w:t>
      </w:r>
      <w:r w:rsidR="00AA6195" w:rsidRPr="00AA6195">
        <w:rPr>
          <w:rFonts w:ascii="Arial" w:hAnsi="Arial" w:cs="Arial"/>
        </w:rPr>
        <w:t>ozbiljnih</w:t>
      </w:r>
      <w:r w:rsidR="00AA6195" w:rsidRPr="00AA6195">
        <w:rPr>
          <w:rFonts w:ascii="Arial" w:hAnsi="Arial" w:cs="Arial"/>
          <w:lang w:val="sr-Latn-ME"/>
        </w:rPr>
        <w:t xml:space="preserve"> </w:t>
      </w:r>
      <w:r w:rsidR="00AA6195" w:rsidRPr="00AA6195">
        <w:rPr>
          <w:rFonts w:ascii="Arial" w:hAnsi="Arial" w:cs="Arial"/>
        </w:rPr>
        <w:t>prevara</w:t>
      </w:r>
      <w:r w:rsidR="00AA6195" w:rsidRPr="00AA6195">
        <w:rPr>
          <w:rFonts w:ascii="Arial" w:hAnsi="Arial" w:cs="Arial"/>
          <w:lang w:val="sr-Latn-ME"/>
        </w:rPr>
        <w:t xml:space="preserve"> </w:t>
      </w:r>
      <w:r w:rsidR="00AA6195" w:rsidRPr="00AA6195">
        <w:rPr>
          <w:rFonts w:ascii="Arial" w:hAnsi="Arial" w:cs="Arial"/>
        </w:rPr>
        <w:t>protiv</w:t>
      </w:r>
      <w:r w:rsidR="00AA6195" w:rsidRPr="00AA6195">
        <w:rPr>
          <w:rFonts w:ascii="Arial" w:hAnsi="Arial" w:cs="Arial"/>
          <w:lang w:val="sr-Latn-ME"/>
        </w:rPr>
        <w:t xml:space="preserve"> </w:t>
      </w:r>
      <w:r w:rsidR="00AA6195" w:rsidRPr="00AA6195">
        <w:rPr>
          <w:rFonts w:ascii="Arial" w:hAnsi="Arial" w:cs="Arial"/>
        </w:rPr>
        <w:t>bud</w:t>
      </w:r>
      <w:r w:rsidR="00AA6195" w:rsidRPr="00AA6195">
        <w:rPr>
          <w:rFonts w:ascii="Arial" w:hAnsi="Arial" w:cs="Arial"/>
          <w:lang w:val="sr-Latn-ME"/>
        </w:rPr>
        <w:t>ž</w:t>
      </w:r>
      <w:r w:rsidR="00AA6195" w:rsidRPr="00AA6195">
        <w:rPr>
          <w:rFonts w:ascii="Arial" w:hAnsi="Arial" w:cs="Arial"/>
        </w:rPr>
        <w:t>eta</w:t>
      </w:r>
      <w:r w:rsidR="00AA6195" w:rsidRPr="00AA6195">
        <w:rPr>
          <w:rFonts w:ascii="Arial" w:hAnsi="Arial" w:cs="Arial"/>
          <w:lang w:val="sr-Latn-ME"/>
        </w:rPr>
        <w:t xml:space="preserve"> </w:t>
      </w:r>
      <w:r w:rsidR="00AA6195" w:rsidRPr="00AA6195">
        <w:rPr>
          <w:rFonts w:ascii="Arial" w:hAnsi="Arial" w:cs="Arial"/>
        </w:rPr>
        <w:t>Unije</w:t>
      </w:r>
      <w:r w:rsidR="00AA6195" w:rsidRPr="00AA6195">
        <w:rPr>
          <w:rFonts w:ascii="Arial" w:hAnsi="Arial" w:cs="Arial"/>
          <w:lang w:val="sr-Latn-ME"/>
        </w:rPr>
        <w:t xml:space="preserve">. </w:t>
      </w:r>
      <w:r w:rsidR="00AA6195" w:rsidRPr="00AA6195">
        <w:rPr>
          <w:rFonts w:ascii="Arial" w:hAnsi="Arial" w:cs="Arial"/>
        </w:rPr>
        <w:t>U</w:t>
      </w:r>
      <w:r w:rsidR="00AA6195" w:rsidRPr="00AA6195">
        <w:rPr>
          <w:rFonts w:ascii="Arial" w:hAnsi="Arial" w:cs="Arial"/>
          <w:lang w:val="sr-Latn-ME"/>
        </w:rPr>
        <w:t>č</w:t>
      </w:r>
      <w:r w:rsidR="00AA6195" w:rsidRPr="00AA6195">
        <w:rPr>
          <w:rFonts w:ascii="Arial" w:hAnsi="Arial" w:cs="Arial"/>
        </w:rPr>
        <w:t>esnice</w:t>
      </w:r>
      <w:r w:rsidR="00AA6195" w:rsidRPr="00AA6195">
        <w:rPr>
          <w:rFonts w:ascii="Arial" w:hAnsi="Arial" w:cs="Arial"/>
          <w:lang w:val="sr-Latn-ME"/>
        </w:rPr>
        <w:t xml:space="preserve"> </w:t>
      </w:r>
      <w:r w:rsidR="00AA6195" w:rsidRPr="00AA6195">
        <w:rPr>
          <w:rFonts w:ascii="Arial" w:hAnsi="Arial" w:cs="Arial"/>
        </w:rPr>
        <w:t>EPPO</w:t>
      </w:r>
      <w:r w:rsidR="00AA6195" w:rsidRPr="00AA6195">
        <w:rPr>
          <w:rFonts w:ascii="Arial" w:hAnsi="Arial" w:cs="Arial"/>
          <w:lang w:val="sr-Latn-ME"/>
        </w:rPr>
        <w:t>-</w:t>
      </w:r>
      <w:r w:rsidR="00AA6195" w:rsidRPr="00AA6195">
        <w:rPr>
          <w:rFonts w:ascii="Arial" w:hAnsi="Arial" w:cs="Arial"/>
        </w:rPr>
        <w:t>a</w:t>
      </w:r>
      <w:r w:rsidR="00AA6195" w:rsidRPr="00AA6195">
        <w:rPr>
          <w:rFonts w:ascii="Arial" w:hAnsi="Arial" w:cs="Arial"/>
          <w:lang w:val="sr-Latn-ME"/>
        </w:rPr>
        <w:t xml:space="preserve"> </w:t>
      </w:r>
      <w:r w:rsidR="00AA6195" w:rsidRPr="00AA6195">
        <w:rPr>
          <w:rFonts w:ascii="Arial" w:hAnsi="Arial" w:cs="Arial"/>
        </w:rPr>
        <w:t>sada</w:t>
      </w:r>
      <w:r w:rsidR="00AA6195" w:rsidRPr="00AA6195">
        <w:rPr>
          <w:rFonts w:ascii="Arial" w:hAnsi="Arial" w:cs="Arial"/>
          <w:lang w:val="sr-Latn-ME"/>
        </w:rPr>
        <w:t xml:space="preserve"> </w:t>
      </w:r>
      <w:r w:rsidR="00AA6195" w:rsidRPr="00AA6195">
        <w:rPr>
          <w:rFonts w:ascii="Arial" w:hAnsi="Arial" w:cs="Arial"/>
        </w:rPr>
        <w:t>vode</w:t>
      </w:r>
      <w:r w:rsidR="00AA6195" w:rsidRPr="00AA6195">
        <w:rPr>
          <w:rFonts w:ascii="Arial" w:hAnsi="Arial" w:cs="Arial"/>
          <w:lang w:val="sr-Latn-ME"/>
        </w:rPr>
        <w:t xml:space="preserve"> </w:t>
      </w:r>
      <w:r w:rsidR="00AA6195" w:rsidRPr="00AA6195">
        <w:rPr>
          <w:rFonts w:ascii="Arial" w:hAnsi="Arial" w:cs="Arial"/>
        </w:rPr>
        <w:t>ove</w:t>
      </w:r>
      <w:r w:rsidR="00AA6195" w:rsidRPr="00AA6195">
        <w:rPr>
          <w:rFonts w:ascii="Arial" w:hAnsi="Arial" w:cs="Arial"/>
          <w:lang w:val="sr-Latn-ME"/>
        </w:rPr>
        <w:t xml:space="preserve"> </w:t>
      </w:r>
      <w:r w:rsidR="00AA6195" w:rsidRPr="00AA6195">
        <w:rPr>
          <w:rFonts w:ascii="Arial" w:hAnsi="Arial" w:cs="Arial"/>
        </w:rPr>
        <w:t>postupke</w:t>
      </w:r>
      <w:r w:rsidR="00AA6195" w:rsidRPr="00AA6195">
        <w:rPr>
          <w:rFonts w:ascii="Arial" w:hAnsi="Arial" w:cs="Arial"/>
          <w:lang w:val="sr-Latn-ME"/>
        </w:rPr>
        <w:t xml:space="preserve"> </w:t>
      </w:r>
      <w:r w:rsidR="00AA6195" w:rsidRPr="00AA6195">
        <w:rPr>
          <w:rFonts w:ascii="Arial" w:hAnsi="Arial" w:cs="Arial"/>
        </w:rPr>
        <w:t>pred</w:t>
      </w:r>
      <w:r w:rsidR="00AA6195" w:rsidRPr="00AA6195">
        <w:rPr>
          <w:rFonts w:ascii="Arial" w:hAnsi="Arial" w:cs="Arial"/>
          <w:lang w:val="sr-Latn-ME"/>
        </w:rPr>
        <w:t xml:space="preserve"> </w:t>
      </w:r>
      <w:r w:rsidR="00AA6195" w:rsidRPr="00AA6195">
        <w:rPr>
          <w:rFonts w:ascii="Arial" w:hAnsi="Arial" w:cs="Arial"/>
        </w:rPr>
        <w:t>nacionalnim</w:t>
      </w:r>
      <w:r w:rsidR="00AA6195" w:rsidRPr="00AA6195">
        <w:rPr>
          <w:rFonts w:ascii="Arial" w:hAnsi="Arial" w:cs="Arial"/>
          <w:lang w:val="sr-Latn-ME"/>
        </w:rPr>
        <w:t xml:space="preserve"> </w:t>
      </w:r>
      <w:r w:rsidR="00AA6195" w:rsidRPr="00AA6195">
        <w:rPr>
          <w:rFonts w:ascii="Arial" w:hAnsi="Arial" w:cs="Arial"/>
        </w:rPr>
        <w:t>krivi</w:t>
      </w:r>
      <w:r w:rsidR="00AA6195" w:rsidRPr="00AA6195">
        <w:rPr>
          <w:rFonts w:ascii="Arial" w:hAnsi="Arial" w:cs="Arial"/>
          <w:lang w:val="sr-Latn-ME"/>
        </w:rPr>
        <w:t>č</w:t>
      </w:r>
      <w:r w:rsidR="00AA6195" w:rsidRPr="00AA6195">
        <w:rPr>
          <w:rFonts w:ascii="Arial" w:hAnsi="Arial" w:cs="Arial"/>
        </w:rPr>
        <w:t>nim</w:t>
      </w:r>
      <w:r w:rsidR="00AA6195" w:rsidRPr="00AA6195">
        <w:rPr>
          <w:rFonts w:ascii="Arial" w:hAnsi="Arial" w:cs="Arial"/>
          <w:lang w:val="sr-Latn-ME"/>
        </w:rPr>
        <w:t xml:space="preserve"> </w:t>
      </w:r>
      <w:r w:rsidR="00AA6195" w:rsidRPr="00AA6195">
        <w:rPr>
          <w:rFonts w:ascii="Arial" w:hAnsi="Arial" w:cs="Arial"/>
        </w:rPr>
        <w:t>sudovima</w:t>
      </w:r>
      <w:r w:rsidR="00AA6195" w:rsidRPr="00AA6195">
        <w:rPr>
          <w:rFonts w:ascii="Arial" w:hAnsi="Arial" w:cs="Arial"/>
          <w:lang w:val="sr-Latn-ME"/>
        </w:rPr>
        <w:t xml:space="preserve">, </w:t>
      </w:r>
      <w:r w:rsidR="00AA6195" w:rsidRPr="00AA6195">
        <w:rPr>
          <w:rFonts w:ascii="Arial" w:hAnsi="Arial" w:cs="Arial"/>
        </w:rPr>
        <w:t>pri</w:t>
      </w:r>
      <w:r w:rsidR="00AA6195" w:rsidRPr="00AA6195">
        <w:rPr>
          <w:rFonts w:ascii="Arial" w:hAnsi="Arial" w:cs="Arial"/>
          <w:lang w:val="sr-Latn-ME"/>
        </w:rPr>
        <w:t xml:space="preserve"> č</w:t>
      </w:r>
      <w:r w:rsidR="00AA6195" w:rsidRPr="00AA6195">
        <w:rPr>
          <w:rFonts w:ascii="Arial" w:hAnsi="Arial" w:cs="Arial"/>
        </w:rPr>
        <w:t>emu</w:t>
      </w:r>
      <w:r w:rsidR="00AA6195" w:rsidRPr="00AA6195">
        <w:rPr>
          <w:rFonts w:ascii="Arial" w:hAnsi="Arial" w:cs="Arial"/>
          <w:lang w:val="sr-Latn-ME"/>
        </w:rPr>
        <w:t xml:space="preserve"> </w:t>
      </w:r>
      <w:r w:rsidR="00AA6195" w:rsidRPr="00AA6195">
        <w:rPr>
          <w:rFonts w:ascii="Arial" w:hAnsi="Arial" w:cs="Arial"/>
        </w:rPr>
        <w:t>su</w:t>
      </w:r>
      <w:r w:rsidR="00AA6195" w:rsidRPr="00AA6195">
        <w:rPr>
          <w:rFonts w:ascii="Arial" w:hAnsi="Arial" w:cs="Arial"/>
          <w:lang w:val="sr-Latn-ME"/>
        </w:rPr>
        <w:t xml:space="preserve"> </w:t>
      </w:r>
      <w:r w:rsidR="00AA6195" w:rsidRPr="00AA6195">
        <w:rPr>
          <w:rFonts w:ascii="Arial" w:hAnsi="Arial" w:cs="Arial"/>
        </w:rPr>
        <w:t>za</w:t>
      </w:r>
      <w:r w:rsidR="00AA6195" w:rsidRPr="00AA6195">
        <w:rPr>
          <w:rFonts w:ascii="Arial" w:hAnsi="Arial" w:cs="Arial"/>
          <w:lang w:val="sr-Latn-ME"/>
        </w:rPr>
        <w:t xml:space="preserve"> </w:t>
      </w:r>
      <w:r w:rsidR="00AA6195" w:rsidRPr="00AA6195">
        <w:rPr>
          <w:rFonts w:ascii="Arial" w:hAnsi="Arial" w:cs="Arial"/>
        </w:rPr>
        <w:t>istrage</w:t>
      </w:r>
      <w:r w:rsidR="00AA6195" w:rsidRPr="00AA6195">
        <w:rPr>
          <w:rFonts w:ascii="Arial" w:hAnsi="Arial" w:cs="Arial"/>
          <w:lang w:val="sr-Latn-ME"/>
        </w:rPr>
        <w:t xml:space="preserve"> </w:t>
      </w:r>
      <w:r w:rsidR="00AA6195" w:rsidRPr="00AA6195">
        <w:rPr>
          <w:rFonts w:ascii="Arial" w:hAnsi="Arial" w:cs="Arial"/>
        </w:rPr>
        <w:t>i</w:t>
      </w:r>
      <w:r w:rsidR="00AA6195" w:rsidRPr="00AA6195">
        <w:rPr>
          <w:rFonts w:ascii="Arial" w:hAnsi="Arial" w:cs="Arial"/>
          <w:lang w:val="sr-Latn-ME"/>
        </w:rPr>
        <w:t xml:space="preserve"> procesuiranje </w:t>
      </w:r>
      <w:r w:rsidR="00AA6195" w:rsidRPr="00AA6195">
        <w:rPr>
          <w:rFonts w:ascii="Arial" w:hAnsi="Arial" w:cs="Arial"/>
        </w:rPr>
        <w:t>slu</w:t>
      </w:r>
      <w:r w:rsidR="00AA6195" w:rsidRPr="00AA6195">
        <w:rPr>
          <w:rFonts w:ascii="Arial" w:hAnsi="Arial" w:cs="Arial"/>
          <w:lang w:val="sr-Latn-ME"/>
        </w:rPr>
        <w:t>č</w:t>
      </w:r>
      <w:r w:rsidR="00AA6195" w:rsidRPr="00AA6195">
        <w:rPr>
          <w:rFonts w:ascii="Arial" w:hAnsi="Arial" w:cs="Arial"/>
        </w:rPr>
        <w:t>ajeva</w:t>
      </w:r>
      <w:r w:rsidR="00AA6195" w:rsidRPr="00AA6195">
        <w:rPr>
          <w:rFonts w:ascii="Arial" w:hAnsi="Arial" w:cs="Arial"/>
          <w:lang w:val="sr-Latn-ME"/>
        </w:rPr>
        <w:t xml:space="preserve"> </w:t>
      </w:r>
      <w:r w:rsidR="00AA6195" w:rsidRPr="00AA6195">
        <w:rPr>
          <w:rFonts w:ascii="Arial" w:hAnsi="Arial" w:cs="Arial"/>
        </w:rPr>
        <w:t>povezanih</w:t>
      </w:r>
      <w:r w:rsidR="00AA6195" w:rsidRPr="00AA6195">
        <w:rPr>
          <w:rFonts w:ascii="Arial" w:hAnsi="Arial" w:cs="Arial"/>
          <w:lang w:val="sr-Latn-ME"/>
        </w:rPr>
        <w:t xml:space="preserve"> </w:t>
      </w:r>
      <w:r w:rsidR="00AA6195" w:rsidRPr="00AA6195">
        <w:rPr>
          <w:rFonts w:ascii="Arial" w:hAnsi="Arial" w:cs="Arial"/>
        </w:rPr>
        <w:t>sa</w:t>
      </w:r>
      <w:r w:rsidR="00AA6195" w:rsidRPr="00AA6195">
        <w:rPr>
          <w:rFonts w:ascii="Arial" w:hAnsi="Arial" w:cs="Arial"/>
          <w:lang w:val="sr-Latn-ME"/>
        </w:rPr>
        <w:t xml:space="preserve"> </w:t>
      </w:r>
      <w:r w:rsidR="00AA6195" w:rsidRPr="00AA6195">
        <w:rPr>
          <w:rFonts w:ascii="Arial" w:hAnsi="Arial" w:cs="Arial"/>
        </w:rPr>
        <w:t>sredstvima</w:t>
      </w:r>
      <w:r w:rsidR="00AA6195" w:rsidRPr="00AA6195">
        <w:rPr>
          <w:rFonts w:ascii="Arial" w:hAnsi="Arial" w:cs="Arial"/>
          <w:lang w:val="sr-Latn-ME"/>
        </w:rPr>
        <w:t xml:space="preserve"> </w:t>
      </w:r>
      <w:r w:rsidR="00AA6195" w:rsidRPr="00AA6195">
        <w:rPr>
          <w:rFonts w:ascii="Arial" w:hAnsi="Arial" w:cs="Arial"/>
        </w:rPr>
        <w:t>EU</w:t>
      </w:r>
      <w:r w:rsidR="00AA6195" w:rsidRPr="00AA6195">
        <w:rPr>
          <w:rFonts w:ascii="Arial" w:hAnsi="Arial" w:cs="Arial"/>
          <w:lang w:val="sr-Latn-ME"/>
        </w:rPr>
        <w:t xml:space="preserve"> </w:t>
      </w:r>
      <w:r w:rsidR="00AA6195" w:rsidRPr="00AA6195">
        <w:rPr>
          <w:rFonts w:ascii="Arial" w:hAnsi="Arial" w:cs="Arial"/>
        </w:rPr>
        <w:t>zadu</w:t>
      </w:r>
      <w:r w:rsidR="00AA6195" w:rsidRPr="00AA6195">
        <w:rPr>
          <w:rFonts w:ascii="Arial" w:hAnsi="Arial" w:cs="Arial"/>
          <w:lang w:val="sr-Latn-ME"/>
        </w:rPr>
        <w:t>ž</w:t>
      </w:r>
      <w:r w:rsidR="00AA6195" w:rsidRPr="00AA6195">
        <w:rPr>
          <w:rFonts w:ascii="Arial" w:hAnsi="Arial" w:cs="Arial"/>
        </w:rPr>
        <w:t>eni</w:t>
      </w:r>
      <w:r w:rsidR="00AA6195" w:rsidRPr="00AA6195">
        <w:rPr>
          <w:rFonts w:ascii="Arial" w:hAnsi="Arial" w:cs="Arial"/>
          <w:lang w:val="sr-Latn-ME"/>
        </w:rPr>
        <w:t xml:space="preserve"> </w:t>
      </w:r>
      <w:r w:rsidR="00AA6195" w:rsidRPr="00AA6195">
        <w:rPr>
          <w:rFonts w:ascii="Arial" w:hAnsi="Arial" w:cs="Arial"/>
        </w:rPr>
        <w:t>evropski</w:t>
      </w:r>
      <w:r w:rsidR="00AA6195" w:rsidRPr="00AA6195">
        <w:rPr>
          <w:rFonts w:ascii="Arial" w:hAnsi="Arial" w:cs="Arial"/>
          <w:lang w:val="sr-Latn-ME"/>
        </w:rPr>
        <w:t xml:space="preserve"> </w:t>
      </w:r>
      <w:r w:rsidR="00AA6195" w:rsidRPr="00AA6195">
        <w:rPr>
          <w:rFonts w:ascii="Arial" w:hAnsi="Arial" w:cs="Arial"/>
        </w:rPr>
        <w:t>delegirani</w:t>
      </w:r>
      <w:r w:rsidR="00AA6195" w:rsidRPr="00AA6195">
        <w:rPr>
          <w:rFonts w:ascii="Arial" w:hAnsi="Arial" w:cs="Arial"/>
          <w:lang w:val="sr-Latn-ME"/>
        </w:rPr>
        <w:t xml:space="preserve"> </w:t>
      </w:r>
      <w:r w:rsidR="00AA6195" w:rsidRPr="00AA6195">
        <w:rPr>
          <w:rFonts w:ascii="Arial" w:hAnsi="Arial" w:cs="Arial"/>
        </w:rPr>
        <w:t>tu</w:t>
      </w:r>
      <w:r w:rsidR="00AA6195" w:rsidRPr="00AA6195">
        <w:rPr>
          <w:rFonts w:ascii="Arial" w:hAnsi="Arial" w:cs="Arial"/>
          <w:lang w:val="sr-Latn-ME"/>
        </w:rPr>
        <w:t>ž</w:t>
      </w:r>
      <w:r w:rsidR="00AA6195" w:rsidRPr="00AA6195">
        <w:rPr>
          <w:rFonts w:ascii="Arial" w:hAnsi="Arial" w:cs="Arial"/>
        </w:rPr>
        <w:t>ioci</w:t>
      </w:r>
      <w:r w:rsidR="00AA6195" w:rsidRPr="00AA6195">
        <w:rPr>
          <w:rFonts w:ascii="Arial" w:hAnsi="Arial" w:cs="Arial"/>
          <w:lang w:val="sr-Latn-ME"/>
        </w:rPr>
        <w:t>.</w:t>
      </w:r>
    </w:p>
    <w:p w:rsidR="00AA6195" w:rsidRDefault="00AA6195" w:rsidP="000F471C">
      <w:pPr>
        <w:pStyle w:val="NoSpacing"/>
        <w:jc w:val="both"/>
        <w:rPr>
          <w:rFonts w:ascii="Arial" w:hAnsi="Arial" w:cs="Arial"/>
          <w:i/>
          <w:lang w:val="sr-Latn-ME"/>
        </w:rPr>
      </w:pPr>
    </w:p>
    <w:p w:rsidR="000F471C" w:rsidRPr="001302F9" w:rsidRDefault="000F471C" w:rsidP="000F471C">
      <w:pPr>
        <w:pStyle w:val="NoSpacing"/>
        <w:jc w:val="both"/>
        <w:rPr>
          <w:rFonts w:ascii="Arial" w:hAnsi="Arial" w:cs="Arial"/>
          <w:lang w:val="sr-Latn-ME"/>
        </w:rPr>
      </w:pPr>
      <w:r w:rsidRPr="00F02A2C">
        <w:rPr>
          <w:rFonts w:ascii="Arial" w:hAnsi="Arial" w:cs="Arial"/>
          <w:i/>
          <w:lang w:val="sr-Latn-ME"/>
        </w:rPr>
        <w:t xml:space="preserve">Takođe bi bilo korisno u Crnoj Gori već sada procijeniti potrebu za uspostavljanjem jedinice ili imenovanjem tužilaca za </w:t>
      </w:r>
      <w:r w:rsidR="00AA6195">
        <w:rPr>
          <w:rFonts w:ascii="Arial" w:hAnsi="Arial" w:cs="Arial"/>
          <w:i/>
          <w:lang w:val="sr-Latn-ME"/>
        </w:rPr>
        <w:t>procesuiranje</w:t>
      </w:r>
      <w:r w:rsidRPr="00F02A2C">
        <w:rPr>
          <w:rFonts w:ascii="Arial" w:hAnsi="Arial" w:cs="Arial"/>
          <w:i/>
          <w:lang w:val="sr-Latn-ME"/>
        </w:rPr>
        <w:t xml:space="preserve"> slučajeva vezanih za sredstva EU.</w:t>
      </w:r>
    </w:p>
    <w:p w:rsidR="00F02A2C" w:rsidRDefault="000F471C" w:rsidP="00AA6195">
      <w:pPr>
        <w:pStyle w:val="NoSpacing"/>
        <w:jc w:val="both"/>
        <w:rPr>
          <w:rFonts w:ascii="Arial" w:hAnsi="Arial" w:cs="Arial"/>
          <w:lang w:val="sr-Latn-ME"/>
        </w:rPr>
      </w:pPr>
      <w:r w:rsidRPr="001302F9">
        <w:rPr>
          <w:rFonts w:ascii="Arial" w:hAnsi="Arial" w:cs="Arial"/>
          <w:lang w:val="sr-Latn-ME"/>
        </w:rPr>
        <w:br/>
        <w:t xml:space="preserve">Vrhovno državno tužilaštvo Crne Gore </w:t>
      </w:r>
      <w:r w:rsidR="00F02A2C" w:rsidRPr="001302F9">
        <w:rPr>
          <w:rFonts w:ascii="Arial" w:hAnsi="Arial" w:cs="Arial"/>
          <w:lang w:val="sr-Latn-ME"/>
        </w:rPr>
        <w:t>je</w:t>
      </w:r>
      <w:r w:rsidR="00F02A2C">
        <w:rPr>
          <w:rFonts w:ascii="Arial" w:hAnsi="Arial" w:cs="Arial"/>
          <w:lang w:val="sr-Latn-ME"/>
        </w:rPr>
        <w:t xml:space="preserve">, </w:t>
      </w:r>
      <w:r w:rsidRPr="001302F9">
        <w:rPr>
          <w:rFonts w:ascii="Arial" w:hAnsi="Arial" w:cs="Arial"/>
          <w:lang w:val="sr-Latn-ME"/>
        </w:rPr>
        <w:t>22. septembra 2022.</w:t>
      </w:r>
      <w:r w:rsidR="00F02A2C">
        <w:rPr>
          <w:rFonts w:ascii="Arial" w:hAnsi="Arial" w:cs="Arial"/>
          <w:lang w:val="sr-Latn-ME"/>
        </w:rPr>
        <w:t xml:space="preserve"> godine, </w:t>
      </w:r>
      <w:r w:rsidRPr="001302F9">
        <w:rPr>
          <w:rFonts w:ascii="Arial" w:hAnsi="Arial" w:cs="Arial"/>
          <w:lang w:val="sr-Latn-ME"/>
        </w:rPr>
        <w:t xml:space="preserve">potpisalo Sporazum o saradnji </w:t>
      </w:r>
      <w:r w:rsidR="00F02A2C">
        <w:rPr>
          <w:rFonts w:ascii="Arial" w:hAnsi="Arial" w:cs="Arial"/>
          <w:lang w:val="sr-Latn-ME"/>
        </w:rPr>
        <w:t>sa</w:t>
      </w:r>
      <w:r w:rsidRPr="001302F9">
        <w:rPr>
          <w:rFonts w:ascii="Arial" w:hAnsi="Arial" w:cs="Arial"/>
          <w:lang w:val="sr-Latn-ME"/>
        </w:rPr>
        <w:t xml:space="preserve"> EPPO</w:t>
      </w:r>
      <w:r w:rsidR="00F02A2C">
        <w:rPr>
          <w:rFonts w:ascii="Arial" w:hAnsi="Arial" w:cs="Arial"/>
          <w:lang w:val="sr-Latn-ME"/>
        </w:rPr>
        <w:t xml:space="preserve">-om. </w:t>
      </w:r>
      <w:r w:rsidRPr="001302F9">
        <w:rPr>
          <w:rFonts w:ascii="Arial" w:hAnsi="Arial" w:cs="Arial"/>
          <w:lang w:val="sr-Latn-ME"/>
        </w:rPr>
        <w:t>Glavni izazovi u trenutnoj situaciji u procesu krivičnog gonjenja i nadzora</w:t>
      </w:r>
      <w:r w:rsidR="00AA6195">
        <w:rPr>
          <w:rFonts w:ascii="Arial" w:hAnsi="Arial" w:cs="Arial"/>
          <w:lang w:val="sr-Latn-ME"/>
        </w:rPr>
        <w:t xml:space="preserve"> </w:t>
      </w:r>
      <w:r w:rsidRPr="001302F9">
        <w:rPr>
          <w:rFonts w:ascii="Arial" w:hAnsi="Arial" w:cs="Arial"/>
          <w:lang w:val="sr-Latn-ME"/>
        </w:rPr>
        <w:t>su:</w:t>
      </w:r>
    </w:p>
    <w:p w:rsidR="00F02A2C" w:rsidRDefault="000F471C" w:rsidP="00F02A2C">
      <w:pPr>
        <w:pStyle w:val="NoSpacing"/>
        <w:numPr>
          <w:ilvl w:val="0"/>
          <w:numId w:val="40"/>
        </w:numPr>
        <w:jc w:val="both"/>
        <w:rPr>
          <w:rFonts w:ascii="Arial" w:hAnsi="Arial" w:cs="Arial"/>
          <w:lang w:val="sr-Latn-ME"/>
        </w:rPr>
      </w:pPr>
      <w:r w:rsidRPr="001302F9">
        <w:rPr>
          <w:rFonts w:ascii="Arial" w:hAnsi="Arial" w:cs="Arial"/>
          <w:lang w:val="sr-Latn-ME"/>
        </w:rPr>
        <w:t>potreba za daljim usklađivanjem Krivičnog zakonika sa PIF Direktivom;</w:t>
      </w:r>
    </w:p>
    <w:p w:rsidR="000F471C" w:rsidRPr="001302F9" w:rsidRDefault="000F471C" w:rsidP="00F02A2C">
      <w:pPr>
        <w:pStyle w:val="NoSpacing"/>
        <w:numPr>
          <w:ilvl w:val="0"/>
          <w:numId w:val="40"/>
        </w:numPr>
        <w:jc w:val="both"/>
        <w:rPr>
          <w:rFonts w:ascii="Arial" w:hAnsi="Arial" w:cs="Arial"/>
          <w:lang w:val="sr-Latn-ME"/>
        </w:rPr>
      </w:pPr>
      <w:r w:rsidRPr="001302F9">
        <w:rPr>
          <w:rFonts w:ascii="Arial" w:hAnsi="Arial" w:cs="Arial"/>
          <w:lang w:val="sr-Latn-ME"/>
        </w:rPr>
        <w:t>potreba za jačanjem saradnje Direkcije za zaštitu finansijskih interesa EU/AFCOS sa</w:t>
      </w:r>
      <w:r w:rsidR="00F02A2C">
        <w:rPr>
          <w:rFonts w:ascii="Arial" w:hAnsi="Arial" w:cs="Arial"/>
          <w:lang w:val="sr-Latn-ME"/>
        </w:rPr>
        <w:t xml:space="preserve"> </w:t>
      </w:r>
      <w:r w:rsidRPr="001302F9">
        <w:rPr>
          <w:rFonts w:ascii="Arial" w:hAnsi="Arial" w:cs="Arial"/>
          <w:lang w:val="sr-Latn-ME"/>
        </w:rPr>
        <w:t>Vrhovnim državnim tužilaštvom, Agencijom za spriječavanje korupcije i Upravom policije, te u tom smislu izmjenom relevantnog nacionalnog zakonodavstva kako bi se obavezala tijela koja sprovode krivičnu istragu na saradnju sa Direkcijom za zaštitu finansijskih interesa EU/AFCOS i OLAF-om.</w:t>
      </w:r>
    </w:p>
    <w:p w:rsidR="000F471C" w:rsidRPr="001302F9" w:rsidRDefault="000F471C" w:rsidP="00F02A2C">
      <w:pPr>
        <w:pStyle w:val="NoSpacing"/>
        <w:jc w:val="both"/>
        <w:rPr>
          <w:rFonts w:ascii="Arial" w:hAnsi="Arial" w:cs="Arial"/>
          <w:lang w:val="sr-Latn-ME"/>
        </w:rPr>
      </w:pPr>
      <w:r w:rsidRPr="001302F9">
        <w:rPr>
          <w:rFonts w:ascii="Arial" w:hAnsi="Arial" w:cs="Arial"/>
          <w:lang w:val="sr-Latn-ME"/>
        </w:rPr>
        <w:br/>
        <w:t>Važno je naglasiti da je neophodno izgraditi kapacitete Vrhovnog državnog tužilaštva, Agencije za sprečavanje korupcije i Uprave policije u oblasti zaštite sredstava Evropske unije kako bi se efikasnije sprovodila krivična istraga vezano za projekte finansirane iz EU sredstava.</w:t>
      </w:r>
    </w:p>
    <w:p w:rsidR="00432B07" w:rsidRDefault="000F471C" w:rsidP="00432B07">
      <w:pPr>
        <w:pStyle w:val="NormalWeb"/>
        <w:spacing w:line="360" w:lineRule="auto"/>
        <w:contextualSpacing/>
        <w:jc w:val="both"/>
        <w:rPr>
          <w:rStyle w:val="Strong"/>
          <w:rFonts w:ascii="Arial" w:hAnsi="Arial" w:cs="Arial"/>
          <w:sz w:val="22"/>
          <w:szCs w:val="22"/>
          <w:lang w:val="sr-Latn-ME"/>
        </w:rPr>
      </w:pPr>
      <w:r w:rsidRPr="001302F9">
        <w:rPr>
          <w:rFonts w:ascii="Arial" w:hAnsi="Arial" w:cs="Arial"/>
          <w:sz w:val="22"/>
          <w:szCs w:val="22"/>
          <w:lang w:val="sr-Latn-ME"/>
        </w:rPr>
        <w:t xml:space="preserve">2.6.4. </w:t>
      </w:r>
      <w:r w:rsidRPr="001302F9">
        <w:rPr>
          <w:rStyle w:val="Strong"/>
          <w:rFonts w:ascii="Arial" w:hAnsi="Arial" w:cs="Arial"/>
          <w:sz w:val="22"/>
          <w:szCs w:val="22"/>
          <w:lang w:val="sr-Latn-ME"/>
        </w:rPr>
        <w:t>Povra</w:t>
      </w:r>
      <w:r w:rsidR="00F02A2C">
        <w:rPr>
          <w:rStyle w:val="Strong"/>
          <w:rFonts w:ascii="Arial" w:hAnsi="Arial" w:cs="Arial"/>
          <w:sz w:val="22"/>
          <w:szCs w:val="22"/>
          <w:lang w:val="sr-Latn-ME"/>
        </w:rPr>
        <w:t>ćaj</w:t>
      </w:r>
      <w:r w:rsidRPr="001302F9">
        <w:rPr>
          <w:rStyle w:val="Strong"/>
          <w:rFonts w:ascii="Arial" w:hAnsi="Arial" w:cs="Arial"/>
          <w:sz w:val="22"/>
          <w:szCs w:val="22"/>
          <w:lang w:val="sr-Latn-ME"/>
        </w:rPr>
        <w:t xml:space="preserve"> sredstava i sankcije</w:t>
      </w:r>
    </w:p>
    <w:p w:rsidR="00432B07" w:rsidRDefault="000F471C" w:rsidP="00432B07">
      <w:pPr>
        <w:pStyle w:val="NormalWeb"/>
        <w:spacing w:line="360" w:lineRule="auto"/>
        <w:contextualSpacing/>
        <w:jc w:val="both"/>
        <w:rPr>
          <w:rStyle w:val="Strong"/>
          <w:rFonts w:ascii="Arial" w:hAnsi="Arial" w:cs="Arial"/>
          <w:sz w:val="22"/>
          <w:szCs w:val="22"/>
          <w:lang w:val="sr-Latn-ME"/>
        </w:rPr>
      </w:pPr>
      <w:r w:rsidRPr="001302F9">
        <w:rPr>
          <w:rFonts w:ascii="Arial" w:hAnsi="Arial" w:cs="Arial"/>
          <w:sz w:val="22"/>
          <w:szCs w:val="22"/>
          <w:lang w:val="sr-Latn-ME"/>
        </w:rPr>
        <w:br/>
      </w:r>
      <w:r w:rsidRPr="00F02A2C">
        <w:rPr>
          <w:rFonts w:ascii="Arial" w:hAnsi="Arial" w:cs="Arial"/>
          <w:b/>
          <w:i/>
          <w:sz w:val="22"/>
          <w:szCs w:val="22"/>
          <w:lang w:val="sr-Latn-ME"/>
        </w:rPr>
        <w:t xml:space="preserve">• </w:t>
      </w:r>
      <w:r w:rsidRPr="00F02A2C">
        <w:rPr>
          <w:rStyle w:val="Strong"/>
          <w:rFonts w:ascii="Arial" w:hAnsi="Arial" w:cs="Arial"/>
          <w:b w:val="0"/>
          <w:i/>
          <w:sz w:val="22"/>
          <w:szCs w:val="22"/>
          <w:lang w:val="sr-Latn-ME"/>
        </w:rPr>
        <w:t>Povra</w:t>
      </w:r>
      <w:r w:rsidR="00F02A2C">
        <w:rPr>
          <w:rStyle w:val="Strong"/>
          <w:rFonts w:ascii="Arial" w:hAnsi="Arial" w:cs="Arial"/>
          <w:b w:val="0"/>
          <w:i/>
          <w:sz w:val="22"/>
          <w:szCs w:val="22"/>
          <w:lang w:val="sr-Latn-ME"/>
        </w:rPr>
        <w:t>ćaj</w:t>
      </w:r>
      <w:r w:rsidRPr="00F02A2C">
        <w:rPr>
          <w:rStyle w:val="Strong"/>
          <w:rFonts w:ascii="Arial" w:hAnsi="Arial" w:cs="Arial"/>
          <w:b w:val="0"/>
          <w:i/>
          <w:sz w:val="22"/>
          <w:szCs w:val="22"/>
          <w:lang w:val="sr-Latn-ME"/>
        </w:rPr>
        <w:t xml:space="preserve"> sredstava</w:t>
      </w:r>
    </w:p>
    <w:p w:rsidR="00326419" w:rsidRPr="00432B07" w:rsidRDefault="000F471C" w:rsidP="00326419">
      <w:pPr>
        <w:pStyle w:val="NormalWeb"/>
        <w:jc w:val="both"/>
        <w:rPr>
          <w:rFonts w:ascii="Arial" w:hAnsi="Arial" w:cs="Arial"/>
          <w:b/>
          <w:bCs/>
          <w:sz w:val="22"/>
          <w:szCs w:val="22"/>
          <w:lang w:val="sr-Latn-ME"/>
        </w:rPr>
      </w:pPr>
      <w:r w:rsidRPr="001302F9">
        <w:rPr>
          <w:rFonts w:ascii="Arial" w:hAnsi="Arial" w:cs="Arial"/>
          <w:sz w:val="22"/>
          <w:szCs w:val="22"/>
          <w:lang w:val="sr-Latn-ME"/>
        </w:rPr>
        <w:br/>
        <w:t>Što se tiče obaveze povra</w:t>
      </w:r>
      <w:r w:rsidR="00D40964">
        <w:rPr>
          <w:rFonts w:ascii="Arial" w:hAnsi="Arial" w:cs="Arial"/>
          <w:sz w:val="22"/>
          <w:szCs w:val="22"/>
          <w:lang w:val="sr-Latn-ME"/>
        </w:rPr>
        <w:t>ćaja</w:t>
      </w:r>
      <w:r w:rsidRPr="001302F9">
        <w:rPr>
          <w:rFonts w:ascii="Arial" w:hAnsi="Arial" w:cs="Arial"/>
          <w:sz w:val="22"/>
          <w:szCs w:val="22"/>
          <w:lang w:val="sr-Latn-ME"/>
        </w:rPr>
        <w:t xml:space="preserve"> sredstava, bilo koj</w:t>
      </w:r>
      <w:r w:rsidR="00D40964">
        <w:rPr>
          <w:rFonts w:ascii="Arial" w:hAnsi="Arial" w:cs="Arial"/>
          <w:sz w:val="22"/>
          <w:szCs w:val="22"/>
          <w:lang w:val="sr-Latn-ME"/>
        </w:rPr>
        <w:t>i</w:t>
      </w:r>
      <w:r w:rsidRPr="001302F9">
        <w:rPr>
          <w:rFonts w:ascii="Arial" w:hAnsi="Arial" w:cs="Arial"/>
          <w:sz w:val="22"/>
          <w:szCs w:val="22"/>
          <w:lang w:val="sr-Latn-ME"/>
        </w:rPr>
        <w:t xml:space="preserve"> </w:t>
      </w:r>
      <w:r w:rsidR="00D40964" w:rsidRPr="001302F9">
        <w:rPr>
          <w:rFonts w:ascii="Arial" w:hAnsi="Arial" w:cs="Arial"/>
          <w:sz w:val="22"/>
          <w:szCs w:val="22"/>
          <w:lang w:val="sr-Latn-ME"/>
        </w:rPr>
        <w:t>neprihvatljivi troškovi</w:t>
      </w:r>
      <w:r w:rsidR="00D40964">
        <w:rPr>
          <w:rFonts w:ascii="Arial" w:hAnsi="Arial" w:cs="Arial"/>
          <w:sz w:val="22"/>
          <w:szCs w:val="22"/>
          <w:lang w:val="sr-Latn-ME"/>
        </w:rPr>
        <w:t>, to jest</w:t>
      </w:r>
      <w:r w:rsidR="00D40964" w:rsidRPr="001302F9">
        <w:rPr>
          <w:rFonts w:ascii="Arial" w:hAnsi="Arial" w:cs="Arial"/>
          <w:sz w:val="22"/>
          <w:szCs w:val="22"/>
          <w:lang w:val="sr-Latn-ME"/>
        </w:rPr>
        <w:t xml:space="preserve"> </w:t>
      </w:r>
      <w:r w:rsidRPr="001302F9">
        <w:rPr>
          <w:rFonts w:ascii="Arial" w:hAnsi="Arial" w:cs="Arial"/>
          <w:sz w:val="22"/>
          <w:szCs w:val="22"/>
          <w:lang w:val="sr-Latn-ME"/>
        </w:rPr>
        <w:t>neiskorišćena i nepravilno ili nezakonito upotrebljena sredstva</w:t>
      </w:r>
      <w:r w:rsidR="00D40964">
        <w:rPr>
          <w:rFonts w:ascii="Arial" w:hAnsi="Arial" w:cs="Arial"/>
          <w:sz w:val="22"/>
          <w:szCs w:val="22"/>
          <w:lang w:val="sr-Latn-ME"/>
        </w:rPr>
        <w:t xml:space="preserve">, </w:t>
      </w:r>
      <w:r w:rsidRPr="001302F9">
        <w:rPr>
          <w:rFonts w:ascii="Arial" w:hAnsi="Arial" w:cs="Arial"/>
          <w:sz w:val="22"/>
          <w:szCs w:val="22"/>
          <w:lang w:val="sr-Latn-ME"/>
        </w:rPr>
        <w:t xml:space="preserve">moraju biti vraćeni Evropskoj komisiji u skladu sa njenim zahtjevima i poštujući rokove koje postavlja Evropska komisija (u slučaju IPA godišnjih, višegodišnjih </w:t>
      </w:r>
      <w:r w:rsidR="008B2A9A">
        <w:rPr>
          <w:rFonts w:ascii="Arial" w:hAnsi="Arial" w:cs="Arial"/>
          <w:sz w:val="22"/>
          <w:szCs w:val="22"/>
          <w:lang w:val="sr-Latn-ME"/>
        </w:rPr>
        <w:t>i</w:t>
      </w:r>
      <w:r w:rsidRPr="001302F9">
        <w:rPr>
          <w:rFonts w:ascii="Arial" w:hAnsi="Arial" w:cs="Arial"/>
          <w:sz w:val="22"/>
          <w:szCs w:val="22"/>
          <w:lang w:val="sr-Latn-ME"/>
        </w:rPr>
        <w:t xml:space="preserve"> programa prekogranične saradnje, povra</w:t>
      </w:r>
      <w:r w:rsidR="00326419">
        <w:rPr>
          <w:rFonts w:ascii="Arial" w:hAnsi="Arial" w:cs="Arial"/>
          <w:sz w:val="22"/>
          <w:szCs w:val="22"/>
          <w:lang w:val="sr-Latn-ME"/>
        </w:rPr>
        <w:t>ćaj</w:t>
      </w:r>
      <w:r w:rsidRPr="001302F9">
        <w:rPr>
          <w:rFonts w:ascii="Arial" w:hAnsi="Arial" w:cs="Arial"/>
          <w:sz w:val="22"/>
          <w:szCs w:val="22"/>
          <w:lang w:val="sr-Latn-ME"/>
        </w:rPr>
        <w:t xml:space="preserve"> sredstava Evropskoj komisiji vrši se kao dio procesa zatvaranja programa, tj. po prijemu zahtjeva od strane Evropske komisije; u slučaju IPARD programa, pravila za povra</w:t>
      </w:r>
      <w:r w:rsidR="00326419">
        <w:rPr>
          <w:rFonts w:ascii="Arial" w:hAnsi="Arial" w:cs="Arial"/>
          <w:sz w:val="22"/>
          <w:szCs w:val="22"/>
          <w:lang w:val="sr-Latn-ME"/>
        </w:rPr>
        <w:t>ćaj</w:t>
      </w:r>
      <w:r w:rsidRPr="001302F9">
        <w:rPr>
          <w:rFonts w:ascii="Arial" w:hAnsi="Arial" w:cs="Arial"/>
          <w:sz w:val="22"/>
          <w:szCs w:val="22"/>
          <w:lang w:val="sr-Latn-ME"/>
        </w:rPr>
        <w:t xml:space="preserve"> sredstava preciznije su definisana sektorskim sporazumom i postoje rokovi unutar kojih Crna Gora mora povratiti sredstva tokom trajanja programa, tj. prije njegovog zatvaranja)</w:t>
      </w:r>
      <w:r w:rsidRPr="001302F9">
        <w:rPr>
          <w:rStyle w:val="FootnoteReference"/>
          <w:rFonts w:ascii="Arial" w:hAnsi="Arial" w:cs="Arial"/>
          <w:sz w:val="22"/>
          <w:szCs w:val="22"/>
          <w:lang w:val="sr-Latn-ME"/>
        </w:rPr>
        <w:footnoteReference w:id="8"/>
      </w:r>
      <w:r w:rsidRPr="001302F9">
        <w:rPr>
          <w:rFonts w:ascii="Arial" w:hAnsi="Arial" w:cs="Arial"/>
          <w:sz w:val="22"/>
          <w:szCs w:val="22"/>
          <w:lang w:val="sr-Latn-ME"/>
        </w:rPr>
        <w:t>. Evidentiranje povra</w:t>
      </w:r>
      <w:r w:rsidR="00326419">
        <w:rPr>
          <w:rFonts w:ascii="Arial" w:hAnsi="Arial" w:cs="Arial"/>
          <w:sz w:val="22"/>
          <w:szCs w:val="22"/>
          <w:lang w:val="sr-Latn-ME"/>
        </w:rPr>
        <w:t>ćaja</w:t>
      </w:r>
      <w:r w:rsidRPr="001302F9">
        <w:rPr>
          <w:rFonts w:ascii="Arial" w:hAnsi="Arial" w:cs="Arial"/>
          <w:sz w:val="22"/>
          <w:szCs w:val="22"/>
          <w:lang w:val="sr-Latn-ME"/>
        </w:rPr>
        <w:t xml:space="preserve"> sredstava, koje iniciraju izvođači/korisnici </w:t>
      </w:r>
      <w:r w:rsidR="00326419">
        <w:rPr>
          <w:rFonts w:ascii="Arial" w:hAnsi="Arial" w:cs="Arial"/>
          <w:sz w:val="22"/>
          <w:szCs w:val="22"/>
          <w:lang w:val="sr-Latn-ME"/>
        </w:rPr>
        <w:t>sredstava</w:t>
      </w:r>
      <w:r w:rsidRPr="001302F9">
        <w:rPr>
          <w:rFonts w:ascii="Arial" w:hAnsi="Arial" w:cs="Arial"/>
          <w:sz w:val="22"/>
          <w:szCs w:val="22"/>
          <w:lang w:val="sr-Latn-ME"/>
        </w:rPr>
        <w:t xml:space="preserve">, obavlja </w:t>
      </w:r>
      <w:r w:rsidR="00326419" w:rsidRPr="001302F9">
        <w:rPr>
          <w:rFonts w:ascii="Arial" w:hAnsi="Arial" w:cs="Arial"/>
          <w:sz w:val="22"/>
          <w:szCs w:val="22"/>
          <w:lang w:val="sr-Latn-ME"/>
        </w:rPr>
        <w:t xml:space="preserve">prvenstveno </w:t>
      </w:r>
      <w:r w:rsidRPr="001302F9">
        <w:rPr>
          <w:rFonts w:ascii="Arial" w:hAnsi="Arial" w:cs="Arial"/>
          <w:sz w:val="22"/>
          <w:szCs w:val="22"/>
          <w:lang w:val="sr-Latn-ME"/>
        </w:rPr>
        <w:t>Implementaciona agencija/Posredničko tijelo za finansijsko upravljanje. Upravljačka struktura je odgovorna za cjelokupno finansijsko upravljanje sredstvima EU pomoći, što uključuje i evidentiranje iznosa koji treba biti vraćen Evropskoj komisiji.</w:t>
      </w:r>
    </w:p>
    <w:p w:rsidR="00326419" w:rsidRDefault="000F471C" w:rsidP="000F471C">
      <w:pPr>
        <w:pStyle w:val="NormalWeb"/>
        <w:jc w:val="both"/>
        <w:rPr>
          <w:rFonts w:ascii="Arial" w:hAnsi="Arial" w:cs="Arial"/>
          <w:sz w:val="22"/>
          <w:szCs w:val="22"/>
          <w:highlight w:val="yellow"/>
          <w:lang w:val="sr-Latn-ME"/>
        </w:rPr>
      </w:pPr>
      <w:r w:rsidRPr="001302F9">
        <w:rPr>
          <w:rFonts w:ascii="Arial" w:hAnsi="Arial" w:cs="Arial"/>
          <w:sz w:val="22"/>
          <w:szCs w:val="22"/>
          <w:lang w:val="sr-Latn-ME"/>
        </w:rPr>
        <w:t>Unutar IPA sistema razlikuju se dva tipa povra</w:t>
      </w:r>
      <w:r w:rsidR="00326419">
        <w:rPr>
          <w:rFonts w:ascii="Arial" w:hAnsi="Arial" w:cs="Arial"/>
          <w:sz w:val="22"/>
          <w:szCs w:val="22"/>
          <w:lang w:val="sr-Latn-ME"/>
        </w:rPr>
        <w:t>ćaja</w:t>
      </w:r>
      <w:r w:rsidRPr="001302F9">
        <w:rPr>
          <w:rFonts w:ascii="Arial" w:hAnsi="Arial" w:cs="Arial"/>
          <w:sz w:val="22"/>
          <w:szCs w:val="22"/>
          <w:lang w:val="sr-Latn-ME"/>
        </w:rPr>
        <w:t xml:space="preserve"> sredstava:</w:t>
      </w:r>
    </w:p>
    <w:p w:rsidR="000F471C" w:rsidRPr="00326419" w:rsidRDefault="000F471C" w:rsidP="000F471C">
      <w:pPr>
        <w:pStyle w:val="NormalWeb"/>
        <w:jc w:val="both"/>
        <w:rPr>
          <w:rFonts w:ascii="Arial" w:hAnsi="Arial" w:cs="Arial"/>
          <w:sz w:val="22"/>
          <w:szCs w:val="22"/>
          <w:highlight w:val="yellow"/>
          <w:lang w:val="sr-Latn-ME"/>
        </w:rPr>
      </w:pPr>
      <w:r w:rsidRPr="00326419">
        <w:rPr>
          <w:rFonts w:ascii="Arial" w:hAnsi="Arial" w:cs="Arial"/>
          <w:sz w:val="22"/>
          <w:szCs w:val="22"/>
          <w:lang w:val="sr-Latn-ME"/>
        </w:rPr>
        <w:t xml:space="preserve">– </w:t>
      </w:r>
      <w:r w:rsidRPr="00326419">
        <w:rPr>
          <w:rStyle w:val="Strong"/>
          <w:rFonts w:ascii="Arial" w:hAnsi="Arial" w:cs="Arial"/>
          <w:sz w:val="22"/>
          <w:szCs w:val="22"/>
          <w:lang w:val="sr-Latn-ME"/>
        </w:rPr>
        <w:t>Povra</w:t>
      </w:r>
      <w:r w:rsidR="00326419" w:rsidRPr="00326419">
        <w:rPr>
          <w:rStyle w:val="Strong"/>
          <w:rFonts w:ascii="Arial" w:hAnsi="Arial" w:cs="Arial"/>
          <w:sz w:val="22"/>
          <w:szCs w:val="22"/>
          <w:lang w:val="sr-Latn-ME"/>
        </w:rPr>
        <w:t>ćaj</w:t>
      </w:r>
      <w:r w:rsidRPr="00326419">
        <w:rPr>
          <w:rStyle w:val="Strong"/>
          <w:rFonts w:ascii="Arial" w:hAnsi="Arial" w:cs="Arial"/>
          <w:sz w:val="22"/>
          <w:szCs w:val="22"/>
          <w:lang w:val="sr-Latn-ME"/>
        </w:rPr>
        <w:t xml:space="preserve"> sredstava</w:t>
      </w:r>
      <w:r w:rsidRPr="00326419">
        <w:rPr>
          <w:rFonts w:ascii="Arial" w:hAnsi="Arial" w:cs="Arial"/>
          <w:sz w:val="22"/>
          <w:szCs w:val="22"/>
          <w:lang w:val="sr-Latn-ME"/>
        </w:rPr>
        <w:t xml:space="preserve"> – kada prethodno prihvaćena sredstva moraju biti vraćena zbog grešaka utvrđenih tokom verifikacija i revizija;</w:t>
      </w:r>
    </w:p>
    <w:p w:rsidR="00326419" w:rsidRDefault="000F471C" w:rsidP="000F471C">
      <w:pPr>
        <w:pStyle w:val="NormalWeb"/>
        <w:jc w:val="both"/>
        <w:rPr>
          <w:rFonts w:ascii="Arial" w:hAnsi="Arial" w:cs="Arial"/>
          <w:sz w:val="22"/>
          <w:szCs w:val="22"/>
          <w:highlight w:val="yellow"/>
          <w:lang w:val="sr-Latn-ME"/>
        </w:rPr>
      </w:pPr>
      <w:r w:rsidRPr="00326419">
        <w:rPr>
          <w:rFonts w:ascii="Arial" w:hAnsi="Arial" w:cs="Arial"/>
          <w:sz w:val="22"/>
          <w:szCs w:val="22"/>
          <w:lang w:val="sr-Latn-ME"/>
        </w:rPr>
        <w:t xml:space="preserve">– </w:t>
      </w:r>
      <w:r w:rsidR="00326419" w:rsidRPr="00326419">
        <w:rPr>
          <w:rStyle w:val="Strong"/>
          <w:rFonts w:ascii="Arial" w:hAnsi="Arial" w:cs="Arial"/>
          <w:sz w:val="22"/>
          <w:szCs w:val="22"/>
          <w:lang w:val="sr-Latn-ME"/>
        </w:rPr>
        <w:t>Otplata</w:t>
      </w:r>
      <w:r w:rsidRPr="00326419">
        <w:rPr>
          <w:rFonts w:ascii="Arial" w:hAnsi="Arial" w:cs="Arial"/>
          <w:sz w:val="22"/>
          <w:szCs w:val="22"/>
          <w:lang w:val="sr-Latn-ME"/>
        </w:rPr>
        <w:t xml:space="preserve"> (Repayment) – kada se greške na nivou izvođača/korisnika </w:t>
      </w:r>
      <w:r w:rsidR="00326419" w:rsidRPr="00326419">
        <w:rPr>
          <w:rFonts w:ascii="Arial" w:hAnsi="Arial" w:cs="Arial"/>
          <w:sz w:val="22"/>
          <w:szCs w:val="22"/>
          <w:lang w:val="sr-Latn-ME"/>
        </w:rPr>
        <w:t>sredstava</w:t>
      </w:r>
      <w:r w:rsidRPr="00326419">
        <w:rPr>
          <w:rFonts w:ascii="Arial" w:hAnsi="Arial" w:cs="Arial"/>
          <w:sz w:val="22"/>
          <w:szCs w:val="22"/>
          <w:lang w:val="sr-Latn-ME"/>
        </w:rPr>
        <w:t xml:space="preserve"> identifikuju u okviru pre-finansiranih sredstava i samim tim iznos pre-finansiranja mora biti smanjen.</w:t>
      </w:r>
    </w:p>
    <w:p w:rsidR="00432B07" w:rsidRDefault="000F471C" w:rsidP="00432B07">
      <w:pPr>
        <w:pStyle w:val="NormalWeb"/>
        <w:contextualSpacing/>
        <w:jc w:val="both"/>
        <w:rPr>
          <w:rFonts w:ascii="Arial" w:hAnsi="Arial" w:cs="Arial"/>
          <w:sz w:val="22"/>
          <w:szCs w:val="22"/>
          <w:lang w:val="sr-Latn-ME"/>
        </w:rPr>
      </w:pPr>
      <w:r w:rsidRPr="00326419">
        <w:rPr>
          <w:rFonts w:ascii="Arial" w:hAnsi="Arial" w:cs="Arial"/>
          <w:sz w:val="22"/>
          <w:szCs w:val="22"/>
          <w:lang w:val="sr-Latn-ME"/>
        </w:rPr>
        <w:t>Kada nastane situacija zbog koje je potrebno pokrenuti povra</w:t>
      </w:r>
      <w:r w:rsidR="00326419" w:rsidRPr="00326419">
        <w:rPr>
          <w:rFonts w:ascii="Arial" w:hAnsi="Arial" w:cs="Arial"/>
          <w:sz w:val="22"/>
          <w:szCs w:val="22"/>
          <w:lang w:val="sr-Latn-ME"/>
        </w:rPr>
        <w:t>ćaj ili otplatu sredstava</w:t>
      </w:r>
      <w:r w:rsidRPr="00326419">
        <w:rPr>
          <w:rFonts w:ascii="Arial" w:hAnsi="Arial" w:cs="Arial"/>
          <w:sz w:val="22"/>
          <w:szCs w:val="22"/>
          <w:lang w:val="sr-Latn-ME"/>
        </w:rPr>
        <w:t>,</w:t>
      </w:r>
      <w:r w:rsidRPr="001302F9">
        <w:rPr>
          <w:rFonts w:ascii="Arial" w:hAnsi="Arial" w:cs="Arial"/>
          <w:sz w:val="22"/>
          <w:szCs w:val="22"/>
          <w:lang w:val="sr-Latn-ME"/>
        </w:rPr>
        <w:t xml:space="preserve"> Implementaciona agencija/Posredničko tijelo za finansijsko upravljanje preduzima sve neophodne radnje kako bi obustavilo plaćanja relevantnom izvođaču/korisniku i izdalo zahtjev za povra</w:t>
      </w:r>
      <w:r w:rsidR="00326419">
        <w:rPr>
          <w:rFonts w:ascii="Arial" w:hAnsi="Arial" w:cs="Arial"/>
          <w:sz w:val="22"/>
          <w:szCs w:val="22"/>
          <w:lang w:val="sr-Latn-ME"/>
        </w:rPr>
        <w:t>ćaj</w:t>
      </w:r>
      <w:r w:rsidRPr="001302F9">
        <w:rPr>
          <w:rFonts w:ascii="Arial" w:hAnsi="Arial" w:cs="Arial"/>
          <w:sz w:val="22"/>
          <w:szCs w:val="22"/>
          <w:lang w:val="sr-Latn-ME"/>
        </w:rPr>
        <w:t xml:space="preserve"> sredstava. U slučaju kašnjenja u povra</w:t>
      </w:r>
      <w:r w:rsidR="00326419">
        <w:rPr>
          <w:rFonts w:ascii="Arial" w:hAnsi="Arial" w:cs="Arial"/>
          <w:sz w:val="22"/>
          <w:szCs w:val="22"/>
          <w:lang w:val="sr-Latn-ME"/>
        </w:rPr>
        <w:t>ćaju</w:t>
      </w:r>
      <w:r w:rsidRPr="001302F9">
        <w:rPr>
          <w:rFonts w:ascii="Arial" w:hAnsi="Arial" w:cs="Arial"/>
          <w:sz w:val="22"/>
          <w:szCs w:val="22"/>
          <w:lang w:val="sr-Latn-ME"/>
        </w:rPr>
        <w:t>, postoji procedura za primjenu kamate na kašnjenje.</w:t>
      </w:r>
    </w:p>
    <w:p w:rsidR="000F471C" w:rsidRPr="001302F9" w:rsidRDefault="000F471C" w:rsidP="00432B07">
      <w:pPr>
        <w:pStyle w:val="NormalWeb"/>
        <w:contextualSpacing/>
        <w:jc w:val="both"/>
        <w:rPr>
          <w:rFonts w:ascii="Arial" w:hAnsi="Arial" w:cs="Arial"/>
          <w:sz w:val="22"/>
          <w:szCs w:val="22"/>
          <w:lang w:val="sr-Latn-ME"/>
        </w:rPr>
      </w:pPr>
      <w:r w:rsidRPr="001302F9">
        <w:rPr>
          <w:rFonts w:ascii="Arial" w:hAnsi="Arial" w:cs="Arial"/>
          <w:sz w:val="22"/>
          <w:szCs w:val="22"/>
          <w:lang w:val="sr-Latn-ME"/>
        </w:rPr>
        <w:br/>
        <w:t>Takođe, Okvirnim sporazumom je predviđeno da je NAO konačno odgovoran za povra</w:t>
      </w:r>
      <w:r w:rsidR="00326419">
        <w:rPr>
          <w:rFonts w:ascii="Arial" w:hAnsi="Arial" w:cs="Arial"/>
          <w:sz w:val="22"/>
          <w:szCs w:val="22"/>
          <w:lang w:val="sr-Latn-ME"/>
        </w:rPr>
        <w:t>ćaj</w:t>
      </w:r>
      <w:r w:rsidRPr="001302F9">
        <w:rPr>
          <w:rFonts w:ascii="Arial" w:hAnsi="Arial" w:cs="Arial"/>
          <w:sz w:val="22"/>
          <w:szCs w:val="22"/>
          <w:lang w:val="sr-Latn-ME"/>
        </w:rPr>
        <w:t xml:space="preserve"> sredstava Evropskoj komisiji bez obzira </w:t>
      </w:r>
      <w:r w:rsidRPr="00326419">
        <w:rPr>
          <w:rFonts w:ascii="Arial" w:hAnsi="Arial" w:cs="Arial"/>
          <w:sz w:val="22"/>
          <w:szCs w:val="22"/>
          <w:lang w:val="sr-Latn-ME"/>
        </w:rPr>
        <w:t xml:space="preserve">na to da li </w:t>
      </w:r>
      <w:r w:rsidR="00326419" w:rsidRPr="00326419">
        <w:rPr>
          <w:rFonts w:ascii="Arial" w:hAnsi="Arial" w:cs="Arial"/>
          <w:sz w:val="22"/>
          <w:szCs w:val="22"/>
          <w:lang w:val="sr-Latn-ME"/>
        </w:rPr>
        <w:t xml:space="preserve">je izvođač/korisnik izvršio </w:t>
      </w:r>
      <w:r w:rsidRPr="00326419">
        <w:rPr>
          <w:rFonts w:ascii="Arial" w:hAnsi="Arial" w:cs="Arial"/>
          <w:sz w:val="22"/>
          <w:szCs w:val="22"/>
          <w:lang w:val="sr-Latn-ME"/>
        </w:rPr>
        <w:t>povra</w:t>
      </w:r>
      <w:r w:rsidR="00326419" w:rsidRPr="00326419">
        <w:rPr>
          <w:rFonts w:ascii="Arial" w:hAnsi="Arial" w:cs="Arial"/>
          <w:sz w:val="22"/>
          <w:szCs w:val="22"/>
          <w:lang w:val="sr-Latn-ME"/>
        </w:rPr>
        <w:t>ćaj</w:t>
      </w:r>
      <w:r w:rsidRPr="001302F9">
        <w:rPr>
          <w:rStyle w:val="FootnoteReference"/>
          <w:rFonts w:ascii="Arial" w:hAnsi="Arial" w:cs="Arial"/>
          <w:sz w:val="22"/>
          <w:szCs w:val="22"/>
          <w:lang w:val="sr-Latn-ME"/>
        </w:rPr>
        <w:footnoteReference w:id="9"/>
      </w:r>
      <w:r w:rsidRPr="001302F9">
        <w:rPr>
          <w:rFonts w:ascii="Arial" w:hAnsi="Arial" w:cs="Arial"/>
          <w:sz w:val="22"/>
          <w:szCs w:val="22"/>
          <w:lang w:val="sr-Latn-ME"/>
        </w:rPr>
        <w:t xml:space="preserve">. Da bi se pravilno dodijelila </w:t>
      </w:r>
      <w:r w:rsidRPr="00326419">
        <w:rPr>
          <w:rFonts w:ascii="Arial" w:hAnsi="Arial" w:cs="Arial"/>
          <w:sz w:val="22"/>
          <w:szCs w:val="22"/>
          <w:lang w:val="sr-Latn-ME"/>
        </w:rPr>
        <w:t>sredstva</w:t>
      </w:r>
      <w:r w:rsidRPr="001302F9">
        <w:rPr>
          <w:rFonts w:ascii="Arial" w:hAnsi="Arial" w:cs="Arial"/>
          <w:sz w:val="22"/>
          <w:szCs w:val="22"/>
          <w:lang w:val="sr-Latn-ME"/>
        </w:rPr>
        <w:t xml:space="preserve"> iz odgovarajućih nacionalnih budžetskih programa, neophodna je bliska saradnja između svih institucija uključenih u ovaj proces.</w:t>
      </w:r>
      <w:r w:rsidRPr="001302F9">
        <w:rPr>
          <w:rStyle w:val="FootnoteReference"/>
          <w:rFonts w:ascii="Arial" w:hAnsi="Arial" w:cs="Arial"/>
          <w:sz w:val="22"/>
          <w:szCs w:val="22"/>
          <w:lang w:val="sr-Latn-ME"/>
        </w:rPr>
        <w:footnoteReference w:id="10"/>
      </w:r>
      <w:r w:rsidRPr="001302F9">
        <w:rPr>
          <w:rFonts w:ascii="Arial" w:hAnsi="Arial" w:cs="Arial"/>
          <w:sz w:val="22"/>
          <w:szCs w:val="22"/>
          <w:lang w:val="sr-Latn-ME"/>
        </w:rPr>
        <w:br/>
        <w:t>Međutim, analiza rizika od prevare</w:t>
      </w:r>
      <w:r w:rsidRPr="001302F9">
        <w:rPr>
          <w:rStyle w:val="FootnoteReference"/>
          <w:rFonts w:ascii="Arial" w:hAnsi="Arial" w:cs="Arial"/>
          <w:sz w:val="22"/>
          <w:szCs w:val="22"/>
          <w:lang w:val="sr-Latn-ME"/>
        </w:rPr>
        <w:footnoteReference w:id="11"/>
      </w:r>
      <w:r w:rsidR="00326419">
        <w:rPr>
          <w:rFonts w:ascii="Arial" w:hAnsi="Arial" w:cs="Arial"/>
          <w:sz w:val="22"/>
          <w:szCs w:val="22"/>
          <w:lang w:val="sr-Latn-ME"/>
        </w:rPr>
        <w:t xml:space="preserve"> </w:t>
      </w:r>
      <w:r w:rsidRPr="001302F9">
        <w:rPr>
          <w:rFonts w:ascii="Arial" w:hAnsi="Arial" w:cs="Arial"/>
          <w:sz w:val="22"/>
          <w:szCs w:val="22"/>
          <w:lang w:val="sr-Latn-ME"/>
        </w:rPr>
        <w:t>pokazala je da je proces povra</w:t>
      </w:r>
      <w:r w:rsidR="00326419">
        <w:rPr>
          <w:rFonts w:ascii="Arial" w:hAnsi="Arial" w:cs="Arial"/>
          <w:sz w:val="22"/>
          <w:szCs w:val="22"/>
          <w:lang w:val="sr-Latn-ME"/>
        </w:rPr>
        <w:t>ćaja</w:t>
      </w:r>
      <w:r w:rsidRPr="001302F9">
        <w:rPr>
          <w:rFonts w:ascii="Arial" w:hAnsi="Arial" w:cs="Arial"/>
          <w:sz w:val="22"/>
          <w:szCs w:val="22"/>
          <w:lang w:val="sr-Latn-ME"/>
        </w:rPr>
        <w:t xml:space="preserve"> sredstava spor i da su potrebna poboljšanja u ovoj oblasti. Na osnovu podataka iz IMS sistema sažetih u analizi, kao i podataka koje je pružila Upravljačka struktura o povra</w:t>
      </w:r>
      <w:r w:rsidR="00326419">
        <w:rPr>
          <w:rFonts w:ascii="Arial" w:hAnsi="Arial" w:cs="Arial"/>
          <w:sz w:val="22"/>
          <w:szCs w:val="22"/>
          <w:lang w:val="sr-Latn-ME"/>
        </w:rPr>
        <w:t>ćajima</w:t>
      </w:r>
      <w:r w:rsidRPr="001302F9">
        <w:rPr>
          <w:rFonts w:ascii="Arial" w:hAnsi="Arial" w:cs="Arial"/>
          <w:sz w:val="22"/>
          <w:szCs w:val="22"/>
          <w:lang w:val="sr-Latn-ME"/>
        </w:rPr>
        <w:t xml:space="preserve"> od 2018. godine, stopa povra</w:t>
      </w:r>
      <w:r w:rsidR="00326419">
        <w:rPr>
          <w:rFonts w:ascii="Arial" w:hAnsi="Arial" w:cs="Arial"/>
          <w:sz w:val="22"/>
          <w:szCs w:val="22"/>
          <w:lang w:val="sr-Latn-ME"/>
        </w:rPr>
        <w:t>ćaja nepravilno utrošenih sredstava</w:t>
      </w:r>
      <w:r w:rsidRPr="001302F9">
        <w:rPr>
          <w:rFonts w:ascii="Arial" w:hAnsi="Arial" w:cs="Arial"/>
          <w:sz w:val="22"/>
          <w:szCs w:val="22"/>
          <w:lang w:val="sr-Latn-ME"/>
        </w:rPr>
        <w:t xml:space="preserve"> je</w:t>
      </w:r>
      <w:r w:rsidR="00326419">
        <w:rPr>
          <w:rFonts w:ascii="Arial" w:hAnsi="Arial" w:cs="Arial"/>
          <w:sz w:val="22"/>
          <w:szCs w:val="22"/>
          <w:lang w:val="sr-Latn-ME"/>
        </w:rPr>
        <w:t xml:space="preserve"> </w:t>
      </w:r>
      <w:r w:rsidRPr="001302F9">
        <w:rPr>
          <w:rFonts w:ascii="Arial" w:hAnsi="Arial" w:cs="Arial"/>
          <w:sz w:val="22"/>
          <w:szCs w:val="22"/>
          <w:lang w:val="sr-Latn-ME"/>
        </w:rPr>
        <w:t>43%.</w:t>
      </w:r>
    </w:p>
    <w:p w:rsidR="000F471C" w:rsidRDefault="000F471C" w:rsidP="00432B07">
      <w:pPr>
        <w:pStyle w:val="NormalWeb"/>
        <w:contextualSpacing/>
        <w:jc w:val="both"/>
        <w:rPr>
          <w:rFonts w:ascii="Arial" w:hAnsi="Arial" w:cs="Arial"/>
          <w:sz w:val="22"/>
          <w:szCs w:val="22"/>
          <w:lang w:val="sr-Latn-ME"/>
        </w:rPr>
      </w:pPr>
      <w:r w:rsidRPr="001302F9">
        <w:rPr>
          <w:rFonts w:ascii="Arial" w:hAnsi="Arial" w:cs="Arial"/>
          <w:sz w:val="22"/>
          <w:szCs w:val="22"/>
          <w:lang w:val="sr-Latn-ME"/>
        </w:rPr>
        <w:br/>
        <w:t>Kako bi se proces povra</w:t>
      </w:r>
      <w:r w:rsidR="00DC7DE7">
        <w:rPr>
          <w:rFonts w:ascii="Arial" w:hAnsi="Arial" w:cs="Arial"/>
          <w:sz w:val="22"/>
          <w:szCs w:val="22"/>
          <w:lang w:val="sr-Latn-ME"/>
        </w:rPr>
        <w:t>ćaj</w:t>
      </w:r>
      <w:r w:rsidRPr="001302F9">
        <w:rPr>
          <w:rFonts w:ascii="Arial" w:hAnsi="Arial" w:cs="Arial"/>
          <w:sz w:val="22"/>
          <w:szCs w:val="22"/>
          <w:lang w:val="sr-Latn-ME"/>
        </w:rPr>
        <w:t xml:space="preserve">a sredstava učinio efikasnijim, prvo bi trebalo izvršiti analizu razloga zbog kojih je </w:t>
      </w:r>
      <w:r w:rsidR="00DC7DE7">
        <w:rPr>
          <w:rFonts w:ascii="Arial" w:hAnsi="Arial" w:cs="Arial"/>
          <w:sz w:val="22"/>
          <w:szCs w:val="22"/>
          <w:lang w:val="sr-Latn-ME"/>
        </w:rPr>
        <w:t xml:space="preserve">ova </w:t>
      </w:r>
      <w:r w:rsidRPr="001302F9">
        <w:rPr>
          <w:rFonts w:ascii="Arial" w:hAnsi="Arial" w:cs="Arial"/>
          <w:sz w:val="22"/>
          <w:szCs w:val="22"/>
          <w:lang w:val="sr-Latn-ME"/>
        </w:rPr>
        <w:t>stopa tako niska, a zatim na osnovu rezultata analize definisati dalj</w:t>
      </w:r>
      <w:r w:rsidR="00DC7DE7">
        <w:rPr>
          <w:rFonts w:ascii="Arial" w:hAnsi="Arial" w:cs="Arial"/>
          <w:sz w:val="22"/>
          <w:szCs w:val="22"/>
          <w:lang w:val="sr-Latn-ME"/>
        </w:rPr>
        <w:t>e</w:t>
      </w:r>
      <w:r w:rsidRPr="001302F9">
        <w:rPr>
          <w:rFonts w:ascii="Arial" w:hAnsi="Arial" w:cs="Arial"/>
          <w:sz w:val="22"/>
          <w:szCs w:val="22"/>
          <w:lang w:val="sr-Latn-ME"/>
        </w:rPr>
        <w:t xml:space="preserve"> </w:t>
      </w:r>
      <w:r w:rsidR="00DC7DE7">
        <w:rPr>
          <w:rFonts w:ascii="Arial" w:hAnsi="Arial" w:cs="Arial"/>
          <w:sz w:val="22"/>
          <w:szCs w:val="22"/>
          <w:lang w:val="sr-Latn-ME"/>
        </w:rPr>
        <w:t>korake</w:t>
      </w:r>
      <w:r w:rsidRPr="001302F9">
        <w:rPr>
          <w:rFonts w:ascii="Arial" w:hAnsi="Arial" w:cs="Arial"/>
          <w:sz w:val="22"/>
          <w:szCs w:val="22"/>
          <w:lang w:val="sr-Latn-ME"/>
        </w:rPr>
        <w:t xml:space="preserve">. Ovo je </w:t>
      </w:r>
      <w:r w:rsidR="00DC7DE7">
        <w:rPr>
          <w:rFonts w:ascii="Arial" w:hAnsi="Arial" w:cs="Arial"/>
          <w:sz w:val="22"/>
          <w:szCs w:val="22"/>
          <w:lang w:val="sr-Latn-ME"/>
        </w:rPr>
        <w:t xml:space="preserve">utoliko </w:t>
      </w:r>
      <w:r w:rsidRPr="001302F9">
        <w:rPr>
          <w:rFonts w:ascii="Arial" w:hAnsi="Arial" w:cs="Arial"/>
          <w:sz w:val="22"/>
          <w:szCs w:val="22"/>
          <w:lang w:val="sr-Latn-ME"/>
        </w:rPr>
        <w:t xml:space="preserve">važnije u periodu ove Strategije, jer će se </w:t>
      </w:r>
      <w:r w:rsidR="00DC7DE7">
        <w:rPr>
          <w:rFonts w:ascii="Arial" w:hAnsi="Arial" w:cs="Arial"/>
          <w:sz w:val="22"/>
          <w:szCs w:val="22"/>
          <w:lang w:val="sr-Latn-ME"/>
        </w:rPr>
        <w:t>značajna</w:t>
      </w:r>
      <w:r w:rsidRPr="001302F9">
        <w:rPr>
          <w:rFonts w:ascii="Arial" w:hAnsi="Arial" w:cs="Arial"/>
          <w:sz w:val="22"/>
          <w:szCs w:val="22"/>
          <w:lang w:val="sr-Latn-ME"/>
        </w:rPr>
        <w:t xml:space="preserve"> pažnj</w:t>
      </w:r>
      <w:r w:rsidR="00DC7DE7">
        <w:rPr>
          <w:rFonts w:ascii="Arial" w:hAnsi="Arial" w:cs="Arial"/>
          <w:sz w:val="22"/>
          <w:szCs w:val="22"/>
          <w:lang w:val="sr-Latn-ME"/>
        </w:rPr>
        <w:t>a</w:t>
      </w:r>
      <w:r w:rsidRPr="001302F9">
        <w:rPr>
          <w:rFonts w:ascii="Arial" w:hAnsi="Arial" w:cs="Arial"/>
          <w:sz w:val="22"/>
          <w:szCs w:val="22"/>
          <w:lang w:val="sr-Latn-ME"/>
        </w:rPr>
        <w:t xml:space="preserve"> posvetiti povećanju kapaciteta za detekciju </w:t>
      </w:r>
      <w:r w:rsidR="00DC7DE7">
        <w:rPr>
          <w:rFonts w:ascii="Arial" w:hAnsi="Arial" w:cs="Arial"/>
          <w:sz w:val="22"/>
          <w:szCs w:val="22"/>
          <w:lang w:val="sr-Latn-ME"/>
        </w:rPr>
        <w:t xml:space="preserve">nepravilnosti i prevara </w:t>
      </w:r>
      <w:r w:rsidRPr="001302F9">
        <w:rPr>
          <w:rFonts w:ascii="Arial" w:hAnsi="Arial" w:cs="Arial"/>
          <w:sz w:val="22"/>
          <w:szCs w:val="22"/>
          <w:lang w:val="sr-Latn-ME"/>
        </w:rPr>
        <w:t xml:space="preserve">od strane nadležnih </w:t>
      </w:r>
      <w:r w:rsidR="00DC7DE7">
        <w:rPr>
          <w:rFonts w:ascii="Arial" w:hAnsi="Arial" w:cs="Arial"/>
          <w:sz w:val="22"/>
          <w:szCs w:val="22"/>
          <w:lang w:val="sr-Latn-ME"/>
        </w:rPr>
        <w:t>institucija</w:t>
      </w:r>
      <w:r w:rsidRPr="001302F9">
        <w:rPr>
          <w:rFonts w:ascii="Arial" w:hAnsi="Arial" w:cs="Arial"/>
          <w:sz w:val="22"/>
          <w:szCs w:val="22"/>
          <w:lang w:val="sr-Latn-ME"/>
        </w:rPr>
        <w:t xml:space="preserve">, </w:t>
      </w:r>
      <w:r w:rsidR="00DC7DE7">
        <w:rPr>
          <w:rFonts w:ascii="Arial" w:hAnsi="Arial" w:cs="Arial"/>
          <w:sz w:val="22"/>
          <w:szCs w:val="22"/>
          <w:lang w:val="sr-Latn-ME"/>
        </w:rPr>
        <w:t>pa bi se, shodno tome,</w:t>
      </w:r>
      <w:r w:rsidRPr="001302F9">
        <w:rPr>
          <w:rFonts w:ascii="Arial" w:hAnsi="Arial" w:cs="Arial"/>
          <w:sz w:val="22"/>
          <w:szCs w:val="22"/>
          <w:lang w:val="sr-Latn-ME"/>
        </w:rPr>
        <w:t xml:space="preserve"> </w:t>
      </w:r>
      <w:r w:rsidR="00DC7DE7">
        <w:rPr>
          <w:rFonts w:ascii="Arial" w:hAnsi="Arial" w:cs="Arial"/>
          <w:sz w:val="22"/>
          <w:szCs w:val="22"/>
          <w:lang w:val="sr-Latn-ME"/>
        </w:rPr>
        <w:t>trebalo</w:t>
      </w:r>
      <w:r w:rsidRPr="001302F9">
        <w:rPr>
          <w:rFonts w:ascii="Arial" w:hAnsi="Arial" w:cs="Arial"/>
          <w:sz w:val="22"/>
          <w:szCs w:val="22"/>
          <w:lang w:val="sr-Latn-ME"/>
        </w:rPr>
        <w:t xml:space="preserve"> </w:t>
      </w:r>
      <w:r w:rsidR="00DC7DE7">
        <w:rPr>
          <w:rFonts w:ascii="Arial" w:hAnsi="Arial" w:cs="Arial"/>
          <w:sz w:val="22"/>
          <w:szCs w:val="22"/>
          <w:lang w:val="sr-Latn-ME"/>
        </w:rPr>
        <w:t>očekivati</w:t>
      </w:r>
      <w:r w:rsidRPr="001302F9">
        <w:rPr>
          <w:rFonts w:ascii="Arial" w:hAnsi="Arial" w:cs="Arial"/>
          <w:sz w:val="22"/>
          <w:szCs w:val="22"/>
          <w:lang w:val="sr-Latn-ME"/>
        </w:rPr>
        <w:t xml:space="preserve"> više </w:t>
      </w:r>
      <w:r w:rsidR="00DC7DE7">
        <w:rPr>
          <w:rFonts w:ascii="Arial" w:hAnsi="Arial" w:cs="Arial"/>
          <w:sz w:val="22"/>
          <w:szCs w:val="22"/>
          <w:lang w:val="sr-Latn-ME"/>
        </w:rPr>
        <w:t xml:space="preserve">utvrđenih </w:t>
      </w:r>
      <w:r w:rsidRPr="001302F9">
        <w:rPr>
          <w:rFonts w:ascii="Arial" w:hAnsi="Arial" w:cs="Arial"/>
          <w:sz w:val="22"/>
          <w:szCs w:val="22"/>
          <w:lang w:val="sr-Latn-ME"/>
        </w:rPr>
        <w:t xml:space="preserve">nepravilnosti i sredstava koja treba </w:t>
      </w:r>
      <w:r w:rsidR="0012707F">
        <w:rPr>
          <w:rFonts w:ascii="Arial" w:hAnsi="Arial" w:cs="Arial"/>
          <w:sz w:val="22"/>
          <w:szCs w:val="22"/>
          <w:lang w:val="sr-Latn-ME"/>
        </w:rPr>
        <w:t>uspješno povratiti</w:t>
      </w:r>
      <w:r w:rsidRPr="001302F9">
        <w:rPr>
          <w:rFonts w:ascii="Arial" w:hAnsi="Arial" w:cs="Arial"/>
          <w:sz w:val="22"/>
          <w:szCs w:val="22"/>
          <w:lang w:val="sr-Latn-ME"/>
        </w:rPr>
        <w:t>.</w:t>
      </w:r>
    </w:p>
    <w:p w:rsidR="00432B07" w:rsidRPr="001302F9" w:rsidRDefault="00432B07" w:rsidP="00432B07">
      <w:pPr>
        <w:pStyle w:val="NormalWeb"/>
        <w:contextualSpacing/>
        <w:jc w:val="both"/>
        <w:rPr>
          <w:rFonts w:ascii="Arial" w:hAnsi="Arial" w:cs="Arial"/>
          <w:sz w:val="22"/>
          <w:szCs w:val="22"/>
          <w:lang w:val="sr-Latn-ME"/>
        </w:rPr>
      </w:pPr>
    </w:p>
    <w:p w:rsidR="000F471C" w:rsidRPr="003D0C8A" w:rsidRDefault="000F471C" w:rsidP="000F471C">
      <w:pPr>
        <w:pStyle w:val="NormalWeb"/>
        <w:jc w:val="both"/>
        <w:rPr>
          <w:rStyle w:val="Strong"/>
          <w:rFonts w:ascii="Arial" w:hAnsi="Arial" w:cs="Arial"/>
          <w:b w:val="0"/>
          <w:i/>
          <w:sz w:val="22"/>
          <w:szCs w:val="22"/>
          <w:lang w:val="sr-Latn-ME"/>
        </w:rPr>
      </w:pPr>
      <w:r w:rsidRPr="003D0C8A">
        <w:rPr>
          <w:rFonts w:ascii="Arial" w:hAnsi="Arial" w:cs="Arial"/>
          <w:b/>
          <w:i/>
          <w:sz w:val="22"/>
          <w:szCs w:val="22"/>
          <w:lang w:val="sr-Latn-ME"/>
        </w:rPr>
        <w:t xml:space="preserve">• </w:t>
      </w:r>
      <w:r w:rsidRPr="003D0C8A">
        <w:rPr>
          <w:rStyle w:val="Strong"/>
          <w:rFonts w:ascii="Arial" w:hAnsi="Arial" w:cs="Arial"/>
          <w:b w:val="0"/>
          <w:i/>
          <w:sz w:val="22"/>
          <w:szCs w:val="22"/>
          <w:lang w:val="sr-Latn-ME"/>
        </w:rPr>
        <w:t>Sankcije</w:t>
      </w:r>
    </w:p>
    <w:p w:rsidR="00432B07" w:rsidRDefault="000F471C" w:rsidP="00432B07">
      <w:pPr>
        <w:pStyle w:val="NormalWeb"/>
        <w:contextualSpacing/>
        <w:jc w:val="both"/>
        <w:rPr>
          <w:rFonts w:ascii="Arial" w:hAnsi="Arial" w:cs="Arial"/>
          <w:sz w:val="22"/>
          <w:szCs w:val="22"/>
          <w:lang w:val="sr-Latn-ME"/>
        </w:rPr>
      </w:pPr>
      <w:r w:rsidRPr="001302F9">
        <w:rPr>
          <w:rFonts w:ascii="Arial" w:hAnsi="Arial" w:cs="Arial"/>
          <w:sz w:val="22"/>
          <w:szCs w:val="22"/>
          <w:lang w:val="sr-Latn-ME"/>
        </w:rPr>
        <w:t>Čak i tokom pretpristupnog perioda, Crna Gora u okviru svog nacionalnog zakonodavstva mora obezbijediti da se svaka povreda prava EU sankcioniše, bez obzira na to da li će biti sprovedena u okviru administrativnog, građanskog, prekršajnog, krivičnog ili bilo kog drugog postupka. U tom smislu, potrebno je uzeti u obzir sve slabosti nacionalnog zakonodavstva kako bi se blagovremeno preduzele odgovarajuće mjere</w:t>
      </w:r>
      <w:r w:rsidR="00294620">
        <w:rPr>
          <w:rFonts w:ascii="Arial" w:hAnsi="Arial" w:cs="Arial"/>
          <w:sz w:val="22"/>
          <w:szCs w:val="22"/>
          <w:lang w:val="sr-Latn-ME"/>
        </w:rPr>
        <w:t xml:space="preserve"> i</w:t>
      </w:r>
      <w:r w:rsidRPr="001302F9">
        <w:rPr>
          <w:rFonts w:ascii="Arial" w:hAnsi="Arial" w:cs="Arial"/>
          <w:sz w:val="22"/>
          <w:szCs w:val="22"/>
          <w:lang w:val="sr-Latn-ME"/>
        </w:rPr>
        <w:t xml:space="preserve"> osigurava</w:t>
      </w:r>
      <w:r w:rsidR="00294620">
        <w:rPr>
          <w:rFonts w:ascii="Arial" w:hAnsi="Arial" w:cs="Arial"/>
          <w:sz w:val="22"/>
          <w:szCs w:val="22"/>
          <w:lang w:val="sr-Latn-ME"/>
        </w:rPr>
        <w:t>la</w:t>
      </w:r>
      <w:r w:rsidRPr="001302F9">
        <w:rPr>
          <w:rFonts w:ascii="Arial" w:hAnsi="Arial" w:cs="Arial"/>
          <w:sz w:val="22"/>
          <w:szCs w:val="22"/>
          <w:lang w:val="sr-Latn-ME"/>
        </w:rPr>
        <w:t xml:space="preserve"> usklađenost nacionalni</w:t>
      </w:r>
      <w:r w:rsidR="00294620">
        <w:rPr>
          <w:rFonts w:ascii="Arial" w:hAnsi="Arial" w:cs="Arial"/>
          <w:sz w:val="22"/>
          <w:szCs w:val="22"/>
          <w:lang w:val="sr-Latn-ME"/>
        </w:rPr>
        <w:t>h</w:t>
      </w:r>
      <w:r w:rsidRPr="001302F9">
        <w:rPr>
          <w:rFonts w:ascii="Arial" w:hAnsi="Arial" w:cs="Arial"/>
          <w:sz w:val="22"/>
          <w:szCs w:val="22"/>
          <w:lang w:val="sr-Latn-ME"/>
        </w:rPr>
        <w:t xml:space="preserve"> i EU propisa.Analiza usklađenosti krivičnog zakonodavstva Crne Gore</w:t>
      </w:r>
      <w:r w:rsidRPr="001302F9">
        <w:rPr>
          <w:rStyle w:val="FootnoteReference"/>
          <w:rFonts w:ascii="Arial" w:hAnsi="Arial" w:cs="Arial"/>
          <w:sz w:val="22"/>
          <w:szCs w:val="22"/>
          <w:lang w:val="sr-Latn-ME"/>
        </w:rPr>
        <w:footnoteReference w:id="12"/>
      </w:r>
      <w:r w:rsidRPr="001302F9">
        <w:rPr>
          <w:rFonts w:ascii="Arial" w:hAnsi="Arial" w:cs="Arial"/>
          <w:sz w:val="22"/>
          <w:szCs w:val="22"/>
          <w:lang w:val="sr-Latn-ME"/>
        </w:rPr>
        <w:t xml:space="preserve"> pokazala je djelimičnu</w:t>
      </w:r>
      <w:r w:rsidR="00D44F1D">
        <w:rPr>
          <w:rFonts w:ascii="Arial" w:hAnsi="Arial" w:cs="Arial"/>
          <w:sz w:val="22"/>
          <w:szCs w:val="22"/>
          <w:lang w:val="sr-Latn-ME"/>
        </w:rPr>
        <w:t xml:space="preserve"> </w:t>
      </w:r>
      <w:r w:rsidRPr="001302F9">
        <w:rPr>
          <w:rFonts w:ascii="Arial" w:hAnsi="Arial" w:cs="Arial"/>
          <w:sz w:val="22"/>
          <w:szCs w:val="22"/>
          <w:lang w:val="sr-Latn-ME"/>
        </w:rPr>
        <w:t>usklađenost sa PIF Direktivom, što znači da je neophodna dalja harmonizacija Krivičn</w:t>
      </w:r>
      <w:r w:rsidR="00D44F1D">
        <w:rPr>
          <w:rFonts w:ascii="Arial" w:hAnsi="Arial" w:cs="Arial"/>
          <w:sz w:val="22"/>
          <w:szCs w:val="22"/>
          <w:lang w:val="sr-Latn-ME"/>
        </w:rPr>
        <w:t>og</w:t>
      </w:r>
      <w:r w:rsidRPr="001302F9">
        <w:rPr>
          <w:rFonts w:ascii="Arial" w:hAnsi="Arial" w:cs="Arial"/>
          <w:sz w:val="22"/>
          <w:szCs w:val="22"/>
          <w:lang w:val="sr-Latn-ME"/>
        </w:rPr>
        <w:t xml:space="preserve"> zakonik</w:t>
      </w:r>
      <w:r w:rsidR="00D44F1D">
        <w:rPr>
          <w:rFonts w:ascii="Arial" w:hAnsi="Arial" w:cs="Arial"/>
          <w:sz w:val="22"/>
          <w:szCs w:val="22"/>
          <w:lang w:val="sr-Latn-ME"/>
        </w:rPr>
        <w:t>a</w:t>
      </w:r>
      <w:r w:rsidR="00432B07">
        <w:rPr>
          <w:rFonts w:ascii="Arial" w:hAnsi="Arial" w:cs="Arial"/>
          <w:sz w:val="22"/>
          <w:szCs w:val="22"/>
          <w:lang w:val="sr-Latn-ME"/>
        </w:rPr>
        <w:t>.</w:t>
      </w:r>
    </w:p>
    <w:p w:rsidR="0050642E" w:rsidRDefault="000F471C" w:rsidP="00432B07">
      <w:pPr>
        <w:pStyle w:val="NormalWeb"/>
        <w:contextualSpacing/>
        <w:jc w:val="both"/>
        <w:rPr>
          <w:rFonts w:ascii="Arial" w:hAnsi="Arial" w:cs="Arial"/>
          <w:sz w:val="22"/>
          <w:szCs w:val="22"/>
          <w:lang w:val="sr-Latn-ME"/>
        </w:rPr>
      </w:pPr>
      <w:r w:rsidRPr="001302F9">
        <w:rPr>
          <w:rFonts w:ascii="Arial" w:hAnsi="Arial" w:cs="Arial"/>
          <w:sz w:val="22"/>
          <w:szCs w:val="22"/>
          <w:lang w:val="sr-Latn-ME"/>
        </w:rPr>
        <w:t xml:space="preserve"> </w:t>
      </w:r>
      <w:r w:rsidRPr="001302F9">
        <w:rPr>
          <w:rFonts w:ascii="Arial" w:hAnsi="Arial" w:cs="Arial"/>
          <w:sz w:val="22"/>
          <w:szCs w:val="22"/>
          <w:lang w:val="sr-Latn-ME"/>
        </w:rPr>
        <w:br/>
      </w:r>
      <w:r w:rsidR="00D44F1D" w:rsidRPr="00D44F1D">
        <w:rPr>
          <w:rFonts w:ascii="Arial" w:hAnsi="Arial" w:cs="Arial"/>
          <w:sz w:val="22"/>
          <w:szCs w:val="22"/>
          <w:lang w:val="sr-Latn-ME"/>
        </w:rPr>
        <w:t>Kao što je već pomenuto, 2021. godine Kancelarija evropskog javnog tužioca (EPPO) započela je svoje aktivno djelovanje u državama članicama EU, kao i u zemljama kandidatima. Ovo je predstavljao značajan korak u procesu evropske integracije i u oblasti evropskog krivičnog prava. Stoga će buduća saradnja sa Evropskom kancelarijom tužioca biti ključni aspekt u upravljanju IPA sredstvima i zaštiti finansijskih interesa EU, uključujući i Crnu Goru.</w:t>
      </w:r>
      <w:r w:rsidR="006C4AA7">
        <w:rPr>
          <w:rStyle w:val="FootnoteReference"/>
          <w:rFonts w:ascii="Arial" w:hAnsi="Arial" w:cs="Arial"/>
          <w:sz w:val="22"/>
          <w:szCs w:val="22"/>
          <w:lang w:val="sr-Latn-ME"/>
        </w:rPr>
        <w:footnoteReference w:id="13"/>
      </w:r>
    </w:p>
    <w:p w:rsidR="00432B07" w:rsidRDefault="00432B07" w:rsidP="00432B07">
      <w:pPr>
        <w:pStyle w:val="NormalWeb"/>
        <w:contextualSpacing/>
        <w:jc w:val="both"/>
        <w:rPr>
          <w:rFonts w:ascii="Arial" w:hAnsi="Arial" w:cs="Arial"/>
          <w:sz w:val="22"/>
          <w:szCs w:val="22"/>
          <w:lang w:val="sr-Latn-ME"/>
        </w:rPr>
      </w:pPr>
    </w:p>
    <w:p w:rsidR="000F471C" w:rsidRDefault="000F471C" w:rsidP="00162AC3">
      <w:pPr>
        <w:pStyle w:val="NormalWeb"/>
        <w:jc w:val="both"/>
        <w:rPr>
          <w:rFonts w:ascii="Arial" w:hAnsi="Arial" w:cs="Arial"/>
          <w:b/>
          <w:bCs/>
          <w:sz w:val="22"/>
          <w:szCs w:val="22"/>
          <w:lang w:val="sr-Latn-ME"/>
        </w:rPr>
      </w:pPr>
      <w:bookmarkStart w:id="13" w:name="_Hlk194407270"/>
      <w:r w:rsidRPr="001302F9">
        <w:rPr>
          <w:rFonts w:ascii="Arial" w:hAnsi="Arial" w:cs="Arial"/>
          <w:b/>
          <w:bCs/>
          <w:sz w:val="22"/>
          <w:szCs w:val="22"/>
          <w:lang w:val="sr-Latn-ME"/>
        </w:rPr>
        <w:t>VIZIJA, STRATE</w:t>
      </w:r>
      <w:r w:rsidR="003701A6">
        <w:rPr>
          <w:rFonts w:ascii="Arial" w:hAnsi="Arial" w:cs="Arial"/>
          <w:b/>
          <w:bCs/>
          <w:sz w:val="22"/>
          <w:szCs w:val="22"/>
          <w:lang w:val="sr-Latn-ME"/>
        </w:rPr>
        <w:t>ŠK</w:t>
      </w:r>
      <w:r w:rsidRPr="001302F9">
        <w:rPr>
          <w:rFonts w:ascii="Arial" w:hAnsi="Arial" w:cs="Arial"/>
          <w:b/>
          <w:bCs/>
          <w:sz w:val="22"/>
          <w:szCs w:val="22"/>
          <w:lang w:val="sr-Latn-ME"/>
        </w:rPr>
        <w:t>I I OPERATIVNI CILJEVI</w:t>
      </w:r>
    </w:p>
    <w:p w:rsidR="00162AC3" w:rsidRPr="00432B07" w:rsidRDefault="00162AC3" w:rsidP="00162AC3">
      <w:pPr>
        <w:pStyle w:val="NormalWeb"/>
        <w:jc w:val="both"/>
        <w:rPr>
          <w:rFonts w:ascii="Arial" w:hAnsi="Arial" w:cs="Arial"/>
          <w:b/>
          <w:bCs/>
          <w:sz w:val="22"/>
          <w:szCs w:val="22"/>
          <w:lang w:val="sr-Latn-ME"/>
        </w:rPr>
      </w:pPr>
      <w:r>
        <w:rPr>
          <w:rFonts w:ascii="Arial" w:hAnsi="Arial" w:cs="Arial"/>
          <w:b/>
          <w:bCs/>
          <w:sz w:val="22"/>
          <w:szCs w:val="22"/>
          <w:lang w:val="sr-Latn-ME"/>
        </w:rPr>
        <w:t>Analiza problema koje je potrebno riješiti</w:t>
      </w:r>
    </w:p>
    <w:bookmarkEnd w:id="13"/>
    <w:p w:rsidR="000F471C" w:rsidRPr="001302F9" w:rsidRDefault="000F471C" w:rsidP="000F471C">
      <w:pPr>
        <w:spacing w:before="100" w:beforeAutospacing="1" w:after="100" w:afterAutospacing="1" w:line="240" w:lineRule="auto"/>
        <w:jc w:val="both"/>
        <w:rPr>
          <w:rFonts w:ascii="Arial" w:eastAsia="Times New Roman" w:hAnsi="Arial" w:cs="Arial"/>
          <w:lang w:val="sr-Latn-ME"/>
        </w:rPr>
      </w:pPr>
      <w:r w:rsidRPr="001302F9">
        <w:rPr>
          <w:rFonts w:ascii="Arial" w:eastAsia="Times New Roman" w:hAnsi="Arial" w:cs="Arial"/>
          <w:lang w:val="sr-Latn-ME"/>
        </w:rPr>
        <w:t>Na osnovu analize trenutnog stanja i naglašavanja važnosti zaštite EU finansijskih sredstava i obnavljanja povjerenja javnosti, što su ključni elementi u borbi protiv prevare, nova Strategija ima sledeću viziju:</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1"/>
      </w:tblGrid>
      <w:tr w:rsidR="000F471C" w:rsidRPr="0050642E" w:rsidTr="00CB5F79">
        <w:trPr>
          <w:trHeight w:val="1161"/>
        </w:trPr>
        <w:tc>
          <w:tcPr>
            <w:tcW w:w="9409" w:type="dxa"/>
          </w:tcPr>
          <w:p w:rsidR="000F471C" w:rsidRPr="001302F9" w:rsidRDefault="000F471C" w:rsidP="00CB5F79">
            <w:pPr>
              <w:spacing w:before="100" w:beforeAutospacing="1" w:after="100" w:afterAutospacing="1" w:line="240" w:lineRule="auto"/>
              <w:ind w:left="100"/>
              <w:rPr>
                <w:rFonts w:ascii="Arial" w:eastAsia="Times New Roman" w:hAnsi="Arial" w:cs="Arial"/>
                <w:b/>
                <w:bCs/>
                <w:lang w:val="sr-Latn-ME"/>
              </w:rPr>
            </w:pPr>
            <w:r w:rsidRPr="001302F9">
              <w:rPr>
                <w:rFonts w:ascii="Arial" w:eastAsia="Times New Roman" w:hAnsi="Arial" w:cs="Arial"/>
                <w:b/>
                <w:bCs/>
                <w:lang w:val="sr-Latn-ME"/>
              </w:rPr>
              <w:t>Vizija</w:t>
            </w:r>
            <w:r w:rsidRPr="001302F9">
              <w:rPr>
                <w:rFonts w:ascii="Arial" w:eastAsia="Times New Roman" w:hAnsi="Arial" w:cs="Arial"/>
                <w:lang w:val="sr-Latn-ME"/>
              </w:rPr>
              <w:br/>
              <w:t>Crna Gora bez prevare i korupcije, u kojoj su zaštićena EU finansijska sredstva, a povjerenje javnosti u institucije očuvano.</w:t>
            </w:r>
          </w:p>
        </w:tc>
      </w:tr>
    </w:tbl>
    <w:p w:rsidR="000F471C" w:rsidRPr="001302F9" w:rsidRDefault="000F471C" w:rsidP="000F471C">
      <w:pPr>
        <w:spacing w:before="100" w:beforeAutospacing="1" w:after="100" w:afterAutospacing="1" w:line="240" w:lineRule="auto"/>
        <w:rPr>
          <w:rFonts w:ascii="Arial" w:eastAsia="Times New Roman" w:hAnsi="Arial" w:cs="Arial"/>
          <w:lang w:val="sr-Latn-ME"/>
        </w:rPr>
      </w:pPr>
      <w:r w:rsidRPr="001302F9">
        <w:rPr>
          <w:rFonts w:ascii="Arial" w:eastAsia="Times New Roman" w:hAnsi="Arial" w:cs="Arial"/>
          <w:lang w:val="sr-Latn-ME"/>
        </w:rPr>
        <w:t>U svijetlu izazova koji su identifikovani, strateški cilj je:</w:t>
      </w:r>
    </w:p>
    <w:tbl>
      <w:tblPr>
        <w:tblW w:w="9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9"/>
      </w:tblGrid>
      <w:tr w:rsidR="000F471C" w:rsidRPr="0050642E" w:rsidTr="00CB5F79">
        <w:trPr>
          <w:trHeight w:val="1372"/>
        </w:trPr>
        <w:tc>
          <w:tcPr>
            <w:tcW w:w="9359" w:type="dxa"/>
          </w:tcPr>
          <w:p w:rsidR="000F471C" w:rsidRPr="001302F9" w:rsidRDefault="000F471C" w:rsidP="00CB5F79">
            <w:pPr>
              <w:spacing w:before="100" w:beforeAutospacing="1" w:after="100" w:afterAutospacing="1" w:line="240" w:lineRule="auto"/>
              <w:jc w:val="both"/>
              <w:rPr>
                <w:rFonts w:ascii="Arial" w:eastAsia="Times New Roman" w:hAnsi="Arial" w:cs="Arial"/>
                <w:b/>
                <w:bCs/>
                <w:lang w:val="sr-Latn-ME"/>
              </w:rPr>
            </w:pPr>
            <w:r w:rsidRPr="001302F9">
              <w:rPr>
                <w:rFonts w:ascii="Arial" w:eastAsia="Times New Roman" w:hAnsi="Arial" w:cs="Arial"/>
                <w:b/>
                <w:bCs/>
                <w:lang w:val="sr-Latn-ME"/>
              </w:rPr>
              <w:t>Strateški cilj</w:t>
            </w:r>
          </w:p>
          <w:p w:rsidR="000F471C" w:rsidRPr="001302F9" w:rsidRDefault="000F471C" w:rsidP="00CB5F79">
            <w:pPr>
              <w:spacing w:before="100" w:beforeAutospacing="1" w:after="100" w:afterAutospacing="1" w:line="240" w:lineRule="auto"/>
              <w:jc w:val="both"/>
              <w:rPr>
                <w:rFonts w:ascii="Arial" w:eastAsia="Times New Roman" w:hAnsi="Arial" w:cs="Arial"/>
                <w:lang w:val="sr-Latn-ME"/>
              </w:rPr>
            </w:pPr>
            <w:r w:rsidRPr="001302F9">
              <w:rPr>
                <w:rFonts w:ascii="Arial" w:eastAsia="Times New Roman" w:hAnsi="Arial" w:cs="Arial"/>
                <w:lang w:val="sr-Latn-ME"/>
              </w:rPr>
              <w:br/>
              <w:t>Smanjiti prevaru i druge nepravilnosti koje utiču na EU finansijske interese u Crnoj Gori do 2028. godine jačanjem AFCOS sistema, koordinacione uloge Direkcije za zaštitu finansijskih interesa EU/AFCOS, poboljšanjem saradnje među svim zainteresovanim stranama, sprovođenjem preventivnih mjera i održavanjem kapaciteta za detekciju nepravilnosti, čime će se osigurati zaštita novca poreskih obveznika EU i Crne Gore, kao i efikasna i efektivna upotreba EU resursa.</w:t>
            </w:r>
          </w:p>
          <w:p w:rsidR="000F471C" w:rsidRPr="001302F9" w:rsidRDefault="000F471C" w:rsidP="00CB5F79">
            <w:pPr>
              <w:spacing w:before="100" w:beforeAutospacing="1" w:after="100" w:afterAutospacing="1" w:line="240" w:lineRule="auto"/>
              <w:ind w:left="-10"/>
              <w:rPr>
                <w:rFonts w:ascii="Arial" w:eastAsia="Times New Roman" w:hAnsi="Arial" w:cs="Arial"/>
                <w:b/>
                <w:bCs/>
                <w:lang w:val="sr-Latn-ME"/>
              </w:rPr>
            </w:pPr>
          </w:p>
        </w:tc>
      </w:tr>
    </w:tbl>
    <w:p w:rsidR="000F471C" w:rsidRPr="001302F9" w:rsidRDefault="000F471C" w:rsidP="000F471C">
      <w:pPr>
        <w:spacing w:before="100" w:beforeAutospacing="1" w:after="100" w:afterAutospacing="1" w:line="240" w:lineRule="auto"/>
        <w:rPr>
          <w:rFonts w:ascii="Arial" w:eastAsia="Times New Roman" w:hAnsi="Arial" w:cs="Arial"/>
          <w:lang w:val="sr-Latn-ME"/>
        </w:rPr>
      </w:pPr>
      <w:r w:rsidRPr="001302F9">
        <w:rPr>
          <w:rFonts w:ascii="Arial" w:eastAsia="Times New Roman" w:hAnsi="Arial" w:cs="Arial"/>
          <w:b/>
          <w:bCs/>
          <w:lang w:val="sr-Latn-ME"/>
        </w:rPr>
        <w:t>Indikator uspjeha</w:t>
      </w:r>
    </w:p>
    <w:tbl>
      <w:tblPr>
        <w:tblW w:w="9448" w:type="dxa"/>
        <w:tblCellSpacing w:w="15" w:type="dxa"/>
        <w:tblCellMar>
          <w:top w:w="15" w:type="dxa"/>
          <w:left w:w="15" w:type="dxa"/>
          <w:bottom w:w="15" w:type="dxa"/>
          <w:right w:w="15" w:type="dxa"/>
        </w:tblCellMar>
        <w:tblLook w:val="04A0" w:firstRow="1" w:lastRow="0" w:firstColumn="1" w:lastColumn="0" w:noHBand="0" w:noVBand="1"/>
      </w:tblPr>
      <w:tblGrid>
        <w:gridCol w:w="5018"/>
        <w:gridCol w:w="1511"/>
        <w:gridCol w:w="1452"/>
        <w:gridCol w:w="1467"/>
      </w:tblGrid>
      <w:tr w:rsidR="00C950D2" w:rsidRPr="001302F9" w:rsidTr="00CB5F79">
        <w:trPr>
          <w:trHeight w:val="863"/>
          <w:tblHeader/>
          <w:tblCellSpacing w:w="15" w:type="dxa"/>
        </w:trPr>
        <w:tc>
          <w:tcPr>
            <w:tcW w:w="0" w:type="auto"/>
            <w:vAlign w:val="center"/>
            <w:hideMark/>
          </w:tcPr>
          <w:p w:rsidR="000F471C" w:rsidRPr="001302F9" w:rsidRDefault="000F471C" w:rsidP="00CB5F79">
            <w:pPr>
              <w:spacing w:after="0" w:line="240" w:lineRule="auto"/>
              <w:jc w:val="center"/>
              <w:rPr>
                <w:rFonts w:ascii="Arial" w:eastAsia="Times New Roman" w:hAnsi="Arial" w:cs="Arial"/>
                <w:b/>
                <w:bCs/>
                <w:lang w:val="sr-Latn-ME"/>
              </w:rPr>
            </w:pPr>
            <w:r w:rsidRPr="001302F9">
              <w:rPr>
                <w:rFonts w:ascii="Arial" w:eastAsia="Times New Roman" w:hAnsi="Arial" w:cs="Arial"/>
                <w:b/>
                <w:bCs/>
                <w:lang w:val="sr-Latn-ME"/>
              </w:rPr>
              <w:t>Indikator uspjeha</w:t>
            </w:r>
          </w:p>
        </w:tc>
        <w:tc>
          <w:tcPr>
            <w:tcW w:w="0" w:type="auto"/>
            <w:vAlign w:val="center"/>
            <w:hideMark/>
          </w:tcPr>
          <w:p w:rsidR="000F471C" w:rsidRPr="001302F9" w:rsidRDefault="000F471C" w:rsidP="00CB5F79">
            <w:pPr>
              <w:spacing w:after="0" w:line="240" w:lineRule="auto"/>
              <w:jc w:val="center"/>
              <w:rPr>
                <w:rFonts w:ascii="Arial" w:eastAsia="Times New Roman" w:hAnsi="Arial" w:cs="Arial"/>
                <w:b/>
                <w:bCs/>
                <w:lang w:val="sr-Latn-ME"/>
              </w:rPr>
            </w:pPr>
            <w:r w:rsidRPr="001302F9">
              <w:rPr>
                <w:rFonts w:ascii="Arial" w:eastAsia="Times New Roman" w:hAnsi="Arial" w:cs="Arial"/>
                <w:b/>
                <w:bCs/>
                <w:lang w:val="sr-Latn-ME"/>
              </w:rPr>
              <w:t>Početna vrijednost u 2024.</w:t>
            </w:r>
          </w:p>
        </w:tc>
        <w:tc>
          <w:tcPr>
            <w:tcW w:w="0" w:type="auto"/>
            <w:vAlign w:val="center"/>
            <w:hideMark/>
          </w:tcPr>
          <w:p w:rsidR="000F471C" w:rsidRPr="001302F9" w:rsidRDefault="000F471C" w:rsidP="00CB5F79">
            <w:pPr>
              <w:spacing w:after="0" w:line="240" w:lineRule="auto"/>
              <w:jc w:val="center"/>
              <w:rPr>
                <w:rFonts w:ascii="Arial" w:eastAsia="Times New Roman" w:hAnsi="Arial" w:cs="Arial"/>
                <w:b/>
                <w:bCs/>
                <w:lang w:val="sr-Latn-ME"/>
              </w:rPr>
            </w:pPr>
            <w:r w:rsidRPr="001302F9">
              <w:rPr>
                <w:rFonts w:ascii="Arial" w:eastAsia="Times New Roman" w:hAnsi="Arial" w:cs="Arial"/>
                <w:b/>
                <w:bCs/>
                <w:lang w:val="sr-Latn-ME"/>
              </w:rPr>
              <w:t>Ciljna vrijednost u 2026.</w:t>
            </w:r>
          </w:p>
        </w:tc>
        <w:tc>
          <w:tcPr>
            <w:tcW w:w="0" w:type="auto"/>
            <w:vAlign w:val="center"/>
            <w:hideMark/>
          </w:tcPr>
          <w:p w:rsidR="000F471C" w:rsidRPr="001302F9" w:rsidRDefault="000F471C" w:rsidP="00CB5F79">
            <w:pPr>
              <w:spacing w:after="0" w:line="240" w:lineRule="auto"/>
              <w:jc w:val="center"/>
              <w:rPr>
                <w:rFonts w:ascii="Arial" w:eastAsia="Times New Roman" w:hAnsi="Arial" w:cs="Arial"/>
                <w:b/>
                <w:bCs/>
                <w:lang w:val="sr-Latn-ME"/>
              </w:rPr>
            </w:pPr>
            <w:r w:rsidRPr="001302F9">
              <w:rPr>
                <w:rFonts w:ascii="Arial" w:eastAsia="Times New Roman" w:hAnsi="Arial" w:cs="Arial"/>
                <w:b/>
                <w:bCs/>
                <w:lang w:val="sr-Latn-ME"/>
              </w:rPr>
              <w:t>Ciljna vrijednost u 2028.</w:t>
            </w:r>
          </w:p>
        </w:tc>
      </w:tr>
      <w:tr w:rsidR="00C950D2" w:rsidRPr="001302F9" w:rsidTr="00CB5F79">
        <w:trPr>
          <w:trHeight w:val="1158"/>
          <w:tblCellSpacing w:w="15" w:type="dxa"/>
        </w:trPr>
        <w:tc>
          <w:tcPr>
            <w:tcW w:w="0" w:type="auto"/>
            <w:vAlign w:val="center"/>
            <w:hideMark/>
          </w:tcPr>
          <w:p w:rsidR="000F471C" w:rsidRPr="001302F9" w:rsidRDefault="000F471C" w:rsidP="00CB5F79">
            <w:pPr>
              <w:spacing w:after="0" w:line="240" w:lineRule="auto"/>
              <w:rPr>
                <w:rFonts w:ascii="Arial" w:eastAsia="Times New Roman" w:hAnsi="Arial" w:cs="Arial"/>
                <w:lang w:val="sr-Latn-ME"/>
              </w:rPr>
            </w:pPr>
            <w:r w:rsidRPr="001302F9">
              <w:rPr>
                <w:rFonts w:ascii="Arial" w:eastAsia="Times New Roman" w:hAnsi="Arial" w:cs="Arial"/>
                <w:b/>
                <w:bCs/>
                <w:lang w:val="sr-Latn-ME"/>
              </w:rPr>
              <w:t xml:space="preserve">Stopa </w:t>
            </w:r>
            <w:r w:rsidR="00626D25">
              <w:rPr>
                <w:rFonts w:ascii="Arial" w:eastAsia="Times New Roman" w:hAnsi="Arial" w:cs="Arial"/>
                <w:b/>
                <w:bCs/>
                <w:lang w:val="sr-Latn-ME"/>
              </w:rPr>
              <w:t>otkrivanja</w:t>
            </w:r>
            <w:r w:rsidRPr="001302F9">
              <w:rPr>
                <w:rFonts w:ascii="Arial" w:eastAsia="Times New Roman" w:hAnsi="Arial" w:cs="Arial"/>
                <w:b/>
                <w:bCs/>
                <w:lang w:val="sr-Latn-ME"/>
              </w:rPr>
              <w:t xml:space="preserve"> nepravilnosti</w:t>
            </w:r>
            <w:r w:rsidRPr="001302F9">
              <w:rPr>
                <w:rFonts w:ascii="Arial" w:eastAsia="Times New Roman" w:hAnsi="Arial" w:cs="Arial"/>
                <w:lang w:val="sr-Latn-ME"/>
              </w:rPr>
              <w:t xml:space="preserve"> (odnos između finansijskog iznosa </w:t>
            </w:r>
            <w:r w:rsidR="00C950D2">
              <w:rPr>
                <w:rFonts w:ascii="Arial" w:eastAsia="Times New Roman" w:hAnsi="Arial" w:cs="Arial"/>
                <w:lang w:val="sr-Latn-ME"/>
              </w:rPr>
              <w:t>otkrivenih</w:t>
            </w:r>
            <w:r w:rsidRPr="001302F9">
              <w:rPr>
                <w:rFonts w:ascii="Arial" w:eastAsia="Times New Roman" w:hAnsi="Arial" w:cs="Arial"/>
                <w:lang w:val="sr-Latn-ME"/>
              </w:rPr>
              <w:t xml:space="preserve"> nepravilnosti—prevarnih i ne prevarnih—i </w:t>
            </w:r>
            <w:r w:rsidR="006C4AA7">
              <w:rPr>
                <w:rFonts w:ascii="Arial" w:eastAsia="Times New Roman" w:hAnsi="Arial" w:cs="Arial"/>
                <w:lang w:val="sr-Latn-ME"/>
              </w:rPr>
              <w:t>iznosa</w:t>
            </w:r>
            <w:r w:rsidRPr="001302F9">
              <w:rPr>
                <w:rFonts w:ascii="Arial" w:eastAsia="Times New Roman" w:hAnsi="Arial" w:cs="Arial"/>
                <w:lang w:val="sr-Latn-ME"/>
              </w:rPr>
              <w:t xml:space="preserve"> koje je Crna Gora primila iz </w:t>
            </w:r>
            <w:r w:rsidR="00C950D2">
              <w:rPr>
                <w:rFonts w:ascii="Arial" w:eastAsia="Times New Roman" w:hAnsi="Arial" w:cs="Arial"/>
                <w:lang w:val="sr-Latn-ME"/>
              </w:rPr>
              <w:t>EU</w:t>
            </w:r>
            <w:r w:rsidRPr="001302F9">
              <w:rPr>
                <w:rFonts w:ascii="Arial" w:eastAsia="Times New Roman" w:hAnsi="Arial" w:cs="Arial"/>
                <w:lang w:val="sr-Latn-ME"/>
              </w:rPr>
              <w:t xml:space="preserve"> sredstava)</w:t>
            </w:r>
          </w:p>
        </w:tc>
        <w:tc>
          <w:tcPr>
            <w:tcW w:w="0" w:type="auto"/>
            <w:vAlign w:val="center"/>
            <w:hideMark/>
          </w:tcPr>
          <w:p w:rsidR="000F471C" w:rsidRPr="001302F9" w:rsidRDefault="000F471C" w:rsidP="00CB5F79">
            <w:pPr>
              <w:spacing w:after="0" w:line="240" w:lineRule="auto"/>
              <w:rPr>
                <w:rFonts w:ascii="Arial" w:eastAsia="Times New Roman" w:hAnsi="Arial" w:cs="Arial"/>
                <w:lang w:val="sr-Latn-ME"/>
              </w:rPr>
            </w:pPr>
            <w:r w:rsidRPr="001302F9">
              <w:rPr>
                <w:rFonts w:ascii="Arial" w:eastAsia="Times New Roman" w:hAnsi="Arial" w:cs="Arial"/>
                <w:lang w:val="sr-Latn-ME"/>
              </w:rPr>
              <w:t>1,53%</w:t>
            </w:r>
          </w:p>
        </w:tc>
        <w:tc>
          <w:tcPr>
            <w:tcW w:w="0" w:type="auto"/>
            <w:vAlign w:val="center"/>
            <w:hideMark/>
          </w:tcPr>
          <w:p w:rsidR="000F471C" w:rsidRPr="001302F9" w:rsidRDefault="000F471C" w:rsidP="00CB5F79">
            <w:pPr>
              <w:spacing w:after="0" w:line="240" w:lineRule="auto"/>
              <w:rPr>
                <w:rFonts w:ascii="Arial" w:eastAsia="Times New Roman" w:hAnsi="Arial" w:cs="Arial"/>
                <w:lang w:val="sr-Latn-ME"/>
              </w:rPr>
            </w:pPr>
            <w:r w:rsidRPr="001302F9">
              <w:rPr>
                <w:rFonts w:ascii="Arial" w:eastAsia="Times New Roman" w:hAnsi="Arial" w:cs="Arial"/>
                <w:lang w:val="sr-Latn-ME"/>
              </w:rPr>
              <w:t>&lt; 1,53%</w:t>
            </w:r>
          </w:p>
        </w:tc>
        <w:tc>
          <w:tcPr>
            <w:tcW w:w="0" w:type="auto"/>
            <w:vAlign w:val="center"/>
            <w:hideMark/>
          </w:tcPr>
          <w:p w:rsidR="000F471C" w:rsidRPr="001302F9" w:rsidRDefault="000F471C" w:rsidP="00CB5F79">
            <w:pPr>
              <w:spacing w:after="0" w:line="240" w:lineRule="auto"/>
              <w:rPr>
                <w:rFonts w:ascii="Arial" w:eastAsia="Times New Roman" w:hAnsi="Arial" w:cs="Arial"/>
                <w:lang w:val="sr-Latn-ME"/>
              </w:rPr>
            </w:pPr>
            <w:r w:rsidRPr="001302F9">
              <w:rPr>
                <w:rFonts w:ascii="Arial" w:eastAsia="Times New Roman" w:hAnsi="Arial" w:cs="Arial"/>
                <w:lang w:val="sr-Latn-ME"/>
              </w:rPr>
              <w:t>&lt; 1,53%</w:t>
            </w:r>
          </w:p>
        </w:tc>
      </w:tr>
    </w:tbl>
    <w:p w:rsidR="000F471C" w:rsidRPr="001302F9" w:rsidRDefault="000F471C" w:rsidP="000F471C">
      <w:pPr>
        <w:spacing w:before="100" w:beforeAutospacing="1" w:after="100" w:afterAutospacing="1" w:line="240" w:lineRule="auto"/>
        <w:rPr>
          <w:rFonts w:ascii="Arial" w:eastAsia="Times New Roman" w:hAnsi="Arial" w:cs="Arial"/>
          <w:b/>
          <w:bCs/>
          <w:lang w:val="sr-Latn-ME"/>
        </w:rPr>
      </w:pPr>
      <w:r w:rsidRPr="001302F9">
        <w:rPr>
          <w:rFonts w:ascii="Arial" w:eastAsia="Times New Roman" w:hAnsi="Arial" w:cs="Arial"/>
          <w:b/>
          <w:bCs/>
          <w:lang w:val="sr-Latn-ME"/>
        </w:rPr>
        <w:t>Operativni ciljevi, mjere za njihovu implementaciju i indikatori učinka definišu se u okviru sledećih oblasti:</w:t>
      </w:r>
    </w:p>
    <w:p w:rsidR="000F471C" w:rsidRPr="001302F9" w:rsidRDefault="000F471C" w:rsidP="000F471C">
      <w:pPr>
        <w:spacing w:before="100" w:beforeAutospacing="1" w:after="100" w:afterAutospacing="1" w:line="240" w:lineRule="auto"/>
        <w:rPr>
          <w:rFonts w:ascii="Arial" w:eastAsia="Times New Roman" w:hAnsi="Arial" w:cs="Arial"/>
          <w:lang w:val="sr-Latn-ME"/>
        </w:rPr>
      </w:pPr>
      <w:r w:rsidRPr="001302F9">
        <w:rPr>
          <w:rFonts w:ascii="Arial" w:eastAsia="Times New Roman" w:hAnsi="Arial" w:cs="Arial"/>
          <w:bCs/>
          <w:lang w:val="sr-Latn-ME"/>
        </w:rPr>
        <w:t>OBLAST 1: Pravni i institucionalni okvir</w:t>
      </w:r>
      <w:r w:rsidRPr="001302F9">
        <w:rPr>
          <w:rFonts w:ascii="Arial" w:eastAsia="Times New Roman" w:hAnsi="Arial" w:cs="Arial"/>
          <w:lang w:val="sr-Latn-ME"/>
        </w:rPr>
        <w:br/>
      </w:r>
      <w:r w:rsidRPr="001302F9">
        <w:rPr>
          <w:rFonts w:ascii="Arial" w:eastAsia="Times New Roman" w:hAnsi="Arial" w:cs="Arial"/>
          <w:bCs/>
          <w:lang w:val="sr-Latn-ME"/>
        </w:rPr>
        <w:t>OBLAST 2: Koordinacija i saradnja</w:t>
      </w:r>
      <w:r w:rsidRPr="001302F9">
        <w:rPr>
          <w:rFonts w:ascii="Arial" w:eastAsia="Times New Roman" w:hAnsi="Arial" w:cs="Arial"/>
          <w:lang w:val="sr-Latn-ME"/>
        </w:rPr>
        <w:br/>
      </w:r>
      <w:r w:rsidRPr="001302F9">
        <w:rPr>
          <w:rFonts w:ascii="Arial" w:eastAsia="Times New Roman" w:hAnsi="Arial" w:cs="Arial"/>
          <w:bCs/>
          <w:lang w:val="sr-Latn-ME"/>
        </w:rPr>
        <w:t>OBLAST 3: Prevencija prevara i nepravilnosti</w:t>
      </w:r>
      <w:r w:rsidRPr="001302F9">
        <w:rPr>
          <w:rFonts w:ascii="Arial" w:eastAsia="Times New Roman" w:hAnsi="Arial" w:cs="Arial"/>
          <w:lang w:val="sr-Latn-ME"/>
        </w:rPr>
        <w:br/>
      </w:r>
      <w:r w:rsidRPr="001302F9">
        <w:rPr>
          <w:rFonts w:ascii="Arial" w:eastAsia="Times New Roman" w:hAnsi="Arial" w:cs="Arial"/>
          <w:bCs/>
          <w:lang w:val="sr-Latn-ME"/>
        </w:rPr>
        <w:t xml:space="preserve">OBLAST 4: </w:t>
      </w:r>
      <w:r w:rsidR="00425F77">
        <w:rPr>
          <w:rFonts w:ascii="Arial" w:eastAsia="Times New Roman" w:hAnsi="Arial" w:cs="Arial"/>
          <w:bCs/>
          <w:lang w:val="sr-Latn-ME"/>
        </w:rPr>
        <w:t>Otkrivanje</w:t>
      </w:r>
      <w:r w:rsidRPr="001302F9">
        <w:rPr>
          <w:rFonts w:ascii="Arial" w:eastAsia="Times New Roman" w:hAnsi="Arial" w:cs="Arial"/>
          <w:bCs/>
          <w:lang w:val="sr-Latn-ME"/>
        </w:rPr>
        <w:t xml:space="preserve">, </w:t>
      </w:r>
      <w:r w:rsidR="00425F77">
        <w:rPr>
          <w:rFonts w:ascii="Arial" w:eastAsia="Times New Roman" w:hAnsi="Arial" w:cs="Arial"/>
          <w:bCs/>
          <w:lang w:val="sr-Latn-ME"/>
        </w:rPr>
        <w:t>postupanje i</w:t>
      </w:r>
      <w:r w:rsidRPr="001302F9">
        <w:rPr>
          <w:rFonts w:ascii="Arial" w:eastAsia="Times New Roman" w:hAnsi="Arial" w:cs="Arial"/>
          <w:bCs/>
          <w:lang w:val="sr-Latn-ME"/>
        </w:rPr>
        <w:t xml:space="preserve"> izveštavanje o nepravilnostima i sumnjama na prevare</w:t>
      </w:r>
      <w:r w:rsidRPr="001302F9">
        <w:rPr>
          <w:rFonts w:ascii="Arial" w:eastAsia="Times New Roman" w:hAnsi="Arial" w:cs="Arial"/>
          <w:lang w:val="sr-Latn-ME"/>
        </w:rPr>
        <w:br/>
      </w:r>
      <w:r w:rsidRPr="001302F9">
        <w:rPr>
          <w:rFonts w:ascii="Arial" w:eastAsia="Times New Roman" w:hAnsi="Arial" w:cs="Arial"/>
          <w:bCs/>
          <w:lang w:val="sr-Latn-ME"/>
        </w:rPr>
        <w:t xml:space="preserve">OBLAST 5: Istraga prevara i </w:t>
      </w:r>
      <w:r w:rsidR="00877D5E">
        <w:rPr>
          <w:rFonts w:ascii="Arial" w:eastAsia="Times New Roman" w:hAnsi="Arial" w:cs="Arial"/>
          <w:bCs/>
          <w:lang w:val="sr-Latn-ME"/>
        </w:rPr>
        <w:t>krivično postupanje</w:t>
      </w:r>
      <w:r w:rsidRPr="001302F9">
        <w:rPr>
          <w:rFonts w:ascii="Arial" w:eastAsia="Times New Roman" w:hAnsi="Arial" w:cs="Arial"/>
          <w:lang w:val="sr-Latn-ME"/>
        </w:rPr>
        <w:br/>
      </w:r>
      <w:r w:rsidRPr="001302F9">
        <w:rPr>
          <w:rFonts w:ascii="Arial" w:eastAsia="Times New Roman" w:hAnsi="Arial" w:cs="Arial"/>
          <w:bCs/>
          <w:lang w:val="sr-Latn-ME"/>
        </w:rPr>
        <w:t>OBLAST 6: Povraćaj sredstava i sankcije</w:t>
      </w:r>
    </w:p>
    <w:p w:rsidR="000F471C" w:rsidRPr="001302F9" w:rsidRDefault="000F471C" w:rsidP="000F471C">
      <w:pPr>
        <w:spacing w:before="100" w:beforeAutospacing="1" w:after="100" w:afterAutospacing="1" w:line="240" w:lineRule="auto"/>
        <w:jc w:val="both"/>
        <w:rPr>
          <w:rFonts w:ascii="Arial" w:eastAsia="Times New Roman" w:hAnsi="Arial" w:cs="Arial"/>
          <w:lang w:val="sr-Latn-ME"/>
        </w:rPr>
      </w:pPr>
      <w:r w:rsidRPr="001302F9">
        <w:rPr>
          <w:rFonts w:ascii="Arial" w:eastAsia="Times New Roman" w:hAnsi="Arial" w:cs="Arial"/>
          <w:lang w:val="sr-Latn-ME"/>
        </w:rPr>
        <w:t xml:space="preserve">Ovih 6 oblasti pokrivaju čitav ciklus borbe protiv prevara – prevenciju, detekciju, istrage i gonjenje, povraćaj i sankcije, oko kojih su svi ciljevi i mjere ove Strategije kreirane. </w:t>
      </w:r>
      <w:r w:rsidR="002A5CD6">
        <w:rPr>
          <w:rFonts w:ascii="Arial" w:eastAsia="Times New Roman" w:hAnsi="Arial" w:cs="Arial"/>
          <w:lang w:val="sr-Latn-ME"/>
        </w:rPr>
        <w:t>Faz</w:t>
      </w:r>
      <w:r w:rsidRPr="001302F9">
        <w:rPr>
          <w:rFonts w:ascii="Arial" w:eastAsia="Times New Roman" w:hAnsi="Arial" w:cs="Arial"/>
          <w:lang w:val="sr-Latn-ME"/>
        </w:rPr>
        <w:t>e ciklusa borbe protiv prevara nijesu izolovane, već su usko povezane</w:t>
      </w:r>
      <w:r w:rsidR="002A5CD6">
        <w:rPr>
          <w:rFonts w:ascii="Arial" w:eastAsia="Times New Roman" w:hAnsi="Arial" w:cs="Arial"/>
          <w:lang w:val="sr-Latn-ME"/>
        </w:rPr>
        <w:t>, tačnije c</w:t>
      </w:r>
      <w:r w:rsidRPr="001302F9">
        <w:rPr>
          <w:rFonts w:ascii="Arial" w:eastAsia="Times New Roman" w:hAnsi="Arial" w:cs="Arial"/>
          <w:lang w:val="sr-Latn-ME"/>
        </w:rPr>
        <w:t>iljevi su međusobno povezani, a sprovođenje mjera u jednoj oblasti može imati uticaj na ciljeve u drugim oblastima.</w:t>
      </w:r>
      <w:r w:rsidR="002A5CD6">
        <w:rPr>
          <w:rFonts w:ascii="Arial" w:eastAsia="Times New Roman" w:hAnsi="Arial" w:cs="Arial"/>
          <w:lang w:val="sr-Latn-ME"/>
        </w:rPr>
        <w:t xml:space="preserve"> </w:t>
      </w:r>
      <w:r w:rsidRPr="001302F9">
        <w:rPr>
          <w:rFonts w:ascii="Arial" w:eastAsia="Times New Roman" w:hAnsi="Arial" w:cs="Arial"/>
          <w:lang w:val="sr-Latn-ME"/>
        </w:rPr>
        <w:t>Napredak i ostvarenje definisanih operativnih ciljeva biće mjereni kroz indikatore uspjeha. Oni će biti korišćeni za izvještavanje o implementaciji ove Strategije i pomoći u ocjeni uticaja njene implementacije.</w:t>
      </w:r>
    </w:p>
    <w:p w:rsidR="001E1F0B" w:rsidRDefault="000F471C" w:rsidP="000F471C">
      <w:pPr>
        <w:spacing w:before="100" w:beforeAutospacing="1" w:after="100" w:afterAutospacing="1" w:line="240" w:lineRule="auto"/>
        <w:jc w:val="both"/>
        <w:rPr>
          <w:rFonts w:ascii="Arial" w:eastAsia="Times New Roman" w:hAnsi="Arial" w:cs="Arial"/>
          <w:lang w:val="sr-Latn-ME"/>
        </w:rPr>
      </w:pPr>
      <w:r w:rsidRPr="001302F9">
        <w:rPr>
          <w:rFonts w:ascii="Arial" w:eastAsia="Times New Roman" w:hAnsi="Arial" w:cs="Arial"/>
          <w:lang w:val="sr-Latn-ME"/>
        </w:rPr>
        <w:t xml:space="preserve"> </w:t>
      </w:r>
      <w:r w:rsidRPr="001302F9">
        <w:rPr>
          <w:rFonts w:ascii="Arial" w:eastAsia="Times New Roman" w:hAnsi="Arial" w:cs="Arial"/>
          <w:lang w:val="sr-Latn-ME"/>
        </w:rPr>
        <w:br/>
        <w:t>Detaljna definicija i karakteristike indikatora uspjeha koji se odnose na strateški cilj i operativne ciljeve opisani su u Prilogu "</w:t>
      </w:r>
      <w:bookmarkStart w:id="14" w:name="_Hlk191976574"/>
      <w:r w:rsidRPr="001302F9">
        <w:rPr>
          <w:rFonts w:ascii="Arial" w:eastAsia="Times New Roman" w:hAnsi="Arial" w:cs="Arial"/>
          <w:lang w:val="sr-Latn-ME"/>
        </w:rPr>
        <w:t>Pasoš indikatora uspjeha</w:t>
      </w:r>
      <w:bookmarkEnd w:id="14"/>
      <w:r w:rsidRPr="001302F9">
        <w:rPr>
          <w:rFonts w:ascii="Arial" w:eastAsia="Times New Roman" w:hAnsi="Arial" w:cs="Arial"/>
          <w:lang w:val="sr-Latn-ME"/>
        </w:rPr>
        <w:t>".</w:t>
      </w:r>
    </w:p>
    <w:p w:rsidR="000F471C" w:rsidRPr="001302F9" w:rsidRDefault="000F471C" w:rsidP="000F471C">
      <w:pPr>
        <w:spacing w:before="100" w:beforeAutospacing="1" w:after="100" w:afterAutospacing="1" w:line="240" w:lineRule="auto"/>
        <w:jc w:val="both"/>
        <w:rPr>
          <w:rFonts w:ascii="Arial" w:eastAsia="Times New Roman" w:hAnsi="Arial" w:cs="Arial"/>
          <w:lang w:val="sr-Latn-ME"/>
        </w:rPr>
      </w:pPr>
      <w:r w:rsidRPr="001302F9">
        <w:rPr>
          <w:rFonts w:ascii="Arial" w:eastAsia="Times New Roman" w:hAnsi="Arial" w:cs="Arial"/>
          <w:lang w:val="sr-Latn-ME"/>
        </w:rPr>
        <w:br/>
        <w:t>Prema sprovedenoj analizi, operativni ciljevi svake od 6 oblasti su definisani na sledeći način:</w:t>
      </w:r>
    </w:p>
    <w:p w:rsidR="000F471C" w:rsidRDefault="000F471C" w:rsidP="000F471C">
      <w:pPr>
        <w:spacing w:after="0" w:line="240" w:lineRule="auto"/>
        <w:rPr>
          <w:rFonts w:ascii="Arial" w:eastAsia="Times New Roman" w:hAnsi="Arial" w:cs="Arial"/>
          <w:lang w:val="sr-Latn-ME"/>
        </w:rPr>
      </w:pPr>
    </w:p>
    <w:p w:rsidR="001E1F0B" w:rsidRDefault="001E1F0B" w:rsidP="000F471C">
      <w:pPr>
        <w:spacing w:after="0" w:line="240" w:lineRule="auto"/>
        <w:rPr>
          <w:rFonts w:ascii="Arial" w:eastAsia="Times New Roman" w:hAnsi="Arial" w:cs="Arial"/>
          <w:lang w:val="sr-Latn-ME"/>
        </w:rPr>
      </w:pPr>
    </w:p>
    <w:p w:rsidR="001E1F0B" w:rsidRDefault="001E1F0B" w:rsidP="000F471C">
      <w:pPr>
        <w:spacing w:after="0" w:line="240" w:lineRule="auto"/>
        <w:rPr>
          <w:rFonts w:ascii="Arial" w:eastAsia="Times New Roman" w:hAnsi="Arial" w:cs="Arial"/>
          <w:lang w:val="sr-Latn-ME"/>
        </w:rPr>
      </w:pPr>
    </w:p>
    <w:p w:rsidR="001E1F0B" w:rsidRPr="001302F9" w:rsidRDefault="001E1F0B" w:rsidP="000F471C">
      <w:pPr>
        <w:spacing w:after="0" w:line="240" w:lineRule="auto"/>
        <w:rPr>
          <w:rFonts w:ascii="Arial" w:eastAsia="Times New Roman" w:hAnsi="Arial" w:cs="Arial"/>
          <w:lang w:val="sr-Latn-ME"/>
        </w:rPr>
      </w:pPr>
    </w:p>
    <w:p w:rsidR="000F471C" w:rsidRPr="001302F9" w:rsidRDefault="000F471C" w:rsidP="000F471C">
      <w:pPr>
        <w:spacing w:after="0" w:line="240" w:lineRule="auto"/>
        <w:rPr>
          <w:rFonts w:ascii="Arial" w:eastAsia="Times New Roman" w:hAnsi="Arial" w:cs="Arial"/>
          <w:b/>
          <w:bCs/>
          <w:lang w:val="sr-Latn-ME"/>
        </w:rPr>
      </w:pPr>
    </w:p>
    <w:p w:rsidR="000F471C" w:rsidRPr="00243446" w:rsidRDefault="000F471C" w:rsidP="000F471C">
      <w:pPr>
        <w:spacing w:after="0" w:line="240" w:lineRule="auto"/>
        <w:rPr>
          <w:rFonts w:ascii="Arial" w:eastAsia="Times New Roman" w:hAnsi="Arial" w:cs="Arial"/>
          <w:b/>
          <w:bCs/>
          <w:lang w:val="sr-Latn-ME"/>
        </w:rPr>
      </w:pPr>
      <w:r w:rsidRPr="00243446">
        <w:rPr>
          <w:rFonts w:ascii="Arial" w:eastAsia="Times New Roman" w:hAnsi="Arial" w:cs="Arial"/>
          <w:b/>
          <w:bCs/>
          <w:lang w:val="sr-Latn-ME"/>
        </w:rPr>
        <w:t>3.1. OBLAST 1: Pravni i institucionalni okvir</w:t>
      </w:r>
    </w:p>
    <w:p w:rsidR="000F471C" w:rsidRPr="00243446" w:rsidRDefault="000F471C" w:rsidP="000F471C">
      <w:pPr>
        <w:spacing w:after="0" w:line="240" w:lineRule="auto"/>
        <w:rPr>
          <w:rFonts w:ascii="Arial" w:eastAsia="Times New Roman" w:hAnsi="Arial" w:cs="Arial"/>
          <w:lang w:val="sr-Latn-ME"/>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0"/>
      </w:tblGrid>
      <w:tr w:rsidR="000F471C" w:rsidRPr="00243446" w:rsidTr="00CB5F79">
        <w:trPr>
          <w:trHeight w:val="910"/>
        </w:trPr>
        <w:tc>
          <w:tcPr>
            <w:tcW w:w="9070" w:type="dxa"/>
          </w:tcPr>
          <w:p w:rsidR="000F471C" w:rsidRPr="00243446" w:rsidRDefault="000F471C" w:rsidP="00CB5F79">
            <w:pPr>
              <w:spacing w:before="100" w:beforeAutospacing="1" w:after="100" w:afterAutospacing="1" w:line="240" w:lineRule="auto"/>
              <w:ind w:left="50"/>
              <w:rPr>
                <w:rFonts w:ascii="Arial" w:eastAsia="Times New Roman" w:hAnsi="Arial" w:cs="Arial"/>
                <w:b/>
                <w:bCs/>
                <w:lang w:val="sr-Latn-ME"/>
              </w:rPr>
            </w:pPr>
            <w:r w:rsidRPr="00243446">
              <w:rPr>
                <w:rFonts w:ascii="Arial" w:eastAsia="Times New Roman" w:hAnsi="Arial" w:cs="Arial"/>
                <w:b/>
                <w:bCs/>
                <w:lang w:val="sr-Latn-ME"/>
              </w:rPr>
              <w:t>Operativni cilj 1:</w:t>
            </w:r>
            <w:r w:rsidRPr="00243446">
              <w:rPr>
                <w:rFonts w:ascii="Arial" w:eastAsia="Times New Roman" w:hAnsi="Arial" w:cs="Arial"/>
                <w:lang w:val="sr-Latn-ME"/>
              </w:rPr>
              <w:br/>
            </w:r>
            <w:r w:rsidR="00440507" w:rsidRPr="00243446">
              <w:rPr>
                <w:rFonts w:ascii="Arial" w:eastAsia="Times New Roman" w:hAnsi="Arial" w:cs="Arial"/>
                <w:lang w:val="sr-Latn-ME"/>
              </w:rPr>
              <w:t>Unaprijeđenje</w:t>
            </w:r>
            <w:r w:rsidRPr="00243446">
              <w:rPr>
                <w:rFonts w:ascii="Arial" w:eastAsia="Times New Roman" w:hAnsi="Arial" w:cs="Arial"/>
                <w:lang w:val="sr-Latn-ME"/>
              </w:rPr>
              <w:t xml:space="preserve"> pravnog okvira u cilju </w:t>
            </w:r>
            <w:r w:rsidR="0058706A" w:rsidRPr="00243446">
              <w:rPr>
                <w:rFonts w:ascii="Arial" w:eastAsia="Times New Roman" w:hAnsi="Arial" w:cs="Arial"/>
                <w:lang w:val="sr-Latn-ME"/>
              </w:rPr>
              <w:t>finalizacije</w:t>
            </w:r>
            <w:r w:rsidRPr="00243446">
              <w:rPr>
                <w:rFonts w:ascii="Arial" w:eastAsia="Times New Roman" w:hAnsi="Arial" w:cs="Arial"/>
                <w:lang w:val="sr-Latn-ME"/>
              </w:rPr>
              <w:t xml:space="preserve"> uspostavljanja potpuno funkcionalnog AFCOS sistema.</w:t>
            </w:r>
            <w:r w:rsidRPr="00243446">
              <w:rPr>
                <w:rFonts w:ascii="Arial" w:eastAsia="Times New Roman" w:hAnsi="Arial" w:cs="Arial"/>
                <w:lang w:val="sr-Latn-ME"/>
              </w:rPr>
              <w:br/>
            </w:r>
          </w:p>
        </w:tc>
      </w:tr>
    </w:tbl>
    <w:p w:rsidR="00934CDE" w:rsidRPr="00243446" w:rsidRDefault="00934CDE" w:rsidP="000F471C">
      <w:pPr>
        <w:spacing w:before="100" w:beforeAutospacing="1" w:after="100" w:afterAutospacing="1" w:line="240" w:lineRule="auto"/>
        <w:rPr>
          <w:rFonts w:ascii="Arial" w:eastAsia="Times New Roman" w:hAnsi="Arial" w:cs="Arial"/>
          <w:lang w:val="sr-Latn-ME"/>
        </w:rPr>
      </w:pPr>
    </w:p>
    <w:tbl>
      <w:tblPr>
        <w:tblStyle w:val="TableGrid"/>
        <w:tblW w:w="9196" w:type="dxa"/>
        <w:tblLook w:val="04A0" w:firstRow="1" w:lastRow="0" w:firstColumn="1" w:lastColumn="0" w:noHBand="0" w:noVBand="1"/>
      </w:tblPr>
      <w:tblGrid>
        <w:gridCol w:w="3964"/>
        <w:gridCol w:w="1626"/>
        <w:gridCol w:w="1803"/>
        <w:gridCol w:w="1803"/>
      </w:tblGrid>
      <w:tr w:rsidR="00934CDE" w:rsidRPr="00243446" w:rsidTr="00934CDE">
        <w:tc>
          <w:tcPr>
            <w:tcW w:w="3964"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bookmarkStart w:id="15" w:name="_Hlk197938069"/>
            <w:r w:rsidRPr="00243446">
              <w:rPr>
                <w:rFonts w:ascii="Arial" w:eastAsia="Times New Roman" w:hAnsi="Arial" w:cs="Arial"/>
                <w:b/>
                <w:bCs/>
                <w:sz w:val="22"/>
                <w:szCs w:val="22"/>
                <w:lang w:val="en-GB" w:eastAsia="en-US"/>
              </w:rPr>
              <w:t>Indikator uspjeha</w:t>
            </w:r>
          </w:p>
        </w:tc>
        <w:tc>
          <w:tcPr>
            <w:tcW w:w="1626" w:type="dxa"/>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2024:</w:t>
            </w:r>
          </w:p>
        </w:tc>
        <w:tc>
          <w:tcPr>
            <w:tcW w:w="1803" w:type="dxa"/>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2026:</w:t>
            </w:r>
          </w:p>
        </w:tc>
        <w:tc>
          <w:tcPr>
            <w:tcW w:w="1803" w:type="dxa"/>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2028:</w:t>
            </w:r>
          </w:p>
        </w:tc>
      </w:tr>
      <w:tr w:rsidR="00934CDE" w:rsidRPr="00243446" w:rsidTr="00934CDE">
        <w:tc>
          <w:tcPr>
            <w:tcW w:w="3964" w:type="dxa"/>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A</w:t>
            </w:r>
            <w:r w:rsidR="003271B9" w:rsidRPr="00243446">
              <w:rPr>
                <w:rFonts w:ascii="Arial" w:eastAsia="Times New Roman" w:hAnsi="Arial" w:cs="Arial"/>
                <w:b/>
                <w:bCs/>
                <w:sz w:val="22"/>
                <w:szCs w:val="22"/>
                <w:lang w:val="en-GB" w:eastAsia="en-US"/>
              </w:rPr>
              <w:t>FCOS</w:t>
            </w:r>
            <w:r w:rsidRPr="00243446">
              <w:rPr>
                <w:rFonts w:ascii="Arial" w:eastAsia="Times New Roman" w:hAnsi="Arial" w:cs="Arial"/>
                <w:b/>
                <w:bCs/>
                <w:sz w:val="22"/>
                <w:szCs w:val="22"/>
                <w:lang w:val="en-GB" w:eastAsia="en-US"/>
              </w:rPr>
              <w:t xml:space="preserve"> sistem u Crnoj Gori je uspostavljen, nadležne institucije </w:t>
            </w:r>
            <w:r w:rsidR="003271B9" w:rsidRPr="00243446">
              <w:rPr>
                <w:rFonts w:ascii="Arial" w:eastAsia="Times New Roman" w:hAnsi="Arial" w:cs="Arial"/>
                <w:b/>
                <w:bCs/>
                <w:sz w:val="22"/>
                <w:szCs w:val="22"/>
                <w:lang w:val="en-GB" w:eastAsia="en-US"/>
              </w:rPr>
              <w:t>i</w:t>
            </w:r>
            <w:r w:rsidRPr="00243446">
              <w:rPr>
                <w:rFonts w:ascii="Arial" w:eastAsia="Times New Roman" w:hAnsi="Arial" w:cs="Arial"/>
                <w:b/>
                <w:bCs/>
                <w:sz w:val="22"/>
                <w:szCs w:val="22"/>
                <w:lang w:val="en-GB" w:eastAsia="en-US"/>
              </w:rPr>
              <w:t xml:space="preserve"> njihove odgovornosti su jasno definisane, a metode saradnje usklađene.</w:t>
            </w:r>
          </w:p>
        </w:tc>
        <w:tc>
          <w:tcPr>
            <w:tcW w:w="1626"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30%</w:t>
            </w:r>
          </w:p>
        </w:tc>
        <w:tc>
          <w:tcPr>
            <w:tcW w:w="1803"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90%</w:t>
            </w:r>
          </w:p>
        </w:tc>
        <w:tc>
          <w:tcPr>
            <w:tcW w:w="1803"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100%</w:t>
            </w:r>
          </w:p>
        </w:tc>
      </w:tr>
    </w:tbl>
    <w:bookmarkEnd w:id="15"/>
    <w:p w:rsidR="00934CDE" w:rsidRPr="00243446" w:rsidRDefault="00934CDE" w:rsidP="00934CDE">
      <w:pPr>
        <w:spacing w:before="100" w:beforeAutospacing="1" w:after="100" w:afterAutospacing="1" w:line="240" w:lineRule="auto"/>
        <w:rPr>
          <w:rFonts w:ascii="Arial" w:eastAsia="Times New Roman" w:hAnsi="Arial" w:cs="Arial"/>
        </w:rPr>
      </w:pPr>
      <w:r w:rsidRPr="00243446">
        <w:rPr>
          <w:rFonts w:ascii="Arial" w:eastAsia="Times New Roman" w:hAnsi="Arial" w:cs="Arial"/>
        </w:rPr>
        <w:t>Definisani cilj biće realizovan kroz sledeće mjere:</w:t>
      </w:r>
    </w:p>
    <w:p w:rsidR="00934CDE" w:rsidRPr="00243446" w:rsidRDefault="00934CDE" w:rsidP="00934CDE">
      <w:pPr>
        <w:spacing w:before="100" w:beforeAutospacing="1" w:after="100" w:afterAutospacing="1" w:line="240" w:lineRule="auto"/>
        <w:rPr>
          <w:rFonts w:ascii="Arial" w:eastAsia="Times New Roman" w:hAnsi="Arial" w:cs="Arial"/>
          <w:b/>
          <w:bCs/>
        </w:rPr>
      </w:pPr>
      <w:r w:rsidRPr="00243446">
        <w:rPr>
          <w:rFonts w:ascii="Arial" w:eastAsia="Times New Roman" w:hAnsi="Arial" w:cs="Arial"/>
          <w:b/>
          <w:bCs/>
        </w:rPr>
        <w:t>Mjera 1.1: Usvajanje izmjena i dopuna Zakona o budžetu i fiskalnoj odgovornosti</w:t>
      </w:r>
    </w:p>
    <w:p w:rsidR="00934CDE" w:rsidRPr="00243446" w:rsidRDefault="00934CDE" w:rsidP="00934CDE">
      <w:pPr>
        <w:spacing w:before="100" w:beforeAutospacing="1" w:after="100" w:afterAutospacing="1" w:line="240" w:lineRule="auto"/>
        <w:jc w:val="both"/>
        <w:rPr>
          <w:rFonts w:ascii="Arial" w:eastAsia="Times New Roman" w:hAnsi="Arial" w:cs="Arial"/>
        </w:rPr>
      </w:pPr>
      <w:r w:rsidRPr="00243446">
        <w:rPr>
          <w:rFonts w:ascii="Arial" w:eastAsia="Times New Roman" w:hAnsi="Arial" w:cs="Arial"/>
        </w:rPr>
        <w:br/>
      </w:r>
      <w:r w:rsidRPr="00243446">
        <w:rPr>
          <w:rFonts w:ascii="Arial" w:eastAsia="Times New Roman" w:hAnsi="Arial" w:cs="Arial"/>
          <w:b/>
          <w:bCs/>
        </w:rPr>
        <w:t>Opis mjere:</w:t>
      </w:r>
      <w:r w:rsidRPr="00243446">
        <w:rPr>
          <w:rFonts w:ascii="Arial" w:eastAsia="Times New Roman" w:hAnsi="Arial" w:cs="Arial"/>
        </w:rPr>
        <w:t xml:space="preserve"> Kao što je navedeno u poglavlju 1.6 ove </w:t>
      </w:r>
      <w:r w:rsidR="000C1860" w:rsidRPr="00243446">
        <w:rPr>
          <w:rFonts w:ascii="Arial" w:eastAsia="Times New Roman" w:hAnsi="Arial" w:cs="Arial"/>
        </w:rPr>
        <w:t>S</w:t>
      </w:r>
      <w:r w:rsidRPr="00243446">
        <w:rPr>
          <w:rFonts w:ascii="Arial" w:eastAsia="Times New Roman" w:hAnsi="Arial" w:cs="Arial"/>
        </w:rPr>
        <w:t>trategije, u članu 76a Zakona o budžetu i fiskalnoj odgovornosti propisano je da Crna Gora, kao korisnik sredstava EU, obezbjeđuje indirektno upravljanje IPA sredstvima i zaštitu finansijskih interesa EU uspostavljanjem sistema za prevenciju nepravilnosti i prevara u okviru kojeg se koordiniraju pravne, administrativne i operativne aktivnosti i sarađuje direktno sa OLAF-om. Međutim, odredbe člana 76a Zakona o budžetu i fiskalnoj odgovornosti nisu jasne u pogledu toga kako i od kojih elemenata treba biti formiran ovaj sistem za zaštitu finansijskih interesa EU</w:t>
      </w:r>
      <w:r w:rsidR="00510B60" w:rsidRPr="00243446">
        <w:rPr>
          <w:rFonts w:ascii="Arial" w:eastAsia="Times New Roman" w:hAnsi="Arial" w:cs="Arial"/>
        </w:rPr>
        <w:t>, pa je shodno tome neophodno</w:t>
      </w:r>
      <w:r w:rsidRPr="00243446">
        <w:rPr>
          <w:rFonts w:ascii="Arial" w:eastAsia="Times New Roman" w:hAnsi="Arial" w:cs="Arial"/>
        </w:rPr>
        <w:t xml:space="preserve"> usvojiti</w:t>
      </w:r>
      <w:r w:rsidR="00510B60" w:rsidRPr="00243446">
        <w:rPr>
          <w:rFonts w:ascii="Arial" w:eastAsia="Times New Roman" w:hAnsi="Arial" w:cs="Arial"/>
        </w:rPr>
        <w:t xml:space="preserve"> </w:t>
      </w:r>
      <w:r w:rsidRPr="00243446">
        <w:rPr>
          <w:rFonts w:ascii="Arial" w:eastAsia="Times New Roman" w:hAnsi="Arial" w:cs="Arial"/>
        </w:rPr>
        <w:t>izmjene Zakona o budžetu i fiskalnoj odgovornosti kako bi se definisao AFCOS sistem i omogućilo usvajanje podzakonskih akata.</w:t>
      </w:r>
    </w:p>
    <w:p w:rsidR="00934CDE" w:rsidRPr="00243446" w:rsidRDefault="00934CDE" w:rsidP="00934CDE">
      <w:pPr>
        <w:spacing w:before="100" w:beforeAutospacing="1" w:after="100" w:afterAutospacing="1" w:line="240" w:lineRule="auto"/>
        <w:rPr>
          <w:rFonts w:ascii="Arial" w:eastAsia="Times New Roman" w:hAnsi="Arial" w:cs="Arial"/>
          <w:b/>
          <w:bCs/>
        </w:rPr>
      </w:pPr>
      <w:r w:rsidRPr="00243446">
        <w:rPr>
          <w:rFonts w:ascii="Arial" w:eastAsia="Times New Roman" w:hAnsi="Arial" w:cs="Arial"/>
          <w:b/>
          <w:bCs/>
        </w:rPr>
        <w:t>Mjera 1.2: Usvajanje podzakonskih akata za funkcionisanje sistema za zaštitu finansijskih interesa EU u Crnoj Gori</w:t>
      </w:r>
    </w:p>
    <w:p w:rsidR="00934CDE" w:rsidRPr="00243446" w:rsidRDefault="00934CDE" w:rsidP="00934CDE">
      <w:pPr>
        <w:spacing w:before="100" w:beforeAutospacing="1" w:after="100" w:afterAutospacing="1" w:line="240" w:lineRule="auto"/>
        <w:jc w:val="both"/>
        <w:rPr>
          <w:rFonts w:ascii="Arial" w:eastAsia="Times New Roman" w:hAnsi="Arial" w:cs="Arial"/>
          <w:lang w:val="sr-Latn-BA"/>
        </w:rPr>
      </w:pPr>
      <w:r w:rsidRPr="00243446">
        <w:rPr>
          <w:rFonts w:ascii="Arial" w:eastAsia="Times New Roman" w:hAnsi="Arial" w:cs="Arial"/>
        </w:rPr>
        <w:br/>
      </w:r>
      <w:r w:rsidRPr="00243446">
        <w:rPr>
          <w:rFonts w:ascii="Arial" w:eastAsia="Times New Roman" w:hAnsi="Arial" w:cs="Arial"/>
          <w:b/>
          <w:bCs/>
        </w:rPr>
        <w:t>Opis mjere:</w:t>
      </w:r>
      <w:r w:rsidRPr="00243446">
        <w:rPr>
          <w:rFonts w:ascii="Arial" w:eastAsia="Times New Roman" w:hAnsi="Arial" w:cs="Arial"/>
        </w:rPr>
        <w:t xml:space="preserve"> U poslednjih nekoliko godina uloženi su značajni napori kako bi se uspostavio institucionalni i </w:t>
      </w:r>
      <w:r w:rsidR="003271B9" w:rsidRPr="00243446">
        <w:rPr>
          <w:rFonts w:ascii="Arial" w:eastAsia="Times New Roman" w:hAnsi="Arial" w:cs="Arial"/>
        </w:rPr>
        <w:t>zakonodavni</w:t>
      </w:r>
      <w:r w:rsidRPr="00243446">
        <w:rPr>
          <w:rFonts w:ascii="Arial" w:eastAsia="Times New Roman" w:hAnsi="Arial" w:cs="Arial"/>
        </w:rPr>
        <w:t xml:space="preserve"> okvir za zaštitu finansijskih interesa EU u Crnoj Gori, kako je opisano u poglavlju 1.6 ove Strategije. Međutim, kao što je navedeno u poglavlju 2.1.1, zbog nedostatka političke podrške i kašnjenja u usvajanju izmjena Zakona o budžetu i fiskalnoj odgovornosti, Pravilnik o institucionalnom okviru za funkcionisanje sistema za suzbijanje prevara i nepravilnosti (AFCOS sistem) u Crnoj Gori nije usvojen. Ovaj pravni akt treba da bude usvojen, čime bi se ojačala koncepcija „AFCOS sistema</w:t>
      </w:r>
      <w:r w:rsidR="00FC69F0" w:rsidRPr="00243446">
        <w:rPr>
          <w:rFonts w:ascii="Arial" w:eastAsia="Times New Roman" w:hAnsi="Arial" w:cs="Arial"/>
        </w:rPr>
        <w:t xml:space="preserve"> </w:t>
      </w:r>
      <w:r w:rsidRPr="00243446">
        <w:rPr>
          <w:rFonts w:ascii="Arial" w:eastAsia="Times New Roman" w:hAnsi="Arial" w:cs="Arial"/>
        </w:rPr>
        <w:t>“koji se sastoji od 3 elementa opisanih u poglavlju 1.6. Pravilnik će biti izrađen u okviru Twinning projekta: „Dalje unapr</w:t>
      </w:r>
      <w:r w:rsidR="00DE6D83" w:rsidRPr="00243446">
        <w:rPr>
          <w:rFonts w:ascii="Arial" w:eastAsia="Times New Roman" w:hAnsi="Arial" w:cs="Arial"/>
        </w:rPr>
        <w:t>ijeđenje</w:t>
      </w:r>
      <w:r w:rsidRPr="00243446">
        <w:rPr>
          <w:rFonts w:ascii="Arial" w:eastAsia="Times New Roman" w:hAnsi="Arial" w:cs="Arial"/>
        </w:rPr>
        <w:t xml:space="preserve"> funkcionisanja crnogorskog AFCOS sistema s ciljem efikasne zaštite finansijskih interesa EU</w:t>
      </w:r>
      <w:r w:rsidR="00FC69F0" w:rsidRPr="00243446">
        <w:rPr>
          <w:rFonts w:ascii="Arial" w:eastAsia="Times New Roman" w:hAnsi="Arial" w:cs="Arial"/>
        </w:rPr>
        <w:t>”</w:t>
      </w:r>
      <w:r w:rsidRPr="00243446">
        <w:rPr>
          <w:rFonts w:ascii="Arial" w:eastAsia="Times New Roman" w:hAnsi="Arial" w:cs="Arial"/>
        </w:rPr>
        <w:t>.</w:t>
      </w:r>
      <w:r w:rsidRPr="00243446">
        <w:rPr>
          <w:rFonts w:ascii="Arial" w:eastAsia="Times New Roman" w:hAnsi="Arial" w:cs="Arial"/>
        </w:rPr>
        <w:br/>
        <w:t>Takođe, kao što je navedeno u poglavlju 2.1.1, Odluka o osnivanju AFCOS mreže nije usvojena u sadržaju koji su izradili stručnjaci Twinning Light projekta „Jačanje kapaciteta AFCOS</w:t>
      </w:r>
      <w:r w:rsidR="00FC69F0" w:rsidRPr="00243446">
        <w:rPr>
          <w:rFonts w:ascii="Arial" w:eastAsia="Times New Roman" w:hAnsi="Arial" w:cs="Arial"/>
        </w:rPr>
        <w:t xml:space="preserve"> </w:t>
      </w:r>
      <w:r w:rsidRPr="00243446">
        <w:rPr>
          <w:rFonts w:ascii="Arial" w:eastAsia="Times New Roman" w:hAnsi="Arial" w:cs="Arial"/>
        </w:rPr>
        <w:t>kancelarije“</w:t>
      </w:r>
      <w:r w:rsidR="00AD2BCD" w:rsidRPr="00243446">
        <w:rPr>
          <w:rFonts w:ascii="Arial" w:eastAsia="Times New Roman" w:hAnsi="Arial" w:cs="Arial"/>
        </w:rPr>
        <w:t xml:space="preserve"> pa je, s</w:t>
      </w:r>
      <w:r w:rsidRPr="00243446">
        <w:rPr>
          <w:rFonts w:ascii="Arial" w:eastAsia="Times New Roman" w:hAnsi="Arial" w:cs="Arial"/>
        </w:rPr>
        <w:t>hodno tome, potrebno</w:t>
      </w:r>
      <w:r w:rsidR="00AD2BCD" w:rsidRPr="00243446">
        <w:rPr>
          <w:rFonts w:ascii="Arial" w:eastAsia="Times New Roman" w:hAnsi="Arial" w:cs="Arial"/>
        </w:rPr>
        <w:t xml:space="preserve"> </w:t>
      </w:r>
      <w:r w:rsidRPr="00243446">
        <w:rPr>
          <w:rFonts w:ascii="Arial" w:eastAsia="Times New Roman" w:hAnsi="Arial" w:cs="Arial"/>
        </w:rPr>
        <w:t>us</w:t>
      </w:r>
      <w:r w:rsidR="00AD2BCD" w:rsidRPr="00243446">
        <w:rPr>
          <w:rFonts w:ascii="Arial" w:eastAsia="Times New Roman" w:hAnsi="Arial" w:cs="Arial"/>
        </w:rPr>
        <w:t>v</w:t>
      </w:r>
      <w:r w:rsidRPr="00243446">
        <w:rPr>
          <w:rFonts w:ascii="Arial" w:eastAsia="Times New Roman" w:hAnsi="Arial" w:cs="Arial"/>
        </w:rPr>
        <w:t xml:space="preserve">ojiti Uredbu o </w:t>
      </w:r>
      <w:r w:rsidRPr="00243446">
        <w:rPr>
          <w:rFonts w:ascii="Arial" w:eastAsia="Times New Roman" w:hAnsi="Arial" w:cs="Arial"/>
          <w:lang w:val="sr-Latn-BA"/>
        </w:rPr>
        <w:t>uspostavljanju institucionalnog okvira sistema za zaštitu finansijskih interesa Evropske unije u Crnoj Gori i Odluku o</w:t>
      </w:r>
      <w:r w:rsidRPr="00243446">
        <w:rPr>
          <w:rFonts w:ascii="Arial" w:eastAsia="Times New Roman" w:hAnsi="Arial" w:cs="Arial"/>
          <w:lang w:val="sr-Latn-ME"/>
        </w:rPr>
        <w:t xml:space="preserve"> osnivanju Radnog tijela za praćenje i upravljanje politikom sprječavanja i suzbijanja nepravilnosti u cilju zaštite finansijskih interesa Evropske unije, što će povezati funkcionisanje svih djelova AFCOS sistema</w:t>
      </w:r>
      <w:r w:rsidR="00AD2BCD" w:rsidRPr="00243446">
        <w:rPr>
          <w:rFonts w:ascii="Arial" w:eastAsia="Times New Roman" w:hAnsi="Arial" w:cs="Arial"/>
          <w:lang w:val="sr-Latn-ME"/>
        </w:rPr>
        <w:t>, to jeste</w:t>
      </w:r>
      <w:r w:rsidRPr="00243446">
        <w:rPr>
          <w:rFonts w:ascii="Arial" w:eastAsia="Times New Roman" w:hAnsi="Arial" w:cs="Arial"/>
          <w:lang w:val="sr-Latn-ME"/>
        </w:rPr>
        <w:t xml:space="preserve"> </w:t>
      </w:r>
      <w:r w:rsidRPr="00243446">
        <w:rPr>
          <w:rFonts w:ascii="Arial" w:eastAsia="Times New Roman" w:hAnsi="Arial" w:cs="Arial"/>
          <w:lang w:val="sr-Latn-BA"/>
        </w:rPr>
        <w:t>tijela sistema za upravljanje i kontrolu EU fondova (struktura za izvještavanje o nepravilnostima)</w:t>
      </w:r>
      <w:r w:rsidR="00AD2BCD" w:rsidRPr="00243446">
        <w:rPr>
          <w:rFonts w:ascii="Arial" w:eastAsia="Times New Roman" w:hAnsi="Arial" w:cs="Arial"/>
          <w:lang w:val="sr-Latn-BA"/>
        </w:rPr>
        <w:t xml:space="preserve">, </w:t>
      </w:r>
      <w:r w:rsidR="00AD2BCD" w:rsidRPr="00243446">
        <w:rPr>
          <w:rFonts w:ascii="Arial" w:eastAsia="Times New Roman" w:hAnsi="Arial" w:cs="Arial"/>
          <w:bCs/>
          <w:lang w:val="sr-Latn-BA"/>
        </w:rPr>
        <w:t>i</w:t>
      </w:r>
      <w:r w:rsidRPr="00243446">
        <w:rPr>
          <w:rFonts w:ascii="Arial" w:eastAsia="Times New Roman" w:hAnsi="Arial" w:cs="Arial"/>
          <w:bCs/>
          <w:lang w:val="sr-Latn-BA"/>
        </w:rPr>
        <w:t>nstitucija sistema zadužen</w:t>
      </w:r>
      <w:r w:rsidR="00AD2BCD" w:rsidRPr="00243446">
        <w:rPr>
          <w:rFonts w:ascii="Arial" w:eastAsia="Times New Roman" w:hAnsi="Arial" w:cs="Arial"/>
          <w:bCs/>
          <w:lang w:val="sr-Latn-BA"/>
        </w:rPr>
        <w:t>ih</w:t>
      </w:r>
      <w:r w:rsidRPr="00243446">
        <w:rPr>
          <w:rFonts w:ascii="Arial" w:eastAsia="Times New Roman" w:hAnsi="Arial" w:cs="Arial"/>
          <w:bCs/>
          <w:lang w:val="sr-Latn-BA"/>
        </w:rPr>
        <w:t xml:space="preserve"> za borbu protiv prevara, korupcije i drugih oblika nezakonitih aktivnosti </w:t>
      </w:r>
      <w:r w:rsidRPr="00243446">
        <w:rPr>
          <w:rFonts w:ascii="Arial" w:eastAsia="Times New Roman" w:hAnsi="Arial" w:cs="Arial"/>
          <w:lang w:val="sr-Latn-BA"/>
        </w:rPr>
        <w:t>(AFCOS mreža)  i Direkcije za zaštitu finansijskih interesa EU/AFCOS u Ministarstvu finansija.</w:t>
      </w:r>
    </w:p>
    <w:p w:rsidR="00934CDE" w:rsidRPr="00243446" w:rsidRDefault="00934CDE" w:rsidP="00934CDE">
      <w:pPr>
        <w:spacing w:before="100" w:beforeAutospacing="1" w:after="100" w:afterAutospacing="1" w:line="240" w:lineRule="auto"/>
        <w:rPr>
          <w:rFonts w:ascii="Arial" w:eastAsia="Times New Roman" w:hAnsi="Arial" w:cs="Arial"/>
          <w:b/>
          <w:bCs/>
        </w:rPr>
      </w:pPr>
      <w:r w:rsidRPr="00243446">
        <w:rPr>
          <w:rFonts w:ascii="Arial" w:eastAsia="Times New Roman" w:hAnsi="Arial" w:cs="Arial"/>
        </w:rPr>
        <w:t xml:space="preserve"> </w:t>
      </w:r>
      <w:r w:rsidRPr="00243446">
        <w:rPr>
          <w:rFonts w:ascii="Arial" w:eastAsia="Times New Roman" w:hAnsi="Arial" w:cs="Arial"/>
          <w:b/>
          <w:bCs/>
        </w:rPr>
        <w:t xml:space="preserve">Mjera 1.3: </w:t>
      </w:r>
      <w:r w:rsidRPr="00243446">
        <w:rPr>
          <w:rFonts w:ascii="Arial" w:eastAsia="Times New Roman" w:hAnsi="Arial" w:cs="Arial"/>
          <w:b/>
          <w:bCs/>
          <w:lang w:val="sr-Latn-ME"/>
        </w:rPr>
        <w:t>Dalje uskladjivanje nacionalnog zakonodavstva sa EU legislativom/PIF Direktivom</w:t>
      </w:r>
    </w:p>
    <w:p w:rsidR="00934CDE" w:rsidRPr="00243446" w:rsidRDefault="00934CDE" w:rsidP="00934CDE">
      <w:pPr>
        <w:spacing w:before="100" w:beforeAutospacing="1" w:after="100" w:afterAutospacing="1" w:line="240" w:lineRule="auto"/>
        <w:rPr>
          <w:rFonts w:ascii="Arial" w:eastAsia="Times New Roman" w:hAnsi="Arial" w:cs="Arial"/>
          <w:lang w:val="sr-Latn-ME"/>
        </w:rPr>
      </w:pPr>
      <w:r w:rsidRPr="00243446">
        <w:rPr>
          <w:rFonts w:ascii="Arial" w:eastAsia="Times New Roman" w:hAnsi="Arial" w:cs="Arial"/>
        </w:rPr>
        <w:br/>
      </w:r>
      <w:r w:rsidRPr="00243446">
        <w:rPr>
          <w:rFonts w:ascii="Arial" w:eastAsia="Times New Roman" w:hAnsi="Arial" w:cs="Arial"/>
          <w:b/>
          <w:bCs/>
        </w:rPr>
        <w:t>Opis mjere:</w:t>
      </w:r>
      <w:r w:rsidRPr="00243446">
        <w:rPr>
          <w:rFonts w:ascii="Arial" w:eastAsia="Times New Roman" w:hAnsi="Arial" w:cs="Arial"/>
        </w:rPr>
        <w:t xml:space="preserve"> </w:t>
      </w:r>
    </w:p>
    <w:p w:rsidR="00934CDE" w:rsidRPr="00243446" w:rsidRDefault="00934CDE" w:rsidP="00934CDE">
      <w:pPr>
        <w:spacing w:before="100" w:beforeAutospacing="1" w:after="100" w:afterAutospacing="1" w:line="240" w:lineRule="auto"/>
        <w:jc w:val="both"/>
        <w:rPr>
          <w:rFonts w:ascii="Arial" w:eastAsia="Times New Roman" w:hAnsi="Arial" w:cs="Arial"/>
        </w:rPr>
      </w:pPr>
      <w:r w:rsidRPr="00243446">
        <w:rPr>
          <w:rFonts w:ascii="Arial" w:eastAsia="Times New Roman" w:hAnsi="Arial" w:cs="Arial"/>
        </w:rPr>
        <w:t>Prva faza usklađivanja Krivičnog zakonika sa PIF Direktivom završena je od strane Ministarstva pravde i usvojen je novi Krivični zakonik sa uključenim odredbama koje osiguravaju zaštitu finansijskih interesa EU prema preporukama OLAF-a. Dalja analiza pravnih akata i njihovo usklađivanje sa PIF Direktivom sprovedena je u okviru Twinning projekta: „Dalje unapr</w:t>
      </w:r>
      <w:r w:rsidR="00DF57A5" w:rsidRPr="00243446">
        <w:rPr>
          <w:rFonts w:ascii="Arial" w:eastAsia="Times New Roman" w:hAnsi="Arial" w:cs="Arial"/>
        </w:rPr>
        <w:t>ijeđenje</w:t>
      </w:r>
      <w:r w:rsidRPr="00243446">
        <w:rPr>
          <w:rFonts w:ascii="Arial" w:eastAsia="Times New Roman" w:hAnsi="Arial" w:cs="Arial"/>
        </w:rPr>
        <w:t xml:space="preserve"> funkcionisanja crnogorskog AFCOS sistema s ciljem efikasne zaštite finansijskih interesa EU“, a date su i preporuke za dodatna poboljšanja i harmonizaciju. Harmonizacija Krivičnog zakonika sa PIF Direktivom treba biti završena u skladu sa preporukama Evropske komisije i OLAF-a.</w:t>
      </w:r>
    </w:p>
    <w:p w:rsidR="00934CDE" w:rsidRPr="00243446" w:rsidRDefault="00934CDE" w:rsidP="00934CDE">
      <w:pPr>
        <w:spacing w:before="100" w:beforeAutospacing="1" w:after="100" w:afterAutospacing="1" w:line="240" w:lineRule="auto"/>
        <w:rPr>
          <w:rFonts w:ascii="Arial" w:eastAsia="Times New Roman" w:hAnsi="Arial" w:cs="Arial"/>
          <w:b/>
          <w:bCs/>
        </w:rPr>
      </w:pPr>
      <w:r w:rsidRPr="00243446">
        <w:rPr>
          <w:rFonts w:ascii="Arial" w:eastAsia="Times New Roman" w:hAnsi="Arial" w:cs="Arial"/>
          <w:b/>
          <w:bCs/>
        </w:rPr>
        <w:t xml:space="preserve">Mjera 1.4: </w:t>
      </w:r>
      <w:r w:rsidRPr="00243446">
        <w:rPr>
          <w:rFonts w:ascii="Arial" w:eastAsia="Times New Roman" w:hAnsi="Arial" w:cs="Arial"/>
          <w:b/>
          <w:bCs/>
          <w:lang w:val="sr-Latn-ME"/>
        </w:rPr>
        <w:t>Dalje uskladjivanje nacionalnog zakonodavstva sa EU legislativom/ Regulativom 883/2013 i Regulativom 2185/1996</w:t>
      </w:r>
    </w:p>
    <w:p w:rsidR="00934CDE" w:rsidRPr="00243446" w:rsidRDefault="00934CDE" w:rsidP="00E02DF3">
      <w:pPr>
        <w:spacing w:before="100" w:beforeAutospacing="1" w:after="100" w:afterAutospacing="1" w:line="240" w:lineRule="auto"/>
        <w:jc w:val="both"/>
        <w:rPr>
          <w:rFonts w:ascii="Arial" w:eastAsia="Times New Roman" w:hAnsi="Arial" w:cs="Arial"/>
          <w:b/>
          <w:bCs/>
        </w:rPr>
      </w:pPr>
      <w:r w:rsidRPr="00243446">
        <w:rPr>
          <w:rFonts w:ascii="Arial" w:eastAsia="Times New Roman" w:hAnsi="Arial" w:cs="Arial"/>
        </w:rPr>
        <w:br/>
      </w:r>
      <w:r w:rsidRPr="00243446">
        <w:rPr>
          <w:rFonts w:ascii="Arial" w:eastAsia="Times New Roman" w:hAnsi="Arial" w:cs="Arial"/>
          <w:b/>
          <w:bCs/>
        </w:rPr>
        <w:t>Opis mjere</w:t>
      </w:r>
      <w:bookmarkStart w:id="16" w:name="_Hlk197951275"/>
      <w:r w:rsidRPr="00243446">
        <w:rPr>
          <w:rFonts w:ascii="Arial" w:eastAsia="Times New Roman" w:hAnsi="Arial" w:cs="Arial"/>
          <w:b/>
          <w:bCs/>
        </w:rPr>
        <w:t>:</w:t>
      </w:r>
      <w:r w:rsidRPr="00243446">
        <w:rPr>
          <w:rFonts w:ascii="Arial" w:eastAsia="Times New Roman" w:hAnsi="Arial" w:cs="Arial"/>
        </w:rPr>
        <w:t xml:space="preserve"> </w:t>
      </w:r>
      <w:r w:rsidRPr="00243446">
        <w:rPr>
          <w:rFonts w:ascii="Arial" w:eastAsia="Times New Roman" w:hAnsi="Arial" w:cs="Arial"/>
          <w:lang w:val="sr-Latn-ME"/>
        </w:rPr>
        <w:t>Izmijeniti pravne akte koji definišu oblast koje se tiču usaglašavanja sa Regulativama 883/2013 i 2185/1996.</w:t>
      </w:r>
    </w:p>
    <w:bookmarkEnd w:id="16"/>
    <w:p w:rsidR="00934CDE" w:rsidRPr="00243446" w:rsidRDefault="00934CDE" w:rsidP="00934CDE">
      <w:pPr>
        <w:spacing w:before="100" w:beforeAutospacing="1" w:after="100" w:afterAutospacing="1" w:line="240" w:lineRule="auto"/>
        <w:rPr>
          <w:rFonts w:ascii="Arial" w:eastAsia="Times New Roman" w:hAnsi="Arial" w:cs="Arial"/>
          <w:b/>
          <w:bCs/>
        </w:rPr>
      </w:pPr>
      <w:r w:rsidRPr="00243446">
        <w:rPr>
          <w:rFonts w:ascii="Arial" w:eastAsia="Times New Roman" w:hAnsi="Arial" w:cs="Arial"/>
        </w:rPr>
        <w:br/>
      </w:r>
      <w:r w:rsidRPr="00243446">
        <w:rPr>
          <w:rFonts w:ascii="Arial" w:eastAsia="Times New Roman" w:hAnsi="Arial" w:cs="Arial"/>
          <w:b/>
          <w:bCs/>
        </w:rPr>
        <w:t>Mjera 1.5:</w:t>
      </w:r>
      <w:r w:rsidRPr="00243446">
        <w:rPr>
          <w:rFonts w:ascii="Arial" w:eastAsia="Times New Roman" w:hAnsi="Arial" w:cs="Arial"/>
          <w:b/>
          <w:bCs/>
          <w:lang w:val="sr-Latn-ME"/>
        </w:rPr>
        <w:t xml:space="preserve"> Usaglašavanje nacionalnog zakonodavstva sa EU legislativom/ Drektivom 2019/1937 o zaštiti lica koja prijavlju povrede prava Evropske unije (Direktiva o zaštiti zviždača)</w:t>
      </w:r>
    </w:p>
    <w:p w:rsidR="00934CDE" w:rsidRPr="00243446" w:rsidRDefault="00934CDE" w:rsidP="00934CDE">
      <w:pPr>
        <w:spacing w:before="100" w:beforeAutospacing="1" w:after="100" w:afterAutospacing="1" w:line="240" w:lineRule="auto"/>
        <w:rPr>
          <w:rFonts w:ascii="Arial" w:eastAsia="Times New Roman" w:hAnsi="Arial" w:cs="Arial"/>
          <w:lang w:val="sr-Latn-ME"/>
        </w:rPr>
      </w:pPr>
      <w:r w:rsidRPr="00243446">
        <w:rPr>
          <w:rFonts w:ascii="Arial" w:eastAsia="Times New Roman" w:hAnsi="Arial" w:cs="Arial"/>
        </w:rPr>
        <w:br/>
      </w:r>
      <w:r w:rsidRPr="00243446">
        <w:rPr>
          <w:rFonts w:ascii="Arial" w:eastAsia="Times New Roman" w:hAnsi="Arial" w:cs="Arial"/>
          <w:b/>
          <w:bCs/>
        </w:rPr>
        <w:t>Opis mjere:</w:t>
      </w:r>
      <w:r w:rsidRPr="00243446">
        <w:rPr>
          <w:rFonts w:ascii="Arial" w:eastAsia="Times New Roman" w:hAnsi="Arial" w:cs="Arial"/>
        </w:rPr>
        <w:t xml:space="preserve"> </w:t>
      </w:r>
      <w:r w:rsidRPr="00243446">
        <w:rPr>
          <w:rFonts w:ascii="Arial" w:eastAsia="Times New Roman" w:hAnsi="Arial" w:cs="Arial"/>
          <w:lang w:val="sr-Latn-ME"/>
        </w:rPr>
        <w:t>Donošenje posebnog Zakona o zaštiti zviždača</w:t>
      </w:r>
    </w:p>
    <w:p w:rsidR="000F471C" w:rsidRPr="00243446" w:rsidRDefault="000F471C" w:rsidP="000F471C">
      <w:pPr>
        <w:spacing w:after="0" w:line="240" w:lineRule="auto"/>
        <w:rPr>
          <w:rFonts w:ascii="Arial" w:eastAsia="Times New Roman" w:hAnsi="Arial" w:cs="Arial"/>
          <w:lang w:val="sr-Latn-ME"/>
        </w:rPr>
      </w:pPr>
      <w:r w:rsidRPr="00243446">
        <w:rPr>
          <w:rFonts w:ascii="Arial" w:eastAsia="Times New Roman" w:hAnsi="Arial" w:cs="Arial"/>
          <w:b/>
          <w:bCs/>
          <w:lang w:val="sr-Latn-ME"/>
        </w:rPr>
        <w:t>3.2. OBLAST 2: Koordinacija i saradnja</w:t>
      </w:r>
    </w:p>
    <w:p w:rsidR="000F471C" w:rsidRPr="00243446" w:rsidRDefault="000F471C" w:rsidP="000F471C">
      <w:pPr>
        <w:spacing w:after="0" w:line="240" w:lineRule="auto"/>
        <w:rPr>
          <w:rFonts w:ascii="Arial" w:eastAsia="Times New Roman" w:hAnsi="Arial" w:cs="Arial"/>
          <w:lang w:val="sr-Latn-ME"/>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1"/>
      </w:tblGrid>
      <w:tr w:rsidR="000F471C" w:rsidRPr="00243446" w:rsidTr="00CB5F79">
        <w:trPr>
          <w:trHeight w:val="850"/>
        </w:trPr>
        <w:tc>
          <w:tcPr>
            <w:tcW w:w="9070" w:type="dxa"/>
          </w:tcPr>
          <w:p w:rsidR="000F471C" w:rsidRPr="00243446" w:rsidRDefault="000F471C" w:rsidP="00CB5F79">
            <w:pPr>
              <w:spacing w:before="100" w:beforeAutospacing="1" w:after="100" w:afterAutospacing="1" w:line="240" w:lineRule="auto"/>
              <w:ind w:left="30"/>
              <w:rPr>
                <w:rFonts w:ascii="Arial" w:eastAsia="Times New Roman" w:hAnsi="Arial" w:cs="Arial"/>
                <w:b/>
                <w:bCs/>
                <w:lang w:val="sr-Latn-ME"/>
              </w:rPr>
            </w:pPr>
            <w:r w:rsidRPr="00243446">
              <w:rPr>
                <w:rFonts w:ascii="Arial" w:eastAsia="Times New Roman" w:hAnsi="Arial" w:cs="Arial"/>
                <w:b/>
                <w:bCs/>
                <w:lang w:val="sr-Latn-ME"/>
              </w:rPr>
              <w:t>Operativni cilj 2:</w:t>
            </w:r>
            <w:r w:rsidRPr="00243446">
              <w:rPr>
                <w:rFonts w:ascii="Arial" w:eastAsia="Times New Roman" w:hAnsi="Arial" w:cs="Arial"/>
                <w:lang w:val="sr-Latn-ME"/>
              </w:rPr>
              <w:br/>
              <w:t>Jačanje koordinacione uloge AFCOS</w:t>
            </w:r>
            <w:r w:rsidR="00DF57A5" w:rsidRPr="00243446">
              <w:rPr>
                <w:rFonts w:ascii="Arial" w:eastAsia="Times New Roman" w:hAnsi="Arial" w:cs="Arial"/>
                <w:lang w:val="sr-Latn-ME"/>
              </w:rPr>
              <w:t xml:space="preserve">-a </w:t>
            </w:r>
            <w:r w:rsidRPr="00243446">
              <w:rPr>
                <w:rFonts w:ascii="Arial" w:eastAsia="Times New Roman" w:hAnsi="Arial" w:cs="Arial"/>
                <w:lang w:val="sr-Latn-ME"/>
              </w:rPr>
              <w:t>i unaprijeđenje saradnje između institucija uključenih u zaštitu finansijskih interesa EU.</w:t>
            </w:r>
          </w:p>
        </w:tc>
      </w:tr>
    </w:tbl>
    <w:p w:rsidR="00934CDE" w:rsidRPr="00243446" w:rsidRDefault="00934CDE" w:rsidP="000F471C">
      <w:pPr>
        <w:spacing w:before="100" w:beforeAutospacing="1" w:after="100" w:afterAutospacing="1" w:line="240" w:lineRule="auto"/>
        <w:rPr>
          <w:rFonts w:ascii="Arial" w:eastAsia="Times New Roman" w:hAnsi="Arial" w:cs="Arial"/>
          <w:lang w:val="sr-Latn-ME"/>
        </w:rPr>
      </w:pPr>
    </w:p>
    <w:tbl>
      <w:tblPr>
        <w:tblStyle w:val="TableGrid"/>
        <w:tblW w:w="9196" w:type="dxa"/>
        <w:tblLook w:val="04A0" w:firstRow="1" w:lastRow="0" w:firstColumn="1" w:lastColumn="0" w:noHBand="0" w:noVBand="1"/>
      </w:tblPr>
      <w:tblGrid>
        <w:gridCol w:w="3964"/>
        <w:gridCol w:w="1626"/>
        <w:gridCol w:w="1803"/>
        <w:gridCol w:w="1803"/>
      </w:tblGrid>
      <w:tr w:rsidR="00934CDE" w:rsidRPr="00243446" w:rsidTr="00934CDE">
        <w:tc>
          <w:tcPr>
            <w:tcW w:w="3964"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Indikator uspjeha</w:t>
            </w:r>
          </w:p>
        </w:tc>
        <w:tc>
          <w:tcPr>
            <w:tcW w:w="1626" w:type="dxa"/>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2024</w:t>
            </w:r>
          </w:p>
        </w:tc>
        <w:tc>
          <w:tcPr>
            <w:tcW w:w="1803" w:type="dxa"/>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2026</w:t>
            </w:r>
          </w:p>
        </w:tc>
        <w:tc>
          <w:tcPr>
            <w:tcW w:w="1803" w:type="dxa"/>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2028</w:t>
            </w:r>
          </w:p>
        </w:tc>
      </w:tr>
      <w:tr w:rsidR="00934CDE" w:rsidRPr="00243446" w:rsidTr="00934CDE">
        <w:tc>
          <w:tcPr>
            <w:tcW w:w="3964" w:type="dxa"/>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Indeks zadovoljstva saradnjom između institucija uključenih u zaštitu finansijskih interesa EU</w:t>
            </w:r>
          </w:p>
        </w:tc>
        <w:tc>
          <w:tcPr>
            <w:tcW w:w="1626"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w:t>
            </w:r>
          </w:p>
        </w:tc>
        <w:tc>
          <w:tcPr>
            <w:tcW w:w="1803"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Najmanje 7,5 poena na skali od 10 poena</w:t>
            </w:r>
          </w:p>
        </w:tc>
        <w:tc>
          <w:tcPr>
            <w:tcW w:w="1803"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Najmanje 7,5 poena na skali od 10 poena</w:t>
            </w:r>
          </w:p>
        </w:tc>
      </w:tr>
      <w:tr w:rsidR="00934CDE" w:rsidRPr="00243446" w:rsidTr="00934CDE">
        <w:tc>
          <w:tcPr>
            <w:tcW w:w="3964" w:type="dxa"/>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eastAsia="en-US"/>
              </w:rPr>
            </w:pPr>
            <w:r w:rsidRPr="00243446">
              <w:rPr>
                <w:rFonts w:ascii="Arial" w:eastAsia="Times New Roman" w:hAnsi="Arial" w:cs="Arial"/>
                <w:b/>
                <w:bCs/>
                <w:sz w:val="22"/>
                <w:szCs w:val="22"/>
                <w:lang w:eastAsia="en-US"/>
              </w:rPr>
              <w:t>Stopa prisustva sastancima Radnog tijela za sprovođenje aktivnosti za zaštitu finansijskih interesa EU u Crnoj Gori</w:t>
            </w:r>
          </w:p>
        </w:tc>
        <w:tc>
          <w:tcPr>
            <w:tcW w:w="1626"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30%</w:t>
            </w:r>
          </w:p>
        </w:tc>
        <w:tc>
          <w:tcPr>
            <w:tcW w:w="1803"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70%</w:t>
            </w:r>
          </w:p>
        </w:tc>
        <w:tc>
          <w:tcPr>
            <w:tcW w:w="1803"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90%</w:t>
            </w:r>
          </w:p>
        </w:tc>
      </w:tr>
      <w:tr w:rsidR="00934CDE" w:rsidRPr="00243446" w:rsidTr="00934CDE">
        <w:tc>
          <w:tcPr>
            <w:tcW w:w="3964" w:type="dxa"/>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eastAsia="en-US"/>
              </w:rPr>
            </w:pPr>
            <w:r w:rsidRPr="00243446">
              <w:rPr>
                <w:rFonts w:ascii="Arial" w:eastAsia="Times New Roman" w:hAnsi="Arial" w:cs="Arial"/>
                <w:b/>
                <w:bCs/>
                <w:sz w:val="22"/>
                <w:szCs w:val="22"/>
                <w:lang w:val="sr-Latn-ME" w:eastAsia="en-US"/>
              </w:rPr>
              <w:t>Broj sastanaka koje inicira struktura za izvještavanje o nepravilnostima i institucije AFCOS mreže.</w:t>
            </w:r>
          </w:p>
        </w:tc>
        <w:tc>
          <w:tcPr>
            <w:tcW w:w="1626"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0</w:t>
            </w:r>
          </w:p>
        </w:tc>
        <w:tc>
          <w:tcPr>
            <w:tcW w:w="1803"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3</w:t>
            </w:r>
          </w:p>
        </w:tc>
        <w:tc>
          <w:tcPr>
            <w:tcW w:w="1803" w:type="dxa"/>
            <w:vAlign w:val="center"/>
          </w:tcPr>
          <w:p w:rsidR="00934CDE" w:rsidRPr="00243446" w:rsidRDefault="00934CDE" w:rsidP="00934CDE">
            <w:pPr>
              <w:spacing w:before="100" w:beforeAutospacing="1" w:after="100" w:afterAutospacing="1"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6</w:t>
            </w:r>
          </w:p>
        </w:tc>
      </w:tr>
    </w:tbl>
    <w:p w:rsidR="00934CDE" w:rsidRPr="00243446" w:rsidRDefault="00934CDE" w:rsidP="00934CDE">
      <w:pPr>
        <w:spacing w:before="100" w:beforeAutospacing="1" w:after="100" w:afterAutospacing="1" w:line="240" w:lineRule="auto"/>
        <w:rPr>
          <w:rFonts w:ascii="Arial" w:eastAsia="Times New Roman" w:hAnsi="Arial" w:cs="Arial"/>
        </w:rPr>
      </w:pPr>
      <w:r w:rsidRPr="00243446">
        <w:rPr>
          <w:rFonts w:ascii="Arial" w:eastAsia="Times New Roman" w:hAnsi="Arial" w:cs="Arial"/>
        </w:rPr>
        <w:t>Definisani cilj biće realizovan kroz sledeće mjere:</w:t>
      </w:r>
    </w:p>
    <w:p w:rsidR="00934CDE" w:rsidRPr="00243446" w:rsidRDefault="00934CDE" w:rsidP="00725810">
      <w:pPr>
        <w:spacing w:before="100" w:beforeAutospacing="1" w:after="100" w:afterAutospacing="1" w:line="240" w:lineRule="auto"/>
        <w:jc w:val="both"/>
        <w:rPr>
          <w:rFonts w:ascii="Arial" w:eastAsia="Times New Roman" w:hAnsi="Arial" w:cs="Arial"/>
          <w:b/>
          <w:bCs/>
        </w:rPr>
      </w:pPr>
      <w:r w:rsidRPr="00243446">
        <w:rPr>
          <w:rFonts w:ascii="Arial" w:eastAsia="Times New Roman" w:hAnsi="Arial" w:cs="Arial"/>
          <w:b/>
          <w:bCs/>
        </w:rPr>
        <w:t>Mjera 2.1: Redovni sastanci AFCOS Radnog tijela za razmjenu informacija među institucijama uključenim u zaštitu finansijskih interesa EU</w:t>
      </w:r>
    </w:p>
    <w:p w:rsidR="00934CDE" w:rsidRPr="00243446" w:rsidRDefault="00934CDE" w:rsidP="00725810">
      <w:pPr>
        <w:spacing w:before="100" w:beforeAutospacing="1" w:after="100" w:afterAutospacing="1" w:line="240" w:lineRule="auto"/>
        <w:jc w:val="both"/>
        <w:rPr>
          <w:rFonts w:ascii="Arial" w:eastAsia="Times New Roman" w:hAnsi="Arial" w:cs="Arial"/>
        </w:rPr>
      </w:pPr>
      <w:r w:rsidRPr="00243446">
        <w:rPr>
          <w:rFonts w:ascii="Arial" w:eastAsia="Times New Roman" w:hAnsi="Arial" w:cs="Arial"/>
        </w:rPr>
        <w:br/>
      </w:r>
      <w:r w:rsidRPr="00243446">
        <w:rPr>
          <w:rFonts w:ascii="Arial" w:eastAsia="Times New Roman" w:hAnsi="Arial" w:cs="Arial"/>
          <w:b/>
          <w:bCs/>
        </w:rPr>
        <w:t>Opis mjere:</w:t>
      </w:r>
      <w:r w:rsidRPr="00243446">
        <w:rPr>
          <w:rFonts w:ascii="Arial" w:eastAsia="Times New Roman" w:hAnsi="Arial" w:cs="Arial"/>
        </w:rPr>
        <w:t xml:space="preserve"> Jedan od ključnih elemenata za efikasnu zaštitu finansijskih interesa EU jeste dobra koordinacija, komunikacija, saradnja i razmjena informacija. Kao što je definisano u poglavlju 1.6 Strategije, AFCOS kancelarija treba da obezbijedi efikasnu saradnju svih učesnika u zaštiti finansijskih interesa EU. Najefikasniji način za unapr</w:t>
      </w:r>
      <w:r w:rsidR="00DF57A5" w:rsidRPr="00243446">
        <w:rPr>
          <w:rFonts w:ascii="Arial" w:eastAsia="Times New Roman" w:hAnsi="Arial" w:cs="Arial"/>
        </w:rPr>
        <w:t>ij</w:t>
      </w:r>
      <w:r w:rsidRPr="00243446">
        <w:rPr>
          <w:rFonts w:ascii="Arial" w:eastAsia="Times New Roman" w:hAnsi="Arial" w:cs="Arial"/>
        </w:rPr>
        <w:t>eđenje saradnje među institucijama uključenim u zaštitu finansijskih interesa EU jeste redovno organizovanje sastanaka Radnog tijela za sprovođenje aktivnosti za zaštitu finansijskih interesa EU u Crnoj Gori. Takvi sastanci bi obezbijedili:</w:t>
      </w:r>
    </w:p>
    <w:p w:rsidR="00934CDE" w:rsidRPr="00243446" w:rsidRDefault="00934CDE" w:rsidP="00725810">
      <w:pPr>
        <w:numPr>
          <w:ilvl w:val="0"/>
          <w:numId w:val="45"/>
        </w:numPr>
        <w:spacing w:before="100" w:beforeAutospacing="1" w:after="100" w:afterAutospacing="1" w:line="240" w:lineRule="auto"/>
        <w:jc w:val="both"/>
        <w:rPr>
          <w:rFonts w:ascii="Arial" w:eastAsia="Times New Roman" w:hAnsi="Arial" w:cs="Arial"/>
        </w:rPr>
      </w:pPr>
      <w:r w:rsidRPr="00243446">
        <w:rPr>
          <w:rFonts w:ascii="Arial" w:eastAsia="Times New Roman" w:hAnsi="Arial" w:cs="Arial"/>
        </w:rPr>
        <w:t>redovan i pravovremen protok relevantnih informacija u oblasti upravljanja nepravilnostima i sumnjama na prevare;</w:t>
      </w:r>
    </w:p>
    <w:p w:rsidR="00934CDE" w:rsidRPr="00243446" w:rsidRDefault="00934CDE" w:rsidP="00725810">
      <w:pPr>
        <w:numPr>
          <w:ilvl w:val="0"/>
          <w:numId w:val="45"/>
        </w:numPr>
        <w:spacing w:before="100" w:beforeAutospacing="1" w:after="100" w:afterAutospacing="1" w:line="240" w:lineRule="auto"/>
        <w:jc w:val="both"/>
        <w:rPr>
          <w:rFonts w:ascii="Arial" w:eastAsia="Times New Roman" w:hAnsi="Arial" w:cs="Arial"/>
        </w:rPr>
      </w:pPr>
      <w:r w:rsidRPr="00243446">
        <w:rPr>
          <w:rFonts w:ascii="Arial" w:eastAsia="Times New Roman" w:hAnsi="Arial" w:cs="Arial"/>
        </w:rPr>
        <w:t>razmjenu stručnosti i najboljih praksi;</w:t>
      </w:r>
    </w:p>
    <w:p w:rsidR="009363D1" w:rsidRPr="00243446" w:rsidRDefault="00934CDE" w:rsidP="009363D1">
      <w:pPr>
        <w:numPr>
          <w:ilvl w:val="0"/>
          <w:numId w:val="45"/>
        </w:numPr>
        <w:spacing w:before="100" w:beforeAutospacing="1" w:after="100" w:afterAutospacing="1" w:line="240" w:lineRule="auto"/>
        <w:jc w:val="both"/>
        <w:rPr>
          <w:rFonts w:ascii="Arial" w:eastAsia="Times New Roman" w:hAnsi="Arial" w:cs="Arial"/>
        </w:rPr>
      </w:pPr>
      <w:r w:rsidRPr="00243446">
        <w:rPr>
          <w:rFonts w:ascii="Arial" w:eastAsia="Times New Roman" w:hAnsi="Arial" w:cs="Arial"/>
        </w:rPr>
        <w:t>usklađivanje internih procedura i preventivnih mjera uspostavljenih u svakoj instituciji;</w:t>
      </w:r>
    </w:p>
    <w:p w:rsidR="009363D1" w:rsidRPr="00243446" w:rsidRDefault="00934CDE" w:rsidP="009363D1">
      <w:pPr>
        <w:numPr>
          <w:ilvl w:val="0"/>
          <w:numId w:val="45"/>
        </w:numPr>
        <w:spacing w:before="100" w:beforeAutospacing="1" w:after="100" w:afterAutospacing="1" w:line="240" w:lineRule="auto"/>
        <w:jc w:val="both"/>
        <w:rPr>
          <w:rFonts w:ascii="Arial" w:eastAsia="Times New Roman" w:hAnsi="Arial" w:cs="Arial"/>
        </w:rPr>
      </w:pPr>
      <w:r w:rsidRPr="00243446">
        <w:rPr>
          <w:rFonts w:ascii="Arial" w:eastAsia="Times New Roman" w:hAnsi="Arial" w:cs="Arial"/>
        </w:rPr>
        <w:t>razmjenu informacija o planiranim obukama, itd.</w:t>
      </w:r>
    </w:p>
    <w:p w:rsidR="009363D1" w:rsidRPr="00243446" w:rsidRDefault="00934CDE" w:rsidP="00DF57A5">
      <w:pPr>
        <w:spacing w:before="100" w:beforeAutospacing="1" w:after="100" w:afterAutospacing="1" w:line="240" w:lineRule="auto"/>
        <w:jc w:val="both"/>
        <w:rPr>
          <w:rFonts w:ascii="Arial" w:eastAsia="Times New Roman" w:hAnsi="Arial" w:cs="Arial"/>
        </w:rPr>
      </w:pPr>
      <w:r w:rsidRPr="00243446">
        <w:rPr>
          <w:rFonts w:ascii="Arial" w:eastAsia="Times New Roman" w:hAnsi="Arial" w:cs="Arial"/>
        </w:rPr>
        <w:t>Stoga je od suštinskog značaja obezbijediti kvartalne sastanke AFCOS Radnog tijela tokom cijelog perioda implementacije ove Strategije.</w:t>
      </w:r>
    </w:p>
    <w:p w:rsidR="00934CDE" w:rsidRPr="00243446" w:rsidRDefault="00934CDE" w:rsidP="009363D1">
      <w:pPr>
        <w:spacing w:before="100" w:beforeAutospacing="1" w:after="100" w:afterAutospacing="1" w:line="240" w:lineRule="auto"/>
        <w:jc w:val="both"/>
        <w:rPr>
          <w:rFonts w:ascii="Arial" w:eastAsia="Times New Roman" w:hAnsi="Arial" w:cs="Arial"/>
        </w:rPr>
      </w:pPr>
      <w:r w:rsidRPr="00243446">
        <w:rPr>
          <w:rFonts w:ascii="Arial" w:eastAsia="Times New Roman" w:hAnsi="Arial" w:cs="Arial"/>
          <w:b/>
          <w:bCs/>
        </w:rPr>
        <w:t>Mjera 2.2: Organizovanje godišnjeg događaja za razmjenu iskustava</w:t>
      </w:r>
    </w:p>
    <w:p w:rsidR="00934CDE" w:rsidRPr="00243446" w:rsidRDefault="00934CDE" w:rsidP="009363D1">
      <w:pPr>
        <w:spacing w:before="100" w:beforeAutospacing="1" w:after="100" w:afterAutospacing="1" w:line="240" w:lineRule="auto"/>
        <w:jc w:val="both"/>
        <w:rPr>
          <w:rFonts w:ascii="Arial" w:eastAsia="Times New Roman" w:hAnsi="Arial" w:cs="Arial"/>
        </w:rPr>
      </w:pPr>
      <w:r w:rsidRPr="00243446">
        <w:rPr>
          <w:rFonts w:ascii="Arial" w:eastAsia="Times New Roman" w:hAnsi="Arial" w:cs="Arial"/>
          <w:b/>
          <w:bCs/>
        </w:rPr>
        <w:t xml:space="preserve"> </w:t>
      </w:r>
      <w:r w:rsidRPr="00243446">
        <w:rPr>
          <w:rFonts w:ascii="Arial" w:eastAsia="Times New Roman" w:hAnsi="Arial" w:cs="Arial"/>
        </w:rPr>
        <w:t xml:space="preserve"> </w:t>
      </w:r>
      <w:r w:rsidRPr="00243446">
        <w:rPr>
          <w:rFonts w:ascii="Arial" w:eastAsia="Times New Roman" w:hAnsi="Arial" w:cs="Arial"/>
        </w:rPr>
        <w:br/>
      </w:r>
      <w:r w:rsidRPr="00243446">
        <w:rPr>
          <w:rFonts w:ascii="Arial" w:eastAsia="Times New Roman" w:hAnsi="Arial" w:cs="Arial"/>
          <w:b/>
          <w:bCs/>
        </w:rPr>
        <w:t>Opis mjere:</w:t>
      </w:r>
      <w:r w:rsidRPr="00243446">
        <w:rPr>
          <w:rFonts w:ascii="Arial" w:eastAsia="Times New Roman" w:hAnsi="Arial" w:cs="Arial"/>
        </w:rPr>
        <w:t xml:space="preserve"> Kako bi se obezbijedila bolja saradnja između </w:t>
      </w:r>
      <w:r w:rsidRPr="00243446">
        <w:rPr>
          <w:rFonts w:ascii="Arial" w:eastAsia="Times New Roman" w:hAnsi="Arial" w:cs="Arial"/>
          <w:lang w:val="sr-Latn-BA"/>
        </w:rPr>
        <w:t xml:space="preserve">tijela sistema za upravljanje i kontrolu EU fondova (struktura za izvještavanje o nepravilnostima), </w:t>
      </w:r>
      <w:r w:rsidR="00DF57A5" w:rsidRPr="00243446">
        <w:rPr>
          <w:rFonts w:ascii="Arial" w:eastAsia="Times New Roman" w:hAnsi="Arial" w:cs="Arial"/>
          <w:bCs/>
          <w:lang w:val="sr-Latn-BA"/>
        </w:rPr>
        <w:t>i</w:t>
      </w:r>
      <w:r w:rsidRPr="00243446">
        <w:rPr>
          <w:rFonts w:ascii="Arial" w:eastAsia="Times New Roman" w:hAnsi="Arial" w:cs="Arial"/>
          <w:bCs/>
          <w:lang w:val="sr-Latn-BA"/>
        </w:rPr>
        <w:t>nstitucija sistema zadužen</w:t>
      </w:r>
      <w:r w:rsidR="00DF57A5" w:rsidRPr="00243446">
        <w:rPr>
          <w:rFonts w:ascii="Arial" w:eastAsia="Times New Roman" w:hAnsi="Arial" w:cs="Arial"/>
          <w:bCs/>
          <w:lang w:val="sr-Latn-BA"/>
        </w:rPr>
        <w:t>ih</w:t>
      </w:r>
      <w:r w:rsidRPr="00243446">
        <w:rPr>
          <w:rFonts w:ascii="Arial" w:eastAsia="Times New Roman" w:hAnsi="Arial" w:cs="Arial"/>
          <w:bCs/>
          <w:lang w:val="sr-Latn-BA"/>
        </w:rPr>
        <w:t xml:space="preserve"> za borbu protiv prevara, korupcije i drugih oblika nezakonitih aktivnosti </w:t>
      </w:r>
      <w:r w:rsidRPr="00243446">
        <w:rPr>
          <w:rFonts w:ascii="Arial" w:eastAsia="Times New Roman" w:hAnsi="Arial" w:cs="Arial"/>
          <w:lang w:val="sr-Latn-BA"/>
        </w:rPr>
        <w:t>(AFCOS mreža) i Direkcije za zaštitu finansijskih interesa EU/AFCOS,</w:t>
      </w:r>
      <w:r w:rsidR="00FC69F0" w:rsidRPr="00243446">
        <w:rPr>
          <w:rFonts w:ascii="Arial" w:eastAsia="Times New Roman" w:hAnsi="Arial" w:cs="Arial"/>
          <w:lang w:val="sr-Latn-BA"/>
        </w:rPr>
        <w:t xml:space="preserve"> </w:t>
      </w:r>
      <w:r w:rsidRPr="00243446">
        <w:rPr>
          <w:rFonts w:ascii="Arial" w:eastAsia="Times New Roman" w:hAnsi="Arial" w:cs="Arial"/>
        </w:rPr>
        <w:t>potrebno je organizovati godišnji događaj za razmjenu iskustava. To mogu biti obuke, seminari ili studijske posjete državama članicama.</w:t>
      </w:r>
    </w:p>
    <w:p w:rsidR="00934CDE" w:rsidRPr="00243446" w:rsidRDefault="00934CDE" w:rsidP="00934CDE">
      <w:pPr>
        <w:spacing w:before="100" w:beforeAutospacing="1" w:after="100" w:afterAutospacing="1" w:line="240" w:lineRule="auto"/>
        <w:rPr>
          <w:rFonts w:ascii="Arial" w:eastAsia="Times New Roman" w:hAnsi="Arial" w:cs="Arial"/>
          <w:b/>
          <w:bCs/>
        </w:rPr>
      </w:pPr>
      <w:r w:rsidRPr="00243446">
        <w:rPr>
          <w:rFonts w:ascii="Arial" w:eastAsia="Times New Roman" w:hAnsi="Arial" w:cs="Arial"/>
        </w:rPr>
        <w:br/>
      </w:r>
      <w:r w:rsidRPr="00243446">
        <w:rPr>
          <w:rFonts w:ascii="Arial" w:eastAsia="Times New Roman" w:hAnsi="Arial" w:cs="Arial"/>
          <w:b/>
          <w:bCs/>
        </w:rPr>
        <w:t>Mjera 2.3: Razvoj online platforme za dokumentaciju radi efikasnije razmjene informacija</w:t>
      </w:r>
    </w:p>
    <w:p w:rsidR="00934CDE" w:rsidRPr="00243446" w:rsidRDefault="00934CDE" w:rsidP="009363D1">
      <w:pPr>
        <w:spacing w:before="100" w:beforeAutospacing="1" w:after="100" w:afterAutospacing="1" w:line="240" w:lineRule="auto"/>
        <w:jc w:val="both"/>
        <w:rPr>
          <w:rFonts w:ascii="Arial" w:eastAsia="Times New Roman" w:hAnsi="Arial" w:cs="Arial"/>
        </w:rPr>
      </w:pPr>
      <w:r w:rsidRPr="00243446">
        <w:rPr>
          <w:rFonts w:ascii="Arial" w:eastAsia="Times New Roman" w:hAnsi="Arial" w:cs="Arial"/>
        </w:rPr>
        <w:br/>
      </w:r>
      <w:r w:rsidRPr="00243446">
        <w:rPr>
          <w:rFonts w:ascii="Arial" w:eastAsia="Times New Roman" w:hAnsi="Arial" w:cs="Arial"/>
          <w:b/>
          <w:bCs/>
        </w:rPr>
        <w:t>Opis mjere:</w:t>
      </w:r>
      <w:r w:rsidRPr="00243446">
        <w:rPr>
          <w:rFonts w:ascii="Arial" w:eastAsia="Times New Roman" w:hAnsi="Arial" w:cs="Arial"/>
        </w:rPr>
        <w:t xml:space="preserve"> Obično AFCOS kancelarija mora da razmjenjuje mnogo informacija </w:t>
      </w:r>
      <w:bookmarkStart w:id="17" w:name="_Hlk197938827"/>
      <w:r w:rsidRPr="00243446">
        <w:rPr>
          <w:rFonts w:ascii="Arial" w:eastAsia="Times New Roman" w:hAnsi="Arial" w:cs="Arial"/>
        </w:rPr>
        <w:t xml:space="preserve">sa </w:t>
      </w:r>
      <w:r w:rsidRPr="00243446">
        <w:rPr>
          <w:rFonts w:ascii="Arial" w:eastAsia="Times New Roman" w:hAnsi="Arial" w:cs="Arial"/>
          <w:lang w:val="sr-Latn-BA"/>
        </w:rPr>
        <w:t>strukturom za izvještavanje o nepravilnostima i AFCOS mrežom</w:t>
      </w:r>
      <w:bookmarkEnd w:id="17"/>
      <w:r w:rsidRPr="00243446">
        <w:rPr>
          <w:rFonts w:ascii="Arial" w:eastAsia="Times New Roman" w:hAnsi="Arial" w:cs="Arial"/>
          <w:lang w:val="sr-Latn-BA"/>
        </w:rPr>
        <w:t>,</w:t>
      </w:r>
      <w:r w:rsidR="00FC69F0" w:rsidRPr="00243446">
        <w:rPr>
          <w:rFonts w:ascii="Arial" w:eastAsia="Times New Roman" w:hAnsi="Arial" w:cs="Arial"/>
          <w:lang w:val="sr-Latn-BA"/>
        </w:rPr>
        <w:t xml:space="preserve"> </w:t>
      </w:r>
      <w:r w:rsidRPr="00243446">
        <w:rPr>
          <w:rFonts w:ascii="Arial" w:eastAsia="Times New Roman" w:hAnsi="Arial" w:cs="Arial"/>
        </w:rPr>
        <w:t>npr. o OLAF smjernicama i izvještajima, procjeni rizika od prevara, itd. Kako bi ovaj proces bio efikasniji, razmjena informacija može se vršiti putem online platforme za dokumentaciju (npr. MS SharePoint).</w:t>
      </w:r>
    </w:p>
    <w:p w:rsidR="00934CDE" w:rsidRPr="00243446" w:rsidRDefault="00934CDE" w:rsidP="00934CDE">
      <w:pPr>
        <w:spacing w:before="100" w:beforeAutospacing="1" w:after="100" w:afterAutospacing="1" w:line="240" w:lineRule="auto"/>
        <w:rPr>
          <w:rFonts w:ascii="Arial" w:eastAsia="Times New Roman" w:hAnsi="Arial" w:cs="Arial"/>
          <w:b/>
          <w:bCs/>
        </w:rPr>
      </w:pPr>
      <w:r w:rsidRPr="00243446">
        <w:rPr>
          <w:rFonts w:ascii="Arial" w:eastAsia="Times New Roman" w:hAnsi="Arial" w:cs="Arial"/>
        </w:rPr>
        <w:br/>
      </w:r>
      <w:r w:rsidRPr="00243446">
        <w:rPr>
          <w:rFonts w:ascii="Arial" w:eastAsia="Times New Roman" w:hAnsi="Arial" w:cs="Arial"/>
          <w:b/>
          <w:bCs/>
        </w:rPr>
        <w:t>Mjera 2.4: Organizovanje obuka uz učešće stručnjaka iz OLAF-a i zemalja članica</w:t>
      </w:r>
    </w:p>
    <w:p w:rsidR="00934CDE" w:rsidRPr="00243446" w:rsidRDefault="00934CDE" w:rsidP="009363D1">
      <w:pPr>
        <w:spacing w:before="100" w:beforeAutospacing="1" w:after="100" w:afterAutospacing="1" w:line="240" w:lineRule="auto"/>
        <w:jc w:val="both"/>
        <w:rPr>
          <w:rFonts w:ascii="Arial" w:eastAsia="Times New Roman" w:hAnsi="Arial" w:cs="Arial"/>
          <w:lang w:val="sr-Latn-ME"/>
        </w:rPr>
      </w:pPr>
      <w:r w:rsidRPr="00243446">
        <w:rPr>
          <w:rFonts w:ascii="Arial" w:eastAsia="Times New Roman" w:hAnsi="Arial" w:cs="Arial"/>
        </w:rPr>
        <w:br/>
      </w:r>
      <w:r w:rsidRPr="00243446">
        <w:rPr>
          <w:rFonts w:ascii="Arial" w:eastAsia="Times New Roman" w:hAnsi="Arial" w:cs="Arial"/>
          <w:b/>
          <w:bCs/>
        </w:rPr>
        <w:t>Opis mjere:</w:t>
      </w:r>
      <w:r w:rsidRPr="00243446">
        <w:rPr>
          <w:rFonts w:ascii="Arial" w:eastAsia="Times New Roman" w:hAnsi="Arial" w:cs="Arial"/>
        </w:rPr>
        <w:t xml:space="preserve">  S</w:t>
      </w:r>
      <w:r w:rsidRPr="00243446">
        <w:rPr>
          <w:rFonts w:ascii="Arial" w:eastAsia="Times New Roman" w:hAnsi="Arial" w:cs="Arial"/>
          <w:lang w:val="sr-Latn-BA"/>
        </w:rPr>
        <w:t>truktura za izvještavanje o nepravilnostima i AFCOS mreža</w:t>
      </w:r>
      <w:r w:rsidRPr="00243446">
        <w:rPr>
          <w:rFonts w:ascii="Arial" w:eastAsia="Times New Roman" w:hAnsi="Arial" w:cs="Arial"/>
        </w:rPr>
        <w:t xml:space="preserve"> još uvijek ne razumije u potpunosti svoje odgovornosti i uloge unutar AFCOS sistema. Potrebno je organizovati obuke ili seminare sa učešćem stručnjaka iz OLAF-a kako bi odgovornosti i uloge unutar AFCOS sistema bile jasnije predstavnicima svih institucija.</w:t>
      </w:r>
    </w:p>
    <w:p w:rsidR="000F471C" w:rsidRPr="00243446" w:rsidRDefault="000F471C" w:rsidP="000F471C">
      <w:pPr>
        <w:spacing w:before="100" w:beforeAutospacing="1" w:after="100" w:afterAutospacing="1" w:line="240" w:lineRule="auto"/>
        <w:rPr>
          <w:rFonts w:ascii="Arial" w:eastAsia="Times New Roman" w:hAnsi="Arial" w:cs="Arial"/>
          <w:lang w:val="sr-Latn-ME"/>
        </w:rPr>
      </w:pPr>
    </w:p>
    <w:p w:rsidR="000F471C" w:rsidRPr="00243446" w:rsidRDefault="000F471C" w:rsidP="000F471C">
      <w:pPr>
        <w:spacing w:after="0" w:line="240" w:lineRule="auto"/>
        <w:rPr>
          <w:rFonts w:ascii="Arial" w:eastAsia="Times New Roman" w:hAnsi="Arial" w:cs="Arial"/>
          <w:b/>
          <w:bCs/>
          <w:lang w:val="sr-Latn-ME"/>
        </w:rPr>
      </w:pPr>
      <w:r w:rsidRPr="00243446">
        <w:rPr>
          <w:rFonts w:ascii="Arial" w:eastAsia="Times New Roman" w:hAnsi="Arial" w:cs="Arial"/>
          <w:b/>
          <w:bCs/>
          <w:lang w:val="sr-Latn-ME"/>
        </w:rPr>
        <w:t>3.3. OBLAST 3: Prevencija nepravilnosti</w:t>
      </w:r>
      <w:r w:rsidR="005656D0" w:rsidRPr="00243446">
        <w:rPr>
          <w:rFonts w:ascii="Arial" w:eastAsia="Times New Roman" w:hAnsi="Arial" w:cs="Arial"/>
          <w:b/>
          <w:bCs/>
          <w:lang w:val="sr-Latn-ME"/>
        </w:rPr>
        <w:t xml:space="preserve"> i prevara</w:t>
      </w:r>
    </w:p>
    <w:p w:rsidR="000F471C" w:rsidRPr="00243446" w:rsidRDefault="000F471C" w:rsidP="000F471C">
      <w:pPr>
        <w:spacing w:after="0" w:line="240" w:lineRule="auto"/>
        <w:rPr>
          <w:rFonts w:ascii="Arial" w:eastAsia="Times New Roman" w:hAnsi="Arial" w:cs="Arial"/>
          <w:highlight w:val="yellow"/>
          <w:lang w:val="sr-Latn-ME"/>
        </w:rPr>
      </w:pPr>
    </w:p>
    <w:tbl>
      <w:tblPr>
        <w:tblW w:w="922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0"/>
      </w:tblGrid>
      <w:tr w:rsidR="000F471C" w:rsidRPr="00243446" w:rsidTr="009363D1">
        <w:trPr>
          <w:trHeight w:val="1090"/>
        </w:trPr>
        <w:tc>
          <w:tcPr>
            <w:tcW w:w="9220" w:type="dxa"/>
          </w:tcPr>
          <w:p w:rsidR="000F471C" w:rsidRPr="00243446" w:rsidRDefault="000F471C" w:rsidP="00CB5F79">
            <w:pPr>
              <w:spacing w:before="100" w:beforeAutospacing="1" w:after="100" w:afterAutospacing="1" w:line="240" w:lineRule="auto"/>
              <w:ind w:left="40"/>
              <w:rPr>
                <w:rFonts w:ascii="Arial" w:eastAsia="Times New Roman" w:hAnsi="Arial" w:cs="Arial"/>
                <w:b/>
                <w:bCs/>
                <w:lang w:val="sr-Latn-ME"/>
              </w:rPr>
            </w:pPr>
            <w:r w:rsidRPr="00243446">
              <w:rPr>
                <w:rFonts w:ascii="Arial" w:eastAsia="Times New Roman" w:hAnsi="Arial" w:cs="Arial"/>
                <w:b/>
                <w:bCs/>
                <w:lang w:val="sr-Latn-ME"/>
              </w:rPr>
              <w:t>Operativni cilj 3:</w:t>
            </w:r>
            <w:r w:rsidRPr="00243446">
              <w:rPr>
                <w:rFonts w:ascii="Arial" w:eastAsia="Times New Roman" w:hAnsi="Arial" w:cs="Arial"/>
                <w:lang w:val="sr-Latn-ME"/>
              </w:rPr>
              <w:br/>
              <w:t xml:space="preserve">Dalje jačanje prevencije </w:t>
            </w:r>
            <w:r w:rsidR="005656D0" w:rsidRPr="00243446">
              <w:rPr>
                <w:rFonts w:ascii="Arial" w:eastAsia="Times New Roman" w:hAnsi="Arial" w:cs="Arial"/>
                <w:lang w:val="sr-Latn-ME"/>
              </w:rPr>
              <w:t xml:space="preserve">nepravilnosti i </w:t>
            </w:r>
            <w:r w:rsidRPr="00243446">
              <w:rPr>
                <w:rFonts w:ascii="Arial" w:eastAsia="Times New Roman" w:hAnsi="Arial" w:cs="Arial"/>
                <w:lang w:val="sr-Latn-ME"/>
              </w:rPr>
              <w:t xml:space="preserve">prevara kroz odgovarajuće procjene rizika </w:t>
            </w:r>
            <w:r w:rsidR="00440507" w:rsidRPr="00243446">
              <w:rPr>
                <w:rFonts w:ascii="Arial" w:eastAsia="Times New Roman" w:hAnsi="Arial" w:cs="Arial"/>
                <w:lang w:val="sr-Latn-ME"/>
              </w:rPr>
              <w:t xml:space="preserve">i uvođenje </w:t>
            </w:r>
            <w:r w:rsidRPr="00243446">
              <w:rPr>
                <w:rFonts w:ascii="Arial" w:eastAsia="Times New Roman" w:hAnsi="Arial" w:cs="Arial"/>
                <w:lang w:val="sr-Latn-ME"/>
              </w:rPr>
              <w:t>ef</w:t>
            </w:r>
            <w:r w:rsidR="00440507" w:rsidRPr="00243446">
              <w:rPr>
                <w:rFonts w:ascii="Arial" w:eastAsia="Times New Roman" w:hAnsi="Arial" w:cs="Arial"/>
                <w:lang w:val="sr-Latn-ME"/>
              </w:rPr>
              <w:t>ikas</w:t>
            </w:r>
            <w:r w:rsidRPr="00243446">
              <w:rPr>
                <w:rFonts w:ascii="Arial" w:eastAsia="Times New Roman" w:hAnsi="Arial" w:cs="Arial"/>
                <w:lang w:val="sr-Latn-ME"/>
              </w:rPr>
              <w:t>nih i proporcionalnih mjera</w:t>
            </w:r>
            <w:r w:rsidR="00440507" w:rsidRPr="00243446">
              <w:rPr>
                <w:rFonts w:ascii="Arial" w:eastAsia="Times New Roman" w:hAnsi="Arial" w:cs="Arial"/>
                <w:lang w:val="sr-Latn-ME"/>
              </w:rPr>
              <w:t xml:space="preserve"> protiv </w:t>
            </w:r>
            <w:r w:rsidR="005656D0" w:rsidRPr="00243446">
              <w:rPr>
                <w:rFonts w:ascii="Arial" w:eastAsia="Times New Roman" w:hAnsi="Arial" w:cs="Arial"/>
                <w:lang w:val="sr-Latn-ME"/>
              </w:rPr>
              <w:t xml:space="preserve">nepravilnosti i </w:t>
            </w:r>
            <w:r w:rsidR="00440507" w:rsidRPr="00243446">
              <w:rPr>
                <w:rFonts w:ascii="Arial" w:eastAsia="Times New Roman" w:hAnsi="Arial" w:cs="Arial"/>
                <w:lang w:val="sr-Latn-ME"/>
              </w:rPr>
              <w:t>prevara, uključujući sistemski pristup edukacijama i podizanju svijesti</w:t>
            </w:r>
            <w:r w:rsidRPr="00243446">
              <w:rPr>
                <w:rFonts w:ascii="Arial" w:eastAsia="Times New Roman" w:hAnsi="Arial" w:cs="Arial"/>
                <w:lang w:val="sr-Latn-ME"/>
              </w:rPr>
              <w:t xml:space="preserve">. </w:t>
            </w:r>
          </w:p>
        </w:tc>
      </w:tr>
    </w:tbl>
    <w:p w:rsidR="009363D1" w:rsidRPr="00243446" w:rsidRDefault="009363D1" w:rsidP="000F471C">
      <w:pPr>
        <w:spacing w:after="0" w:line="240" w:lineRule="auto"/>
        <w:rPr>
          <w:rFonts w:ascii="Arial" w:eastAsia="Times New Roman" w:hAnsi="Arial" w:cs="Arial"/>
          <w:b/>
          <w:bCs/>
          <w:lang w:val="sr-Latn-ME"/>
        </w:rPr>
      </w:pPr>
    </w:p>
    <w:tbl>
      <w:tblPr>
        <w:tblStyle w:val="TableGrid"/>
        <w:tblW w:w="9196" w:type="dxa"/>
        <w:tblLook w:val="04A0" w:firstRow="1" w:lastRow="0" w:firstColumn="1" w:lastColumn="0" w:noHBand="0" w:noVBand="1"/>
      </w:tblPr>
      <w:tblGrid>
        <w:gridCol w:w="3896"/>
        <w:gridCol w:w="1614"/>
        <w:gridCol w:w="1843"/>
        <w:gridCol w:w="1843"/>
      </w:tblGrid>
      <w:tr w:rsidR="009363D1" w:rsidRPr="00243446" w:rsidTr="00D942FE">
        <w:tc>
          <w:tcPr>
            <w:tcW w:w="3964"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Indikator uspjeha</w:t>
            </w:r>
          </w:p>
        </w:tc>
        <w:tc>
          <w:tcPr>
            <w:tcW w:w="1626" w:type="dxa"/>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2024</w:t>
            </w:r>
          </w:p>
        </w:tc>
        <w:tc>
          <w:tcPr>
            <w:tcW w:w="1803" w:type="dxa"/>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2026</w:t>
            </w:r>
          </w:p>
        </w:tc>
        <w:tc>
          <w:tcPr>
            <w:tcW w:w="1803" w:type="dxa"/>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2028</w:t>
            </w:r>
          </w:p>
        </w:tc>
      </w:tr>
      <w:tr w:rsidR="009363D1" w:rsidRPr="00243446" w:rsidTr="00D942FE">
        <w:tc>
          <w:tcPr>
            <w:tcW w:w="3964" w:type="dxa"/>
          </w:tcPr>
          <w:p w:rsidR="009363D1" w:rsidRPr="00243446" w:rsidRDefault="009363D1" w:rsidP="009363D1">
            <w:pPr>
              <w:spacing w:after="0" w:line="240" w:lineRule="auto"/>
              <w:rPr>
                <w:rFonts w:ascii="Arial" w:eastAsia="Times New Roman" w:hAnsi="Arial" w:cs="Arial"/>
                <w:b/>
                <w:bCs/>
                <w:sz w:val="22"/>
                <w:szCs w:val="22"/>
                <w:lang w:val="en-GB" w:eastAsia="en-US"/>
              </w:rPr>
            </w:pPr>
            <w:bookmarkStart w:id="18" w:name="_Hlk197939486"/>
            <w:r w:rsidRPr="00243446">
              <w:rPr>
                <w:rFonts w:ascii="Arial" w:eastAsia="Times New Roman" w:hAnsi="Arial" w:cs="Arial"/>
                <w:b/>
                <w:bCs/>
                <w:sz w:val="22"/>
                <w:szCs w:val="22"/>
                <w:lang w:val="en-GB" w:eastAsia="en-US"/>
              </w:rPr>
              <w:t>Implementirane efikasne i proporcionalne mjere protiv neprvilnosti i prevara</w:t>
            </w:r>
          </w:p>
        </w:tc>
        <w:tc>
          <w:tcPr>
            <w:tcW w:w="1626"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70%</w:t>
            </w:r>
          </w:p>
        </w:tc>
        <w:tc>
          <w:tcPr>
            <w:tcW w:w="1803"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100% aktivnosti iz Akcionog plana za 2025-2026. su implementirane u roku</w:t>
            </w:r>
          </w:p>
        </w:tc>
        <w:tc>
          <w:tcPr>
            <w:tcW w:w="1803"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100% aktivnosti iz Akcionog za 2027-2028. su implementirane u roku</w:t>
            </w:r>
          </w:p>
        </w:tc>
      </w:tr>
      <w:bookmarkEnd w:id="18"/>
      <w:tr w:rsidR="009363D1" w:rsidRPr="00243446" w:rsidTr="00D942FE">
        <w:tc>
          <w:tcPr>
            <w:tcW w:w="3964" w:type="dxa"/>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sr-Latn-ME" w:eastAsia="en-US"/>
              </w:rPr>
              <w:t>Broj obučenih službenika iz institucija i tijela  koja rade na zaštiti finansijskih interesa EU</w:t>
            </w:r>
          </w:p>
        </w:tc>
        <w:tc>
          <w:tcPr>
            <w:tcW w:w="1626"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55</w:t>
            </w:r>
          </w:p>
        </w:tc>
        <w:tc>
          <w:tcPr>
            <w:tcW w:w="1803"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55 (u 2025-2026) ravnomjerno raspoređeni među muškarcima i ženama</w:t>
            </w:r>
          </w:p>
        </w:tc>
        <w:tc>
          <w:tcPr>
            <w:tcW w:w="1803" w:type="dxa"/>
            <w:vAlign w:val="center"/>
          </w:tcPr>
          <w:p w:rsidR="009363D1" w:rsidRPr="00243446" w:rsidRDefault="009363D1" w:rsidP="009363D1">
            <w:pPr>
              <w:spacing w:after="0" w:line="240" w:lineRule="auto"/>
              <w:rPr>
                <w:rFonts w:ascii="Arial" w:eastAsia="Times New Roman" w:hAnsi="Arial" w:cs="Arial"/>
                <w:b/>
                <w:bCs/>
                <w:sz w:val="22"/>
                <w:szCs w:val="22"/>
                <w:lang w:eastAsia="en-US"/>
              </w:rPr>
            </w:pPr>
            <w:r w:rsidRPr="00243446">
              <w:rPr>
                <w:rFonts w:ascii="Arial" w:eastAsia="Times New Roman" w:hAnsi="Arial" w:cs="Arial"/>
                <w:b/>
                <w:bCs/>
                <w:sz w:val="22"/>
                <w:szCs w:val="22"/>
                <w:lang w:eastAsia="en-US"/>
              </w:rPr>
              <w:t>55 (u 2027-2028) ravnomjerno raspoređeni među muškarcima i ženama</w:t>
            </w:r>
          </w:p>
          <w:p w:rsidR="009363D1" w:rsidRPr="00243446" w:rsidRDefault="009363D1" w:rsidP="009363D1">
            <w:pPr>
              <w:spacing w:after="0" w:line="240" w:lineRule="auto"/>
              <w:rPr>
                <w:rFonts w:ascii="Arial" w:eastAsia="Times New Roman" w:hAnsi="Arial" w:cs="Arial"/>
                <w:b/>
                <w:bCs/>
                <w:sz w:val="22"/>
                <w:szCs w:val="22"/>
                <w:lang w:val="en-GB" w:eastAsia="en-US"/>
              </w:rPr>
            </w:pPr>
          </w:p>
        </w:tc>
      </w:tr>
    </w:tbl>
    <w:p w:rsidR="009363D1" w:rsidRPr="00243446" w:rsidRDefault="009363D1" w:rsidP="000F471C">
      <w:pPr>
        <w:spacing w:after="0" w:line="240" w:lineRule="auto"/>
        <w:rPr>
          <w:rFonts w:ascii="Arial" w:eastAsia="Times New Roman" w:hAnsi="Arial" w:cs="Arial"/>
          <w:b/>
          <w:bCs/>
          <w:lang w:val="sr-Latn-ME"/>
        </w:rPr>
      </w:pPr>
    </w:p>
    <w:p w:rsidR="009363D1" w:rsidRPr="00243446" w:rsidRDefault="009363D1" w:rsidP="000F471C">
      <w:pPr>
        <w:spacing w:after="0" w:line="240" w:lineRule="auto"/>
        <w:rPr>
          <w:rFonts w:ascii="Arial" w:eastAsia="Times New Roman" w:hAnsi="Arial" w:cs="Arial"/>
          <w:b/>
          <w:bCs/>
          <w:lang w:val="sr-Latn-ME"/>
        </w:rPr>
      </w:pPr>
    </w:p>
    <w:p w:rsidR="009363D1" w:rsidRPr="00243446" w:rsidRDefault="009363D1" w:rsidP="009363D1">
      <w:pPr>
        <w:spacing w:after="160" w:line="259" w:lineRule="auto"/>
        <w:jc w:val="both"/>
        <w:rPr>
          <w:rFonts w:ascii="Arial" w:hAnsi="Arial" w:cs="Arial"/>
        </w:rPr>
      </w:pPr>
      <w:r w:rsidRPr="00243446">
        <w:rPr>
          <w:rFonts w:ascii="Arial" w:hAnsi="Arial" w:cs="Arial"/>
        </w:rPr>
        <w:t>Definisani cilj biće realizovan kroz sledeće mjere:</w:t>
      </w:r>
    </w:p>
    <w:p w:rsidR="009363D1" w:rsidRPr="00243446" w:rsidRDefault="009363D1" w:rsidP="009363D1">
      <w:pPr>
        <w:spacing w:after="160" w:line="259" w:lineRule="auto"/>
        <w:jc w:val="both"/>
        <w:rPr>
          <w:rFonts w:ascii="Arial" w:hAnsi="Arial" w:cs="Arial"/>
          <w:b/>
          <w:bCs/>
        </w:rPr>
      </w:pPr>
      <w:r w:rsidRPr="00243446">
        <w:rPr>
          <w:rFonts w:ascii="Arial" w:hAnsi="Arial" w:cs="Arial"/>
          <w:b/>
          <w:bCs/>
        </w:rPr>
        <w:t xml:space="preserve">Mjera 3.1: </w:t>
      </w:r>
      <w:r w:rsidRPr="00243446">
        <w:rPr>
          <w:rFonts w:ascii="Arial" w:hAnsi="Arial" w:cs="Arial"/>
          <w:b/>
          <w:bCs/>
          <w:lang w:val="sr-Latn-ME"/>
        </w:rPr>
        <w:t>Uspostavljanje održivog sistema obuka za institucije koje su uključene u zaštitu finansijskih interesa EU</w:t>
      </w:r>
      <w:r w:rsidRPr="00243446">
        <w:rPr>
          <w:rFonts w:ascii="Arial" w:hAnsi="Arial" w:cs="Arial"/>
          <w:b/>
          <w:bCs/>
        </w:rPr>
        <w:t xml:space="preserve"> </w:t>
      </w:r>
    </w:p>
    <w:p w:rsidR="009363D1" w:rsidRPr="00243446" w:rsidRDefault="009363D1" w:rsidP="009363D1">
      <w:pPr>
        <w:spacing w:after="160" w:line="259" w:lineRule="auto"/>
        <w:jc w:val="both"/>
        <w:rPr>
          <w:rFonts w:ascii="Arial" w:hAnsi="Arial" w:cs="Arial"/>
        </w:rPr>
      </w:pPr>
      <w:r w:rsidRPr="00243446">
        <w:rPr>
          <w:rFonts w:ascii="Arial" w:hAnsi="Arial" w:cs="Arial"/>
          <w:b/>
          <w:bCs/>
        </w:rPr>
        <w:t>Opis mjere:</w:t>
      </w:r>
      <w:r w:rsidRPr="00243446">
        <w:rPr>
          <w:rFonts w:ascii="Arial" w:hAnsi="Arial" w:cs="Arial"/>
        </w:rPr>
        <w:t xml:space="preserve"> Prema poglavlju 2.1.1, </w:t>
      </w:r>
      <w:r w:rsidR="002E5268" w:rsidRPr="00243446">
        <w:rPr>
          <w:rFonts w:ascii="Arial" w:hAnsi="Arial" w:cs="Arial"/>
        </w:rPr>
        <w:t xml:space="preserve">glavni zaključci </w:t>
      </w:r>
      <w:r w:rsidRPr="00243446">
        <w:rPr>
          <w:rFonts w:ascii="Arial" w:hAnsi="Arial" w:cs="Arial"/>
        </w:rPr>
        <w:t>ex-post evaluacij</w:t>
      </w:r>
      <w:r w:rsidR="002E5268" w:rsidRPr="00243446">
        <w:rPr>
          <w:rFonts w:ascii="Arial" w:hAnsi="Arial" w:cs="Arial"/>
        </w:rPr>
        <w:t>e</w:t>
      </w:r>
      <w:r w:rsidR="000D4909" w:rsidRPr="00243446">
        <w:rPr>
          <w:rFonts w:ascii="Arial" w:hAnsi="Arial" w:cs="Arial"/>
        </w:rPr>
        <w:t>,</w:t>
      </w:r>
      <w:r w:rsidRPr="00243446">
        <w:rPr>
          <w:rFonts w:ascii="Arial" w:hAnsi="Arial" w:cs="Arial"/>
        </w:rPr>
        <w:t xml:space="preserve"> zaključeno je da je usvojen sistematski pristup u identifikaciji potreba za obukama i dizajniranju programa obuka. U okviru Twinning Light projekta „Jačanje kapaciteta AFCOS kancelarije“</w:t>
      </w:r>
      <w:r w:rsidR="002E5268" w:rsidRPr="00243446">
        <w:rPr>
          <w:rFonts w:ascii="Arial" w:hAnsi="Arial" w:cs="Arial"/>
        </w:rPr>
        <w:t xml:space="preserve"> </w:t>
      </w:r>
      <w:r w:rsidRPr="00243446">
        <w:rPr>
          <w:rFonts w:ascii="Arial" w:hAnsi="Arial" w:cs="Arial"/>
        </w:rPr>
        <w:t>koji je pokrenula AFCOS kancelarija, sprovedena je analiza potreba za obukama i razvijen je program obuka za period 2019-2021. S druge strane, prema poglavlju 2.6.1, u procjeni rizika od prevara zaključeno je da postoji potreba za izradom nove analize potreba za obukama, programom obuka i planom obuka. Analiza potreba za obukama treba se ponavljati svake dvije godine na nivou institucija koje učestvuju u zaštiti finansijskih interesa EU kako bi se procijenili postojeći kapaciteti službenika, kao i da bi se identifikovale slabosti koje treba adresirati. Nakon toga, usklađivanje programa obuka u skladu sa rezultatima sprovedene analize potreba za obukama biće izvršeno, kao i razvoj plana obuka za period od dvije godine koji će eliminisati slabosti identifikovane u analizi potreba za obukama.</w:t>
      </w:r>
    </w:p>
    <w:p w:rsidR="009363D1" w:rsidRPr="00243446" w:rsidRDefault="009363D1" w:rsidP="009363D1">
      <w:pPr>
        <w:spacing w:after="160" w:line="259" w:lineRule="auto"/>
        <w:jc w:val="both"/>
        <w:rPr>
          <w:rFonts w:ascii="Arial" w:hAnsi="Arial" w:cs="Arial"/>
        </w:rPr>
      </w:pPr>
      <w:r w:rsidRPr="00243446">
        <w:rPr>
          <w:rFonts w:ascii="Arial" w:hAnsi="Arial" w:cs="Arial"/>
          <w:b/>
          <w:bCs/>
        </w:rPr>
        <w:t>Mjera 3.2: Održavanje operativnog sistema upravljanja rizikom od nepravilnosti i prevara</w:t>
      </w:r>
      <w:r w:rsidRPr="00243446">
        <w:rPr>
          <w:rFonts w:ascii="Arial" w:hAnsi="Arial" w:cs="Arial"/>
        </w:rPr>
        <w:br/>
      </w:r>
      <w:r w:rsidRPr="00243446">
        <w:rPr>
          <w:rFonts w:ascii="Arial" w:hAnsi="Arial" w:cs="Arial"/>
          <w:b/>
          <w:bCs/>
        </w:rPr>
        <w:t>Opis mjere:</w:t>
      </w:r>
      <w:r w:rsidRPr="00243446">
        <w:rPr>
          <w:rFonts w:ascii="Arial" w:hAnsi="Arial" w:cs="Arial"/>
        </w:rPr>
        <w:t xml:space="preserve"> Prema poglavlju 2.1.1 i 2.6.1 ove Strategije, metodologija za upravljanje rizikom od nepravilnosti i prevara razvijena je tokom prethodnog NAFS perioda a AFCOS kancelarija je sprovela analizu rizika od prevara sa statističkom analizom slučajeva nepravilnosti u kontekstu implementacije projekata finansiranih iz IPA fondova i dostavila rezultate Vladi Crne Gore. Međutim, neophodno je nastaviti sa procjenom rizika od prevara barem jednom u dvije godine kako bi se mogli adekvatno reagovati na sve promjene u okruženju rizika od nepravilnosti i prevara.</w:t>
      </w:r>
      <w:r w:rsidRPr="00243446">
        <w:rPr>
          <w:rFonts w:ascii="Arial" w:hAnsi="Arial" w:cs="Arial"/>
        </w:rPr>
        <w:br/>
      </w:r>
    </w:p>
    <w:p w:rsidR="009363D1" w:rsidRPr="00243446" w:rsidRDefault="009363D1" w:rsidP="009363D1">
      <w:pPr>
        <w:spacing w:after="160" w:line="259" w:lineRule="auto"/>
        <w:jc w:val="both"/>
        <w:rPr>
          <w:rFonts w:ascii="Arial" w:hAnsi="Arial" w:cs="Arial"/>
          <w:b/>
          <w:bCs/>
          <w:lang w:val="sr-Latn-ME"/>
        </w:rPr>
      </w:pPr>
      <w:r w:rsidRPr="00243446">
        <w:rPr>
          <w:rFonts w:ascii="Arial" w:hAnsi="Arial" w:cs="Arial"/>
          <w:b/>
          <w:bCs/>
        </w:rPr>
        <w:t xml:space="preserve">Mjera 3.3: </w:t>
      </w:r>
      <w:r w:rsidRPr="00243446">
        <w:rPr>
          <w:rFonts w:ascii="Arial" w:hAnsi="Arial" w:cs="Arial"/>
          <w:b/>
          <w:bCs/>
          <w:lang w:val="sr-Latn-ME"/>
        </w:rPr>
        <w:t>Obezbjeđivanje adekvatne vidljivosti i transparentnosti u vezi sa EU fondovima i podizanje svijesti o značaju procesa za zaštitu finansijskih interesa EU i nacionalnih finansijskih interesa</w:t>
      </w:r>
    </w:p>
    <w:p w:rsidR="009363D1" w:rsidRPr="00243446" w:rsidRDefault="009363D1" w:rsidP="009363D1">
      <w:pPr>
        <w:spacing w:after="160" w:line="259" w:lineRule="auto"/>
        <w:jc w:val="both"/>
        <w:rPr>
          <w:rFonts w:ascii="Arial" w:hAnsi="Arial" w:cs="Arial"/>
        </w:rPr>
      </w:pPr>
      <w:r w:rsidRPr="00243446">
        <w:rPr>
          <w:rFonts w:ascii="Arial" w:hAnsi="Arial" w:cs="Arial"/>
        </w:rPr>
        <w:br/>
      </w:r>
      <w:r w:rsidRPr="00243446">
        <w:rPr>
          <w:rFonts w:ascii="Arial" w:hAnsi="Arial" w:cs="Arial"/>
          <w:b/>
          <w:bCs/>
        </w:rPr>
        <w:t>Opis mjere:</w:t>
      </w:r>
      <w:r w:rsidRPr="00243446">
        <w:rPr>
          <w:rFonts w:ascii="Arial" w:hAnsi="Arial" w:cs="Arial"/>
        </w:rPr>
        <w:t xml:space="preserve"> Kao što je navedeno u poglavlju 2.1.2, jedna od glavnih preporuka razvijenih tokom ex-post evaluacije prethodne Strategije je da se u novu Strategiju uključi sveobuhvatna komunikaciona strategija i kampanja kako unutar javne administracije, tako i u vezi sa podizanjem svijesti opšte javnosti o prevarama. Komunikacija je važan dio procesa prevencije nepravilnosti i prevara u postupcima upravljanja i korišćenja EU fondova. U okviru Twinning projekta „Dalje unapr</w:t>
      </w:r>
      <w:r w:rsidR="002E5268" w:rsidRPr="00243446">
        <w:rPr>
          <w:rFonts w:ascii="Arial" w:hAnsi="Arial" w:cs="Arial"/>
        </w:rPr>
        <w:t>ij</w:t>
      </w:r>
      <w:r w:rsidRPr="00243446">
        <w:rPr>
          <w:rFonts w:ascii="Arial" w:hAnsi="Arial" w:cs="Arial"/>
        </w:rPr>
        <w:t xml:space="preserve">eđenje funkcionisanja </w:t>
      </w:r>
      <w:r w:rsidR="002E5268" w:rsidRPr="00243446">
        <w:rPr>
          <w:rFonts w:ascii="Arial" w:hAnsi="Arial" w:cs="Arial"/>
        </w:rPr>
        <w:t>crnogorskog</w:t>
      </w:r>
      <w:r w:rsidRPr="00243446">
        <w:rPr>
          <w:rFonts w:ascii="Arial" w:hAnsi="Arial" w:cs="Arial"/>
        </w:rPr>
        <w:t xml:space="preserve"> AFCOS sistema sa ciljem efikasne zaštite finansijskih interesa EU“ biće razvijena Komunikaciona strategija koja će podići svijest zaposlenih i građana o zaštiti finansijskih interesa EU, a koja će sadržati procedure za komunikaciju između institucija koje učestvuju u zaštiti finansijskih interesa EU i javnosti u slučajevima otkrivenih nepravilnosti i sumnji na prevare u kontekstu upravljanja i korišćenja IPA fondova. Takođe, kako bi se podigla svijest šire javnosti o značaju pravilnog korišćenja EU fondova i poboljšala reputacija i povjerenje javnosti prema institucijama odgovornim za efikasno korišćenje EU fondova, biće organizovan javni događaj i sprovedene promotivne aktivnosti za podizanje svijesti javnosti u borbi protiv prevara – priprema video i informativnih materijala (flajeri, brošure, </w:t>
      </w:r>
      <w:r w:rsidR="002E5268" w:rsidRPr="00243446">
        <w:rPr>
          <w:rFonts w:ascii="Arial" w:hAnsi="Arial" w:cs="Arial"/>
        </w:rPr>
        <w:t>notesi</w:t>
      </w:r>
      <w:r w:rsidRPr="00243446">
        <w:rPr>
          <w:rFonts w:ascii="Arial" w:hAnsi="Arial" w:cs="Arial"/>
        </w:rPr>
        <w:t xml:space="preserve"> i drugi promotivni materijali).</w:t>
      </w:r>
      <w:r w:rsidRPr="00243446">
        <w:rPr>
          <w:rFonts w:ascii="Arial" w:hAnsi="Arial" w:cs="Arial"/>
        </w:rPr>
        <w:br/>
      </w:r>
    </w:p>
    <w:p w:rsidR="009363D1" w:rsidRPr="00243446" w:rsidRDefault="009363D1" w:rsidP="009363D1">
      <w:pPr>
        <w:spacing w:after="160" w:line="259" w:lineRule="auto"/>
        <w:jc w:val="both"/>
        <w:rPr>
          <w:rFonts w:ascii="Arial" w:hAnsi="Arial" w:cs="Arial"/>
          <w:b/>
          <w:bCs/>
          <w:lang w:val="sr-Latn-ME"/>
        </w:rPr>
      </w:pPr>
      <w:r w:rsidRPr="00243446">
        <w:rPr>
          <w:rFonts w:ascii="Arial" w:hAnsi="Arial" w:cs="Arial"/>
          <w:b/>
          <w:bCs/>
        </w:rPr>
        <w:t xml:space="preserve">Mjera 3.4: </w:t>
      </w:r>
      <w:r w:rsidRPr="00243446">
        <w:rPr>
          <w:rFonts w:ascii="Arial" w:hAnsi="Arial" w:cs="Arial"/>
          <w:b/>
          <w:bCs/>
          <w:lang w:val="sr-Latn-ME"/>
        </w:rPr>
        <w:t>Praćenje najnovijih razvoja mjera protiv nepravilnosti i prevara i razmjena najboljih praksi</w:t>
      </w:r>
    </w:p>
    <w:p w:rsidR="009363D1" w:rsidRPr="00243446" w:rsidRDefault="009363D1" w:rsidP="009363D1">
      <w:pPr>
        <w:spacing w:after="160" w:line="259" w:lineRule="auto"/>
        <w:jc w:val="both"/>
        <w:rPr>
          <w:rFonts w:ascii="Arial" w:hAnsi="Arial" w:cs="Arial"/>
        </w:rPr>
      </w:pPr>
      <w:r w:rsidRPr="00243446">
        <w:rPr>
          <w:rFonts w:ascii="Arial" w:hAnsi="Arial" w:cs="Arial"/>
        </w:rPr>
        <w:br/>
      </w:r>
      <w:r w:rsidRPr="00243446">
        <w:rPr>
          <w:rFonts w:ascii="Arial" w:hAnsi="Arial" w:cs="Arial"/>
          <w:b/>
          <w:bCs/>
        </w:rPr>
        <w:t>Opis mjere:</w:t>
      </w:r>
      <w:r w:rsidRPr="00243446">
        <w:rPr>
          <w:rFonts w:ascii="Arial" w:hAnsi="Arial" w:cs="Arial"/>
        </w:rPr>
        <w:t xml:space="preserve"> Kako bi se obezbijedio efikasan i efektivan sistem za zaštitu finansijskih interesa EU od prevara, potrebno je pratiti najnovija dešavanja u ovoj oblasti. Za ovu svrhu, neophodno je redovno učestvovati na godišnjim konferencijama koje organizuje OLAF. Takođe, važno je dijeliti iskustva sa institucijama koje implementiraju IPA projekte. Kao što je prikazano u poglavlju 2.6.2, od ukupno 77 utvrđenih nepravilnosti, samo je 1 nepravilnost utvrđena na osnovu sumnje koju je prijavila Jedinica za implementaciju projekta, što ukazuje na potrebu za dodatnim podizanjem svijesti o značaju prijavljivanja nepravilnosti.</w:t>
      </w:r>
    </w:p>
    <w:p w:rsidR="009363D1" w:rsidRPr="00243446" w:rsidRDefault="009363D1" w:rsidP="009363D1">
      <w:pPr>
        <w:spacing w:after="160" w:line="259" w:lineRule="auto"/>
        <w:jc w:val="both"/>
        <w:rPr>
          <w:rFonts w:ascii="Arial" w:hAnsi="Arial" w:cs="Arial"/>
          <w:b/>
          <w:bCs/>
          <w:lang w:val="sr-Latn-ME"/>
        </w:rPr>
      </w:pPr>
      <w:r w:rsidRPr="00243446">
        <w:rPr>
          <w:rFonts w:ascii="Arial" w:hAnsi="Arial" w:cs="Arial"/>
          <w:b/>
          <w:bCs/>
        </w:rPr>
        <w:t xml:space="preserve">Mjera 3.5: </w:t>
      </w:r>
      <w:r w:rsidRPr="00243446">
        <w:rPr>
          <w:rFonts w:ascii="Arial" w:hAnsi="Arial" w:cs="Arial"/>
          <w:b/>
          <w:bCs/>
          <w:lang w:val="sr-Latn-ME"/>
        </w:rPr>
        <w:t>Uključivanje Direkcije za zaštitu finansijskih interesa EU / AFCOS u IPA Monitoring komitet kao posmatrača</w:t>
      </w:r>
    </w:p>
    <w:p w:rsidR="009363D1" w:rsidRPr="00243446" w:rsidRDefault="009363D1" w:rsidP="009363D1">
      <w:pPr>
        <w:spacing w:after="160" w:line="259" w:lineRule="auto"/>
        <w:jc w:val="both"/>
      </w:pPr>
      <w:r w:rsidRPr="00243446">
        <w:rPr>
          <w:rFonts w:ascii="Arial" w:hAnsi="Arial" w:cs="Arial"/>
          <w:b/>
          <w:bCs/>
        </w:rPr>
        <w:t>Opis mjere:</w:t>
      </w:r>
      <w:r w:rsidRPr="00243446">
        <w:rPr>
          <w:rFonts w:ascii="Arial" w:hAnsi="Arial" w:cs="Arial"/>
        </w:rPr>
        <w:t xml:space="preserve"> Kao što je navedeno u poglavlju 2.1.2, formalno učešće AFCOS kancelarije na godišnjim sastancima IPA monitoring komiteta poboljšalo bi vidljivost AFCOS kancelarije kao glavnog nacionalnog koordinatora za borbu protiv prevara i kontakt tačku za OLAF u oblasti zaštite finansijskih interesa EU. Takođe, promovisaće zajedničko razumijevanje značaja izrade ove Strategije.</w:t>
      </w:r>
    </w:p>
    <w:p w:rsidR="009363D1" w:rsidRPr="00243446" w:rsidRDefault="009363D1" w:rsidP="000F471C">
      <w:pPr>
        <w:spacing w:after="0" w:line="240" w:lineRule="auto"/>
        <w:rPr>
          <w:rFonts w:ascii="Arial" w:eastAsia="Times New Roman" w:hAnsi="Arial" w:cs="Arial"/>
          <w:b/>
          <w:bCs/>
          <w:lang w:val="sr-Latn-ME"/>
        </w:rPr>
      </w:pPr>
    </w:p>
    <w:p w:rsidR="009363D1" w:rsidRPr="00243446" w:rsidRDefault="009363D1" w:rsidP="000F471C">
      <w:pPr>
        <w:spacing w:after="0" w:line="240" w:lineRule="auto"/>
        <w:rPr>
          <w:rFonts w:ascii="Arial" w:eastAsia="Times New Roman" w:hAnsi="Arial" w:cs="Arial"/>
          <w:b/>
          <w:bCs/>
          <w:lang w:val="sr-Latn-ME"/>
        </w:rPr>
      </w:pPr>
    </w:p>
    <w:p w:rsidR="009363D1" w:rsidRPr="00243446" w:rsidRDefault="009363D1" w:rsidP="000F471C">
      <w:pPr>
        <w:spacing w:after="0" w:line="240" w:lineRule="auto"/>
        <w:rPr>
          <w:rFonts w:ascii="Arial" w:eastAsia="Times New Roman" w:hAnsi="Arial" w:cs="Arial"/>
          <w:b/>
          <w:bCs/>
          <w:lang w:val="sr-Latn-ME"/>
        </w:rPr>
      </w:pPr>
    </w:p>
    <w:p w:rsidR="000F471C" w:rsidRPr="00243446" w:rsidRDefault="000F471C" w:rsidP="000F471C">
      <w:pPr>
        <w:spacing w:after="0" w:line="240" w:lineRule="auto"/>
        <w:rPr>
          <w:rFonts w:ascii="Arial" w:eastAsia="Times New Roman" w:hAnsi="Arial" w:cs="Arial"/>
          <w:b/>
          <w:bCs/>
          <w:lang w:val="sr-Latn-ME"/>
        </w:rPr>
      </w:pPr>
      <w:r w:rsidRPr="00243446">
        <w:rPr>
          <w:rFonts w:ascii="Arial" w:eastAsia="Times New Roman" w:hAnsi="Arial" w:cs="Arial"/>
          <w:b/>
          <w:bCs/>
          <w:lang w:val="sr-Latn-ME"/>
        </w:rPr>
        <w:t xml:space="preserve">3.4. </w:t>
      </w:r>
      <w:bookmarkStart w:id="19" w:name="_Hlk194408042"/>
      <w:r w:rsidRPr="00243446">
        <w:rPr>
          <w:rFonts w:ascii="Arial" w:eastAsia="Times New Roman" w:hAnsi="Arial" w:cs="Arial"/>
          <w:b/>
          <w:bCs/>
          <w:lang w:val="sr-Latn-ME"/>
        </w:rPr>
        <w:t xml:space="preserve">OBLAST 4: </w:t>
      </w:r>
      <w:r w:rsidR="00440507" w:rsidRPr="00243446">
        <w:rPr>
          <w:rFonts w:ascii="Arial" w:eastAsia="Times New Roman" w:hAnsi="Arial" w:cs="Arial"/>
          <w:b/>
          <w:bCs/>
          <w:lang w:val="sr-Latn-ME"/>
        </w:rPr>
        <w:t>Otkrivanje</w:t>
      </w:r>
      <w:r w:rsidRPr="00243446">
        <w:rPr>
          <w:rFonts w:ascii="Arial" w:eastAsia="Times New Roman" w:hAnsi="Arial" w:cs="Arial"/>
          <w:b/>
          <w:bCs/>
          <w:lang w:val="sr-Latn-ME"/>
        </w:rPr>
        <w:t xml:space="preserve">, </w:t>
      </w:r>
      <w:r w:rsidR="00440507" w:rsidRPr="00243446">
        <w:rPr>
          <w:rFonts w:ascii="Arial" w:eastAsia="Times New Roman" w:hAnsi="Arial" w:cs="Arial"/>
          <w:b/>
          <w:bCs/>
          <w:lang w:val="sr-Latn-ME"/>
        </w:rPr>
        <w:t>postupanje</w:t>
      </w:r>
      <w:r w:rsidRPr="00243446">
        <w:rPr>
          <w:rFonts w:ascii="Arial" w:eastAsia="Times New Roman" w:hAnsi="Arial" w:cs="Arial"/>
          <w:b/>
          <w:bCs/>
          <w:lang w:val="sr-Latn-ME"/>
        </w:rPr>
        <w:t xml:space="preserve"> i izv</w:t>
      </w:r>
      <w:r w:rsidR="00D81B76" w:rsidRPr="00243446">
        <w:rPr>
          <w:rFonts w:ascii="Arial" w:eastAsia="Times New Roman" w:hAnsi="Arial" w:cs="Arial"/>
          <w:b/>
          <w:bCs/>
          <w:lang w:val="sr-Latn-ME"/>
        </w:rPr>
        <w:t>j</w:t>
      </w:r>
      <w:r w:rsidRPr="00243446">
        <w:rPr>
          <w:rFonts w:ascii="Arial" w:eastAsia="Times New Roman" w:hAnsi="Arial" w:cs="Arial"/>
          <w:b/>
          <w:bCs/>
          <w:lang w:val="sr-Latn-ME"/>
        </w:rPr>
        <w:t>eštavanje o nepravilnostima i sumnjama na prevaru</w:t>
      </w:r>
    </w:p>
    <w:bookmarkEnd w:id="19"/>
    <w:p w:rsidR="000F471C" w:rsidRPr="00243446" w:rsidRDefault="000F471C" w:rsidP="000F471C">
      <w:pPr>
        <w:spacing w:after="0" w:line="240" w:lineRule="auto"/>
        <w:rPr>
          <w:rFonts w:ascii="Arial" w:eastAsia="Times New Roman" w:hAnsi="Arial" w:cs="Arial"/>
          <w:lang w:val="sr-Latn-ME"/>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0"/>
      </w:tblGrid>
      <w:tr w:rsidR="000F471C" w:rsidRPr="00243446" w:rsidTr="00CB5F79">
        <w:trPr>
          <w:trHeight w:val="990"/>
        </w:trPr>
        <w:tc>
          <w:tcPr>
            <w:tcW w:w="9020" w:type="dxa"/>
          </w:tcPr>
          <w:p w:rsidR="000F471C" w:rsidRPr="00243446" w:rsidRDefault="000F471C" w:rsidP="00CB5F79">
            <w:pPr>
              <w:spacing w:before="100" w:beforeAutospacing="1" w:after="100" w:afterAutospacing="1" w:line="240" w:lineRule="auto"/>
              <w:ind w:left="30"/>
              <w:rPr>
                <w:rFonts w:ascii="Arial" w:eastAsia="Times New Roman" w:hAnsi="Arial" w:cs="Arial"/>
                <w:b/>
                <w:bCs/>
                <w:lang w:val="sr-Latn-ME"/>
              </w:rPr>
            </w:pPr>
            <w:r w:rsidRPr="00243446">
              <w:rPr>
                <w:rFonts w:ascii="Arial" w:eastAsia="Times New Roman" w:hAnsi="Arial" w:cs="Arial"/>
                <w:b/>
                <w:bCs/>
                <w:lang w:val="sr-Latn-ME"/>
              </w:rPr>
              <w:t>Operativni cilj 4:</w:t>
            </w:r>
            <w:r w:rsidRPr="00243446">
              <w:rPr>
                <w:rFonts w:ascii="Arial" w:eastAsia="Times New Roman" w:hAnsi="Arial" w:cs="Arial"/>
                <w:lang w:val="sr-Latn-ME"/>
              </w:rPr>
              <w:br/>
              <w:t xml:space="preserve">Održavanje kapaciteta za </w:t>
            </w:r>
            <w:r w:rsidR="00603834" w:rsidRPr="00243446">
              <w:rPr>
                <w:rFonts w:ascii="Arial" w:eastAsia="Times New Roman" w:hAnsi="Arial" w:cs="Arial"/>
                <w:lang w:val="sr-Latn-ME"/>
              </w:rPr>
              <w:t>otkrivanje</w:t>
            </w:r>
            <w:r w:rsidRPr="00243446">
              <w:rPr>
                <w:rFonts w:ascii="Arial" w:eastAsia="Times New Roman" w:hAnsi="Arial" w:cs="Arial"/>
                <w:lang w:val="sr-Latn-ME"/>
              </w:rPr>
              <w:t xml:space="preserve"> nepravilnosti uz </w:t>
            </w:r>
            <w:r w:rsidR="00603834" w:rsidRPr="00243446">
              <w:rPr>
                <w:rFonts w:ascii="Arial" w:eastAsia="Times New Roman" w:hAnsi="Arial" w:cs="Arial"/>
                <w:lang w:val="sr-Latn-ME"/>
              </w:rPr>
              <w:t xml:space="preserve">istovremeno </w:t>
            </w:r>
            <w:r w:rsidRPr="00243446">
              <w:rPr>
                <w:rFonts w:ascii="Arial" w:eastAsia="Times New Roman" w:hAnsi="Arial" w:cs="Arial"/>
                <w:lang w:val="sr-Latn-ME"/>
              </w:rPr>
              <w:t>poboljšanje kvaliteta izv</w:t>
            </w:r>
            <w:r w:rsidR="00D81B76" w:rsidRPr="00243446">
              <w:rPr>
                <w:rFonts w:ascii="Arial" w:eastAsia="Times New Roman" w:hAnsi="Arial" w:cs="Arial"/>
                <w:lang w:val="sr-Latn-ME"/>
              </w:rPr>
              <w:t>j</w:t>
            </w:r>
            <w:r w:rsidRPr="00243446">
              <w:rPr>
                <w:rFonts w:ascii="Arial" w:eastAsia="Times New Roman" w:hAnsi="Arial" w:cs="Arial"/>
                <w:lang w:val="sr-Latn-ME"/>
              </w:rPr>
              <w:t>eštavanja o nepravilnostima i unaprijeđenje prepoznavanja crvenih zastav</w:t>
            </w:r>
            <w:r w:rsidR="00877D5E" w:rsidRPr="00243446">
              <w:rPr>
                <w:rFonts w:ascii="Arial" w:eastAsia="Times New Roman" w:hAnsi="Arial" w:cs="Arial"/>
                <w:lang w:val="sr-Latn-ME"/>
              </w:rPr>
              <w:t>ica</w:t>
            </w:r>
            <w:r w:rsidRPr="00243446">
              <w:rPr>
                <w:rFonts w:ascii="Arial" w:eastAsia="Times New Roman" w:hAnsi="Arial" w:cs="Arial"/>
                <w:lang w:val="sr-Latn-ME"/>
              </w:rPr>
              <w:t xml:space="preserve"> i znakova prevar</w:t>
            </w:r>
            <w:r w:rsidR="00877D5E" w:rsidRPr="00243446">
              <w:rPr>
                <w:rFonts w:ascii="Arial" w:eastAsia="Times New Roman" w:hAnsi="Arial" w:cs="Arial"/>
                <w:lang w:val="sr-Latn-ME"/>
              </w:rPr>
              <w:t>a</w:t>
            </w:r>
            <w:r w:rsidRPr="00243446">
              <w:rPr>
                <w:rFonts w:ascii="Arial" w:eastAsia="Times New Roman" w:hAnsi="Arial" w:cs="Arial"/>
                <w:lang w:val="sr-Latn-ME"/>
              </w:rPr>
              <w:t>.</w:t>
            </w:r>
            <w:r w:rsidRPr="00243446">
              <w:rPr>
                <w:rFonts w:ascii="Arial" w:eastAsia="Times New Roman" w:hAnsi="Arial" w:cs="Arial"/>
                <w:lang w:val="sr-Latn-ME"/>
              </w:rPr>
              <w:br/>
            </w:r>
          </w:p>
        </w:tc>
      </w:tr>
    </w:tbl>
    <w:p w:rsidR="000F471C" w:rsidRPr="00243446" w:rsidRDefault="000F471C" w:rsidP="000F471C">
      <w:pPr>
        <w:spacing w:after="0" w:line="240" w:lineRule="auto"/>
        <w:rPr>
          <w:rFonts w:ascii="Arial" w:eastAsia="Times New Roman" w:hAnsi="Arial" w:cs="Arial"/>
          <w:lang w:val="sr-Latn-ME"/>
        </w:rPr>
      </w:pPr>
    </w:p>
    <w:p w:rsidR="009363D1" w:rsidRPr="00243446" w:rsidRDefault="009363D1" w:rsidP="000F471C">
      <w:pPr>
        <w:spacing w:after="0" w:line="240" w:lineRule="auto"/>
        <w:rPr>
          <w:rFonts w:ascii="Arial" w:eastAsia="Times New Roman" w:hAnsi="Arial" w:cs="Arial"/>
          <w:lang w:val="sr-Latn-ME"/>
        </w:rPr>
      </w:pPr>
    </w:p>
    <w:tbl>
      <w:tblPr>
        <w:tblStyle w:val="TableGrid"/>
        <w:tblW w:w="9085" w:type="dxa"/>
        <w:tblLook w:val="04A0" w:firstRow="1" w:lastRow="0" w:firstColumn="1" w:lastColumn="0" w:noHBand="0" w:noVBand="1"/>
      </w:tblPr>
      <w:tblGrid>
        <w:gridCol w:w="3964"/>
        <w:gridCol w:w="1626"/>
        <w:gridCol w:w="1803"/>
        <w:gridCol w:w="1692"/>
      </w:tblGrid>
      <w:tr w:rsidR="009363D1" w:rsidRPr="00243446" w:rsidTr="009363D1">
        <w:tc>
          <w:tcPr>
            <w:tcW w:w="3964"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Indikator uspjeha</w:t>
            </w:r>
          </w:p>
        </w:tc>
        <w:tc>
          <w:tcPr>
            <w:tcW w:w="1626" w:type="dxa"/>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2024</w:t>
            </w:r>
          </w:p>
        </w:tc>
        <w:tc>
          <w:tcPr>
            <w:tcW w:w="1803" w:type="dxa"/>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2026</w:t>
            </w:r>
          </w:p>
        </w:tc>
        <w:tc>
          <w:tcPr>
            <w:tcW w:w="1692" w:type="dxa"/>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2028</w:t>
            </w:r>
          </w:p>
        </w:tc>
      </w:tr>
      <w:tr w:rsidR="009363D1" w:rsidRPr="00243446" w:rsidTr="009363D1">
        <w:tc>
          <w:tcPr>
            <w:tcW w:w="3964" w:type="dxa"/>
          </w:tcPr>
          <w:p w:rsidR="009363D1" w:rsidRPr="00243446" w:rsidRDefault="009363D1" w:rsidP="009363D1">
            <w:pPr>
              <w:spacing w:after="0" w:line="240" w:lineRule="auto"/>
              <w:rPr>
                <w:rFonts w:ascii="Arial" w:eastAsia="Times New Roman" w:hAnsi="Arial" w:cs="Arial"/>
                <w:sz w:val="22"/>
                <w:szCs w:val="22"/>
                <w:lang w:eastAsia="en-US"/>
              </w:rPr>
            </w:pPr>
            <w:r w:rsidRPr="00243446">
              <w:rPr>
                <w:rFonts w:ascii="Arial" w:eastAsia="Times New Roman" w:hAnsi="Arial" w:cs="Arial"/>
                <w:sz w:val="22"/>
                <w:szCs w:val="22"/>
                <w:lang w:eastAsia="en-US"/>
              </w:rPr>
              <w:t xml:space="preserve">Procenat nepravilnosti prijavljenih </w:t>
            </w:r>
            <w:r w:rsidR="00D81B76" w:rsidRPr="00243446">
              <w:rPr>
                <w:rFonts w:ascii="Arial" w:eastAsia="Times New Roman" w:hAnsi="Arial" w:cs="Arial"/>
                <w:sz w:val="22"/>
                <w:szCs w:val="22"/>
                <w:lang w:eastAsia="en-US"/>
              </w:rPr>
              <w:t>kroz</w:t>
            </w:r>
            <w:r w:rsidRPr="00243446">
              <w:rPr>
                <w:rFonts w:ascii="Arial" w:eastAsia="Times New Roman" w:hAnsi="Arial" w:cs="Arial"/>
                <w:sz w:val="22"/>
                <w:szCs w:val="22"/>
                <w:lang w:eastAsia="en-US"/>
              </w:rPr>
              <w:t xml:space="preserve"> IMS unutar postavljenog roka (u roku od 45 dana od PACA datuma).</w:t>
            </w:r>
          </w:p>
          <w:p w:rsidR="009363D1" w:rsidRPr="00243446" w:rsidRDefault="009363D1" w:rsidP="009363D1">
            <w:pPr>
              <w:spacing w:after="0" w:line="240" w:lineRule="auto"/>
              <w:rPr>
                <w:rFonts w:ascii="Arial" w:eastAsia="Times New Roman" w:hAnsi="Arial" w:cs="Arial"/>
                <w:sz w:val="22"/>
                <w:szCs w:val="22"/>
                <w:lang w:eastAsia="en-US"/>
              </w:rPr>
            </w:pPr>
          </w:p>
        </w:tc>
        <w:tc>
          <w:tcPr>
            <w:tcW w:w="1626"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4%</w:t>
            </w:r>
          </w:p>
        </w:tc>
        <w:tc>
          <w:tcPr>
            <w:tcW w:w="1803"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50%</w:t>
            </w:r>
          </w:p>
        </w:tc>
        <w:tc>
          <w:tcPr>
            <w:tcW w:w="1692"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90%</w:t>
            </w:r>
          </w:p>
        </w:tc>
      </w:tr>
      <w:tr w:rsidR="009363D1" w:rsidRPr="00243446" w:rsidTr="009363D1">
        <w:tc>
          <w:tcPr>
            <w:tcW w:w="3964" w:type="dxa"/>
          </w:tcPr>
          <w:p w:rsidR="009363D1" w:rsidRPr="00243446" w:rsidRDefault="009363D1" w:rsidP="009363D1">
            <w:pPr>
              <w:spacing w:after="0" w:line="240" w:lineRule="auto"/>
              <w:rPr>
                <w:rFonts w:ascii="Arial" w:eastAsia="Times New Roman" w:hAnsi="Arial" w:cs="Arial"/>
                <w:sz w:val="22"/>
                <w:szCs w:val="22"/>
                <w:lang w:eastAsia="en-US"/>
              </w:rPr>
            </w:pPr>
            <w:r w:rsidRPr="00243446">
              <w:rPr>
                <w:rFonts w:ascii="Arial" w:eastAsia="Times New Roman" w:hAnsi="Arial" w:cs="Arial"/>
                <w:sz w:val="22"/>
                <w:szCs w:val="22"/>
                <w:lang w:eastAsia="en-US"/>
              </w:rPr>
              <w:t xml:space="preserve">Procenat nepravilnosti prijavljenih kao sumnja na prevaru </w:t>
            </w:r>
          </w:p>
          <w:p w:rsidR="009363D1" w:rsidRPr="00243446" w:rsidRDefault="009363D1" w:rsidP="009363D1">
            <w:pPr>
              <w:spacing w:after="0" w:line="240" w:lineRule="auto"/>
              <w:rPr>
                <w:rFonts w:ascii="Arial" w:eastAsia="Times New Roman" w:hAnsi="Arial" w:cs="Arial"/>
                <w:sz w:val="22"/>
                <w:szCs w:val="22"/>
                <w:lang w:eastAsia="en-US"/>
              </w:rPr>
            </w:pPr>
          </w:p>
        </w:tc>
        <w:tc>
          <w:tcPr>
            <w:tcW w:w="1626"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5%</w:t>
            </w:r>
          </w:p>
        </w:tc>
        <w:tc>
          <w:tcPr>
            <w:tcW w:w="1803"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6%</w:t>
            </w:r>
          </w:p>
        </w:tc>
        <w:tc>
          <w:tcPr>
            <w:tcW w:w="1692"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8%</w:t>
            </w:r>
          </w:p>
        </w:tc>
      </w:tr>
      <w:tr w:rsidR="009363D1" w:rsidRPr="00243446" w:rsidTr="009363D1">
        <w:tc>
          <w:tcPr>
            <w:tcW w:w="3964" w:type="dxa"/>
          </w:tcPr>
          <w:p w:rsidR="009363D1" w:rsidRPr="00243446" w:rsidRDefault="009363D1" w:rsidP="009363D1">
            <w:pPr>
              <w:spacing w:after="0" w:line="240" w:lineRule="auto"/>
              <w:rPr>
                <w:rFonts w:ascii="Arial" w:eastAsia="Times New Roman" w:hAnsi="Arial" w:cs="Arial"/>
                <w:sz w:val="22"/>
                <w:szCs w:val="22"/>
                <w:lang w:eastAsia="en-US"/>
              </w:rPr>
            </w:pPr>
            <w:r w:rsidRPr="00243446">
              <w:rPr>
                <w:rFonts w:ascii="Arial" w:eastAsia="Times New Roman" w:hAnsi="Arial" w:cs="Arial"/>
                <w:sz w:val="22"/>
                <w:szCs w:val="22"/>
                <w:lang w:eastAsia="en-US"/>
              </w:rPr>
              <w:t>Broj vraćenih izvještaja o nepravilnostima od strane Direkcije za zaštitu finansijskih interesa EU/AFCOS Implementacionim agencijama/ Posredničkim tijelima za finansijsko upravljanje, radi dorade.</w:t>
            </w:r>
          </w:p>
        </w:tc>
        <w:tc>
          <w:tcPr>
            <w:tcW w:w="1626"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60</w:t>
            </w:r>
          </w:p>
        </w:tc>
        <w:tc>
          <w:tcPr>
            <w:tcW w:w="1803"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40</w:t>
            </w:r>
          </w:p>
        </w:tc>
        <w:tc>
          <w:tcPr>
            <w:tcW w:w="1692"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20</w:t>
            </w:r>
          </w:p>
        </w:tc>
      </w:tr>
    </w:tbl>
    <w:p w:rsidR="009363D1" w:rsidRPr="00243446" w:rsidRDefault="009363D1" w:rsidP="000F471C">
      <w:pPr>
        <w:spacing w:after="0" w:line="240" w:lineRule="auto"/>
        <w:rPr>
          <w:rFonts w:ascii="Arial" w:eastAsia="Times New Roman" w:hAnsi="Arial" w:cs="Arial"/>
          <w:lang w:val="sr-Latn-ME"/>
        </w:rPr>
      </w:pPr>
    </w:p>
    <w:p w:rsidR="009363D1" w:rsidRPr="00243446" w:rsidRDefault="009363D1" w:rsidP="000F471C">
      <w:pPr>
        <w:spacing w:after="0" w:line="240" w:lineRule="auto"/>
        <w:rPr>
          <w:rFonts w:ascii="Arial" w:eastAsia="Times New Roman" w:hAnsi="Arial" w:cs="Arial"/>
          <w:b/>
          <w:bCs/>
          <w:lang w:val="sr-Latn-ME"/>
        </w:rPr>
      </w:pPr>
    </w:p>
    <w:p w:rsidR="009363D1" w:rsidRPr="00243446" w:rsidRDefault="009363D1" w:rsidP="009363D1">
      <w:pPr>
        <w:spacing w:after="160" w:line="259" w:lineRule="auto"/>
        <w:jc w:val="both"/>
        <w:rPr>
          <w:rFonts w:ascii="Arial" w:hAnsi="Arial" w:cs="Arial"/>
        </w:rPr>
      </w:pPr>
      <w:r w:rsidRPr="00243446">
        <w:rPr>
          <w:rFonts w:ascii="Arial" w:hAnsi="Arial" w:cs="Arial"/>
        </w:rPr>
        <w:t>Definisani cilj biće realizovan kroz sledeće mjere:</w:t>
      </w:r>
    </w:p>
    <w:p w:rsidR="009363D1" w:rsidRPr="00243446" w:rsidRDefault="009363D1" w:rsidP="009363D1">
      <w:pPr>
        <w:jc w:val="both"/>
        <w:rPr>
          <w:rFonts w:ascii="Arial" w:hAnsi="Arial" w:cs="Arial"/>
          <w:b/>
          <w:bCs/>
        </w:rPr>
      </w:pPr>
      <w:r w:rsidRPr="00243446">
        <w:rPr>
          <w:rFonts w:ascii="Arial" w:hAnsi="Arial" w:cs="Arial"/>
          <w:b/>
          <w:bCs/>
        </w:rPr>
        <w:t>Mjera 4.1: Unaprijeđenje smjernica za upravljanje nepravilnostima</w:t>
      </w:r>
    </w:p>
    <w:p w:rsidR="00FC69F0" w:rsidRPr="00243446" w:rsidRDefault="009363D1" w:rsidP="009363D1">
      <w:pPr>
        <w:spacing w:after="160" w:line="259" w:lineRule="auto"/>
        <w:jc w:val="both"/>
        <w:rPr>
          <w:rFonts w:ascii="Arial" w:hAnsi="Arial" w:cs="Arial"/>
        </w:rPr>
      </w:pPr>
      <w:r w:rsidRPr="00243446">
        <w:rPr>
          <w:rFonts w:ascii="Arial" w:hAnsi="Arial" w:cs="Arial"/>
        </w:rPr>
        <w:br/>
      </w:r>
      <w:r w:rsidRPr="00243446">
        <w:rPr>
          <w:rFonts w:ascii="Arial" w:hAnsi="Arial" w:cs="Arial"/>
          <w:b/>
          <w:bCs/>
        </w:rPr>
        <w:t>Opis mjere:</w:t>
      </w:r>
      <w:r w:rsidRPr="00243446">
        <w:rPr>
          <w:rFonts w:ascii="Arial" w:hAnsi="Arial" w:cs="Arial"/>
        </w:rPr>
        <w:t xml:space="preserve"> Kao što je navedeno u poglavlju 2.1.1, </w:t>
      </w:r>
      <w:r w:rsidR="00E0349C" w:rsidRPr="00243446">
        <w:rPr>
          <w:rFonts w:ascii="Arial" w:hAnsi="Arial" w:cs="Arial"/>
        </w:rPr>
        <w:t xml:space="preserve">tokom prethodnog perioda razvijene su </w:t>
      </w:r>
      <w:r w:rsidRPr="00243446">
        <w:rPr>
          <w:rFonts w:ascii="Arial" w:hAnsi="Arial" w:cs="Arial"/>
        </w:rPr>
        <w:t>Smjernice za upravljanje nepravilnostima i ažuriran</w:t>
      </w:r>
      <w:r w:rsidR="00D32D6A" w:rsidRPr="00243446">
        <w:rPr>
          <w:rFonts w:ascii="Arial" w:hAnsi="Arial" w:cs="Arial"/>
        </w:rPr>
        <w:t xml:space="preserve"> </w:t>
      </w:r>
      <w:r w:rsidRPr="00243446">
        <w:rPr>
          <w:rFonts w:ascii="Arial" w:hAnsi="Arial" w:cs="Arial"/>
        </w:rPr>
        <w:t>je Priručnik o procedurama za prijavu nepravilnosti. Međutim, nakon usvajanja novih pravnih dokumenata u Mjerama 1.1 i 1.2 ove smjernice će biti prilagođene. Smjernice za nepravilnosti biće pregledane u okviru Twinning projekta: „Dalje unapr</w:t>
      </w:r>
      <w:r w:rsidR="00B50637" w:rsidRPr="00243446">
        <w:rPr>
          <w:rFonts w:ascii="Arial" w:hAnsi="Arial" w:cs="Arial"/>
        </w:rPr>
        <w:t>ij</w:t>
      </w:r>
      <w:r w:rsidRPr="00243446">
        <w:rPr>
          <w:rFonts w:ascii="Arial" w:hAnsi="Arial" w:cs="Arial"/>
        </w:rPr>
        <w:t>eđenje funkcionisanja crnogorskog AFCOS sistema u cilju efikasne zaštite finansijskih interesa EU</w:t>
      </w:r>
      <w:r w:rsidR="00FC69F0" w:rsidRPr="00243446">
        <w:rPr>
          <w:rFonts w:ascii="Arial" w:hAnsi="Arial" w:cs="Arial"/>
        </w:rPr>
        <w:t xml:space="preserve"> </w:t>
      </w:r>
      <w:r w:rsidRPr="00243446">
        <w:rPr>
          <w:rFonts w:ascii="Arial" w:hAnsi="Arial" w:cs="Arial"/>
        </w:rPr>
        <w:t>“</w:t>
      </w:r>
      <w:r w:rsidR="00FC69F0" w:rsidRPr="00243446">
        <w:rPr>
          <w:rFonts w:ascii="Arial" w:hAnsi="Arial" w:cs="Arial"/>
        </w:rPr>
        <w:t xml:space="preserve"> </w:t>
      </w:r>
      <w:r w:rsidRPr="00243446">
        <w:rPr>
          <w:rFonts w:ascii="Arial" w:hAnsi="Arial" w:cs="Arial"/>
        </w:rPr>
        <w:t>i biće date preporuke. Takođe, biće neophodno uvrstiti izm</w:t>
      </w:r>
      <w:r w:rsidR="00B50637" w:rsidRPr="00243446">
        <w:rPr>
          <w:rFonts w:ascii="Arial" w:hAnsi="Arial" w:cs="Arial"/>
        </w:rPr>
        <w:t>j</w:t>
      </w:r>
      <w:r w:rsidRPr="00243446">
        <w:rPr>
          <w:rFonts w:ascii="Arial" w:hAnsi="Arial" w:cs="Arial"/>
        </w:rPr>
        <w:t xml:space="preserve">ene iz Smjernicama za upravljanje nepravilnostima u </w:t>
      </w:r>
      <w:r w:rsidR="00B50637" w:rsidRPr="00243446">
        <w:rPr>
          <w:rFonts w:ascii="Arial" w:hAnsi="Arial" w:cs="Arial"/>
        </w:rPr>
        <w:t xml:space="preserve">poglavlje </w:t>
      </w:r>
      <w:r w:rsidRPr="00243446">
        <w:rPr>
          <w:rFonts w:ascii="Arial" w:hAnsi="Arial" w:cs="Arial"/>
        </w:rPr>
        <w:t>„Nepravilnosti” Priručnika o procedurama za prijavu nepravilnosti.</w:t>
      </w:r>
    </w:p>
    <w:p w:rsidR="009363D1" w:rsidRPr="00243446" w:rsidRDefault="009363D1" w:rsidP="00FC69F0">
      <w:pPr>
        <w:spacing w:after="160" w:line="259" w:lineRule="auto"/>
        <w:jc w:val="both"/>
        <w:rPr>
          <w:rFonts w:ascii="Arial" w:hAnsi="Arial" w:cs="Arial"/>
        </w:rPr>
      </w:pPr>
      <w:r w:rsidRPr="00243446">
        <w:rPr>
          <w:rFonts w:ascii="Arial" w:hAnsi="Arial" w:cs="Arial"/>
        </w:rPr>
        <w:br/>
      </w:r>
      <w:r w:rsidRPr="00243446">
        <w:rPr>
          <w:rFonts w:ascii="Arial" w:hAnsi="Arial" w:cs="Arial"/>
          <w:b/>
          <w:bCs/>
        </w:rPr>
        <w:t xml:space="preserve">Mjera 4.2: </w:t>
      </w:r>
      <w:r w:rsidRPr="00243446">
        <w:rPr>
          <w:rFonts w:ascii="Arial" w:hAnsi="Arial" w:cs="Arial"/>
          <w:b/>
          <w:bCs/>
          <w:lang w:val="sr-Latn-ME"/>
        </w:rPr>
        <w:t>Unapr</w:t>
      </w:r>
      <w:r w:rsidR="005665E3" w:rsidRPr="00243446">
        <w:rPr>
          <w:rFonts w:ascii="Arial" w:hAnsi="Arial" w:cs="Arial"/>
          <w:b/>
          <w:bCs/>
          <w:lang w:val="sr-Latn-ME"/>
        </w:rPr>
        <w:t>i</w:t>
      </w:r>
      <w:r w:rsidRPr="00243446">
        <w:rPr>
          <w:rFonts w:ascii="Arial" w:hAnsi="Arial" w:cs="Arial"/>
          <w:b/>
          <w:bCs/>
          <w:lang w:val="sr-Latn-ME"/>
        </w:rPr>
        <w:t>jeđenje indirektnog sistema upravljanja i kontrole za implementaciju projekata iz IPA fondova</w:t>
      </w:r>
    </w:p>
    <w:p w:rsidR="00FC69F0" w:rsidRPr="00243446" w:rsidRDefault="009363D1" w:rsidP="009363D1">
      <w:pPr>
        <w:spacing w:after="160" w:line="259" w:lineRule="auto"/>
        <w:jc w:val="both"/>
        <w:rPr>
          <w:rFonts w:ascii="Arial" w:hAnsi="Arial" w:cs="Arial"/>
        </w:rPr>
      </w:pPr>
      <w:r w:rsidRPr="00243446">
        <w:rPr>
          <w:rFonts w:ascii="Arial" w:hAnsi="Arial" w:cs="Arial"/>
          <w:b/>
          <w:bCs/>
        </w:rPr>
        <w:t>Opis mjere:</w:t>
      </w:r>
      <w:r w:rsidRPr="00243446">
        <w:rPr>
          <w:rFonts w:ascii="Arial" w:hAnsi="Arial" w:cs="Arial"/>
        </w:rPr>
        <w:t xml:space="preserve"> Kao što je naznačeno u poglavlju 2.2, analiza rizika od prevara je otkrila rizik od neprepoznavanja i nepravilne klasifikacije nepravilnosti, pa je potrebno unaprijediti kvalitet unosa podataka o nepravilnostima u registre nepravilnosti s ciljem poboljšanja pouzdanosti izvještavanja o nepravilnostima, naročito u vezi sa vrstama nepravilnosti, načinima otkrivanja i finansijskim statistikama. Upitnik će biti distribuiran implementacionim agencijama radi samoprocjene razloga kašnjenja i vremena izvještavanja kroz IMS. Kada se odgovori na upitnik analiziraju, aktivnosti za unapr</w:t>
      </w:r>
      <w:r w:rsidR="005665E3" w:rsidRPr="00243446">
        <w:rPr>
          <w:rFonts w:ascii="Arial" w:hAnsi="Arial" w:cs="Arial"/>
        </w:rPr>
        <w:t>ij</w:t>
      </w:r>
      <w:r w:rsidRPr="00243446">
        <w:rPr>
          <w:rFonts w:ascii="Arial" w:hAnsi="Arial" w:cs="Arial"/>
        </w:rPr>
        <w:t>eđenje kvaliteta izvještaja biće planirane u Akcionom planu za period 2027-2028.</w:t>
      </w:r>
    </w:p>
    <w:p w:rsidR="009363D1" w:rsidRPr="00243446" w:rsidRDefault="009363D1" w:rsidP="009363D1">
      <w:pPr>
        <w:spacing w:after="160" w:line="259" w:lineRule="auto"/>
        <w:jc w:val="both"/>
        <w:rPr>
          <w:rFonts w:ascii="Arial" w:hAnsi="Arial" w:cs="Arial"/>
        </w:rPr>
      </w:pPr>
      <w:r w:rsidRPr="00243446">
        <w:rPr>
          <w:rFonts w:ascii="Arial" w:hAnsi="Arial" w:cs="Arial"/>
        </w:rPr>
        <w:t xml:space="preserve"> </w:t>
      </w:r>
      <w:r w:rsidRPr="00243446">
        <w:rPr>
          <w:rFonts w:ascii="Arial" w:hAnsi="Arial" w:cs="Arial"/>
        </w:rPr>
        <w:br/>
      </w:r>
      <w:r w:rsidR="005665E3" w:rsidRPr="00243446">
        <w:rPr>
          <w:rFonts w:ascii="Arial" w:hAnsi="Arial" w:cs="Arial"/>
        </w:rPr>
        <w:t>Takođe, a</w:t>
      </w:r>
      <w:r w:rsidRPr="00243446">
        <w:rPr>
          <w:rFonts w:ascii="Arial" w:hAnsi="Arial" w:cs="Arial"/>
        </w:rPr>
        <w:t xml:space="preserve">nalizom je uočeno nekoliko </w:t>
      </w:r>
      <w:r w:rsidR="005665E3" w:rsidRPr="00243446">
        <w:rPr>
          <w:rFonts w:ascii="Arial" w:hAnsi="Arial" w:cs="Arial"/>
        </w:rPr>
        <w:t>nedostataka</w:t>
      </w:r>
      <w:r w:rsidRPr="00243446">
        <w:rPr>
          <w:rFonts w:ascii="Arial" w:hAnsi="Arial" w:cs="Arial"/>
        </w:rPr>
        <w:t xml:space="preserve"> u sistemu upravljanja i kontrole, uključujući:</w:t>
      </w:r>
    </w:p>
    <w:p w:rsidR="009363D1" w:rsidRPr="00243446" w:rsidRDefault="009363D1" w:rsidP="009363D1">
      <w:pPr>
        <w:numPr>
          <w:ilvl w:val="0"/>
          <w:numId w:val="46"/>
        </w:numPr>
        <w:spacing w:after="160" w:line="259" w:lineRule="auto"/>
        <w:jc w:val="both"/>
        <w:rPr>
          <w:rFonts w:ascii="Arial" w:hAnsi="Arial" w:cs="Arial"/>
        </w:rPr>
      </w:pPr>
      <w:r w:rsidRPr="00243446">
        <w:rPr>
          <w:rFonts w:ascii="Arial" w:hAnsi="Arial" w:cs="Arial"/>
        </w:rPr>
        <w:t>Neadekvatnu verifikaciju duplog finansiranja EU projekata, zbog nedostatka jedinstvene baze podataka EU projekata.</w:t>
      </w:r>
    </w:p>
    <w:p w:rsidR="00FC69F0" w:rsidRPr="00243446" w:rsidRDefault="005665E3" w:rsidP="00FC69F0">
      <w:pPr>
        <w:numPr>
          <w:ilvl w:val="0"/>
          <w:numId w:val="46"/>
        </w:numPr>
        <w:spacing w:after="160" w:line="259" w:lineRule="auto"/>
        <w:jc w:val="both"/>
        <w:rPr>
          <w:rFonts w:ascii="Arial" w:hAnsi="Arial" w:cs="Arial"/>
        </w:rPr>
      </w:pPr>
      <w:r w:rsidRPr="00243446">
        <w:rPr>
          <w:rFonts w:ascii="Arial" w:hAnsi="Arial" w:cs="Arial"/>
        </w:rPr>
        <w:t>Neadekvatnu p</w:t>
      </w:r>
      <w:r w:rsidR="009363D1" w:rsidRPr="00243446">
        <w:rPr>
          <w:rFonts w:ascii="Arial" w:hAnsi="Arial" w:cs="Arial"/>
        </w:rPr>
        <w:t>rov</w:t>
      </w:r>
      <w:r w:rsidRPr="00243446">
        <w:rPr>
          <w:rFonts w:ascii="Arial" w:hAnsi="Arial" w:cs="Arial"/>
        </w:rPr>
        <w:t>j</w:t>
      </w:r>
      <w:r w:rsidR="009363D1" w:rsidRPr="00243446">
        <w:rPr>
          <w:rFonts w:ascii="Arial" w:hAnsi="Arial" w:cs="Arial"/>
        </w:rPr>
        <w:t>eru povezanosti osoba u smislu sukoba interesa, kada je u pitanju implementacija kontrola na licu m</w:t>
      </w:r>
      <w:r w:rsidRPr="00243446">
        <w:rPr>
          <w:rFonts w:ascii="Arial" w:hAnsi="Arial" w:cs="Arial"/>
        </w:rPr>
        <w:t>j</w:t>
      </w:r>
      <w:r w:rsidR="009363D1" w:rsidRPr="00243446">
        <w:rPr>
          <w:rFonts w:ascii="Arial" w:hAnsi="Arial" w:cs="Arial"/>
        </w:rPr>
        <w:t>esta, što može dovesti do prihvatanja neopravdanih troškova i drugih nepravilnosti.</w:t>
      </w:r>
    </w:p>
    <w:p w:rsidR="009363D1" w:rsidRPr="00243446" w:rsidRDefault="009363D1" w:rsidP="00FC69F0">
      <w:pPr>
        <w:spacing w:after="160" w:line="259" w:lineRule="auto"/>
        <w:jc w:val="both"/>
        <w:rPr>
          <w:rFonts w:ascii="Arial" w:hAnsi="Arial" w:cs="Arial"/>
        </w:rPr>
      </w:pPr>
      <w:r w:rsidRPr="00243446">
        <w:rPr>
          <w:rFonts w:ascii="Arial" w:hAnsi="Arial" w:cs="Arial"/>
        </w:rPr>
        <w:br/>
        <w:t>Kako bi se prevazišl</w:t>
      </w:r>
      <w:r w:rsidR="005665E3" w:rsidRPr="00243446">
        <w:rPr>
          <w:rFonts w:ascii="Arial" w:hAnsi="Arial" w:cs="Arial"/>
        </w:rPr>
        <w:t>i ovi nedostaci</w:t>
      </w:r>
      <w:r w:rsidRPr="00243446">
        <w:rPr>
          <w:rFonts w:ascii="Arial" w:hAnsi="Arial" w:cs="Arial"/>
        </w:rPr>
        <w:t>, sledeće aktivnosti će biti uključene u Akcioni plan NAFS-a:</w:t>
      </w:r>
    </w:p>
    <w:p w:rsidR="009363D1" w:rsidRPr="00243446" w:rsidRDefault="009363D1" w:rsidP="005665E3">
      <w:pPr>
        <w:pStyle w:val="ListParagraph"/>
        <w:numPr>
          <w:ilvl w:val="0"/>
          <w:numId w:val="48"/>
        </w:numPr>
        <w:spacing w:after="160" w:line="259" w:lineRule="auto"/>
        <w:rPr>
          <w:rFonts w:cs="Arial"/>
          <w:sz w:val="22"/>
          <w:szCs w:val="22"/>
        </w:rPr>
      </w:pPr>
      <w:r w:rsidRPr="00243446">
        <w:rPr>
          <w:rFonts w:cs="Arial"/>
          <w:sz w:val="22"/>
          <w:szCs w:val="22"/>
        </w:rPr>
        <w:t>Kreira</w:t>
      </w:r>
      <w:r w:rsidR="005665E3" w:rsidRPr="00243446">
        <w:rPr>
          <w:rFonts w:cs="Arial"/>
          <w:sz w:val="22"/>
          <w:szCs w:val="22"/>
          <w:lang w:val="sr-Latn-ME"/>
        </w:rPr>
        <w:t>nje</w:t>
      </w:r>
      <w:r w:rsidRPr="00243446">
        <w:rPr>
          <w:rFonts w:cs="Arial"/>
          <w:sz w:val="22"/>
          <w:szCs w:val="22"/>
        </w:rPr>
        <w:t xml:space="preserve"> jedinstven</w:t>
      </w:r>
      <w:r w:rsidR="005665E3" w:rsidRPr="00243446">
        <w:rPr>
          <w:rFonts w:cs="Arial"/>
          <w:sz w:val="22"/>
          <w:szCs w:val="22"/>
          <w:lang w:val="sr-Latn-ME"/>
        </w:rPr>
        <w:t>e</w:t>
      </w:r>
      <w:r w:rsidRPr="00243446">
        <w:rPr>
          <w:rFonts w:cs="Arial"/>
          <w:sz w:val="22"/>
          <w:szCs w:val="22"/>
        </w:rPr>
        <w:t xml:space="preserve"> elektronsk</w:t>
      </w:r>
      <w:r w:rsidR="005665E3" w:rsidRPr="00243446">
        <w:rPr>
          <w:rFonts w:cs="Arial"/>
          <w:sz w:val="22"/>
          <w:szCs w:val="22"/>
          <w:lang w:val="sr-Latn-ME"/>
        </w:rPr>
        <w:t>e</w:t>
      </w:r>
      <w:r w:rsidRPr="00243446">
        <w:rPr>
          <w:rFonts w:cs="Arial"/>
          <w:sz w:val="22"/>
          <w:szCs w:val="22"/>
        </w:rPr>
        <w:t xml:space="preserve"> baz</w:t>
      </w:r>
      <w:r w:rsidR="005665E3" w:rsidRPr="00243446">
        <w:rPr>
          <w:rFonts w:cs="Arial"/>
          <w:sz w:val="22"/>
          <w:szCs w:val="22"/>
          <w:lang w:val="sr-Latn-ME"/>
        </w:rPr>
        <w:t>e</w:t>
      </w:r>
      <w:r w:rsidRPr="00243446">
        <w:rPr>
          <w:rFonts w:cs="Arial"/>
          <w:sz w:val="22"/>
          <w:szCs w:val="22"/>
        </w:rPr>
        <w:t xml:space="preserve"> podataka projekata finansiranih iz EU podrške tj. internet platform</w:t>
      </w:r>
      <w:r w:rsidR="005665E3" w:rsidRPr="00243446">
        <w:rPr>
          <w:rFonts w:cs="Arial"/>
          <w:sz w:val="22"/>
          <w:szCs w:val="22"/>
          <w:lang w:val="sr-Latn-ME"/>
        </w:rPr>
        <w:t>e</w:t>
      </w:r>
      <w:r w:rsidRPr="00243446">
        <w:rPr>
          <w:rFonts w:cs="Arial"/>
          <w:sz w:val="22"/>
          <w:szCs w:val="22"/>
        </w:rPr>
        <w:t xml:space="preserve"> za EU fondove u Crnoj Gori i omoguć</w:t>
      </w:r>
      <w:r w:rsidR="005665E3" w:rsidRPr="00243446">
        <w:rPr>
          <w:rFonts w:cs="Arial"/>
          <w:sz w:val="22"/>
          <w:szCs w:val="22"/>
          <w:lang w:val="sr-Latn-ME"/>
        </w:rPr>
        <w:t>avanje</w:t>
      </w:r>
      <w:r w:rsidRPr="00243446">
        <w:rPr>
          <w:rFonts w:cs="Arial"/>
          <w:sz w:val="22"/>
          <w:szCs w:val="22"/>
        </w:rPr>
        <w:t xml:space="preserve"> pristup</w:t>
      </w:r>
      <w:r w:rsidR="005665E3" w:rsidRPr="00243446">
        <w:rPr>
          <w:rFonts w:cs="Arial"/>
          <w:sz w:val="22"/>
          <w:szCs w:val="22"/>
          <w:lang w:val="sr-Latn-ME"/>
        </w:rPr>
        <w:t>a</w:t>
      </w:r>
      <w:r w:rsidRPr="00243446">
        <w:rPr>
          <w:rFonts w:cs="Arial"/>
          <w:sz w:val="22"/>
          <w:szCs w:val="22"/>
        </w:rPr>
        <w:t xml:space="preserve"> istoj u cilju objedinjavanja svih neophodnih informacija za krajnje korisnike EU podrške i buduće potencijalne aplikante. Uvođenje obaveze u Priručnik o procedurama za službenike IPA struktura da obavljaju ovu vrstu kontrole.</w:t>
      </w:r>
    </w:p>
    <w:p w:rsidR="005665E3" w:rsidRPr="00243446" w:rsidRDefault="005665E3" w:rsidP="005665E3">
      <w:pPr>
        <w:pStyle w:val="ListParagraph"/>
        <w:spacing w:after="160" w:line="259" w:lineRule="auto"/>
        <w:rPr>
          <w:rFonts w:cs="Arial"/>
          <w:sz w:val="22"/>
          <w:szCs w:val="22"/>
        </w:rPr>
      </w:pPr>
    </w:p>
    <w:p w:rsidR="009363D1" w:rsidRPr="00243446" w:rsidRDefault="009363D1" w:rsidP="005665E3">
      <w:pPr>
        <w:pStyle w:val="ListParagraph"/>
        <w:numPr>
          <w:ilvl w:val="0"/>
          <w:numId w:val="48"/>
        </w:numPr>
        <w:spacing w:before="100" w:beforeAutospacing="1" w:after="100" w:afterAutospacing="1" w:line="240" w:lineRule="auto"/>
        <w:rPr>
          <w:rFonts w:cs="Arial"/>
          <w:sz w:val="22"/>
          <w:szCs w:val="22"/>
        </w:rPr>
      </w:pPr>
      <w:r w:rsidRPr="00243446">
        <w:rPr>
          <w:rFonts w:cs="Arial"/>
          <w:sz w:val="22"/>
          <w:szCs w:val="22"/>
        </w:rPr>
        <w:t>Propisivanje procedure komunikacije između IPA struktura za provjeru povezanosti osoba koje sprovode kontrolu na licu m</w:t>
      </w:r>
      <w:r w:rsidR="005665E3" w:rsidRPr="00243446">
        <w:rPr>
          <w:rFonts w:cs="Arial"/>
          <w:sz w:val="22"/>
          <w:szCs w:val="22"/>
          <w:lang w:val="sr-Latn-ME"/>
        </w:rPr>
        <w:t>j</w:t>
      </w:r>
      <w:r w:rsidRPr="00243446">
        <w:rPr>
          <w:rFonts w:cs="Arial"/>
          <w:sz w:val="22"/>
          <w:szCs w:val="22"/>
        </w:rPr>
        <w:t>esta sa osobama čiji je rad predmet kontrole, prije zvaničnog izdavanja ovlašćenog obrasca za sprovođenje kontrole. Uvođenje u procedure Izjava o nezavisnosti</w:t>
      </w:r>
      <w:r w:rsidR="005665E3" w:rsidRPr="00243446">
        <w:rPr>
          <w:rFonts w:cs="Arial"/>
          <w:sz w:val="22"/>
          <w:szCs w:val="22"/>
          <w:lang w:val="sr-Latn-ME"/>
        </w:rPr>
        <w:t>,</w:t>
      </w:r>
      <w:r w:rsidRPr="00243446">
        <w:rPr>
          <w:rFonts w:cs="Arial"/>
          <w:sz w:val="22"/>
          <w:szCs w:val="22"/>
        </w:rPr>
        <w:t xml:space="preserve"> da osobe koje obavljaju kontrole i osobe čiji rad je predmet kontrole nisu povezane.</w:t>
      </w:r>
    </w:p>
    <w:p w:rsidR="009363D1" w:rsidRPr="00243446" w:rsidRDefault="009363D1" w:rsidP="009363D1">
      <w:pPr>
        <w:spacing w:after="0" w:line="240" w:lineRule="auto"/>
        <w:rPr>
          <w:rFonts w:ascii="Arial" w:eastAsia="Times New Roman" w:hAnsi="Arial" w:cs="Arial"/>
          <w:b/>
          <w:bCs/>
          <w:lang w:val="sr-Latn-ME"/>
        </w:rPr>
      </w:pPr>
    </w:p>
    <w:p w:rsidR="000F471C" w:rsidRPr="00243446" w:rsidRDefault="000F471C" w:rsidP="000F471C">
      <w:pPr>
        <w:spacing w:after="0" w:line="240" w:lineRule="auto"/>
        <w:rPr>
          <w:rFonts w:ascii="Arial" w:eastAsia="Times New Roman" w:hAnsi="Arial" w:cs="Arial"/>
          <w:b/>
          <w:bCs/>
          <w:lang w:val="sr-Latn-ME"/>
        </w:rPr>
      </w:pPr>
      <w:r w:rsidRPr="00243446">
        <w:rPr>
          <w:rFonts w:ascii="Arial" w:eastAsia="Times New Roman" w:hAnsi="Arial" w:cs="Arial"/>
          <w:b/>
          <w:bCs/>
          <w:lang w:val="sr-Latn-ME"/>
        </w:rPr>
        <w:t xml:space="preserve">3.5. OBLAST 5: Istraga prevara i </w:t>
      </w:r>
      <w:r w:rsidR="00877D5E" w:rsidRPr="00243446">
        <w:rPr>
          <w:rFonts w:ascii="Arial" w:eastAsia="Times New Roman" w:hAnsi="Arial" w:cs="Arial"/>
          <w:b/>
          <w:bCs/>
          <w:lang w:val="sr-Latn-ME"/>
        </w:rPr>
        <w:t>krivično postupanje</w:t>
      </w:r>
    </w:p>
    <w:p w:rsidR="000F471C" w:rsidRPr="00243446" w:rsidRDefault="000F471C" w:rsidP="000F471C">
      <w:pPr>
        <w:spacing w:after="0" w:line="240" w:lineRule="auto"/>
        <w:rPr>
          <w:rFonts w:ascii="Arial" w:eastAsia="Times New Roman" w:hAnsi="Arial" w:cs="Arial"/>
          <w:lang w:val="sr-Latn-ME"/>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1"/>
      </w:tblGrid>
      <w:tr w:rsidR="000F471C" w:rsidRPr="00243446" w:rsidTr="00CB5F79">
        <w:trPr>
          <w:trHeight w:val="553"/>
        </w:trPr>
        <w:tc>
          <w:tcPr>
            <w:tcW w:w="9089" w:type="dxa"/>
          </w:tcPr>
          <w:p w:rsidR="000F471C" w:rsidRPr="00243446" w:rsidRDefault="000F471C" w:rsidP="00CB5F79">
            <w:pPr>
              <w:spacing w:before="100" w:beforeAutospacing="1" w:after="100" w:afterAutospacing="1" w:line="240" w:lineRule="auto"/>
              <w:ind w:left="50"/>
              <w:rPr>
                <w:rFonts w:ascii="Arial" w:eastAsia="Times New Roman" w:hAnsi="Arial" w:cs="Arial"/>
                <w:b/>
                <w:bCs/>
                <w:lang w:val="sr-Latn-ME"/>
              </w:rPr>
            </w:pPr>
            <w:r w:rsidRPr="00243446">
              <w:rPr>
                <w:rFonts w:ascii="Arial" w:eastAsia="Times New Roman" w:hAnsi="Arial" w:cs="Arial"/>
                <w:b/>
                <w:bCs/>
                <w:lang w:val="sr-Latn-ME"/>
              </w:rPr>
              <w:t>Operativni cilj 5:</w:t>
            </w:r>
            <w:r w:rsidRPr="00243446">
              <w:rPr>
                <w:rFonts w:ascii="Arial" w:eastAsia="Times New Roman" w:hAnsi="Arial" w:cs="Arial"/>
                <w:lang w:val="sr-Latn-ME"/>
              </w:rPr>
              <w:br/>
              <w:t>Poboljšanje saradnje između istražnih tijela, AFCOS-a i OLAF-a.</w:t>
            </w:r>
            <w:r w:rsidRPr="00243446">
              <w:rPr>
                <w:rFonts w:ascii="Arial" w:eastAsia="Times New Roman" w:hAnsi="Arial" w:cs="Arial"/>
                <w:lang w:val="sr-Latn-ME"/>
              </w:rPr>
              <w:br/>
            </w:r>
          </w:p>
        </w:tc>
      </w:tr>
    </w:tbl>
    <w:p w:rsidR="009363D1" w:rsidRPr="00243446" w:rsidRDefault="009363D1" w:rsidP="000F471C">
      <w:pPr>
        <w:spacing w:before="100" w:beforeAutospacing="1" w:after="100" w:afterAutospacing="1" w:line="240" w:lineRule="auto"/>
        <w:outlineLvl w:val="2"/>
        <w:rPr>
          <w:rFonts w:ascii="Arial" w:eastAsia="Times New Roman" w:hAnsi="Arial" w:cs="Arial"/>
          <w:lang w:val="sr-Latn-ME"/>
        </w:rPr>
      </w:pPr>
    </w:p>
    <w:tbl>
      <w:tblPr>
        <w:tblStyle w:val="TableGrid"/>
        <w:tblW w:w="9090" w:type="dxa"/>
        <w:tblInd w:w="-95" w:type="dxa"/>
        <w:tblLook w:val="04A0" w:firstRow="1" w:lastRow="0" w:firstColumn="1" w:lastColumn="0" w:noHBand="0" w:noVBand="1"/>
      </w:tblPr>
      <w:tblGrid>
        <w:gridCol w:w="4059"/>
        <w:gridCol w:w="1626"/>
        <w:gridCol w:w="1803"/>
        <w:gridCol w:w="1602"/>
      </w:tblGrid>
      <w:tr w:rsidR="009363D1" w:rsidRPr="00243446" w:rsidTr="009363D1">
        <w:tc>
          <w:tcPr>
            <w:tcW w:w="4059" w:type="dxa"/>
            <w:vAlign w:val="center"/>
          </w:tcPr>
          <w:p w:rsidR="009363D1" w:rsidRPr="00243446" w:rsidRDefault="009363D1" w:rsidP="009363D1">
            <w:pPr>
              <w:spacing w:before="100" w:beforeAutospacing="1" w:after="100" w:afterAutospacing="1" w:line="240" w:lineRule="auto"/>
              <w:outlineLvl w:val="2"/>
              <w:rPr>
                <w:rFonts w:ascii="Arial" w:eastAsia="Times New Roman" w:hAnsi="Arial" w:cs="Arial"/>
                <w:b/>
                <w:bCs/>
                <w:sz w:val="22"/>
                <w:szCs w:val="22"/>
                <w:lang w:val="en-GB" w:eastAsia="en-US"/>
              </w:rPr>
            </w:pPr>
            <w:bookmarkStart w:id="20" w:name="_Hlk197941901"/>
            <w:r w:rsidRPr="00243446">
              <w:rPr>
                <w:rFonts w:ascii="Arial" w:eastAsia="Times New Roman" w:hAnsi="Arial" w:cs="Arial"/>
                <w:b/>
                <w:bCs/>
                <w:sz w:val="22"/>
                <w:szCs w:val="22"/>
                <w:lang w:val="en-GB" w:eastAsia="en-US"/>
              </w:rPr>
              <w:t>Indikator uspjeha</w:t>
            </w:r>
          </w:p>
        </w:tc>
        <w:tc>
          <w:tcPr>
            <w:tcW w:w="1626" w:type="dxa"/>
          </w:tcPr>
          <w:p w:rsidR="009363D1" w:rsidRPr="00243446" w:rsidRDefault="009363D1" w:rsidP="009363D1">
            <w:pPr>
              <w:spacing w:before="100" w:beforeAutospacing="1" w:after="100" w:afterAutospacing="1" w:line="240" w:lineRule="auto"/>
              <w:outlineLvl w:val="2"/>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2024</w:t>
            </w:r>
          </w:p>
        </w:tc>
        <w:tc>
          <w:tcPr>
            <w:tcW w:w="1803" w:type="dxa"/>
          </w:tcPr>
          <w:p w:rsidR="009363D1" w:rsidRPr="00243446" w:rsidRDefault="009363D1" w:rsidP="009363D1">
            <w:pPr>
              <w:spacing w:before="100" w:beforeAutospacing="1" w:after="100" w:afterAutospacing="1" w:line="240" w:lineRule="auto"/>
              <w:outlineLvl w:val="2"/>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2026</w:t>
            </w:r>
          </w:p>
        </w:tc>
        <w:tc>
          <w:tcPr>
            <w:tcW w:w="1602" w:type="dxa"/>
          </w:tcPr>
          <w:p w:rsidR="009363D1" w:rsidRPr="00243446" w:rsidRDefault="009363D1" w:rsidP="009363D1">
            <w:pPr>
              <w:spacing w:before="100" w:beforeAutospacing="1" w:after="100" w:afterAutospacing="1" w:line="240" w:lineRule="auto"/>
              <w:outlineLvl w:val="2"/>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2028</w:t>
            </w:r>
          </w:p>
        </w:tc>
      </w:tr>
      <w:tr w:rsidR="009363D1" w:rsidRPr="00243446" w:rsidTr="009363D1">
        <w:tc>
          <w:tcPr>
            <w:tcW w:w="4059" w:type="dxa"/>
          </w:tcPr>
          <w:p w:rsidR="009363D1" w:rsidRPr="00243446" w:rsidRDefault="009363D1" w:rsidP="009363D1">
            <w:pPr>
              <w:spacing w:before="100" w:beforeAutospacing="1" w:after="100" w:afterAutospacing="1" w:line="240" w:lineRule="auto"/>
              <w:outlineLvl w:val="2"/>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Svi OLAF-ovi zahtjevi su pravilno obrađeni i završeni</w:t>
            </w:r>
          </w:p>
        </w:tc>
        <w:tc>
          <w:tcPr>
            <w:tcW w:w="1626" w:type="dxa"/>
            <w:vAlign w:val="center"/>
          </w:tcPr>
          <w:p w:rsidR="009363D1" w:rsidRPr="00243446" w:rsidRDefault="009363D1" w:rsidP="009363D1">
            <w:pPr>
              <w:spacing w:before="100" w:beforeAutospacing="1" w:after="100" w:afterAutospacing="1" w:line="240" w:lineRule="auto"/>
              <w:outlineLvl w:val="2"/>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100%</w:t>
            </w:r>
          </w:p>
        </w:tc>
        <w:tc>
          <w:tcPr>
            <w:tcW w:w="1803" w:type="dxa"/>
            <w:vAlign w:val="center"/>
          </w:tcPr>
          <w:p w:rsidR="009363D1" w:rsidRPr="00243446" w:rsidRDefault="009363D1" w:rsidP="009363D1">
            <w:pPr>
              <w:spacing w:before="100" w:beforeAutospacing="1" w:after="100" w:afterAutospacing="1" w:line="240" w:lineRule="auto"/>
              <w:outlineLvl w:val="2"/>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100%</w:t>
            </w:r>
          </w:p>
        </w:tc>
        <w:tc>
          <w:tcPr>
            <w:tcW w:w="1602" w:type="dxa"/>
            <w:vAlign w:val="center"/>
          </w:tcPr>
          <w:p w:rsidR="009363D1" w:rsidRPr="00243446" w:rsidRDefault="009363D1" w:rsidP="009363D1">
            <w:pPr>
              <w:spacing w:before="100" w:beforeAutospacing="1" w:after="100" w:afterAutospacing="1" w:line="240" w:lineRule="auto"/>
              <w:outlineLvl w:val="2"/>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100%</w:t>
            </w:r>
          </w:p>
        </w:tc>
      </w:tr>
    </w:tbl>
    <w:bookmarkEnd w:id="20"/>
    <w:p w:rsidR="009363D1" w:rsidRPr="00243446" w:rsidRDefault="009363D1" w:rsidP="009363D1">
      <w:pPr>
        <w:spacing w:before="100" w:beforeAutospacing="1" w:after="100" w:afterAutospacing="1" w:line="240" w:lineRule="auto"/>
        <w:outlineLvl w:val="2"/>
        <w:rPr>
          <w:rFonts w:ascii="Arial" w:eastAsia="Times New Roman" w:hAnsi="Arial" w:cs="Arial"/>
        </w:rPr>
      </w:pPr>
      <w:r w:rsidRPr="00243446">
        <w:rPr>
          <w:rFonts w:ascii="Arial" w:eastAsia="Times New Roman" w:hAnsi="Arial" w:cs="Arial"/>
        </w:rPr>
        <w:t>Definisani cilj biće realizovan kroz sledeće mjere:</w:t>
      </w:r>
    </w:p>
    <w:p w:rsidR="009363D1" w:rsidRPr="00243446" w:rsidRDefault="009363D1" w:rsidP="009363D1">
      <w:pPr>
        <w:spacing w:before="100" w:beforeAutospacing="1" w:after="100" w:afterAutospacing="1" w:line="240" w:lineRule="auto"/>
        <w:outlineLvl w:val="2"/>
        <w:rPr>
          <w:rFonts w:ascii="Arial" w:eastAsia="Times New Roman" w:hAnsi="Arial" w:cs="Arial"/>
          <w:b/>
          <w:bCs/>
        </w:rPr>
      </w:pPr>
      <w:r w:rsidRPr="00243446">
        <w:rPr>
          <w:rFonts w:ascii="Arial" w:eastAsia="Times New Roman" w:hAnsi="Arial" w:cs="Arial"/>
          <w:b/>
          <w:bCs/>
        </w:rPr>
        <w:t>Mjera 5.1: Unapr</w:t>
      </w:r>
      <w:r w:rsidR="00BD2ACF" w:rsidRPr="00243446">
        <w:rPr>
          <w:rFonts w:ascii="Arial" w:eastAsia="Times New Roman" w:hAnsi="Arial" w:cs="Arial"/>
          <w:b/>
          <w:bCs/>
        </w:rPr>
        <w:t>i</w:t>
      </w:r>
      <w:r w:rsidRPr="00243446">
        <w:rPr>
          <w:rFonts w:ascii="Arial" w:eastAsia="Times New Roman" w:hAnsi="Arial" w:cs="Arial"/>
          <w:b/>
          <w:bCs/>
        </w:rPr>
        <w:t>jeđenje saradnje jasnim definisanjem mehanizama i odgovornosti za saradnju sa OLAF-om i Direkcijom za zaštitu finansijskih interesa EU/AFCOS</w:t>
      </w:r>
    </w:p>
    <w:p w:rsidR="009363D1" w:rsidRPr="00243446" w:rsidRDefault="009363D1" w:rsidP="009363D1">
      <w:pPr>
        <w:spacing w:before="100" w:beforeAutospacing="1" w:after="100" w:afterAutospacing="1" w:line="240" w:lineRule="auto"/>
        <w:outlineLvl w:val="2"/>
        <w:rPr>
          <w:rFonts w:ascii="Arial" w:eastAsia="Times New Roman" w:hAnsi="Arial" w:cs="Arial"/>
        </w:rPr>
      </w:pPr>
      <w:r w:rsidRPr="00243446">
        <w:rPr>
          <w:rFonts w:ascii="Arial" w:eastAsia="Times New Roman" w:hAnsi="Arial" w:cs="Arial"/>
          <w:b/>
          <w:bCs/>
        </w:rPr>
        <w:t>Opis mjere:</w:t>
      </w:r>
      <w:r w:rsidRPr="00243446">
        <w:rPr>
          <w:rFonts w:ascii="Arial" w:eastAsia="Times New Roman" w:hAnsi="Arial" w:cs="Arial"/>
        </w:rPr>
        <w:t xml:space="preserve"> Neophodno je uspostaviti mehanizme i odgovornosti u nacionalnim pravnim</w:t>
      </w:r>
      <w:r w:rsidR="00EA2489" w:rsidRPr="00243446">
        <w:rPr>
          <w:rFonts w:ascii="Arial" w:eastAsia="Times New Roman" w:hAnsi="Arial" w:cs="Arial"/>
        </w:rPr>
        <w:t xml:space="preserve"> </w:t>
      </w:r>
      <w:r w:rsidRPr="00243446">
        <w:rPr>
          <w:rFonts w:ascii="Arial" w:eastAsia="Times New Roman" w:hAnsi="Arial" w:cs="Arial"/>
        </w:rPr>
        <w:t>aktima za:</w:t>
      </w:r>
    </w:p>
    <w:p w:rsidR="009363D1" w:rsidRPr="00243446" w:rsidRDefault="009363D1" w:rsidP="009363D1">
      <w:pPr>
        <w:numPr>
          <w:ilvl w:val="0"/>
          <w:numId w:val="47"/>
        </w:numPr>
        <w:spacing w:before="100" w:beforeAutospacing="1" w:after="100" w:afterAutospacing="1" w:line="240" w:lineRule="auto"/>
        <w:jc w:val="both"/>
        <w:outlineLvl w:val="2"/>
        <w:rPr>
          <w:rFonts w:ascii="Arial" w:eastAsia="Times New Roman" w:hAnsi="Arial" w:cs="Arial"/>
        </w:rPr>
      </w:pPr>
      <w:r w:rsidRPr="00243446">
        <w:rPr>
          <w:rFonts w:ascii="Arial" w:eastAsia="Times New Roman" w:hAnsi="Arial" w:cs="Arial"/>
        </w:rPr>
        <w:t>saradnju sa OLAF-om i AFCOS kancelarijom, uključujući pratnju OLAF istraži</w:t>
      </w:r>
      <w:r w:rsidR="00BD2ACF" w:rsidRPr="00243446">
        <w:rPr>
          <w:rFonts w:ascii="Arial" w:eastAsia="Times New Roman" w:hAnsi="Arial" w:cs="Arial"/>
        </w:rPr>
        <w:t>telja</w:t>
      </w:r>
      <w:r w:rsidRPr="00243446">
        <w:rPr>
          <w:rFonts w:ascii="Arial" w:eastAsia="Times New Roman" w:hAnsi="Arial" w:cs="Arial"/>
        </w:rPr>
        <w:t xml:space="preserve"> tokom njihovih kontrola na licu m</w:t>
      </w:r>
      <w:r w:rsidR="00BD2ACF" w:rsidRPr="00243446">
        <w:rPr>
          <w:rFonts w:ascii="Arial" w:eastAsia="Times New Roman" w:hAnsi="Arial" w:cs="Arial"/>
        </w:rPr>
        <w:t>j</w:t>
      </w:r>
      <w:r w:rsidRPr="00243446">
        <w:rPr>
          <w:rFonts w:ascii="Arial" w:eastAsia="Times New Roman" w:hAnsi="Arial" w:cs="Arial"/>
        </w:rPr>
        <w:t>esta;</w:t>
      </w:r>
    </w:p>
    <w:p w:rsidR="009363D1" w:rsidRPr="00243446" w:rsidRDefault="009363D1" w:rsidP="009363D1">
      <w:pPr>
        <w:numPr>
          <w:ilvl w:val="0"/>
          <w:numId w:val="47"/>
        </w:numPr>
        <w:spacing w:before="100" w:beforeAutospacing="1" w:after="100" w:afterAutospacing="1" w:line="240" w:lineRule="auto"/>
        <w:jc w:val="both"/>
        <w:outlineLvl w:val="2"/>
        <w:rPr>
          <w:rFonts w:ascii="Arial" w:eastAsia="Times New Roman" w:hAnsi="Arial" w:cs="Arial"/>
        </w:rPr>
      </w:pPr>
      <w:r w:rsidRPr="00243446">
        <w:rPr>
          <w:rFonts w:ascii="Arial" w:eastAsia="Times New Roman" w:hAnsi="Arial" w:cs="Arial"/>
        </w:rPr>
        <w:t xml:space="preserve">postupanje u situacijama kada učesnici u aktivnostima finansiranim iz </w:t>
      </w:r>
      <w:r w:rsidR="00172D6B" w:rsidRPr="00243446">
        <w:rPr>
          <w:rFonts w:ascii="Arial" w:eastAsia="Times New Roman" w:hAnsi="Arial" w:cs="Arial"/>
        </w:rPr>
        <w:t>EU</w:t>
      </w:r>
      <w:r w:rsidRPr="00243446">
        <w:rPr>
          <w:rFonts w:ascii="Arial" w:eastAsia="Times New Roman" w:hAnsi="Arial" w:cs="Arial"/>
        </w:rPr>
        <w:t xml:space="preserve"> fondova odbijaju kontrole na licu m</w:t>
      </w:r>
      <w:r w:rsidR="00172D6B" w:rsidRPr="00243446">
        <w:rPr>
          <w:rFonts w:ascii="Arial" w:eastAsia="Times New Roman" w:hAnsi="Arial" w:cs="Arial"/>
        </w:rPr>
        <w:t>j</w:t>
      </w:r>
      <w:r w:rsidRPr="00243446">
        <w:rPr>
          <w:rFonts w:ascii="Arial" w:eastAsia="Times New Roman" w:hAnsi="Arial" w:cs="Arial"/>
        </w:rPr>
        <w:t>esta;</w:t>
      </w:r>
    </w:p>
    <w:p w:rsidR="009363D1" w:rsidRPr="00243446" w:rsidRDefault="009363D1" w:rsidP="009363D1">
      <w:pPr>
        <w:numPr>
          <w:ilvl w:val="0"/>
          <w:numId w:val="47"/>
        </w:numPr>
        <w:spacing w:before="100" w:beforeAutospacing="1" w:after="100" w:afterAutospacing="1" w:line="240" w:lineRule="auto"/>
        <w:jc w:val="both"/>
        <w:outlineLvl w:val="2"/>
        <w:rPr>
          <w:rFonts w:ascii="Arial" w:eastAsia="Times New Roman" w:hAnsi="Arial" w:cs="Arial"/>
        </w:rPr>
      </w:pPr>
      <w:r w:rsidRPr="00243446">
        <w:rPr>
          <w:rFonts w:ascii="Arial" w:eastAsia="Times New Roman" w:hAnsi="Arial" w:cs="Arial"/>
        </w:rPr>
        <w:t>pribavljanje informacija o bankovnim računima relevantnim za istražnu aktivnost OLAF-a.</w:t>
      </w:r>
    </w:p>
    <w:p w:rsidR="009363D1" w:rsidRPr="00243446" w:rsidRDefault="009363D1" w:rsidP="000F471C">
      <w:pPr>
        <w:spacing w:before="100" w:beforeAutospacing="1" w:after="100" w:afterAutospacing="1" w:line="240" w:lineRule="auto"/>
        <w:outlineLvl w:val="2"/>
        <w:rPr>
          <w:rFonts w:ascii="Arial" w:eastAsia="Times New Roman" w:hAnsi="Arial" w:cs="Arial"/>
          <w:lang w:val="sr-Latn-ME"/>
        </w:rPr>
      </w:pPr>
      <w:r w:rsidRPr="00243446">
        <w:rPr>
          <w:rFonts w:ascii="Arial" w:eastAsia="Times New Roman" w:hAnsi="Arial" w:cs="Arial"/>
        </w:rPr>
        <w:t>Institucije iz AFCOS mreže treba da procijene i uključe prethodno navedene odgovornosti u svoje posebne pravne akte.</w:t>
      </w:r>
    </w:p>
    <w:p w:rsidR="000F471C" w:rsidRPr="00243446" w:rsidRDefault="000F471C" w:rsidP="000F471C">
      <w:pPr>
        <w:spacing w:before="100" w:beforeAutospacing="1" w:after="100" w:afterAutospacing="1" w:line="240" w:lineRule="auto"/>
        <w:outlineLvl w:val="2"/>
        <w:rPr>
          <w:rFonts w:ascii="Arial" w:eastAsia="Times New Roman" w:hAnsi="Arial" w:cs="Arial"/>
          <w:b/>
          <w:bCs/>
          <w:lang w:val="sr-Latn-ME"/>
        </w:rPr>
      </w:pPr>
      <w:r w:rsidRPr="00243446">
        <w:rPr>
          <w:rFonts w:ascii="Arial" w:eastAsia="Times New Roman" w:hAnsi="Arial" w:cs="Arial"/>
          <w:b/>
          <w:bCs/>
          <w:lang w:val="sr-Latn-ME"/>
        </w:rPr>
        <w:t>3.6. OBLAST 6: Povraćaj sredstava i sankcije</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0F471C" w:rsidRPr="00243446" w:rsidTr="009363D1">
        <w:trPr>
          <w:trHeight w:val="840"/>
        </w:trPr>
        <w:tc>
          <w:tcPr>
            <w:tcW w:w="9180" w:type="dxa"/>
          </w:tcPr>
          <w:p w:rsidR="000F471C" w:rsidRPr="00243446" w:rsidRDefault="000F471C" w:rsidP="00CB5F79">
            <w:pPr>
              <w:spacing w:before="100" w:beforeAutospacing="1" w:after="100" w:afterAutospacing="1" w:line="240" w:lineRule="auto"/>
              <w:ind w:left="120"/>
              <w:rPr>
                <w:rFonts w:ascii="Arial" w:eastAsia="Times New Roman" w:hAnsi="Arial" w:cs="Arial"/>
                <w:b/>
                <w:bCs/>
                <w:lang w:val="sr-Latn-ME"/>
              </w:rPr>
            </w:pPr>
            <w:r w:rsidRPr="00243446">
              <w:rPr>
                <w:rFonts w:ascii="Arial" w:eastAsia="Times New Roman" w:hAnsi="Arial" w:cs="Arial"/>
                <w:b/>
                <w:bCs/>
                <w:lang w:val="sr-Latn-ME"/>
              </w:rPr>
              <w:t>Operativni cilj 6:</w:t>
            </w:r>
            <w:r w:rsidRPr="00243446">
              <w:rPr>
                <w:rFonts w:ascii="Arial" w:eastAsia="Times New Roman" w:hAnsi="Arial" w:cs="Arial"/>
                <w:lang w:val="sr-Latn-ME"/>
              </w:rPr>
              <w:br/>
              <w:t>Unaprijeđenje kapaciteta za osiguranje efektivnog i efikasnog povraćaja nepravilno utrošenih sredstava.</w:t>
            </w:r>
            <w:r w:rsidRPr="00243446">
              <w:rPr>
                <w:rFonts w:ascii="Arial" w:eastAsia="Times New Roman" w:hAnsi="Arial" w:cs="Arial"/>
                <w:lang w:val="sr-Latn-ME"/>
              </w:rPr>
              <w:br/>
            </w:r>
          </w:p>
        </w:tc>
      </w:tr>
    </w:tbl>
    <w:p w:rsidR="009363D1" w:rsidRPr="00243446" w:rsidRDefault="009363D1" w:rsidP="000F471C">
      <w:pPr>
        <w:spacing w:after="0" w:line="240" w:lineRule="auto"/>
        <w:rPr>
          <w:rFonts w:ascii="Arial" w:eastAsia="Times New Roman" w:hAnsi="Arial" w:cs="Arial"/>
          <w:b/>
          <w:bCs/>
          <w:lang w:val="sr-Latn-ME"/>
        </w:rPr>
      </w:pPr>
    </w:p>
    <w:tbl>
      <w:tblPr>
        <w:tblStyle w:val="TableGrid"/>
        <w:tblW w:w="9196" w:type="dxa"/>
        <w:tblLook w:val="04A0" w:firstRow="1" w:lastRow="0" w:firstColumn="1" w:lastColumn="0" w:noHBand="0" w:noVBand="1"/>
      </w:tblPr>
      <w:tblGrid>
        <w:gridCol w:w="3964"/>
        <w:gridCol w:w="1626"/>
        <w:gridCol w:w="1803"/>
        <w:gridCol w:w="1803"/>
      </w:tblGrid>
      <w:tr w:rsidR="009363D1" w:rsidRPr="00243446" w:rsidTr="00D942FE">
        <w:tc>
          <w:tcPr>
            <w:tcW w:w="3964"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Indikator uspjeha</w:t>
            </w:r>
          </w:p>
        </w:tc>
        <w:tc>
          <w:tcPr>
            <w:tcW w:w="1626" w:type="dxa"/>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2024</w:t>
            </w:r>
          </w:p>
        </w:tc>
        <w:tc>
          <w:tcPr>
            <w:tcW w:w="1803" w:type="dxa"/>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2026</w:t>
            </w:r>
          </w:p>
        </w:tc>
        <w:tc>
          <w:tcPr>
            <w:tcW w:w="1803" w:type="dxa"/>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eastAsia="en-US"/>
              </w:rPr>
              <w:t>Početna vrijednost u 2028</w:t>
            </w:r>
          </w:p>
        </w:tc>
      </w:tr>
      <w:tr w:rsidR="009363D1" w:rsidRPr="00243446" w:rsidTr="00D942FE">
        <w:tc>
          <w:tcPr>
            <w:tcW w:w="3964" w:type="dxa"/>
          </w:tcPr>
          <w:p w:rsidR="009363D1" w:rsidRPr="00243446" w:rsidRDefault="009363D1" w:rsidP="009363D1">
            <w:pPr>
              <w:spacing w:after="0" w:line="240" w:lineRule="auto"/>
              <w:rPr>
                <w:rFonts w:ascii="Arial" w:eastAsia="Times New Roman" w:hAnsi="Arial" w:cs="Arial"/>
                <w:b/>
                <w:bCs/>
                <w:sz w:val="22"/>
                <w:szCs w:val="22"/>
                <w:lang w:val="sr-Latn-ME" w:eastAsia="en-US"/>
              </w:rPr>
            </w:pPr>
            <w:r w:rsidRPr="00243446">
              <w:rPr>
                <w:rFonts w:ascii="Arial" w:eastAsia="Times New Roman" w:hAnsi="Arial" w:cs="Arial"/>
                <w:b/>
                <w:bCs/>
                <w:sz w:val="22"/>
                <w:szCs w:val="22"/>
                <w:lang w:val="sr-Latn-ME" w:eastAsia="en-US"/>
              </w:rPr>
              <w:t>Stopa povraćaja nepravilno utrošenih sredstava</w:t>
            </w:r>
          </w:p>
        </w:tc>
        <w:tc>
          <w:tcPr>
            <w:tcW w:w="1626"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43%</w:t>
            </w:r>
          </w:p>
        </w:tc>
        <w:tc>
          <w:tcPr>
            <w:tcW w:w="1803"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60%</w:t>
            </w:r>
          </w:p>
        </w:tc>
        <w:tc>
          <w:tcPr>
            <w:tcW w:w="1803" w:type="dxa"/>
            <w:vAlign w:val="center"/>
          </w:tcPr>
          <w:p w:rsidR="009363D1" w:rsidRPr="00243446" w:rsidRDefault="009363D1" w:rsidP="009363D1">
            <w:pPr>
              <w:spacing w:after="0" w:line="240" w:lineRule="auto"/>
              <w:rPr>
                <w:rFonts w:ascii="Arial" w:eastAsia="Times New Roman" w:hAnsi="Arial" w:cs="Arial"/>
                <w:b/>
                <w:bCs/>
                <w:sz w:val="22"/>
                <w:szCs w:val="22"/>
                <w:lang w:val="en-GB" w:eastAsia="en-US"/>
              </w:rPr>
            </w:pPr>
            <w:r w:rsidRPr="00243446">
              <w:rPr>
                <w:rFonts w:ascii="Arial" w:eastAsia="Times New Roman" w:hAnsi="Arial" w:cs="Arial"/>
                <w:b/>
                <w:bCs/>
                <w:sz w:val="22"/>
                <w:szCs w:val="22"/>
                <w:lang w:val="en-GB" w:eastAsia="en-US"/>
              </w:rPr>
              <w:t>75%</w:t>
            </w:r>
          </w:p>
        </w:tc>
      </w:tr>
    </w:tbl>
    <w:p w:rsidR="009363D1" w:rsidRPr="00243446" w:rsidRDefault="009363D1" w:rsidP="000F471C">
      <w:pPr>
        <w:spacing w:after="0" w:line="240" w:lineRule="auto"/>
        <w:rPr>
          <w:rFonts w:ascii="Arial" w:eastAsia="Times New Roman" w:hAnsi="Arial" w:cs="Arial"/>
          <w:b/>
          <w:bCs/>
          <w:lang w:val="sr-Latn-ME"/>
        </w:rPr>
      </w:pPr>
    </w:p>
    <w:p w:rsidR="009363D1" w:rsidRPr="00243446" w:rsidRDefault="009363D1" w:rsidP="009363D1">
      <w:pPr>
        <w:spacing w:after="160" w:line="259" w:lineRule="auto"/>
        <w:jc w:val="both"/>
        <w:rPr>
          <w:rFonts w:ascii="Arial" w:hAnsi="Arial" w:cs="Arial"/>
        </w:rPr>
      </w:pPr>
      <w:r w:rsidRPr="00243446">
        <w:rPr>
          <w:rFonts w:ascii="Arial" w:hAnsi="Arial" w:cs="Arial"/>
        </w:rPr>
        <w:t>Definisani cilj biće realizovan kroz sledeće mjere:</w:t>
      </w:r>
    </w:p>
    <w:p w:rsidR="009363D1" w:rsidRPr="00243446" w:rsidRDefault="009363D1" w:rsidP="009363D1">
      <w:pPr>
        <w:spacing w:after="160" w:line="259" w:lineRule="auto"/>
        <w:jc w:val="both"/>
        <w:rPr>
          <w:rFonts w:ascii="Arial" w:hAnsi="Arial" w:cs="Arial"/>
          <w:b/>
          <w:bCs/>
          <w:lang w:val="sr-Latn-ME"/>
        </w:rPr>
      </w:pPr>
      <w:r w:rsidRPr="00243446">
        <w:rPr>
          <w:rFonts w:ascii="Arial" w:hAnsi="Arial" w:cs="Arial"/>
          <w:b/>
          <w:bCs/>
        </w:rPr>
        <w:t xml:space="preserve">Mjera 6.1: </w:t>
      </w:r>
      <w:r w:rsidRPr="00243446">
        <w:rPr>
          <w:rFonts w:ascii="Arial" w:hAnsi="Arial" w:cs="Arial"/>
          <w:b/>
          <w:bCs/>
          <w:lang w:val="sr-Latn-ME"/>
        </w:rPr>
        <w:t>Analiza uzroka niske stope povraćaja sredstava i naredne korektivne akcije</w:t>
      </w:r>
    </w:p>
    <w:p w:rsidR="009363D1" w:rsidRPr="00243446" w:rsidRDefault="009363D1" w:rsidP="009363D1">
      <w:pPr>
        <w:spacing w:after="0" w:line="240" w:lineRule="auto"/>
        <w:rPr>
          <w:rFonts w:ascii="Arial" w:hAnsi="Arial" w:cs="Arial"/>
        </w:rPr>
      </w:pPr>
      <w:r w:rsidRPr="00243446">
        <w:rPr>
          <w:rFonts w:ascii="Arial" w:hAnsi="Arial" w:cs="Arial"/>
          <w:b/>
          <w:bCs/>
        </w:rPr>
        <w:t>Opis mjere:</w:t>
      </w:r>
      <w:r w:rsidRPr="00243446">
        <w:rPr>
          <w:rFonts w:ascii="Arial" w:hAnsi="Arial" w:cs="Arial"/>
        </w:rPr>
        <w:t xml:space="preserve"> Stopa povra</w:t>
      </w:r>
      <w:r w:rsidR="00063EC6" w:rsidRPr="00243446">
        <w:rPr>
          <w:rFonts w:ascii="Arial" w:hAnsi="Arial" w:cs="Arial"/>
        </w:rPr>
        <w:t>ć</w:t>
      </w:r>
      <w:r w:rsidRPr="00243446">
        <w:rPr>
          <w:rFonts w:ascii="Arial" w:hAnsi="Arial" w:cs="Arial"/>
        </w:rPr>
        <w:t>a</w:t>
      </w:r>
      <w:r w:rsidR="00063EC6" w:rsidRPr="00243446">
        <w:rPr>
          <w:rFonts w:ascii="Arial" w:hAnsi="Arial" w:cs="Arial"/>
        </w:rPr>
        <w:t>ja</w:t>
      </w:r>
      <w:r w:rsidRPr="00243446">
        <w:rPr>
          <w:rFonts w:ascii="Arial" w:hAnsi="Arial" w:cs="Arial"/>
        </w:rPr>
        <w:t xml:space="preserve"> nepravilnosti je 43%. Kako bi proces povra</w:t>
      </w:r>
      <w:r w:rsidR="00063EC6" w:rsidRPr="00243446">
        <w:rPr>
          <w:rFonts w:ascii="Arial" w:hAnsi="Arial" w:cs="Arial"/>
        </w:rPr>
        <w:t>ćaja</w:t>
      </w:r>
      <w:r w:rsidRPr="00243446">
        <w:rPr>
          <w:rFonts w:ascii="Arial" w:hAnsi="Arial" w:cs="Arial"/>
        </w:rPr>
        <w:t xml:space="preserve"> bio efikasniji, potrebno je prvo izvršiti analizu razloga niske stope povra</w:t>
      </w:r>
      <w:r w:rsidR="00063EC6" w:rsidRPr="00243446">
        <w:rPr>
          <w:rFonts w:ascii="Arial" w:hAnsi="Arial" w:cs="Arial"/>
        </w:rPr>
        <w:t>ćaja</w:t>
      </w:r>
      <w:r w:rsidRPr="00243446">
        <w:rPr>
          <w:rFonts w:ascii="Arial" w:hAnsi="Arial" w:cs="Arial"/>
        </w:rPr>
        <w:t>, a zatim, na osnovu rezultata analize, definisati dalje aktivnosti.</w:t>
      </w:r>
    </w:p>
    <w:p w:rsidR="00B45285" w:rsidRPr="00243446" w:rsidRDefault="00B45285" w:rsidP="009363D1">
      <w:pPr>
        <w:spacing w:after="0" w:line="240" w:lineRule="auto"/>
        <w:rPr>
          <w:rFonts w:ascii="Arial" w:eastAsia="Times New Roman" w:hAnsi="Arial" w:cs="Arial"/>
          <w:b/>
          <w:bCs/>
          <w:lang w:val="sr-Latn-ME"/>
        </w:rPr>
      </w:pPr>
    </w:p>
    <w:p w:rsidR="00B45285" w:rsidRPr="00243446" w:rsidRDefault="00B4137B" w:rsidP="00B4137B">
      <w:pPr>
        <w:spacing w:after="0" w:line="240" w:lineRule="auto"/>
        <w:rPr>
          <w:rFonts w:ascii="Arial" w:hAnsi="Arial" w:cs="Arial"/>
          <w:b/>
          <w:bCs/>
          <w:lang w:val="sr-Latn-ME"/>
        </w:rPr>
      </w:pPr>
      <w:r w:rsidRPr="00243446">
        <w:rPr>
          <w:rFonts w:ascii="Arial" w:hAnsi="Arial" w:cs="Arial"/>
          <w:b/>
          <w:bCs/>
          <w:lang w:val="sr-Latn-ME"/>
        </w:rPr>
        <w:t>4.FINANSIJAKI OKVIR ZA SPROVOĐENJE STRATEGIJE</w:t>
      </w:r>
    </w:p>
    <w:p w:rsidR="00CF1E47" w:rsidRPr="00243446" w:rsidRDefault="00CF1E47" w:rsidP="00B4137B">
      <w:pPr>
        <w:spacing w:after="0" w:line="240" w:lineRule="auto"/>
        <w:rPr>
          <w:rFonts w:ascii="Arial" w:hAnsi="Arial" w:cs="Arial"/>
          <w:b/>
          <w:bCs/>
          <w:lang w:val="sr-Latn-ME"/>
        </w:rPr>
      </w:pPr>
    </w:p>
    <w:p w:rsidR="00B4137B" w:rsidRPr="00243446" w:rsidRDefault="00B4137B" w:rsidP="000F03F9">
      <w:pPr>
        <w:spacing w:after="0" w:line="240" w:lineRule="auto"/>
        <w:jc w:val="both"/>
        <w:rPr>
          <w:rFonts w:ascii="Arial" w:hAnsi="Arial" w:cs="Arial"/>
          <w:bCs/>
        </w:rPr>
      </w:pPr>
      <w:r w:rsidRPr="00243446">
        <w:rPr>
          <w:rFonts w:ascii="Arial" w:hAnsi="Arial" w:cs="Arial"/>
          <w:bCs/>
        </w:rPr>
        <w:t>Finansijski okvir za sprovođenje ove Strategije predstavlja planiranje, alokaciju i upravljanje potrebnim finansijskim resursima kako bi se osigurao uspješan razvoj i implementacija strateškog i definisanih operativnih ciljeva</w:t>
      </w:r>
      <w:r w:rsidR="000F03F9" w:rsidRPr="00243446">
        <w:rPr>
          <w:rFonts w:ascii="Arial" w:hAnsi="Arial" w:cs="Arial"/>
          <w:bCs/>
        </w:rPr>
        <w:t>. Takođe,</w:t>
      </w:r>
      <w:r w:rsidRPr="00243446">
        <w:rPr>
          <w:rFonts w:ascii="Arial" w:hAnsi="Arial" w:cs="Arial"/>
          <w:bCs/>
        </w:rPr>
        <w:t xml:space="preserve"> pruža smjernice o tome kako i odakle će se prikupljati sredstva za realizaciju aktivnosti za vrijeme trajanja Akcionog plana 2025-2026, godine</w:t>
      </w:r>
      <w:r w:rsidR="000F03F9" w:rsidRPr="00243446">
        <w:rPr>
          <w:rFonts w:ascii="Arial" w:hAnsi="Arial" w:cs="Arial"/>
          <w:bCs/>
        </w:rPr>
        <w:t>, nakon</w:t>
      </w:r>
      <w:r w:rsidRPr="00243446">
        <w:rPr>
          <w:rFonts w:ascii="Arial" w:hAnsi="Arial" w:cs="Arial"/>
          <w:bCs/>
        </w:rPr>
        <w:t xml:space="preserve"> </w:t>
      </w:r>
      <w:r w:rsidR="000F03F9" w:rsidRPr="00243446">
        <w:rPr>
          <w:rFonts w:ascii="Arial" w:hAnsi="Arial" w:cs="Arial"/>
          <w:bCs/>
        </w:rPr>
        <w:t>čega</w:t>
      </w:r>
      <w:r w:rsidRPr="00243446">
        <w:rPr>
          <w:rFonts w:ascii="Arial" w:hAnsi="Arial" w:cs="Arial"/>
          <w:bCs/>
        </w:rPr>
        <w:t xml:space="preserve"> će se kreirati aktivnosti i finansijski okvir za 2027-2028 godinu.</w:t>
      </w:r>
    </w:p>
    <w:p w:rsidR="00B4137B" w:rsidRPr="00243446" w:rsidRDefault="00B4137B" w:rsidP="00B4137B">
      <w:pPr>
        <w:spacing w:after="0" w:line="240" w:lineRule="auto"/>
        <w:rPr>
          <w:rFonts w:ascii="Arial" w:hAnsi="Arial" w:cs="Arial"/>
          <w:bCs/>
          <w:lang w:val="sr-Latn-ME"/>
        </w:rPr>
      </w:pPr>
    </w:p>
    <w:tbl>
      <w:tblPr>
        <w:tblW w:w="9021" w:type="dxa"/>
        <w:tblLook w:val="04A0" w:firstRow="1" w:lastRow="0" w:firstColumn="1" w:lastColumn="0" w:noHBand="0" w:noVBand="1"/>
      </w:tblPr>
      <w:tblGrid>
        <w:gridCol w:w="3680"/>
        <w:gridCol w:w="1120"/>
        <w:gridCol w:w="1000"/>
        <w:gridCol w:w="1021"/>
        <w:gridCol w:w="1100"/>
        <w:gridCol w:w="1100"/>
      </w:tblGrid>
      <w:tr w:rsidR="00B4137B" w:rsidRPr="00243446" w:rsidTr="00B4137B">
        <w:trPr>
          <w:trHeight w:val="300"/>
        </w:trPr>
        <w:tc>
          <w:tcPr>
            <w:tcW w:w="3680" w:type="dxa"/>
            <w:tcBorders>
              <w:top w:val="nil"/>
              <w:left w:val="nil"/>
              <w:bottom w:val="nil"/>
              <w:right w:val="nil"/>
            </w:tcBorders>
            <w:shd w:val="clear" w:color="auto" w:fill="auto"/>
            <w:noWrap/>
            <w:vAlign w:val="bottom"/>
            <w:hideMark/>
          </w:tcPr>
          <w:p w:rsidR="00B4137B" w:rsidRPr="00243446" w:rsidRDefault="00B4137B" w:rsidP="00B4137B">
            <w:pPr>
              <w:spacing w:after="0" w:line="240" w:lineRule="auto"/>
              <w:rPr>
                <w:rFonts w:ascii="Arial" w:hAnsi="Arial" w:cs="Arial"/>
                <w:b/>
                <w:bCs/>
              </w:rPr>
            </w:pPr>
            <w:r w:rsidRPr="00243446">
              <w:rPr>
                <w:rFonts w:ascii="Arial" w:hAnsi="Arial" w:cs="Arial"/>
                <w:b/>
                <w:bCs/>
              </w:rPr>
              <w:t>Troškovi</w:t>
            </w:r>
          </w:p>
        </w:tc>
        <w:tc>
          <w:tcPr>
            <w:tcW w:w="112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B4137B" w:rsidRPr="00243446" w:rsidRDefault="00B4137B" w:rsidP="00B4137B">
            <w:pPr>
              <w:spacing w:after="0" w:line="240" w:lineRule="auto"/>
              <w:rPr>
                <w:rFonts w:ascii="Arial" w:hAnsi="Arial" w:cs="Arial"/>
                <w:b/>
                <w:bCs/>
              </w:rPr>
            </w:pPr>
            <w:r w:rsidRPr="00243446">
              <w:rPr>
                <w:rFonts w:ascii="Arial" w:hAnsi="Arial" w:cs="Arial"/>
                <w:b/>
                <w:bCs/>
              </w:rPr>
              <w:t>2025</w:t>
            </w:r>
          </w:p>
        </w:tc>
        <w:tc>
          <w:tcPr>
            <w:tcW w:w="1000" w:type="dxa"/>
            <w:tcBorders>
              <w:top w:val="single" w:sz="4" w:space="0" w:color="auto"/>
              <w:left w:val="nil"/>
              <w:bottom w:val="single" w:sz="4" w:space="0" w:color="auto"/>
              <w:right w:val="single" w:sz="4" w:space="0" w:color="auto"/>
            </w:tcBorders>
            <w:shd w:val="clear" w:color="000000" w:fill="DDEBF7"/>
            <w:noWrap/>
            <w:vAlign w:val="bottom"/>
            <w:hideMark/>
          </w:tcPr>
          <w:p w:rsidR="00B4137B" w:rsidRPr="00243446" w:rsidRDefault="00B4137B" w:rsidP="00B4137B">
            <w:pPr>
              <w:spacing w:after="0" w:line="240" w:lineRule="auto"/>
              <w:rPr>
                <w:rFonts w:ascii="Arial" w:hAnsi="Arial" w:cs="Arial"/>
                <w:b/>
                <w:bCs/>
              </w:rPr>
            </w:pPr>
            <w:r w:rsidRPr="00243446">
              <w:rPr>
                <w:rFonts w:ascii="Arial" w:hAnsi="Arial" w:cs="Arial"/>
                <w:b/>
                <w:bCs/>
              </w:rPr>
              <w:t>2026</w:t>
            </w:r>
          </w:p>
        </w:tc>
        <w:tc>
          <w:tcPr>
            <w:tcW w:w="1021" w:type="dxa"/>
            <w:tcBorders>
              <w:top w:val="single" w:sz="4" w:space="0" w:color="auto"/>
              <w:left w:val="nil"/>
              <w:bottom w:val="single" w:sz="4" w:space="0" w:color="auto"/>
              <w:right w:val="nil"/>
            </w:tcBorders>
            <w:shd w:val="clear" w:color="000000" w:fill="DDEBF7"/>
          </w:tcPr>
          <w:p w:rsidR="00B4137B" w:rsidRPr="00243446" w:rsidRDefault="00B4137B" w:rsidP="00B4137B">
            <w:pPr>
              <w:spacing w:after="0" w:line="240" w:lineRule="auto"/>
              <w:rPr>
                <w:rFonts w:ascii="Arial" w:hAnsi="Arial" w:cs="Arial"/>
                <w:b/>
                <w:bCs/>
              </w:rPr>
            </w:pPr>
            <w:r w:rsidRPr="00243446">
              <w:rPr>
                <w:rFonts w:ascii="Arial" w:hAnsi="Arial" w:cs="Arial"/>
                <w:b/>
                <w:bCs/>
              </w:rPr>
              <w:t>2027</w:t>
            </w:r>
          </w:p>
        </w:tc>
        <w:tc>
          <w:tcPr>
            <w:tcW w:w="1100" w:type="dxa"/>
            <w:tcBorders>
              <w:top w:val="single" w:sz="4" w:space="0" w:color="auto"/>
              <w:left w:val="nil"/>
              <w:bottom w:val="single" w:sz="4" w:space="0" w:color="auto"/>
              <w:right w:val="single" w:sz="4" w:space="0" w:color="auto"/>
            </w:tcBorders>
            <w:shd w:val="clear" w:color="000000" w:fill="DDEBF7"/>
            <w:noWrap/>
            <w:vAlign w:val="bottom"/>
            <w:hideMark/>
          </w:tcPr>
          <w:p w:rsidR="00B4137B" w:rsidRPr="00243446" w:rsidRDefault="00B4137B" w:rsidP="00B4137B">
            <w:pPr>
              <w:spacing w:after="0" w:line="240" w:lineRule="auto"/>
              <w:rPr>
                <w:rFonts w:ascii="Arial" w:hAnsi="Arial" w:cs="Arial"/>
                <w:b/>
                <w:bCs/>
              </w:rPr>
            </w:pPr>
            <w:r w:rsidRPr="00243446">
              <w:rPr>
                <w:rFonts w:ascii="Arial" w:hAnsi="Arial" w:cs="Arial"/>
                <w:b/>
                <w:bCs/>
              </w:rPr>
              <w:t>2028</w:t>
            </w:r>
          </w:p>
        </w:tc>
        <w:tc>
          <w:tcPr>
            <w:tcW w:w="1100" w:type="dxa"/>
            <w:tcBorders>
              <w:top w:val="single" w:sz="4" w:space="0" w:color="auto"/>
              <w:left w:val="nil"/>
              <w:bottom w:val="single" w:sz="4" w:space="0" w:color="auto"/>
              <w:right w:val="single" w:sz="4" w:space="0" w:color="auto"/>
            </w:tcBorders>
            <w:shd w:val="clear" w:color="000000" w:fill="DDEBF7"/>
            <w:noWrap/>
            <w:vAlign w:val="bottom"/>
            <w:hideMark/>
          </w:tcPr>
          <w:p w:rsidR="00B4137B" w:rsidRPr="00243446" w:rsidRDefault="00B4137B" w:rsidP="00B4137B">
            <w:pPr>
              <w:spacing w:after="0" w:line="240" w:lineRule="auto"/>
              <w:rPr>
                <w:rFonts w:ascii="Arial" w:hAnsi="Arial" w:cs="Arial"/>
                <w:b/>
                <w:bCs/>
              </w:rPr>
            </w:pPr>
            <w:r w:rsidRPr="00243446">
              <w:rPr>
                <w:rFonts w:ascii="Arial" w:hAnsi="Arial" w:cs="Arial"/>
                <w:b/>
                <w:bCs/>
              </w:rPr>
              <w:t>Ukupno</w:t>
            </w:r>
          </w:p>
        </w:tc>
      </w:tr>
      <w:tr w:rsidR="00B4137B" w:rsidRPr="00243446" w:rsidTr="00B4137B">
        <w:trPr>
          <w:trHeight w:val="300"/>
        </w:trPr>
        <w:tc>
          <w:tcPr>
            <w:tcW w:w="36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B4137B" w:rsidRPr="00243446" w:rsidRDefault="00B4137B" w:rsidP="00B4137B">
            <w:pPr>
              <w:spacing w:after="0" w:line="240" w:lineRule="auto"/>
              <w:rPr>
                <w:rFonts w:ascii="Arial" w:hAnsi="Arial" w:cs="Arial"/>
                <w:b/>
                <w:bCs/>
              </w:rPr>
            </w:pPr>
            <w:r w:rsidRPr="00243446">
              <w:rPr>
                <w:rFonts w:ascii="Arial" w:hAnsi="Arial" w:cs="Arial"/>
                <w:b/>
                <w:bCs/>
              </w:rPr>
              <w:t>Cilj 1</w:t>
            </w:r>
          </w:p>
        </w:tc>
        <w:tc>
          <w:tcPr>
            <w:tcW w:w="112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10,500 </w:t>
            </w:r>
          </w:p>
        </w:tc>
        <w:tc>
          <w:tcPr>
            <w:tcW w:w="10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021" w:type="dxa"/>
            <w:tcBorders>
              <w:top w:val="nil"/>
              <w:left w:val="nil"/>
              <w:bottom w:val="single" w:sz="4" w:space="0" w:color="auto"/>
              <w:right w:val="nil"/>
            </w:tcBorders>
          </w:tcPr>
          <w:p w:rsidR="000F03F9" w:rsidRPr="00243446" w:rsidRDefault="000F03F9" w:rsidP="00B4137B">
            <w:pPr>
              <w:spacing w:after="0" w:line="240" w:lineRule="auto"/>
              <w:rPr>
                <w:rFonts w:ascii="Arial" w:hAnsi="Arial" w:cs="Arial"/>
                <w:bCs/>
              </w:rPr>
            </w:pPr>
          </w:p>
          <w:p w:rsidR="00B4137B" w:rsidRPr="00243446" w:rsidRDefault="00B4137B" w:rsidP="00B4137B">
            <w:pPr>
              <w:spacing w:after="0" w:line="240" w:lineRule="auto"/>
              <w:rPr>
                <w:rFonts w:ascii="Arial" w:hAnsi="Arial" w:cs="Arial"/>
                <w:bCs/>
              </w:rPr>
            </w:pPr>
            <w:r w:rsidRPr="00243446">
              <w:rPr>
                <w:rFonts w:ascii="Arial" w:hAnsi="Arial" w:cs="Arial"/>
                <w:bCs/>
              </w:rPr>
              <w:t>-</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10,500 </w:t>
            </w:r>
          </w:p>
        </w:tc>
      </w:tr>
      <w:tr w:rsidR="00B4137B" w:rsidRPr="00243446" w:rsidTr="00B4137B">
        <w:trPr>
          <w:trHeight w:val="300"/>
        </w:trPr>
        <w:tc>
          <w:tcPr>
            <w:tcW w:w="3680" w:type="dxa"/>
            <w:tcBorders>
              <w:top w:val="nil"/>
              <w:left w:val="single" w:sz="4" w:space="0" w:color="auto"/>
              <w:bottom w:val="single" w:sz="4" w:space="0" w:color="auto"/>
              <w:right w:val="single" w:sz="4" w:space="0" w:color="auto"/>
            </w:tcBorders>
            <w:shd w:val="clear" w:color="000000" w:fill="DDEBF7"/>
            <w:noWrap/>
            <w:vAlign w:val="bottom"/>
            <w:hideMark/>
          </w:tcPr>
          <w:p w:rsidR="00B4137B" w:rsidRPr="00243446" w:rsidRDefault="00B4137B" w:rsidP="00B4137B">
            <w:pPr>
              <w:spacing w:after="0" w:line="240" w:lineRule="auto"/>
              <w:rPr>
                <w:rFonts w:ascii="Arial" w:hAnsi="Arial" w:cs="Arial"/>
                <w:b/>
                <w:bCs/>
              </w:rPr>
            </w:pPr>
            <w:r w:rsidRPr="00243446">
              <w:rPr>
                <w:rFonts w:ascii="Arial" w:hAnsi="Arial" w:cs="Arial"/>
                <w:b/>
                <w:bCs/>
              </w:rPr>
              <w:t>Cilj 2</w:t>
            </w:r>
          </w:p>
        </w:tc>
        <w:tc>
          <w:tcPr>
            <w:tcW w:w="112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w:t>
            </w:r>
            <w:r w:rsidR="00FA1F13" w:rsidRPr="00243446">
              <w:rPr>
                <w:rFonts w:ascii="Arial" w:hAnsi="Arial" w:cs="Arial"/>
                <w:bCs/>
              </w:rPr>
              <w:t>-</w:t>
            </w:r>
            <w:r w:rsidRPr="00243446">
              <w:rPr>
                <w:rFonts w:ascii="Arial" w:hAnsi="Arial" w:cs="Arial"/>
                <w:bCs/>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w:t>
            </w:r>
            <w:r w:rsidR="00FA1F13" w:rsidRPr="00243446">
              <w:rPr>
                <w:rFonts w:ascii="Arial" w:hAnsi="Arial" w:cs="Arial"/>
                <w:bCs/>
              </w:rPr>
              <w:t>3,</w:t>
            </w:r>
            <w:r w:rsidRPr="00243446">
              <w:rPr>
                <w:rFonts w:ascii="Arial" w:hAnsi="Arial" w:cs="Arial"/>
                <w:bCs/>
              </w:rPr>
              <w:t xml:space="preserve">700 </w:t>
            </w:r>
          </w:p>
        </w:tc>
        <w:tc>
          <w:tcPr>
            <w:tcW w:w="1021" w:type="dxa"/>
            <w:tcBorders>
              <w:top w:val="nil"/>
              <w:left w:val="nil"/>
              <w:bottom w:val="single" w:sz="4" w:space="0" w:color="auto"/>
              <w:right w:val="nil"/>
            </w:tcBorders>
          </w:tcPr>
          <w:p w:rsidR="00B4137B" w:rsidRPr="00243446" w:rsidRDefault="00B4137B" w:rsidP="00B4137B">
            <w:pPr>
              <w:spacing w:after="0" w:line="240" w:lineRule="auto"/>
              <w:rPr>
                <w:rFonts w:ascii="Arial" w:hAnsi="Arial" w:cs="Arial"/>
                <w:bCs/>
              </w:rPr>
            </w:pPr>
            <w:r w:rsidRPr="00243446">
              <w:rPr>
                <w:rFonts w:ascii="Arial" w:hAnsi="Arial" w:cs="Arial"/>
                <w:bCs/>
              </w:rPr>
              <w:t>-</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3,</w:t>
            </w:r>
            <w:r w:rsidR="00FA1F13" w:rsidRPr="00243446">
              <w:rPr>
                <w:rFonts w:ascii="Arial" w:hAnsi="Arial" w:cs="Arial"/>
                <w:bCs/>
              </w:rPr>
              <w:t>7</w:t>
            </w:r>
            <w:r w:rsidRPr="00243446">
              <w:rPr>
                <w:rFonts w:ascii="Arial" w:hAnsi="Arial" w:cs="Arial"/>
                <w:bCs/>
              </w:rPr>
              <w:t xml:space="preserve">00 </w:t>
            </w:r>
          </w:p>
        </w:tc>
      </w:tr>
      <w:tr w:rsidR="00B4137B" w:rsidRPr="00243446" w:rsidTr="00B4137B">
        <w:trPr>
          <w:trHeight w:val="300"/>
        </w:trPr>
        <w:tc>
          <w:tcPr>
            <w:tcW w:w="3680" w:type="dxa"/>
            <w:tcBorders>
              <w:top w:val="nil"/>
              <w:left w:val="single" w:sz="4" w:space="0" w:color="auto"/>
              <w:bottom w:val="single" w:sz="4" w:space="0" w:color="auto"/>
              <w:right w:val="single" w:sz="4" w:space="0" w:color="auto"/>
            </w:tcBorders>
            <w:shd w:val="clear" w:color="000000" w:fill="DDEBF7"/>
            <w:noWrap/>
            <w:vAlign w:val="bottom"/>
            <w:hideMark/>
          </w:tcPr>
          <w:p w:rsidR="00B4137B" w:rsidRPr="00243446" w:rsidRDefault="00B4137B" w:rsidP="00B4137B">
            <w:pPr>
              <w:spacing w:after="0" w:line="240" w:lineRule="auto"/>
              <w:rPr>
                <w:rFonts w:ascii="Arial" w:hAnsi="Arial" w:cs="Arial"/>
                <w:b/>
                <w:bCs/>
              </w:rPr>
            </w:pPr>
            <w:r w:rsidRPr="00243446">
              <w:rPr>
                <w:rFonts w:ascii="Arial" w:hAnsi="Arial" w:cs="Arial"/>
                <w:b/>
                <w:bCs/>
              </w:rPr>
              <w:t>Cilj 3</w:t>
            </w:r>
          </w:p>
        </w:tc>
        <w:tc>
          <w:tcPr>
            <w:tcW w:w="112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w:t>
            </w:r>
            <w:r w:rsidR="00FA1F13" w:rsidRPr="00243446">
              <w:rPr>
                <w:rFonts w:ascii="Arial" w:hAnsi="Arial" w:cs="Arial"/>
                <w:bCs/>
              </w:rPr>
              <w:t>37</w:t>
            </w:r>
            <w:r w:rsidRPr="00243446">
              <w:rPr>
                <w:rFonts w:ascii="Arial" w:hAnsi="Arial" w:cs="Arial"/>
                <w:bCs/>
              </w:rPr>
              <w:t>,</w:t>
            </w:r>
            <w:r w:rsidR="00FA1F13" w:rsidRPr="00243446">
              <w:rPr>
                <w:rFonts w:ascii="Arial" w:hAnsi="Arial" w:cs="Arial"/>
                <w:bCs/>
              </w:rPr>
              <w:t>4</w:t>
            </w:r>
            <w:r w:rsidRPr="00243446">
              <w:rPr>
                <w:rFonts w:ascii="Arial" w:hAnsi="Arial" w:cs="Arial"/>
                <w:bCs/>
              </w:rPr>
              <w:t xml:space="preserve">00 </w:t>
            </w:r>
          </w:p>
        </w:tc>
        <w:tc>
          <w:tcPr>
            <w:tcW w:w="10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w:t>
            </w:r>
            <w:r w:rsidR="00FA1F13" w:rsidRPr="00243446">
              <w:rPr>
                <w:rFonts w:ascii="Arial" w:hAnsi="Arial" w:cs="Arial"/>
                <w:bCs/>
              </w:rPr>
              <w:t>6</w:t>
            </w:r>
            <w:r w:rsidRPr="00243446">
              <w:rPr>
                <w:rFonts w:ascii="Arial" w:hAnsi="Arial" w:cs="Arial"/>
                <w:bCs/>
              </w:rPr>
              <w:t xml:space="preserve">,400 </w:t>
            </w:r>
          </w:p>
        </w:tc>
        <w:tc>
          <w:tcPr>
            <w:tcW w:w="1021" w:type="dxa"/>
            <w:tcBorders>
              <w:top w:val="nil"/>
              <w:left w:val="nil"/>
              <w:bottom w:val="single" w:sz="4" w:space="0" w:color="auto"/>
              <w:right w:val="nil"/>
            </w:tcBorders>
          </w:tcPr>
          <w:p w:rsidR="00B4137B" w:rsidRPr="00243446" w:rsidRDefault="00B4137B" w:rsidP="00B4137B">
            <w:pPr>
              <w:spacing w:after="0" w:line="240" w:lineRule="auto"/>
              <w:rPr>
                <w:rFonts w:ascii="Arial" w:hAnsi="Arial" w:cs="Arial"/>
                <w:bCs/>
              </w:rPr>
            </w:pPr>
            <w:r w:rsidRPr="00243446">
              <w:rPr>
                <w:rFonts w:ascii="Arial" w:hAnsi="Arial" w:cs="Arial"/>
                <w:bCs/>
              </w:rPr>
              <w:t>-</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w:t>
            </w:r>
            <w:r w:rsidR="00FA1F13" w:rsidRPr="00243446">
              <w:rPr>
                <w:rFonts w:ascii="Arial" w:hAnsi="Arial" w:cs="Arial"/>
                <w:bCs/>
              </w:rPr>
              <w:t>4</w:t>
            </w:r>
            <w:r w:rsidRPr="00243446">
              <w:rPr>
                <w:rFonts w:ascii="Arial" w:hAnsi="Arial" w:cs="Arial"/>
                <w:bCs/>
              </w:rPr>
              <w:t>3,</w:t>
            </w:r>
            <w:r w:rsidR="00FA1F13" w:rsidRPr="00243446">
              <w:rPr>
                <w:rFonts w:ascii="Arial" w:hAnsi="Arial" w:cs="Arial"/>
                <w:bCs/>
              </w:rPr>
              <w:t>8</w:t>
            </w:r>
            <w:r w:rsidRPr="00243446">
              <w:rPr>
                <w:rFonts w:ascii="Arial" w:hAnsi="Arial" w:cs="Arial"/>
                <w:bCs/>
              </w:rPr>
              <w:t xml:space="preserve">00 </w:t>
            </w:r>
          </w:p>
        </w:tc>
      </w:tr>
      <w:tr w:rsidR="00B4137B" w:rsidRPr="00243446" w:rsidTr="00B4137B">
        <w:trPr>
          <w:trHeight w:val="300"/>
        </w:trPr>
        <w:tc>
          <w:tcPr>
            <w:tcW w:w="3680" w:type="dxa"/>
            <w:tcBorders>
              <w:top w:val="nil"/>
              <w:left w:val="single" w:sz="4" w:space="0" w:color="auto"/>
              <w:bottom w:val="single" w:sz="4" w:space="0" w:color="auto"/>
              <w:right w:val="single" w:sz="4" w:space="0" w:color="auto"/>
            </w:tcBorders>
            <w:shd w:val="clear" w:color="000000" w:fill="DDEBF7"/>
            <w:noWrap/>
            <w:vAlign w:val="bottom"/>
            <w:hideMark/>
          </w:tcPr>
          <w:p w:rsidR="00B4137B" w:rsidRPr="00243446" w:rsidRDefault="00B4137B" w:rsidP="00B4137B">
            <w:pPr>
              <w:spacing w:after="0" w:line="240" w:lineRule="auto"/>
              <w:rPr>
                <w:rFonts w:ascii="Arial" w:hAnsi="Arial" w:cs="Arial"/>
                <w:b/>
                <w:bCs/>
              </w:rPr>
            </w:pPr>
            <w:r w:rsidRPr="00243446">
              <w:rPr>
                <w:rFonts w:ascii="Arial" w:hAnsi="Arial" w:cs="Arial"/>
                <w:b/>
                <w:bCs/>
              </w:rPr>
              <w:t>Cilj 4</w:t>
            </w:r>
          </w:p>
        </w:tc>
        <w:tc>
          <w:tcPr>
            <w:tcW w:w="112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w:t>
            </w:r>
            <w:r w:rsidR="00FA1F13" w:rsidRPr="00243446">
              <w:rPr>
                <w:rFonts w:ascii="Arial" w:hAnsi="Arial" w:cs="Arial"/>
                <w:bCs/>
              </w:rPr>
              <w:t>-</w:t>
            </w:r>
          </w:p>
        </w:tc>
        <w:tc>
          <w:tcPr>
            <w:tcW w:w="10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021" w:type="dxa"/>
            <w:tcBorders>
              <w:top w:val="nil"/>
              <w:left w:val="nil"/>
              <w:bottom w:val="single" w:sz="4" w:space="0" w:color="auto"/>
              <w:right w:val="nil"/>
            </w:tcBorders>
          </w:tcPr>
          <w:p w:rsidR="00B4137B" w:rsidRPr="00243446" w:rsidRDefault="00B4137B" w:rsidP="00B4137B">
            <w:pPr>
              <w:spacing w:after="0" w:line="240" w:lineRule="auto"/>
              <w:rPr>
                <w:rFonts w:ascii="Arial" w:hAnsi="Arial" w:cs="Arial"/>
                <w:bCs/>
              </w:rPr>
            </w:pPr>
            <w:r w:rsidRPr="00243446">
              <w:rPr>
                <w:rFonts w:ascii="Arial" w:hAnsi="Arial" w:cs="Arial"/>
                <w:bCs/>
              </w:rPr>
              <w:t>-</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w:t>
            </w:r>
            <w:r w:rsidR="00FA1F13" w:rsidRPr="00243446">
              <w:rPr>
                <w:rFonts w:ascii="Arial" w:hAnsi="Arial" w:cs="Arial"/>
                <w:bCs/>
              </w:rPr>
              <w:t>-</w:t>
            </w:r>
          </w:p>
        </w:tc>
      </w:tr>
      <w:tr w:rsidR="00B4137B" w:rsidRPr="00243446" w:rsidTr="00B4137B">
        <w:trPr>
          <w:trHeight w:val="300"/>
        </w:trPr>
        <w:tc>
          <w:tcPr>
            <w:tcW w:w="3680" w:type="dxa"/>
            <w:tcBorders>
              <w:top w:val="nil"/>
              <w:left w:val="single" w:sz="4" w:space="0" w:color="auto"/>
              <w:bottom w:val="single" w:sz="4" w:space="0" w:color="auto"/>
              <w:right w:val="single" w:sz="4" w:space="0" w:color="auto"/>
            </w:tcBorders>
            <w:shd w:val="clear" w:color="000000" w:fill="DDEBF7"/>
            <w:noWrap/>
            <w:vAlign w:val="bottom"/>
            <w:hideMark/>
          </w:tcPr>
          <w:p w:rsidR="00B4137B" w:rsidRPr="00243446" w:rsidRDefault="00B4137B" w:rsidP="00B4137B">
            <w:pPr>
              <w:spacing w:after="0" w:line="240" w:lineRule="auto"/>
              <w:rPr>
                <w:rFonts w:ascii="Arial" w:hAnsi="Arial" w:cs="Arial"/>
                <w:b/>
                <w:bCs/>
              </w:rPr>
            </w:pPr>
            <w:r w:rsidRPr="00243446">
              <w:rPr>
                <w:rFonts w:ascii="Arial" w:hAnsi="Arial" w:cs="Arial"/>
                <w:b/>
                <w:bCs/>
              </w:rPr>
              <w:t>Cilj 5</w:t>
            </w:r>
          </w:p>
        </w:tc>
        <w:tc>
          <w:tcPr>
            <w:tcW w:w="112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0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021" w:type="dxa"/>
            <w:tcBorders>
              <w:top w:val="nil"/>
              <w:left w:val="nil"/>
              <w:bottom w:val="single" w:sz="4" w:space="0" w:color="auto"/>
              <w:right w:val="nil"/>
            </w:tcBorders>
          </w:tcPr>
          <w:p w:rsidR="00B4137B" w:rsidRPr="00243446" w:rsidRDefault="00B4137B" w:rsidP="00B4137B">
            <w:pPr>
              <w:spacing w:after="0" w:line="240" w:lineRule="auto"/>
              <w:rPr>
                <w:rFonts w:ascii="Arial" w:hAnsi="Arial" w:cs="Arial"/>
                <w:bCs/>
              </w:rPr>
            </w:pPr>
            <w:r w:rsidRPr="00243446">
              <w:rPr>
                <w:rFonts w:ascii="Arial" w:hAnsi="Arial" w:cs="Arial"/>
                <w:bCs/>
              </w:rPr>
              <w:t>-</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r>
      <w:tr w:rsidR="00B4137B" w:rsidRPr="00243446" w:rsidTr="00B4137B">
        <w:trPr>
          <w:trHeight w:val="300"/>
        </w:trPr>
        <w:tc>
          <w:tcPr>
            <w:tcW w:w="3680" w:type="dxa"/>
            <w:tcBorders>
              <w:top w:val="nil"/>
              <w:left w:val="single" w:sz="4" w:space="0" w:color="auto"/>
              <w:bottom w:val="single" w:sz="4" w:space="0" w:color="auto"/>
              <w:right w:val="single" w:sz="4" w:space="0" w:color="auto"/>
            </w:tcBorders>
            <w:shd w:val="clear" w:color="000000" w:fill="DDEBF7"/>
            <w:noWrap/>
            <w:vAlign w:val="bottom"/>
            <w:hideMark/>
          </w:tcPr>
          <w:p w:rsidR="00B4137B" w:rsidRPr="00243446" w:rsidRDefault="00B4137B" w:rsidP="00B4137B">
            <w:pPr>
              <w:spacing w:after="0" w:line="240" w:lineRule="auto"/>
              <w:rPr>
                <w:rFonts w:ascii="Arial" w:hAnsi="Arial" w:cs="Arial"/>
                <w:b/>
                <w:bCs/>
              </w:rPr>
            </w:pPr>
            <w:r w:rsidRPr="00243446">
              <w:rPr>
                <w:rFonts w:ascii="Arial" w:hAnsi="Arial" w:cs="Arial"/>
                <w:b/>
                <w:bCs/>
              </w:rPr>
              <w:t>Cilj 6</w:t>
            </w:r>
          </w:p>
        </w:tc>
        <w:tc>
          <w:tcPr>
            <w:tcW w:w="112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0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021" w:type="dxa"/>
            <w:tcBorders>
              <w:top w:val="nil"/>
              <w:left w:val="nil"/>
              <w:bottom w:val="single" w:sz="4" w:space="0" w:color="auto"/>
              <w:right w:val="nil"/>
            </w:tcBorders>
          </w:tcPr>
          <w:p w:rsidR="00B4137B" w:rsidRPr="00243446" w:rsidRDefault="00B4137B" w:rsidP="00B4137B">
            <w:pPr>
              <w:spacing w:after="0" w:line="240" w:lineRule="auto"/>
              <w:rPr>
                <w:rFonts w:ascii="Arial" w:hAnsi="Arial" w:cs="Arial"/>
                <w:bCs/>
              </w:rPr>
            </w:pPr>
            <w:r w:rsidRPr="00243446">
              <w:rPr>
                <w:rFonts w:ascii="Arial" w:hAnsi="Arial" w:cs="Arial"/>
                <w:bCs/>
              </w:rPr>
              <w:t>-</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r>
      <w:tr w:rsidR="00B4137B" w:rsidRPr="00243446" w:rsidTr="00B4137B">
        <w:trPr>
          <w:trHeight w:val="600"/>
        </w:trPr>
        <w:tc>
          <w:tcPr>
            <w:tcW w:w="3680" w:type="dxa"/>
            <w:tcBorders>
              <w:top w:val="nil"/>
              <w:left w:val="single" w:sz="4" w:space="0" w:color="auto"/>
              <w:bottom w:val="single" w:sz="4" w:space="0" w:color="auto"/>
              <w:right w:val="single" w:sz="4" w:space="0" w:color="auto"/>
            </w:tcBorders>
            <w:shd w:val="clear" w:color="000000" w:fill="DDEBF7"/>
            <w:vAlign w:val="bottom"/>
            <w:hideMark/>
          </w:tcPr>
          <w:p w:rsidR="00B4137B" w:rsidRPr="00243446" w:rsidRDefault="00B4137B" w:rsidP="00B4137B">
            <w:pPr>
              <w:spacing w:after="0" w:line="240" w:lineRule="auto"/>
              <w:rPr>
                <w:rFonts w:ascii="Arial" w:hAnsi="Arial" w:cs="Arial"/>
                <w:b/>
                <w:bCs/>
              </w:rPr>
            </w:pPr>
            <w:r w:rsidRPr="00243446">
              <w:rPr>
                <w:rFonts w:ascii="Arial" w:hAnsi="Arial" w:cs="Arial"/>
                <w:b/>
                <w:bCs/>
              </w:rPr>
              <w:t>A</w:t>
            </w:r>
            <w:r w:rsidR="00063EC6" w:rsidRPr="00243446">
              <w:rPr>
                <w:rFonts w:ascii="Arial" w:hAnsi="Arial" w:cs="Arial"/>
                <w:b/>
                <w:bCs/>
              </w:rPr>
              <w:t>k</w:t>
            </w:r>
            <w:r w:rsidRPr="00243446">
              <w:rPr>
                <w:rFonts w:ascii="Arial" w:hAnsi="Arial" w:cs="Arial"/>
                <w:b/>
                <w:bCs/>
              </w:rPr>
              <w:t>cion</w:t>
            </w:r>
            <w:r w:rsidR="00FA1F13" w:rsidRPr="00243446">
              <w:rPr>
                <w:rFonts w:ascii="Arial" w:hAnsi="Arial" w:cs="Arial"/>
                <w:b/>
                <w:bCs/>
              </w:rPr>
              <w:t>i plan za</w:t>
            </w:r>
            <w:r w:rsidRPr="00243446">
              <w:rPr>
                <w:rFonts w:ascii="Arial" w:hAnsi="Arial" w:cs="Arial"/>
                <w:b/>
                <w:bCs/>
              </w:rPr>
              <w:t xml:space="preserve"> 2027-2028 </w:t>
            </w:r>
            <w:r w:rsidR="00FA1F13" w:rsidRPr="00243446">
              <w:rPr>
                <w:rFonts w:ascii="Arial" w:hAnsi="Arial" w:cs="Arial"/>
                <w:b/>
                <w:bCs/>
              </w:rPr>
              <w:t xml:space="preserve">I </w:t>
            </w:r>
            <w:r w:rsidRPr="00243446">
              <w:rPr>
                <w:rFonts w:ascii="Arial" w:hAnsi="Arial" w:cs="Arial"/>
                <w:b/>
                <w:bCs/>
              </w:rPr>
              <w:t>ex-post evalu</w:t>
            </w:r>
            <w:r w:rsidR="00FA1F13" w:rsidRPr="00243446">
              <w:rPr>
                <w:rFonts w:ascii="Arial" w:hAnsi="Arial" w:cs="Arial"/>
                <w:b/>
                <w:bCs/>
              </w:rPr>
              <w:t>acija</w:t>
            </w:r>
          </w:p>
        </w:tc>
        <w:tc>
          <w:tcPr>
            <w:tcW w:w="112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0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   </w:t>
            </w:r>
          </w:p>
        </w:tc>
        <w:tc>
          <w:tcPr>
            <w:tcW w:w="1021" w:type="dxa"/>
            <w:tcBorders>
              <w:top w:val="nil"/>
              <w:left w:val="nil"/>
              <w:bottom w:val="single" w:sz="4" w:space="0" w:color="auto"/>
              <w:right w:val="nil"/>
            </w:tcBorders>
          </w:tcPr>
          <w:p w:rsidR="00B4137B" w:rsidRPr="00243446" w:rsidRDefault="00B4137B" w:rsidP="00B4137B">
            <w:pPr>
              <w:spacing w:after="0" w:line="240" w:lineRule="auto"/>
              <w:rPr>
                <w:rFonts w:ascii="Arial" w:hAnsi="Arial" w:cs="Arial"/>
                <w:bCs/>
              </w:rPr>
            </w:pPr>
            <w:r w:rsidRPr="00243446">
              <w:rPr>
                <w:rFonts w:ascii="Arial" w:hAnsi="Arial" w:cs="Arial"/>
                <w:bCs/>
              </w:rPr>
              <w:t>-</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60,000 </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60,000 </w:t>
            </w:r>
          </w:p>
        </w:tc>
      </w:tr>
      <w:tr w:rsidR="00B4137B" w:rsidRPr="00243446" w:rsidTr="00B4137B">
        <w:trPr>
          <w:trHeight w:val="300"/>
        </w:trPr>
        <w:tc>
          <w:tcPr>
            <w:tcW w:w="3680" w:type="dxa"/>
            <w:tcBorders>
              <w:top w:val="nil"/>
              <w:left w:val="single" w:sz="4" w:space="0" w:color="auto"/>
              <w:bottom w:val="single" w:sz="4" w:space="0" w:color="auto"/>
              <w:right w:val="single" w:sz="4" w:space="0" w:color="auto"/>
            </w:tcBorders>
            <w:shd w:val="clear" w:color="000000" w:fill="DDEBF7"/>
            <w:noWrap/>
            <w:vAlign w:val="bottom"/>
            <w:hideMark/>
          </w:tcPr>
          <w:p w:rsidR="00B4137B" w:rsidRPr="00243446" w:rsidRDefault="00B4137B" w:rsidP="00B4137B">
            <w:pPr>
              <w:spacing w:after="0" w:line="240" w:lineRule="auto"/>
              <w:rPr>
                <w:rFonts w:ascii="Arial" w:hAnsi="Arial" w:cs="Arial"/>
                <w:b/>
                <w:bCs/>
              </w:rPr>
            </w:pPr>
            <w:r w:rsidRPr="00243446">
              <w:rPr>
                <w:rFonts w:ascii="Arial" w:hAnsi="Arial" w:cs="Arial"/>
                <w:b/>
                <w:bCs/>
              </w:rPr>
              <w:t>Ukupno</w:t>
            </w:r>
          </w:p>
        </w:tc>
        <w:tc>
          <w:tcPr>
            <w:tcW w:w="112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w:t>
            </w:r>
            <w:r w:rsidR="00FA1F13" w:rsidRPr="00243446">
              <w:rPr>
                <w:rFonts w:ascii="Arial" w:hAnsi="Arial" w:cs="Arial"/>
                <w:bCs/>
              </w:rPr>
              <w:t>47,900</w:t>
            </w:r>
          </w:p>
        </w:tc>
        <w:tc>
          <w:tcPr>
            <w:tcW w:w="10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w:t>
            </w:r>
            <w:r w:rsidR="00FA1F13" w:rsidRPr="00243446">
              <w:rPr>
                <w:rFonts w:ascii="Arial" w:hAnsi="Arial" w:cs="Arial"/>
                <w:bCs/>
              </w:rPr>
              <w:t>10,100</w:t>
            </w:r>
          </w:p>
        </w:tc>
        <w:tc>
          <w:tcPr>
            <w:tcW w:w="1021" w:type="dxa"/>
            <w:tcBorders>
              <w:top w:val="nil"/>
              <w:left w:val="nil"/>
              <w:bottom w:val="single" w:sz="4" w:space="0" w:color="auto"/>
              <w:right w:val="nil"/>
            </w:tcBorders>
          </w:tcPr>
          <w:p w:rsidR="00B4137B" w:rsidRPr="00243446" w:rsidRDefault="00B4137B" w:rsidP="00B4137B">
            <w:pPr>
              <w:spacing w:after="0" w:line="240" w:lineRule="auto"/>
              <w:rPr>
                <w:rFonts w:ascii="Arial" w:hAnsi="Arial" w:cs="Arial"/>
                <w:bCs/>
              </w:rPr>
            </w:pP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60,000 </w:t>
            </w:r>
          </w:p>
        </w:tc>
        <w:tc>
          <w:tcPr>
            <w:tcW w:w="1100" w:type="dxa"/>
            <w:tcBorders>
              <w:top w:val="nil"/>
              <w:left w:val="nil"/>
              <w:bottom w:val="single" w:sz="4" w:space="0" w:color="auto"/>
              <w:right w:val="single" w:sz="4" w:space="0" w:color="auto"/>
            </w:tcBorders>
            <w:shd w:val="clear" w:color="auto" w:fill="auto"/>
            <w:noWrap/>
            <w:vAlign w:val="bottom"/>
            <w:hideMark/>
          </w:tcPr>
          <w:p w:rsidR="00B4137B" w:rsidRPr="00243446" w:rsidRDefault="00B4137B" w:rsidP="00B4137B">
            <w:pPr>
              <w:spacing w:after="0" w:line="240" w:lineRule="auto"/>
              <w:rPr>
                <w:rFonts w:ascii="Arial" w:hAnsi="Arial" w:cs="Arial"/>
                <w:bCs/>
              </w:rPr>
            </w:pPr>
            <w:r w:rsidRPr="00243446">
              <w:rPr>
                <w:rFonts w:ascii="Arial" w:hAnsi="Arial" w:cs="Arial"/>
                <w:bCs/>
              </w:rPr>
              <w:t xml:space="preserve">      </w:t>
            </w:r>
            <w:r w:rsidR="00FA1F13" w:rsidRPr="00243446">
              <w:rPr>
                <w:rFonts w:ascii="Arial" w:hAnsi="Arial" w:cs="Arial"/>
                <w:bCs/>
              </w:rPr>
              <w:t>118,000</w:t>
            </w:r>
            <w:r w:rsidRPr="00243446">
              <w:rPr>
                <w:rFonts w:ascii="Arial" w:hAnsi="Arial" w:cs="Arial"/>
                <w:bCs/>
              </w:rPr>
              <w:t xml:space="preserve"> </w:t>
            </w:r>
          </w:p>
        </w:tc>
      </w:tr>
    </w:tbl>
    <w:p w:rsidR="00B4137B" w:rsidRPr="00243446" w:rsidRDefault="00B4137B" w:rsidP="00B4137B">
      <w:pPr>
        <w:spacing w:after="0" w:line="240" w:lineRule="auto"/>
        <w:rPr>
          <w:rFonts w:ascii="Arial" w:hAnsi="Arial" w:cs="Arial"/>
          <w:bCs/>
          <w:lang w:val="sr-Latn-ME"/>
        </w:rPr>
      </w:pPr>
    </w:p>
    <w:tbl>
      <w:tblPr>
        <w:tblW w:w="9180" w:type="dxa"/>
        <w:tblLayout w:type="fixed"/>
        <w:tblLook w:val="04A0" w:firstRow="1" w:lastRow="0" w:firstColumn="1" w:lastColumn="0" w:noHBand="0" w:noVBand="1"/>
      </w:tblPr>
      <w:tblGrid>
        <w:gridCol w:w="3222"/>
        <w:gridCol w:w="1262"/>
        <w:gridCol w:w="1179"/>
        <w:gridCol w:w="1237"/>
        <w:gridCol w:w="1200"/>
        <w:gridCol w:w="1080"/>
      </w:tblGrid>
      <w:tr w:rsidR="00231BB1" w:rsidRPr="00243446" w:rsidTr="00231BB1">
        <w:trPr>
          <w:trHeight w:val="300"/>
        </w:trPr>
        <w:tc>
          <w:tcPr>
            <w:tcW w:w="3222" w:type="dxa"/>
            <w:tcBorders>
              <w:top w:val="nil"/>
              <w:left w:val="nil"/>
              <w:bottom w:val="nil"/>
              <w:right w:val="nil"/>
            </w:tcBorders>
            <w:shd w:val="clear" w:color="auto" w:fill="auto"/>
            <w:noWrap/>
            <w:vAlign w:val="bottom"/>
            <w:hideMark/>
          </w:tcPr>
          <w:p w:rsidR="00231BB1" w:rsidRPr="00243446" w:rsidRDefault="00231BB1" w:rsidP="00231BB1">
            <w:pPr>
              <w:spacing w:after="0" w:line="240" w:lineRule="auto"/>
              <w:rPr>
                <w:rFonts w:ascii="Arial" w:hAnsi="Arial" w:cs="Arial"/>
                <w:b/>
                <w:bCs/>
              </w:rPr>
            </w:pPr>
          </w:p>
        </w:tc>
        <w:tc>
          <w:tcPr>
            <w:tcW w:w="126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231BB1" w:rsidRPr="00243446" w:rsidRDefault="00231BB1" w:rsidP="00231BB1">
            <w:pPr>
              <w:spacing w:after="0" w:line="240" w:lineRule="auto"/>
              <w:rPr>
                <w:rFonts w:ascii="Arial" w:hAnsi="Arial" w:cs="Arial"/>
                <w:b/>
                <w:bCs/>
              </w:rPr>
            </w:pPr>
            <w:r w:rsidRPr="00243446">
              <w:rPr>
                <w:rFonts w:ascii="Arial" w:hAnsi="Arial" w:cs="Arial"/>
                <w:b/>
                <w:bCs/>
              </w:rPr>
              <w:t>Godina 1</w:t>
            </w:r>
          </w:p>
        </w:tc>
        <w:tc>
          <w:tcPr>
            <w:tcW w:w="1179" w:type="dxa"/>
            <w:tcBorders>
              <w:top w:val="single" w:sz="4" w:space="0" w:color="auto"/>
              <w:left w:val="nil"/>
              <w:bottom w:val="single" w:sz="4" w:space="0" w:color="auto"/>
              <w:right w:val="single" w:sz="4" w:space="0" w:color="auto"/>
            </w:tcBorders>
            <w:shd w:val="clear" w:color="000000" w:fill="DDEBF7"/>
            <w:noWrap/>
            <w:vAlign w:val="bottom"/>
            <w:hideMark/>
          </w:tcPr>
          <w:p w:rsidR="00231BB1" w:rsidRPr="00243446" w:rsidRDefault="00231BB1" w:rsidP="00231BB1">
            <w:pPr>
              <w:spacing w:after="0" w:line="240" w:lineRule="auto"/>
              <w:rPr>
                <w:rFonts w:ascii="Arial" w:hAnsi="Arial" w:cs="Arial"/>
                <w:b/>
                <w:bCs/>
              </w:rPr>
            </w:pPr>
            <w:r w:rsidRPr="00243446">
              <w:rPr>
                <w:rFonts w:ascii="Arial" w:hAnsi="Arial" w:cs="Arial"/>
                <w:b/>
                <w:bCs/>
              </w:rPr>
              <w:t>Godina 2</w:t>
            </w:r>
          </w:p>
        </w:tc>
        <w:tc>
          <w:tcPr>
            <w:tcW w:w="1237" w:type="dxa"/>
            <w:tcBorders>
              <w:top w:val="single" w:sz="4" w:space="0" w:color="auto"/>
              <w:left w:val="nil"/>
              <w:bottom w:val="single" w:sz="4" w:space="0" w:color="auto"/>
              <w:right w:val="single" w:sz="4" w:space="0" w:color="auto"/>
            </w:tcBorders>
            <w:shd w:val="clear" w:color="000000" w:fill="DDEBF7"/>
            <w:noWrap/>
            <w:vAlign w:val="bottom"/>
            <w:hideMark/>
          </w:tcPr>
          <w:p w:rsidR="00231BB1" w:rsidRPr="00243446" w:rsidRDefault="00231BB1" w:rsidP="00231BB1">
            <w:pPr>
              <w:spacing w:after="0" w:line="240" w:lineRule="auto"/>
              <w:rPr>
                <w:rFonts w:ascii="Arial" w:hAnsi="Arial" w:cs="Arial"/>
                <w:b/>
                <w:bCs/>
              </w:rPr>
            </w:pPr>
            <w:r w:rsidRPr="00243446">
              <w:rPr>
                <w:rFonts w:ascii="Arial" w:hAnsi="Arial" w:cs="Arial"/>
                <w:b/>
                <w:bCs/>
              </w:rPr>
              <w:t>Godina 3</w:t>
            </w:r>
          </w:p>
        </w:tc>
        <w:tc>
          <w:tcPr>
            <w:tcW w:w="1200" w:type="dxa"/>
            <w:tcBorders>
              <w:top w:val="single" w:sz="4" w:space="0" w:color="auto"/>
              <w:left w:val="nil"/>
              <w:bottom w:val="single" w:sz="4" w:space="0" w:color="auto"/>
              <w:right w:val="nil"/>
            </w:tcBorders>
            <w:shd w:val="clear" w:color="000000" w:fill="DDEBF7"/>
          </w:tcPr>
          <w:p w:rsidR="00231BB1" w:rsidRPr="00243446" w:rsidRDefault="00231BB1" w:rsidP="00231BB1">
            <w:pPr>
              <w:spacing w:after="0" w:line="240" w:lineRule="auto"/>
              <w:rPr>
                <w:rFonts w:ascii="Arial" w:hAnsi="Arial" w:cs="Arial"/>
                <w:b/>
                <w:bCs/>
              </w:rPr>
            </w:pPr>
          </w:p>
          <w:p w:rsidR="00231BB1" w:rsidRPr="00243446" w:rsidRDefault="00231BB1" w:rsidP="00231BB1">
            <w:pPr>
              <w:spacing w:after="0" w:line="240" w:lineRule="auto"/>
              <w:rPr>
                <w:rFonts w:ascii="Arial" w:hAnsi="Arial" w:cs="Arial"/>
                <w:b/>
                <w:bCs/>
              </w:rPr>
            </w:pPr>
            <w:r w:rsidRPr="00243446">
              <w:rPr>
                <w:rFonts w:ascii="Arial" w:hAnsi="Arial" w:cs="Arial"/>
                <w:b/>
                <w:bCs/>
              </w:rPr>
              <w:t xml:space="preserve">Godina 4 </w:t>
            </w:r>
          </w:p>
        </w:tc>
        <w:tc>
          <w:tcPr>
            <w:tcW w:w="1080" w:type="dxa"/>
            <w:tcBorders>
              <w:top w:val="single" w:sz="4" w:space="0" w:color="auto"/>
              <w:left w:val="nil"/>
              <w:bottom w:val="single" w:sz="4" w:space="0" w:color="auto"/>
              <w:right w:val="single" w:sz="4" w:space="0" w:color="auto"/>
            </w:tcBorders>
            <w:shd w:val="clear" w:color="000000" w:fill="DDEBF7"/>
            <w:noWrap/>
            <w:vAlign w:val="bottom"/>
            <w:hideMark/>
          </w:tcPr>
          <w:p w:rsidR="00231BB1" w:rsidRPr="00243446" w:rsidRDefault="00231BB1" w:rsidP="00231BB1">
            <w:pPr>
              <w:spacing w:after="0" w:line="240" w:lineRule="auto"/>
              <w:rPr>
                <w:rFonts w:ascii="Arial" w:hAnsi="Arial" w:cs="Arial"/>
                <w:b/>
                <w:bCs/>
              </w:rPr>
            </w:pPr>
            <w:r w:rsidRPr="00243446">
              <w:rPr>
                <w:rFonts w:ascii="Arial" w:hAnsi="Arial" w:cs="Arial"/>
                <w:b/>
                <w:bCs/>
              </w:rPr>
              <w:t>Ukupno</w:t>
            </w:r>
          </w:p>
        </w:tc>
      </w:tr>
      <w:tr w:rsidR="00231BB1" w:rsidRPr="00243446" w:rsidTr="00231BB1">
        <w:trPr>
          <w:trHeight w:val="300"/>
        </w:trPr>
        <w:tc>
          <w:tcPr>
            <w:tcW w:w="322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231BB1" w:rsidRPr="00243446" w:rsidRDefault="00231BB1" w:rsidP="00231BB1">
            <w:pPr>
              <w:spacing w:after="0" w:line="240" w:lineRule="auto"/>
              <w:rPr>
                <w:rFonts w:ascii="Arial" w:hAnsi="Arial" w:cs="Arial"/>
                <w:b/>
                <w:bCs/>
              </w:rPr>
            </w:pPr>
            <w:r w:rsidRPr="00243446">
              <w:rPr>
                <w:rFonts w:ascii="Arial" w:hAnsi="Arial" w:cs="Arial"/>
                <w:b/>
                <w:bCs/>
              </w:rPr>
              <w:t>Inkrementalni troškovi</w:t>
            </w:r>
          </w:p>
        </w:tc>
        <w:tc>
          <w:tcPr>
            <w:tcW w:w="1262" w:type="dxa"/>
            <w:tcBorders>
              <w:top w:val="nil"/>
              <w:left w:val="nil"/>
              <w:bottom w:val="single" w:sz="4" w:space="0" w:color="auto"/>
              <w:right w:val="single" w:sz="4" w:space="0" w:color="auto"/>
            </w:tcBorders>
            <w:shd w:val="clear" w:color="auto" w:fill="auto"/>
            <w:noWrap/>
            <w:vAlign w:val="bottom"/>
            <w:hideMark/>
          </w:tcPr>
          <w:p w:rsidR="00231BB1" w:rsidRPr="00243446" w:rsidRDefault="00231BB1" w:rsidP="00231BB1">
            <w:pPr>
              <w:spacing w:after="0" w:line="240" w:lineRule="auto"/>
              <w:rPr>
                <w:rFonts w:ascii="Arial" w:hAnsi="Arial" w:cs="Arial"/>
                <w:bCs/>
              </w:rPr>
            </w:pPr>
            <w:r w:rsidRPr="00243446">
              <w:rPr>
                <w:rFonts w:ascii="Arial" w:hAnsi="Arial" w:cs="Arial"/>
                <w:bCs/>
              </w:rPr>
              <w:t xml:space="preserve">       47,900 </w:t>
            </w:r>
          </w:p>
        </w:tc>
        <w:tc>
          <w:tcPr>
            <w:tcW w:w="1179" w:type="dxa"/>
            <w:tcBorders>
              <w:top w:val="nil"/>
              <w:left w:val="nil"/>
              <w:bottom w:val="single" w:sz="4" w:space="0" w:color="auto"/>
              <w:right w:val="single" w:sz="4" w:space="0" w:color="auto"/>
            </w:tcBorders>
            <w:shd w:val="clear" w:color="auto" w:fill="auto"/>
            <w:noWrap/>
            <w:vAlign w:val="bottom"/>
            <w:hideMark/>
          </w:tcPr>
          <w:p w:rsidR="00231BB1" w:rsidRPr="00243446" w:rsidRDefault="00231BB1" w:rsidP="00231BB1">
            <w:pPr>
              <w:spacing w:after="0" w:line="240" w:lineRule="auto"/>
              <w:rPr>
                <w:rFonts w:ascii="Arial" w:hAnsi="Arial" w:cs="Arial"/>
                <w:bCs/>
              </w:rPr>
            </w:pPr>
            <w:r w:rsidRPr="00243446">
              <w:rPr>
                <w:rFonts w:ascii="Arial" w:hAnsi="Arial" w:cs="Arial"/>
                <w:bCs/>
              </w:rPr>
              <w:t xml:space="preserve">      10,100 </w:t>
            </w:r>
          </w:p>
        </w:tc>
        <w:tc>
          <w:tcPr>
            <w:tcW w:w="1237" w:type="dxa"/>
            <w:tcBorders>
              <w:top w:val="nil"/>
              <w:left w:val="nil"/>
              <w:bottom w:val="single" w:sz="4" w:space="0" w:color="auto"/>
              <w:right w:val="single" w:sz="4" w:space="0" w:color="auto"/>
            </w:tcBorders>
            <w:shd w:val="clear" w:color="auto" w:fill="auto"/>
            <w:noWrap/>
            <w:vAlign w:val="bottom"/>
            <w:hideMark/>
          </w:tcPr>
          <w:p w:rsidR="00231BB1" w:rsidRPr="00243446" w:rsidRDefault="00231BB1" w:rsidP="00231BB1">
            <w:pPr>
              <w:spacing w:after="0" w:line="240" w:lineRule="auto"/>
              <w:rPr>
                <w:rFonts w:ascii="Arial" w:hAnsi="Arial" w:cs="Arial"/>
                <w:bCs/>
              </w:rPr>
            </w:pPr>
            <w:r w:rsidRPr="00243446">
              <w:rPr>
                <w:rFonts w:ascii="Arial" w:hAnsi="Arial" w:cs="Arial"/>
                <w:bCs/>
              </w:rPr>
              <w:t>-</w:t>
            </w:r>
          </w:p>
        </w:tc>
        <w:tc>
          <w:tcPr>
            <w:tcW w:w="1200" w:type="dxa"/>
            <w:tcBorders>
              <w:top w:val="nil"/>
              <w:left w:val="nil"/>
              <w:bottom w:val="single" w:sz="4" w:space="0" w:color="auto"/>
              <w:right w:val="nil"/>
            </w:tcBorders>
          </w:tcPr>
          <w:p w:rsidR="00231BB1" w:rsidRPr="00243446" w:rsidRDefault="00231BB1" w:rsidP="00231BB1">
            <w:pPr>
              <w:spacing w:after="0" w:line="240" w:lineRule="auto"/>
              <w:rPr>
                <w:rFonts w:ascii="Arial" w:hAnsi="Arial" w:cs="Arial"/>
                <w:bCs/>
              </w:rPr>
            </w:pPr>
          </w:p>
          <w:p w:rsidR="00231BB1" w:rsidRPr="00243446" w:rsidRDefault="00231BB1" w:rsidP="00231BB1">
            <w:pPr>
              <w:spacing w:after="0" w:line="240" w:lineRule="auto"/>
              <w:rPr>
                <w:rFonts w:ascii="Arial" w:hAnsi="Arial" w:cs="Arial"/>
                <w:bCs/>
              </w:rPr>
            </w:pPr>
            <w:r w:rsidRPr="00243446">
              <w:rPr>
                <w:rFonts w:ascii="Arial" w:hAnsi="Arial" w:cs="Arial"/>
                <w:bCs/>
              </w:rPr>
              <w:t>60,000</w:t>
            </w:r>
          </w:p>
        </w:tc>
        <w:tc>
          <w:tcPr>
            <w:tcW w:w="1080" w:type="dxa"/>
            <w:tcBorders>
              <w:top w:val="nil"/>
              <w:left w:val="nil"/>
              <w:bottom w:val="single" w:sz="4" w:space="0" w:color="auto"/>
              <w:right w:val="single" w:sz="4" w:space="0" w:color="auto"/>
            </w:tcBorders>
            <w:shd w:val="clear" w:color="auto" w:fill="auto"/>
            <w:noWrap/>
            <w:vAlign w:val="bottom"/>
            <w:hideMark/>
          </w:tcPr>
          <w:p w:rsidR="00231BB1" w:rsidRPr="00243446" w:rsidRDefault="00231BB1" w:rsidP="00231BB1">
            <w:pPr>
              <w:spacing w:after="0" w:line="240" w:lineRule="auto"/>
              <w:rPr>
                <w:rFonts w:ascii="Arial" w:hAnsi="Arial" w:cs="Arial"/>
                <w:bCs/>
              </w:rPr>
            </w:pPr>
            <w:r w:rsidRPr="00243446">
              <w:rPr>
                <w:rFonts w:ascii="Arial" w:hAnsi="Arial" w:cs="Arial"/>
                <w:bCs/>
              </w:rPr>
              <w:t xml:space="preserve">      </w:t>
            </w:r>
            <w:r w:rsidR="000F03F9" w:rsidRPr="00243446">
              <w:rPr>
                <w:rFonts w:ascii="Arial" w:hAnsi="Arial" w:cs="Arial"/>
                <w:bCs/>
              </w:rPr>
              <w:t>118</w:t>
            </w:r>
            <w:r w:rsidRPr="00243446">
              <w:rPr>
                <w:rFonts w:ascii="Arial" w:hAnsi="Arial" w:cs="Arial"/>
                <w:bCs/>
              </w:rPr>
              <w:t>,</w:t>
            </w:r>
            <w:r w:rsidR="000F03F9" w:rsidRPr="00243446">
              <w:rPr>
                <w:rFonts w:ascii="Arial" w:hAnsi="Arial" w:cs="Arial"/>
                <w:bCs/>
              </w:rPr>
              <w:t>0</w:t>
            </w:r>
            <w:r w:rsidRPr="00243446">
              <w:rPr>
                <w:rFonts w:ascii="Arial" w:hAnsi="Arial" w:cs="Arial"/>
                <w:bCs/>
              </w:rPr>
              <w:t xml:space="preserve">00 </w:t>
            </w:r>
          </w:p>
        </w:tc>
      </w:tr>
      <w:tr w:rsidR="00231BB1" w:rsidRPr="00243446" w:rsidTr="00231BB1">
        <w:trPr>
          <w:trHeight w:val="300"/>
        </w:trPr>
        <w:tc>
          <w:tcPr>
            <w:tcW w:w="3222" w:type="dxa"/>
            <w:tcBorders>
              <w:top w:val="nil"/>
              <w:left w:val="single" w:sz="4" w:space="0" w:color="auto"/>
              <w:bottom w:val="single" w:sz="4" w:space="0" w:color="auto"/>
              <w:right w:val="single" w:sz="4" w:space="0" w:color="auto"/>
            </w:tcBorders>
            <w:shd w:val="clear" w:color="000000" w:fill="DDEBF7"/>
            <w:noWrap/>
            <w:vAlign w:val="bottom"/>
            <w:hideMark/>
          </w:tcPr>
          <w:p w:rsidR="00231BB1" w:rsidRPr="00243446" w:rsidRDefault="00231BB1" w:rsidP="00231BB1">
            <w:pPr>
              <w:spacing w:after="0" w:line="240" w:lineRule="auto"/>
              <w:rPr>
                <w:rFonts w:ascii="Arial" w:hAnsi="Arial" w:cs="Arial"/>
                <w:b/>
                <w:bCs/>
              </w:rPr>
            </w:pPr>
            <w:r w:rsidRPr="00243446">
              <w:rPr>
                <w:rFonts w:ascii="Arial" w:hAnsi="Arial" w:cs="Arial"/>
                <w:b/>
                <w:bCs/>
              </w:rPr>
              <w:t>Budžet</w:t>
            </w:r>
          </w:p>
        </w:tc>
        <w:tc>
          <w:tcPr>
            <w:tcW w:w="1262" w:type="dxa"/>
            <w:tcBorders>
              <w:top w:val="nil"/>
              <w:left w:val="nil"/>
              <w:bottom w:val="single" w:sz="4" w:space="0" w:color="auto"/>
              <w:right w:val="single" w:sz="4" w:space="0" w:color="auto"/>
            </w:tcBorders>
            <w:shd w:val="clear" w:color="auto" w:fill="auto"/>
            <w:noWrap/>
            <w:vAlign w:val="bottom"/>
            <w:hideMark/>
          </w:tcPr>
          <w:p w:rsidR="00231BB1" w:rsidRPr="00243446" w:rsidRDefault="00231BB1" w:rsidP="00231BB1">
            <w:pPr>
              <w:spacing w:after="0" w:line="240" w:lineRule="auto"/>
              <w:rPr>
                <w:rFonts w:ascii="Arial" w:hAnsi="Arial" w:cs="Arial"/>
                <w:bCs/>
              </w:rPr>
            </w:pPr>
            <w:r w:rsidRPr="00243446">
              <w:rPr>
                <w:rFonts w:ascii="Arial" w:hAnsi="Arial" w:cs="Arial"/>
                <w:bCs/>
              </w:rPr>
              <w:t xml:space="preserve">                  - </w:t>
            </w:r>
          </w:p>
        </w:tc>
        <w:tc>
          <w:tcPr>
            <w:tcW w:w="1179" w:type="dxa"/>
            <w:tcBorders>
              <w:top w:val="nil"/>
              <w:left w:val="nil"/>
              <w:bottom w:val="single" w:sz="4" w:space="0" w:color="auto"/>
              <w:right w:val="single" w:sz="4" w:space="0" w:color="auto"/>
            </w:tcBorders>
            <w:shd w:val="clear" w:color="auto" w:fill="auto"/>
            <w:noWrap/>
            <w:vAlign w:val="bottom"/>
            <w:hideMark/>
          </w:tcPr>
          <w:p w:rsidR="00231BB1" w:rsidRPr="00243446" w:rsidRDefault="00231BB1" w:rsidP="00231BB1">
            <w:pPr>
              <w:spacing w:after="0" w:line="240" w:lineRule="auto"/>
              <w:rPr>
                <w:rFonts w:ascii="Arial" w:hAnsi="Arial" w:cs="Arial"/>
                <w:bCs/>
              </w:rPr>
            </w:pPr>
            <w:r w:rsidRPr="00243446">
              <w:rPr>
                <w:rFonts w:ascii="Arial" w:hAnsi="Arial" w:cs="Arial"/>
                <w:bCs/>
              </w:rPr>
              <w:t xml:space="preserve">                </w:t>
            </w:r>
            <w:r w:rsidR="000F03F9" w:rsidRPr="00243446">
              <w:rPr>
                <w:rFonts w:ascii="Arial" w:hAnsi="Arial" w:cs="Arial"/>
                <w:bCs/>
              </w:rPr>
              <w:t>5,700</w:t>
            </w:r>
          </w:p>
        </w:tc>
        <w:tc>
          <w:tcPr>
            <w:tcW w:w="1237" w:type="dxa"/>
            <w:tcBorders>
              <w:top w:val="nil"/>
              <w:left w:val="nil"/>
              <w:bottom w:val="single" w:sz="4" w:space="0" w:color="auto"/>
              <w:right w:val="single" w:sz="4" w:space="0" w:color="auto"/>
            </w:tcBorders>
            <w:shd w:val="clear" w:color="auto" w:fill="auto"/>
            <w:noWrap/>
            <w:vAlign w:val="bottom"/>
            <w:hideMark/>
          </w:tcPr>
          <w:p w:rsidR="00231BB1" w:rsidRPr="00243446" w:rsidRDefault="00231BB1" w:rsidP="00231BB1">
            <w:pPr>
              <w:spacing w:after="0" w:line="240" w:lineRule="auto"/>
              <w:rPr>
                <w:rFonts w:ascii="Arial" w:hAnsi="Arial" w:cs="Arial"/>
                <w:bCs/>
              </w:rPr>
            </w:pPr>
            <w:r w:rsidRPr="00243446">
              <w:rPr>
                <w:rFonts w:ascii="Arial" w:hAnsi="Arial" w:cs="Arial"/>
                <w:bCs/>
              </w:rPr>
              <w:t xml:space="preserve">                  -   </w:t>
            </w:r>
          </w:p>
        </w:tc>
        <w:tc>
          <w:tcPr>
            <w:tcW w:w="1200" w:type="dxa"/>
            <w:tcBorders>
              <w:top w:val="nil"/>
              <w:left w:val="nil"/>
              <w:bottom w:val="single" w:sz="4" w:space="0" w:color="auto"/>
              <w:right w:val="nil"/>
            </w:tcBorders>
          </w:tcPr>
          <w:p w:rsidR="00231BB1" w:rsidRPr="00243446" w:rsidRDefault="00231BB1" w:rsidP="00231BB1">
            <w:pPr>
              <w:spacing w:after="0" w:line="240" w:lineRule="auto"/>
              <w:rPr>
                <w:rFonts w:ascii="Arial" w:hAnsi="Arial" w:cs="Arial"/>
                <w:bCs/>
              </w:rPr>
            </w:pPr>
          </w:p>
          <w:p w:rsidR="00231BB1" w:rsidRPr="00243446" w:rsidRDefault="00231BB1" w:rsidP="00231BB1">
            <w:pPr>
              <w:spacing w:after="0" w:line="240" w:lineRule="auto"/>
              <w:rPr>
                <w:rFonts w:ascii="Arial" w:hAnsi="Arial" w:cs="Arial"/>
                <w:bCs/>
              </w:rPr>
            </w:pPr>
            <w:r w:rsidRPr="00243446">
              <w:rPr>
                <w:rFonts w:ascii="Arial" w:hAnsi="Arial" w:cs="Arial"/>
                <w:bCs/>
              </w:rPr>
              <w:t>-</w:t>
            </w:r>
          </w:p>
        </w:tc>
        <w:tc>
          <w:tcPr>
            <w:tcW w:w="1080" w:type="dxa"/>
            <w:tcBorders>
              <w:top w:val="nil"/>
              <w:left w:val="nil"/>
              <w:bottom w:val="single" w:sz="4" w:space="0" w:color="auto"/>
              <w:right w:val="single" w:sz="4" w:space="0" w:color="auto"/>
            </w:tcBorders>
            <w:shd w:val="clear" w:color="auto" w:fill="auto"/>
            <w:noWrap/>
            <w:vAlign w:val="bottom"/>
            <w:hideMark/>
          </w:tcPr>
          <w:p w:rsidR="00231BB1" w:rsidRPr="00243446" w:rsidRDefault="00231BB1" w:rsidP="00231BB1">
            <w:pPr>
              <w:spacing w:after="0" w:line="240" w:lineRule="auto"/>
              <w:rPr>
                <w:rFonts w:ascii="Arial" w:hAnsi="Arial" w:cs="Arial"/>
                <w:bCs/>
              </w:rPr>
            </w:pPr>
            <w:r w:rsidRPr="00243446">
              <w:rPr>
                <w:rFonts w:ascii="Arial" w:hAnsi="Arial" w:cs="Arial"/>
                <w:bCs/>
              </w:rPr>
              <w:t xml:space="preserve">                  </w:t>
            </w:r>
            <w:r w:rsidR="000F03F9" w:rsidRPr="00243446">
              <w:rPr>
                <w:rFonts w:ascii="Arial" w:hAnsi="Arial" w:cs="Arial"/>
                <w:bCs/>
              </w:rPr>
              <w:t>5,700</w:t>
            </w:r>
          </w:p>
        </w:tc>
      </w:tr>
      <w:tr w:rsidR="00231BB1" w:rsidRPr="00243446" w:rsidTr="00231BB1">
        <w:trPr>
          <w:trHeight w:val="300"/>
        </w:trPr>
        <w:tc>
          <w:tcPr>
            <w:tcW w:w="3222" w:type="dxa"/>
            <w:tcBorders>
              <w:top w:val="nil"/>
              <w:left w:val="single" w:sz="4" w:space="0" w:color="auto"/>
              <w:bottom w:val="single" w:sz="4" w:space="0" w:color="auto"/>
              <w:right w:val="single" w:sz="4" w:space="0" w:color="auto"/>
            </w:tcBorders>
            <w:shd w:val="clear" w:color="000000" w:fill="DDEBF7"/>
            <w:noWrap/>
            <w:vAlign w:val="bottom"/>
            <w:hideMark/>
          </w:tcPr>
          <w:p w:rsidR="00231BB1" w:rsidRPr="00243446" w:rsidRDefault="00231BB1" w:rsidP="00231BB1">
            <w:pPr>
              <w:spacing w:after="0" w:line="240" w:lineRule="auto"/>
              <w:rPr>
                <w:rFonts w:ascii="Arial" w:hAnsi="Arial" w:cs="Arial"/>
                <w:b/>
                <w:bCs/>
              </w:rPr>
            </w:pPr>
            <w:r w:rsidRPr="00243446">
              <w:rPr>
                <w:rFonts w:ascii="Arial" w:hAnsi="Arial" w:cs="Arial"/>
                <w:b/>
                <w:bCs/>
              </w:rPr>
              <w:t>Donatori</w:t>
            </w:r>
          </w:p>
        </w:tc>
        <w:tc>
          <w:tcPr>
            <w:tcW w:w="1262" w:type="dxa"/>
            <w:tcBorders>
              <w:top w:val="nil"/>
              <w:left w:val="nil"/>
              <w:bottom w:val="single" w:sz="4" w:space="0" w:color="auto"/>
              <w:right w:val="single" w:sz="4" w:space="0" w:color="auto"/>
            </w:tcBorders>
            <w:shd w:val="clear" w:color="auto" w:fill="auto"/>
            <w:noWrap/>
            <w:vAlign w:val="bottom"/>
            <w:hideMark/>
          </w:tcPr>
          <w:p w:rsidR="00231BB1" w:rsidRPr="00243446" w:rsidRDefault="00231BB1" w:rsidP="00231BB1">
            <w:pPr>
              <w:spacing w:after="0" w:line="240" w:lineRule="auto"/>
              <w:rPr>
                <w:rFonts w:ascii="Arial" w:hAnsi="Arial" w:cs="Arial"/>
                <w:bCs/>
              </w:rPr>
            </w:pPr>
            <w:r w:rsidRPr="00243446">
              <w:rPr>
                <w:rFonts w:ascii="Arial" w:hAnsi="Arial" w:cs="Arial"/>
                <w:bCs/>
              </w:rPr>
              <w:t xml:space="preserve">         </w:t>
            </w:r>
            <w:r w:rsidR="000F03F9" w:rsidRPr="00243446">
              <w:rPr>
                <w:rFonts w:ascii="Arial" w:hAnsi="Arial" w:cs="Arial"/>
                <w:bCs/>
              </w:rPr>
              <w:t>47,900</w:t>
            </w:r>
          </w:p>
        </w:tc>
        <w:tc>
          <w:tcPr>
            <w:tcW w:w="1179" w:type="dxa"/>
            <w:tcBorders>
              <w:top w:val="nil"/>
              <w:left w:val="nil"/>
              <w:bottom w:val="single" w:sz="4" w:space="0" w:color="auto"/>
              <w:right w:val="single" w:sz="4" w:space="0" w:color="auto"/>
            </w:tcBorders>
            <w:shd w:val="clear" w:color="auto" w:fill="auto"/>
            <w:noWrap/>
            <w:vAlign w:val="bottom"/>
            <w:hideMark/>
          </w:tcPr>
          <w:p w:rsidR="00231BB1" w:rsidRPr="00243446" w:rsidRDefault="00231BB1" w:rsidP="00231BB1">
            <w:pPr>
              <w:spacing w:after="0" w:line="240" w:lineRule="auto"/>
              <w:rPr>
                <w:rFonts w:ascii="Arial" w:hAnsi="Arial" w:cs="Arial"/>
                <w:bCs/>
              </w:rPr>
            </w:pPr>
            <w:r w:rsidRPr="00243446">
              <w:rPr>
                <w:rFonts w:ascii="Arial" w:hAnsi="Arial" w:cs="Arial"/>
                <w:bCs/>
              </w:rPr>
              <w:t xml:space="preserve">                </w:t>
            </w:r>
            <w:r w:rsidR="000F03F9" w:rsidRPr="00243446">
              <w:rPr>
                <w:rFonts w:ascii="Arial" w:hAnsi="Arial" w:cs="Arial"/>
                <w:bCs/>
              </w:rPr>
              <w:t>4,400</w:t>
            </w:r>
          </w:p>
        </w:tc>
        <w:tc>
          <w:tcPr>
            <w:tcW w:w="1237" w:type="dxa"/>
            <w:tcBorders>
              <w:top w:val="nil"/>
              <w:left w:val="nil"/>
              <w:bottom w:val="single" w:sz="4" w:space="0" w:color="auto"/>
              <w:right w:val="single" w:sz="4" w:space="0" w:color="auto"/>
            </w:tcBorders>
            <w:shd w:val="clear" w:color="auto" w:fill="auto"/>
            <w:noWrap/>
            <w:vAlign w:val="bottom"/>
            <w:hideMark/>
          </w:tcPr>
          <w:p w:rsidR="00231BB1" w:rsidRPr="00243446" w:rsidRDefault="00231BB1" w:rsidP="00231BB1">
            <w:pPr>
              <w:spacing w:after="0" w:line="240" w:lineRule="auto"/>
              <w:rPr>
                <w:rFonts w:ascii="Arial" w:hAnsi="Arial" w:cs="Arial"/>
                <w:bCs/>
              </w:rPr>
            </w:pPr>
            <w:r w:rsidRPr="00243446">
              <w:rPr>
                <w:rFonts w:ascii="Arial" w:hAnsi="Arial" w:cs="Arial"/>
                <w:bCs/>
              </w:rPr>
              <w:t xml:space="preserve">                  -   </w:t>
            </w:r>
          </w:p>
        </w:tc>
        <w:tc>
          <w:tcPr>
            <w:tcW w:w="1200" w:type="dxa"/>
            <w:tcBorders>
              <w:top w:val="nil"/>
              <w:left w:val="nil"/>
              <w:bottom w:val="single" w:sz="4" w:space="0" w:color="auto"/>
              <w:right w:val="nil"/>
            </w:tcBorders>
          </w:tcPr>
          <w:p w:rsidR="00231BB1" w:rsidRPr="00243446" w:rsidRDefault="00231BB1" w:rsidP="00231BB1">
            <w:pPr>
              <w:spacing w:after="0" w:line="240" w:lineRule="auto"/>
              <w:rPr>
                <w:rFonts w:ascii="Arial" w:hAnsi="Arial" w:cs="Arial"/>
                <w:bCs/>
              </w:rPr>
            </w:pPr>
          </w:p>
          <w:p w:rsidR="00231BB1" w:rsidRPr="00243446" w:rsidRDefault="000F03F9" w:rsidP="00231BB1">
            <w:pPr>
              <w:spacing w:after="0" w:line="240" w:lineRule="auto"/>
              <w:rPr>
                <w:rFonts w:ascii="Arial" w:hAnsi="Arial" w:cs="Arial"/>
                <w:bCs/>
              </w:rPr>
            </w:pPr>
            <w:r w:rsidRPr="00243446">
              <w:rPr>
                <w:rFonts w:ascii="Arial" w:hAnsi="Arial" w:cs="Arial"/>
                <w:bCs/>
              </w:rPr>
              <w:t>60,000</w:t>
            </w:r>
          </w:p>
        </w:tc>
        <w:tc>
          <w:tcPr>
            <w:tcW w:w="1080" w:type="dxa"/>
            <w:tcBorders>
              <w:top w:val="nil"/>
              <w:left w:val="nil"/>
              <w:bottom w:val="single" w:sz="4" w:space="0" w:color="auto"/>
              <w:right w:val="single" w:sz="4" w:space="0" w:color="auto"/>
            </w:tcBorders>
            <w:shd w:val="clear" w:color="auto" w:fill="auto"/>
            <w:noWrap/>
            <w:vAlign w:val="bottom"/>
            <w:hideMark/>
          </w:tcPr>
          <w:p w:rsidR="00231BB1" w:rsidRPr="00243446" w:rsidRDefault="00231BB1" w:rsidP="00231BB1">
            <w:pPr>
              <w:spacing w:after="0" w:line="240" w:lineRule="auto"/>
              <w:rPr>
                <w:rFonts w:ascii="Arial" w:hAnsi="Arial" w:cs="Arial"/>
                <w:bCs/>
              </w:rPr>
            </w:pPr>
            <w:r w:rsidRPr="00243446">
              <w:rPr>
                <w:rFonts w:ascii="Arial" w:hAnsi="Arial" w:cs="Arial"/>
                <w:bCs/>
              </w:rPr>
              <w:t xml:space="preserve">        </w:t>
            </w:r>
            <w:r w:rsidR="000F03F9" w:rsidRPr="00243446">
              <w:rPr>
                <w:rFonts w:ascii="Arial" w:hAnsi="Arial" w:cs="Arial"/>
                <w:bCs/>
              </w:rPr>
              <w:t>112</w:t>
            </w:r>
            <w:r w:rsidRPr="00243446">
              <w:rPr>
                <w:rFonts w:ascii="Arial" w:hAnsi="Arial" w:cs="Arial"/>
                <w:bCs/>
              </w:rPr>
              <w:t>,</w:t>
            </w:r>
            <w:r w:rsidR="000F03F9" w:rsidRPr="00243446">
              <w:rPr>
                <w:rFonts w:ascii="Arial" w:hAnsi="Arial" w:cs="Arial"/>
                <w:bCs/>
              </w:rPr>
              <w:t>3</w:t>
            </w:r>
            <w:r w:rsidRPr="00243446">
              <w:rPr>
                <w:rFonts w:ascii="Arial" w:hAnsi="Arial" w:cs="Arial"/>
                <w:bCs/>
              </w:rPr>
              <w:t xml:space="preserve">00 </w:t>
            </w:r>
          </w:p>
        </w:tc>
      </w:tr>
    </w:tbl>
    <w:p w:rsidR="00B4137B" w:rsidRPr="00243446" w:rsidRDefault="00B4137B" w:rsidP="00B4137B">
      <w:pPr>
        <w:spacing w:after="0" w:line="240" w:lineRule="auto"/>
        <w:rPr>
          <w:rFonts w:ascii="Arial" w:hAnsi="Arial" w:cs="Arial"/>
          <w:b/>
          <w:bCs/>
          <w:lang w:val="sr-Latn-ME"/>
        </w:rPr>
      </w:pPr>
    </w:p>
    <w:p w:rsidR="00BD16DA" w:rsidRPr="00243446" w:rsidRDefault="00BD16DA" w:rsidP="00B4137B">
      <w:pPr>
        <w:spacing w:after="0" w:line="240" w:lineRule="auto"/>
        <w:rPr>
          <w:rFonts w:ascii="Arial" w:hAnsi="Arial" w:cs="Arial"/>
          <w:b/>
          <w:bCs/>
          <w:lang w:val="sr-Latn-ME"/>
        </w:rPr>
      </w:pPr>
    </w:p>
    <w:p w:rsidR="00BD16DA" w:rsidRPr="00243446" w:rsidRDefault="00892106" w:rsidP="00892106">
      <w:pPr>
        <w:spacing w:after="0" w:line="240" w:lineRule="auto"/>
        <w:rPr>
          <w:rFonts w:ascii="Arial" w:hAnsi="Arial" w:cs="Arial"/>
          <w:b/>
          <w:bCs/>
          <w:lang w:val="sr-Latn-ME"/>
        </w:rPr>
      </w:pPr>
      <w:r w:rsidRPr="00243446">
        <w:rPr>
          <w:rFonts w:ascii="Arial" w:hAnsi="Arial" w:cs="Arial"/>
          <w:b/>
          <w:bCs/>
          <w:lang w:val="sr-Latn-ME"/>
        </w:rPr>
        <w:t>5.KOMUNICIRANJE REFORMSKIH AKTIVNOSTI</w:t>
      </w:r>
    </w:p>
    <w:p w:rsidR="00BD16DA" w:rsidRPr="00243446" w:rsidRDefault="00BD16DA" w:rsidP="00B4137B">
      <w:pPr>
        <w:spacing w:after="0" w:line="240" w:lineRule="auto"/>
        <w:rPr>
          <w:rFonts w:ascii="Arial" w:hAnsi="Arial" w:cs="Arial"/>
          <w:b/>
          <w:bCs/>
          <w:lang w:val="sr-Latn-ME"/>
        </w:rPr>
      </w:pPr>
    </w:p>
    <w:p w:rsidR="00BD16DA" w:rsidRPr="00243446" w:rsidRDefault="00BD16DA" w:rsidP="00892106">
      <w:pPr>
        <w:spacing w:after="0" w:line="240" w:lineRule="auto"/>
        <w:jc w:val="both"/>
        <w:rPr>
          <w:rFonts w:ascii="Arial" w:hAnsi="Arial" w:cs="Arial"/>
          <w:bCs/>
        </w:rPr>
      </w:pPr>
      <w:r w:rsidRPr="00243446">
        <w:rPr>
          <w:rFonts w:ascii="Arial" w:hAnsi="Arial" w:cs="Arial"/>
          <w:bCs/>
        </w:rPr>
        <w:t>Komuniciranje reformskih aktivnosti predstavlja ključni element u usp</w:t>
      </w:r>
      <w:r w:rsidR="00C94EB3" w:rsidRPr="00243446">
        <w:rPr>
          <w:rFonts w:ascii="Arial" w:hAnsi="Arial" w:cs="Arial"/>
          <w:bCs/>
        </w:rPr>
        <w:t>j</w:t>
      </w:r>
      <w:r w:rsidRPr="00243446">
        <w:rPr>
          <w:rFonts w:ascii="Arial" w:hAnsi="Arial" w:cs="Arial"/>
          <w:bCs/>
        </w:rPr>
        <w:t>ešnoj implementaciji i prihvatanju reformskih procesa u bilo kojoj organizaciji ili državi. Efikasna komunikacija omogućava transparentnost, angažovanje svih relevantnih aktera, kao i izgradnju pov</w:t>
      </w:r>
      <w:r w:rsidR="00892106" w:rsidRPr="00243446">
        <w:rPr>
          <w:rFonts w:ascii="Arial" w:hAnsi="Arial" w:cs="Arial"/>
          <w:bCs/>
        </w:rPr>
        <w:t>j</w:t>
      </w:r>
      <w:r w:rsidRPr="00243446">
        <w:rPr>
          <w:rFonts w:ascii="Arial" w:hAnsi="Arial" w:cs="Arial"/>
          <w:bCs/>
        </w:rPr>
        <w:t>erenja među zainteresovanim stranama</w:t>
      </w:r>
      <w:r w:rsidR="00892106" w:rsidRPr="00243446">
        <w:rPr>
          <w:rFonts w:ascii="Arial" w:hAnsi="Arial" w:cs="Arial"/>
          <w:bCs/>
        </w:rPr>
        <w:t>.</w:t>
      </w:r>
    </w:p>
    <w:p w:rsidR="00CF1E47" w:rsidRPr="00243446" w:rsidRDefault="00CF1E47" w:rsidP="00892106">
      <w:pPr>
        <w:spacing w:after="0" w:line="240" w:lineRule="auto"/>
        <w:jc w:val="both"/>
        <w:rPr>
          <w:rFonts w:ascii="Arial" w:hAnsi="Arial" w:cs="Arial"/>
          <w:bCs/>
        </w:rPr>
      </w:pPr>
    </w:p>
    <w:p w:rsidR="00892106" w:rsidRPr="00243446" w:rsidRDefault="00892106" w:rsidP="00892106">
      <w:pPr>
        <w:spacing w:after="0" w:line="240" w:lineRule="auto"/>
        <w:jc w:val="both"/>
        <w:rPr>
          <w:rFonts w:ascii="Arial" w:hAnsi="Arial" w:cs="Arial"/>
          <w:bCs/>
          <w:lang w:val="sr-Latn-ME"/>
        </w:rPr>
      </w:pPr>
      <w:r w:rsidRPr="00243446">
        <w:rPr>
          <w:rFonts w:ascii="Arial" w:hAnsi="Arial" w:cs="Arial"/>
          <w:bCs/>
          <w:lang w:val="sr-Latn-ME"/>
        </w:rPr>
        <w:t xml:space="preserve">Akcionim planom ove </w:t>
      </w:r>
      <w:r w:rsidR="00CF1E47" w:rsidRPr="00243446">
        <w:rPr>
          <w:rFonts w:ascii="Arial" w:hAnsi="Arial" w:cs="Arial"/>
          <w:bCs/>
          <w:lang w:val="sr-Latn-ME"/>
        </w:rPr>
        <w:t>S</w:t>
      </w:r>
      <w:r w:rsidRPr="00243446">
        <w:rPr>
          <w:rFonts w:ascii="Arial" w:hAnsi="Arial" w:cs="Arial"/>
          <w:bCs/>
          <w:lang w:val="sr-Latn-ME"/>
        </w:rPr>
        <w:t xml:space="preserve">trategije predviđen je Plan komunikacije sa javnošću u skladu sa </w:t>
      </w:r>
      <w:r w:rsidR="00CF1E47" w:rsidRPr="00243446">
        <w:rPr>
          <w:rFonts w:ascii="Arial" w:hAnsi="Arial" w:cs="Arial"/>
          <w:bCs/>
          <w:lang w:val="sr-Latn-ME"/>
        </w:rPr>
        <w:t>I</w:t>
      </w:r>
      <w:r w:rsidRPr="00243446">
        <w:rPr>
          <w:rFonts w:ascii="Arial" w:hAnsi="Arial" w:cs="Arial"/>
          <w:bCs/>
          <w:lang w:val="sr-Latn-ME"/>
        </w:rPr>
        <w:t>nternim pravilima komunikacije sa javno</w:t>
      </w:r>
      <w:r w:rsidR="007F1907" w:rsidRPr="00243446">
        <w:rPr>
          <w:rFonts w:ascii="Arial" w:hAnsi="Arial" w:cs="Arial"/>
          <w:bCs/>
          <w:lang w:val="sr-Latn-ME"/>
        </w:rPr>
        <w:t>š</w:t>
      </w:r>
      <w:r w:rsidRPr="00243446">
        <w:rPr>
          <w:rFonts w:ascii="Arial" w:hAnsi="Arial" w:cs="Arial"/>
          <w:bCs/>
          <w:lang w:val="sr-Latn-ME"/>
        </w:rPr>
        <w:t>ću Ministarstva finansija, usvojeni</w:t>
      </w:r>
      <w:r w:rsidR="007F1907" w:rsidRPr="00243446">
        <w:rPr>
          <w:rFonts w:ascii="Arial" w:hAnsi="Arial" w:cs="Arial"/>
          <w:bCs/>
          <w:lang w:val="sr-Latn-ME"/>
        </w:rPr>
        <w:t>m</w:t>
      </w:r>
      <w:r w:rsidRPr="00243446">
        <w:rPr>
          <w:rFonts w:ascii="Arial" w:hAnsi="Arial" w:cs="Arial"/>
          <w:bCs/>
          <w:lang w:val="sr-Latn-ME"/>
        </w:rPr>
        <w:t xml:space="preserve"> u martu 2025. godine, koji podrazumijeva snaženje vidljivosti kroz veću promociju putem društvenih mreža.</w:t>
      </w:r>
    </w:p>
    <w:p w:rsidR="00892106" w:rsidRPr="00243446" w:rsidRDefault="00892106" w:rsidP="00892106">
      <w:pPr>
        <w:spacing w:after="0" w:line="240" w:lineRule="auto"/>
        <w:jc w:val="both"/>
        <w:rPr>
          <w:rFonts w:ascii="Arial" w:hAnsi="Arial" w:cs="Arial"/>
          <w:bCs/>
          <w:lang w:val="sr-Latn-ME"/>
        </w:rPr>
      </w:pPr>
      <w:r w:rsidRPr="00243446">
        <w:rPr>
          <w:rFonts w:ascii="Arial" w:hAnsi="Arial" w:cs="Arial"/>
          <w:bCs/>
          <w:lang w:val="sr-Latn-ME"/>
        </w:rPr>
        <w:t>Takođe je predviđeno organizovanje seminara i događaja na kojima će se prezentovati važnost zaštite finansijskih interesa EU i aktivnosti realizovanih ovom Strategijom.</w:t>
      </w:r>
      <w:r w:rsidR="001203C6" w:rsidRPr="00243446">
        <w:rPr>
          <w:rFonts w:ascii="Arial" w:hAnsi="Arial" w:cs="Arial"/>
          <w:bCs/>
          <w:lang w:val="sr-Latn-ME"/>
        </w:rPr>
        <w:t xml:space="preserve"> </w:t>
      </w:r>
      <w:r w:rsidRPr="00243446">
        <w:rPr>
          <w:rFonts w:ascii="Arial" w:hAnsi="Arial" w:cs="Arial"/>
          <w:bCs/>
          <w:lang w:val="sr-Latn-ME"/>
        </w:rPr>
        <w:t xml:space="preserve">Usvajanjem komunikacione strategije otvara se prostor za prezentaciju pozitivnih efekata ove Strategije. </w:t>
      </w:r>
    </w:p>
    <w:p w:rsidR="00EA55EA" w:rsidRPr="00243446" w:rsidRDefault="00EA55EA" w:rsidP="00892106">
      <w:pPr>
        <w:spacing w:after="0" w:line="240" w:lineRule="auto"/>
        <w:jc w:val="both"/>
        <w:rPr>
          <w:rFonts w:ascii="Arial" w:hAnsi="Arial" w:cs="Arial"/>
          <w:bCs/>
          <w:lang w:val="sr-Latn-ME"/>
        </w:rPr>
      </w:pPr>
    </w:p>
    <w:p w:rsidR="00892106" w:rsidRPr="00BD16DA" w:rsidRDefault="00892106" w:rsidP="00892106">
      <w:pPr>
        <w:spacing w:after="0" w:line="240" w:lineRule="auto"/>
        <w:jc w:val="both"/>
        <w:rPr>
          <w:rFonts w:ascii="Arial" w:hAnsi="Arial" w:cs="Arial"/>
          <w:bCs/>
          <w:lang w:val="sr-Latn-ME"/>
        </w:rPr>
      </w:pPr>
      <w:r w:rsidRPr="00243446">
        <w:rPr>
          <w:rFonts w:ascii="Arial" w:hAnsi="Arial" w:cs="Arial"/>
          <w:bCs/>
          <w:lang w:val="sr-Latn-ME"/>
        </w:rPr>
        <w:t>Srednjoročnim programom rada Vlade za 2024-2027 godinu, predviđeno je donošenje Komunikacione strategije i Akcionog plana, koja će kroz predviđene aktivnosti obezbijediti ispunjavanje ciljeva koji se tiču podizanja svijesti javnosti o značaju prijavljivanja nepravilnosti i suzbijanja prevara pri korišćenju EU sredstava</w:t>
      </w:r>
      <w:r w:rsidR="00CF1E47" w:rsidRPr="00243446">
        <w:rPr>
          <w:rFonts w:ascii="Arial" w:hAnsi="Arial" w:cs="Arial"/>
          <w:bCs/>
          <w:lang w:val="sr-Latn-ME"/>
        </w:rPr>
        <w:t>. Naime,</w:t>
      </w:r>
      <w:r w:rsidRPr="00243446">
        <w:rPr>
          <w:rFonts w:ascii="Arial" w:hAnsi="Arial" w:cs="Arial"/>
          <w:bCs/>
          <w:lang w:val="sr-Latn-ME"/>
        </w:rPr>
        <w:t xml:space="preserve"> zaštitom finansijskih interesa EU, </w:t>
      </w:r>
      <w:r w:rsidR="001203C6" w:rsidRPr="00243446">
        <w:rPr>
          <w:rFonts w:ascii="Arial" w:hAnsi="Arial" w:cs="Arial"/>
          <w:bCs/>
          <w:lang w:val="sr-Latn-ME"/>
        </w:rPr>
        <w:t>š</w:t>
      </w:r>
      <w:r w:rsidRPr="00243446">
        <w:rPr>
          <w:rFonts w:ascii="Arial" w:hAnsi="Arial" w:cs="Arial"/>
          <w:bCs/>
          <w:lang w:val="sr-Latn-ME"/>
        </w:rPr>
        <w:t xml:space="preserve">tite se i nacionalni interesi, jer sva nepravilno utrošena sredstva </w:t>
      </w:r>
      <w:r w:rsidR="00CF1E47" w:rsidRPr="00243446">
        <w:rPr>
          <w:rFonts w:ascii="Arial" w:hAnsi="Arial" w:cs="Arial"/>
          <w:bCs/>
          <w:lang w:val="sr-Latn-ME"/>
        </w:rPr>
        <w:t>dobijena iz fondova EU se</w:t>
      </w:r>
      <w:r w:rsidRPr="00243446">
        <w:rPr>
          <w:rFonts w:ascii="Arial" w:hAnsi="Arial" w:cs="Arial"/>
          <w:bCs/>
          <w:lang w:val="sr-Latn-ME"/>
        </w:rPr>
        <w:t xml:space="preserve"> moraju vratiti iz nacionalnog budžeta.</w:t>
      </w:r>
      <w:r>
        <w:rPr>
          <w:rFonts w:ascii="Arial" w:hAnsi="Arial" w:cs="Arial"/>
          <w:bCs/>
          <w:lang w:val="sr-Latn-ME"/>
        </w:rPr>
        <w:t xml:space="preserve"> </w:t>
      </w:r>
    </w:p>
    <w:p w:rsidR="00BD16DA" w:rsidRPr="00B4137B" w:rsidRDefault="00BD16DA" w:rsidP="00B4137B">
      <w:pPr>
        <w:spacing w:after="0" w:line="240" w:lineRule="auto"/>
        <w:rPr>
          <w:rFonts w:ascii="Arial" w:hAnsi="Arial" w:cs="Arial"/>
          <w:b/>
          <w:bCs/>
          <w:lang w:val="sr-Latn-ME"/>
        </w:rPr>
      </w:pPr>
    </w:p>
    <w:p w:rsidR="000F471C" w:rsidRPr="001302F9" w:rsidRDefault="000F471C" w:rsidP="000F471C">
      <w:pPr>
        <w:spacing w:after="0" w:line="240" w:lineRule="auto"/>
        <w:rPr>
          <w:rFonts w:ascii="Arial" w:eastAsia="Times New Roman" w:hAnsi="Arial" w:cs="Arial"/>
          <w:b/>
          <w:bCs/>
          <w:lang w:val="sr-Latn-ME"/>
        </w:rPr>
      </w:pPr>
    </w:p>
    <w:p w:rsidR="000F471C" w:rsidRPr="001302F9" w:rsidRDefault="00892106" w:rsidP="000F471C">
      <w:pPr>
        <w:spacing w:after="0" w:line="240" w:lineRule="auto"/>
        <w:jc w:val="both"/>
        <w:rPr>
          <w:rFonts w:ascii="Arial" w:eastAsia="Times New Roman" w:hAnsi="Arial" w:cs="Arial"/>
          <w:lang w:val="sr-Latn-ME"/>
        </w:rPr>
      </w:pPr>
      <w:r>
        <w:rPr>
          <w:rFonts w:ascii="Arial" w:eastAsia="Times New Roman" w:hAnsi="Arial" w:cs="Arial"/>
          <w:b/>
          <w:bCs/>
          <w:lang w:val="sr-Latn-ME"/>
        </w:rPr>
        <w:t>6</w:t>
      </w:r>
      <w:r w:rsidR="000F471C" w:rsidRPr="001302F9">
        <w:rPr>
          <w:rFonts w:ascii="Arial" w:eastAsia="Times New Roman" w:hAnsi="Arial" w:cs="Arial"/>
          <w:b/>
          <w:bCs/>
          <w:lang w:val="sr-Latn-ME"/>
        </w:rPr>
        <w:t>. AKCIONI PLAN ZA IMPLEMENTACIJU STRATEGIJE</w:t>
      </w:r>
    </w:p>
    <w:p w:rsidR="000F471C" w:rsidRPr="001302F9" w:rsidRDefault="000F471C" w:rsidP="000F471C">
      <w:pPr>
        <w:spacing w:before="100" w:beforeAutospacing="1" w:after="100" w:afterAutospacing="1" w:line="240" w:lineRule="auto"/>
        <w:jc w:val="both"/>
        <w:rPr>
          <w:rFonts w:ascii="Arial" w:eastAsia="Times New Roman" w:hAnsi="Arial" w:cs="Arial"/>
          <w:lang w:val="sr-Latn-ME"/>
        </w:rPr>
      </w:pPr>
      <w:r w:rsidRPr="001302F9">
        <w:rPr>
          <w:rFonts w:ascii="Arial" w:eastAsia="Times New Roman" w:hAnsi="Arial" w:cs="Arial"/>
          <w:b/>
          <w:bCs/>
          <w:lang w:val="sr-Latn-ME"/>
        </w:rPr>
        <w:t xml:space="preserve">Direkcija za zaštitu finansijskih interesa EU/ AFCOS </w:t>
      </w:r>
      <w:r w:rsidRPr="001302F9">
        <w:rPr>
          <w:rFonts w:ascii="Arial" w:eastAsia="Times New Roman" w:hAnsi="Arial" w:cs="Arial"/>
          <w:lang w:val="sr-Latn-ME"/>
        </w:rPr>
        <w:t xml:space="preserve">je odgovorna za koordinaciju i implementaciju ove Strategije. </w:t>
      </w:r>
      <w:r w:rsidRPr="001302F9">
        <w:rPr>
          <w:rFonts w:ascii="Arial" w:eastAsia="Times New Roman" w:hAnsi="Arial" w:cs="Arial"/>
          <w:b/>
          <w:bCs/>
          <w:lang w:val="sr-Latn-ME"/>
        </w:rPr>
        <w:t>Akcioni plan</w:t>
      </w:r>
      <w:r w:rsidRPr="001302F9">
        <w:rPr>
          <w:rFonts w:ascii="Arial" w:eastAsia="Times New Roman" w:hAnsi="Arial" w:cs="Arial"/>
          <w:lang w:val="sr-Latn-ME"/>
        </w:rPr>
        <w:t xml:space="preserve"> detaljno definiše operativne ciljeve, aktivnosti, rokove i odgovorne </w:t>
      </w:r>
      <w:r w:rsidR="00877D5E">
        <w:rPr>
          <w:rFonts w:ascii="Arial" w:eastAsia="Times New Roman" w:hAnsi="Arial" w:cs="Arial"/>
          <w:lang w:val="sr-Latn-ME"/>
        </w:rPr>
        <w:t>institucij</w:t>
      </w:r>
      <w:r w:rsidRPr="001302F9">
        <w:rPr>
          <w:rFonts w:ascii="Arial" w:eastAsia="Times New Roman" w:hAnsi="Arial" w:cs="Arial"/>
          <w:lang w:val="sr-Latn-ME"/>
        </w:rPr>
        <w:t xml:space="preserve">e za sprovođenje aktivnosti i postizanje ciljeva. </w:t>
      </w:r>
      <w:r w:rsidR="00877D5E">
        <w:rPr>
          <w:rFonts w:ascii="Arial" w:eastAsia="Times New Roman" w:hAnsi="Arial" w:cs="Arial"/>
          <w:lang w:val="sr-Latn-ME"/>
        </w:rPr>
        <w:t>Z</w:t>
      </w:r>
      <w:r w:rsidRPr="001302F9">
        <w:rPr>
          <w:rFonts w:ascii="Arial" w:eastAsia="Times New Roman" w:hAnsi="Arial" w:cs="Arial"/>
          <w:lang w:val="sr-Latn-ME"/>
        </w:rPr>
        <w:t xml:space="preserve">asnovan </w:t>
      </w:r>
      <w:r w:rsidR="00877D5E">
        <w:rPr>
          <w:rFonts w:ascii="Arial" w:eastAsia="Times New Roman" w:hAnsi="Arial" w:cs="Arial"/>
          <w:lang w:val="sr-Latn-ME"/>
        </w:rPr>
        <w:t xml:space="preserve">je </w:t>
      </w:r>
      <w:r w:rsidRPr="001302F9">
        <w:rPr>
          <w:rFonts w:ascii="Arial" w:eastAsia="Times New Roman" w:hAnsi="Arial" w:cs="Arial"/>
          <w:lang w:val="sr-Latn-ME"/>
        </w:rPr>
        <w:t>na identifikovanim prioritetnim oblastima i povezan</w:t>
      </w:r>
      <w:r w:rsidR="00877D5E">
        <w:rPr>
          <w:rFonts w:ascii="Arial" w:eastAsia="Times New Roman" w:hAnsi="Arial" w:cs="Arial"/>
          <w:lang w:val="sr-Latn-ME"/>
        </w:rPr>
        <w:t xml:space="preserve"> sa</w:t>
      </w:r>
      <w:r w:rsidRPr="001302F9">
        <w:rPr>
          <w:rFonts w:ascii="Arial" w:eastAsia="Times New Roman" w:hAnsi="Arial" w:cs="Arial"/>
          <w:lang w:val="sr-Latn-ME"/>
        </w:rPr>
        <w:t xml:space="preserve"> operativnim ciljevima.</w:t>
      </w:r>
    </w:p>
    <w:p w:rsidR="000F471C" w:rsidRPr="001302F9" w:rsidRDefault="000F471C" w:rsidP="000F471C">
      <w:pPr>
        <w:spacing w:before="100" w:beforeAutospacing="1" w:after="100" w:afterAutospacing="1" w:line="240" w:lineRule="auto"/>
        <w:jc w:val="both"/>
        <w:rPr>
          <w:rFonts w:ascii="Arial" w:eastAsia="Times New Roman" w:hAnsi="Arial" w:cs="Arial"/>
          <w:lang w:val="sr-Latn-ME"/>
        </w:rPr>
      </w:pPr>
      <w:r w:rsidRPr="001302F9">
        <w:rPr>
          <w:rFonts w:ascii="Arial" w:eastAsia="Times New Roman" w:hAnsi="Arial" w:cs="Arial"/>
          <w:lang w:val="sr-Latn-ME"/>
        </w:rPr>
        <w:t xml:space="preserve">Akcioni plan je integralni dio ove Strategije i usvaja se zajedno sa njom. </w:t>
      </w:r>
      <w:r w:rsidR="00877D5E">
        <w:rPr>
          <w:rFonts w:ascii="Arial" w:eastAsia="Times New Roman" w:hAnsi="Arial" w:cs="Arial"/>
          <w:lang w:val="sr-Latn-ME"/>
        </w:rPr>
        <w:t>Njegovo t</w:t>
      </w:r>
      <w:r w:rsidRPr="001302F9">
        <w:rPr>
          <w:rFonts w:ascii="Arial" w:eastAsia="Times New Roman" w:hAnsi="Arial" w:cs="Arial"/>
          <w:lang w:val="sr-Latn-ME"/>
        </w:rPr>
        <w:t>rajanje je predviđeno na dvije godine.</w:t>
      </w:r>
    </w:p>
    <w:p w:rsidR="000F471C" w:rsidRPr="001302F9" w:rsidRDefault="000F471C" w:rsidP="000F471C">
      <w:pPr>
        <w:spacing w:before="100" w:beforeAutospacing="1" w:after="100" w:afterAutospacing="1" w:line="240" w:lineRule="auto"/>
        <w:jc w:val="both"/>
        <w:rPr>
          <w:rFonts w:ascii="Arial" w:eastAsia="Times New Roman" w:hAnsi="Arial" w:cs="Arial"/>
          <w:lang w:val="sr-Latn-ME"/>
        </w:rPr>
      </w:pPr>
      <w:r w:rsidRPr="001302F9">
        <w:rPr>
          <w:rFonts w:ascii="Arial" w:eastAsia="Times New Roman" w:hAnsi="Arial" w:cs="Arial"/>
          <w:b/>
          <w:bCs/>
          <w:lang w:val="sr-Latn-ME"/>
        </w:rPr>
        <w:t>Kasniji Akcioni planovi</w:t>
      </w:r>
      <w:r w:rsidRPr="001302F9">
        <w:rPr>
          <w:rFonts w:ascii="Arial" w:eastAsia="Times New Roman" w:hAnsi="Arial" w:cs="Arial"/>
          <w:lang w:val="sr-Latn-ME"/>
        </w:rPr>
        <w:t xml:space="preserve"> biće pripremljeni sukcesivno tokom važenja</w:t>
      </w:r>
      <w:r w:rsidR="00877D5E">
        <w:rPr>
          <w:rFonts w:ascii="Arial" w:eastAsia="Times New Roman" w:hAnsi="Arial" w:cs="Arial"/>
          <w:lang w:val="sr-Latn-ME"/>
        </w:rPr>
        <w:t xml:space="preserve"> </w:t>
      </w:r>
      <w:r w:rsidRPr="001302F9">
        <w:rPr>
          <w:rFonts w:ascii="Arial" w:eastAsia="Times New Roman" w:hAnsi="Arial" w:cs="Arial"/>
          <w:lang w:val="sr-Latn-ME"/>
        </w:rPr>
        <w:t xml:space="preserve">ove Strategije. Oni će biti zasnovani na rezultatima </w:t>
      </w:r>
      <w:r w:rsidR="00877D5E">
        <w:rPr>
          <w:rFonts w:ascii="Arial" w:eastAsia="Times New Roman" w:hAnsi="Arial" w:cs="Arial"/>
          <w:lang w:val="sr-Latn-ME"/>
        </w:rPr>
        <w:t xml:space="preserve">iz </w:t>
      </w:r>
      <w:r w:rsidRPr="001302F9">
        <w:rPr>
          <w:rFonts w:ascii="Arial" w:eastAsia="Times New Roman" w:hAnsi="Arial" w:cs="Arial"/>
          <w:lang w:val="sr-Latn-ME"/>
        </w:rPr>
        <w:t xml:space="preserve">prethodnog perioda i biće usvojeni zajedno sa izveštajem o </w:t>
      </w:r>
      <w:r w:rsidR="00877D5E">
        <w:rPr>
          <w:rFonts w:ascii="Arial" w:eastAsia="Times New Roman" w:hAnsi="Arial" w:cs="Arial"/>
          <w:lang w:val="sr-Latn-ME"/>
        </w:rPr>
        <w:t xml:space="preserve">realizaciji mjera iz Akcionog plana za </w:t>
      </w:r>
      <w:r w:rsidRPr="001302F9">
        <w:rPr>
          <w:rFonts w:ascii="Arial" w:eastAsia="Times New Roman" w:hAnsi="Arial" w:cs="Arial"/>
          <w:lang w:val="sr-Latn-ME"/>
        </w:rPr>
        <w:t>prethodn</w:t>
      </w:r>
      <w:r w:rsidR="00877D5E">
        <w:rPr>
          <w:rFonts w:ascii="Arial" w:eastAsia="Times New Roman" w:hAnsi="Arial" w:cs="Arial"/>
          <w:lang w:val="sr-Latn-ME"/>
        </w:rPr>
        <w:t>u</w:t>
      </w:r>
      <w:r w:rsidRPr="001302F9">
        <w:rPr>
          <w:rFonts w:ascii="Arial" w:eastAsia="Times New Roman" w:hAnsi="Arial" w:cs="Arial"/>
          <w:lang w:val="sr-Latn-ME"/>
        </w:rPr>
        <w:t xml:space="preserve"> godin</w:t>
      </w:r>
      <w:r w:rsidR="00877D5E">
        <w:rPr>
          <w:rFonts w:ascii="Arial" w:eastAsia="Times New Roman" w:hAnsi="Arial" w:cs="Arial"/>
          <w:lang w:val="sr-Latn-ME"/>
        </w:rPr>
        <w:t>u</w:t>
      </w:r>
      <w:r w:rsidRPr="001302F9">
        <w:rPr>
          <w:rFonts w:ascii="Arial" w:eastAsia="Times New Roman" w:hAnsi="Arial" w:cs="Arial"/>
          <w:lang w:val="sr-Latn-ME"/>
        </w:rPr>
        <w:t>, kako bi se obezbijedio kontinuitet u procesu.</w:t>
      </w:r>
    </w:p>
    <w:p w:rsidR="000F471C" w:rsidRPr="001302F9" w:rsidRDefault="000F471C" w:rsidP="000F471C">
      <w:pPr>
        <w:spacing w:after="0" w:line="240" w:lineRule="auto"/>
        <w:rPr>
          <w:rFonts w:ascii="Arial" w:eastAsia="Times New Roman" w:hAnsi="Arial" w:cs="Arial"/>
          <w:lang w:val="sr-Latn-ME"/>
        </w:rPr>
      </w:pPr>
    </w:p>
    <w:p w:rsidR="000F471C" w:rsidRPr="001302F9" w:rsidRDefault="00892106" w:rsidP="000F471C">
      <w:pPr>
        <w:spacing w:after="0" w:line="240" w:lineRule="auto"/>
        <w:rPr>
          <w:rFonts w:ascii="Arial" w:eastAsia="Times New Roman" w:hAnsi="Arial" w:cs="Arial"/>
          <w:lang w:val="sr-Latn-ME"/>
        </w:rPr>
      </w:pPr>
      <w:r>
        <w:rPr>
          <w:rFonts w:ascii="Arial" w:eastAsia="Times New Roman" w:hAnsi="Arial" w:cs="Arial"/>
          <w:b/>
          <w:bCs/>
          <w:lang w:val="sr-Latn-ME"/>
        </w:rPr>
        <w:t>7</w:t>
      </w:r>
      <w:r w:rsidR="000F471C" w:rsidRPr="001302F9">
        <w:rPr>
          <w:rFonts w:ascii="Arial" w:eastAsia="Times New Roman" w:hAnsi="Arial" w:cs="Arial"/>
          <w:b/>
          <w:bCs/>
          <w:lang w:val="sr-Latn-ME"/>
        </w:rPr>
        <w:t xml:space="preserve">. </w:t>
      </w:r>
      <w:bookmarkStart w:id="21" w:name="_Hlk194408239"/>
      <w:r w:rsidR="000F471C" w:rsidRPr="001302F9">
        <w:rPr>
          <w:rFonts w:ascii="Arial" w:eastAsia="Times New Roman" w:hAnsi="Arial" w:cs="Arial"/>
          <w:b/>
          <w:bCs/>
          <w:lang w:val="sr-Latn-ME"/>
        </w:rPr>
        <w:t>PRAĆENJE I EVALUACIJA IMPLEMENTACIJE STRATEGIJE</w:t>
      </w:r>
      <w:bookmarkEnd w:id="21"/>
    </w:p>
    <w:p w:rsidR="000F471C" w:rsidRPr="001302F9" w:rsidRDefault="000F471C" w:rsidP="000F471C">
      <w:pPr>
        <w:spacing w:before="100" w:beforeAutospacing="1" w:after="100" w:afterAutospacing="1" w:line="240" w:lineRule="auto"/>
        <w:jc w:val="both"/>
        <w:rPr>
          <w:rFonts w:ascii="Arial" w:eastAsia="Times New Roman" w:hAnsi="Arial" w:cs="Arial"/>
          <w:lang w:val="sr-Latn-ME"/>
        </w:rPr>
      </w:pPr>
      <w:bookmarkStart w:id="22" w:name="_Hlk191977470"/>
      <w:r w:rsidRPr="001302F9">
        <w:rPr>
          <w:rFonts w:ascii="Arial" w:eastAsia="Times New Roman" w:hAnsi="Arial" w:cs="Arial"/>
          <w:b/>
          <w:bCs/>
          <w:lang w:val="sr-Latn-ME"/>
        </w:rPr>
        <w:t xml:space="preserve">Direkcija za zaštitu finansijskih interesa EU/ AFCOS </w:t>
      </w:r>
      <w:bookmarkEnd w:id="22"/>
      <w:r w:rsidRPr="001302F9">
        <w:rPr>
          <w:rFonts w:ascii="Arial" w:eastAsia="Times New Roman" w:hAnsi="Arial" w:cs="Arial"/>
          <w:lang w:val="sr-Latn-ME"/>
        </w:rPr>
        <w:t>je odgovorna za praćenje i evaluaciju implementacije ove Strategije.</w:t>
      </w:r>
    </w:p>
    <w:p w:rsidR="000F471C" w:rsidRPr="001302F9" w:rsidRDefault="000F471C" w:rsidP="009B6B3B">
      <w:pPr>
        <w:numPr>
          <w:ilvl w:val="0"/>
          <w:numId w:val="23"/>
        </w:numPr>
        <w:spacing w:before="100" w:beforeAutospacing="1" w:after="100" w:afterAutospacing="1" w:line="240" w:lineRule="auto"/>
        <w:jc w:val="both"/>
        <w:rPr>
          <w:rFonts w:ascii="Arial" w:eastAsia="Times New Roman" w:hAnsi="Arial" w:cs="Arial"/>
          <w:lang w:val="sr-Latn-ME"/>
        </w:rPr>
      </w:pPr>
      <w:r w:rsidRPr="001302F9">
        <w:rPr>
          <w:rFonts w:ascii="Arial" w:eastAsia="Times New Roman" w:hAnsi="Arial" w:cs="Arial"/>
          <w:b/>
          <w:bCs/>
          <w:lang w:val="sr-Latn-ME"/>
        </w:rPr>
        <w:t>Dinamika praćenja</w:t>
      </w:r>
      <w:r w:rsidRPr="001302F9">
        <w:rPr>
          <w:rFonts w:ascii="Arial" w:eastAsia="Times New Roman" w:hAnsi="Arial" w:cs="Arial"/>
          <w:lang w:val="sr-Latn-ME"/>
        </w:rPr>
        <w:t xml:space="preserve"> </w:t>
      </w:r>
      <w:r w:rsidR="00877D5E">
        <w:rPr>
          <w:rFonts w:ascii="Arial" w:eastAsia="Times New Roman" w:hAnsi="Arial" w:cs="Arial"/>
          <w:lang w:val="sr-Latn-ME"/>
        </w:rPr>
        <w:t xml:space="preserve">realizacije aktivnosti </w:t>
      </w:r>
      <w:r w:rsidRPr="001302F9">
        <w:rPr>
          <w:rFonts w:ascii="Arial" w:eastAsia="Times New Roman" w:hAnsi="Arial" w:cs="Arial"/>
          <w:lang w:val="sr-Latn-ME"/>
        </w:rPr>
        <w:t>biće obuhvaćena kvartalnim konsultativnim sastancima, dodatnim tematskim sastancima kada bude potrebno, kao i izradom godišnjeg i finalnog izveštaja o implementaciji Strategije.</w:t>
      </w:r>
    </w:p>
    <w:p w:rsidR="000F471C" w:rsidRPr="001302F9" w:rsidRDefault="000F471C" w:rsidP="009B6B3B">
      <w:pPr>
        <w:numPr>
          <w:ilvl w:val="0"/>
          <w:numId w:val="23"/>
        </w:numPr>
        <w:spacing w:before="100" w:beforeAutospacing="1" w:after="100" w:afterAutospacing="1" w:line="240" w:lineRule="auto"/>
        <w:jc w:val="both"/>
        <w:rPr>
          <w:rFonts w:ascii="Arial" w:eastAsia="Times New Roman" w:hAnsi="Arial" w:cs="Arial"/>
          <w:lang w:val="sr-Latn-ME"/>
        </w:rPr>
      </w:pPr>
      <w:r w:rsidRPr="001302F9">
        <w:rPr>
          <w:rFonts w:ascii="Arial" w:eastAsia="Times New Roman" w:hAnsi="Arial" w:cs="Arial"/>
          <w:lang w:val="sr-Latn-ME"/>
        </w:rPr>
        <w:t xml:space="preserve">Tijela unutar AFCOS sistema odgovorna za sprovođenje određenih aktivnosti u Akcionom planu dostaviće svoje </w:t>
      </w:r>
      <w:r w:rsidR="00877D5E">
        <w:rPr>
          <w:rFonts w:ascii="Arial" w:eastAsia="Times New Roman" w:hAnsi="Arial" w:cs="Arial"/>
          <w:lang w:val="sr-Latn-ME"/>
        </w:rPr>
        <w:t>priloge</w:t>
      </w:r>
      <w:r w:rsidRPr="001302F9">
        <w:rPr>
          <w:rFonts w:ascii="Arial" w:eastAsia="Times New Roman" w:hAnsi="Arial" w:cs="Arial"/>
          <w:lang w:val="sr-Latn-ME"/>
        </w:rPr>
        <w:t xml:space="preserve"> o </w:t>
      </w:r>
      <w:r w:rsidR="00C24CFC">
        <w:rPr>
          <w:rFonts w:ascii="Arial" w:eastAsia="Times New Roman" w:hAnsi="Arial" w:cs="Arial"/>
          <w:lang w:val="sr-Latn-ME"/>
        </w:rPr>
        <w:t>realizac</w:t>
      </w:r>
      <w:r w:rsidRPr="001302F9">
        <w:rPr>
          <w:rFonts w:ascii="Arial" w:eastAsia="Times New Roman" w:hAnsi="Arial" w:cs="Arial"/>
          <w:lang w:val="sr-Latn-ME"/>
        </w:rPr>
        <w:t xml:space="preserve">iji </w:t>
      </w:r>
      <w:r w:rsidR="00C24CFC">
        <w:rPr>
          <w:rFonts w:ascii="Arial" w:eastAsia="Times New Roman" w:hAnsi="Arial" w:cs="Arial"/>
          <w:lang w:val="sr-Latn-ME"/>
        </w:rPr>
        <w:t xml:space="preserve">aktivnosti iz svoje nadležnosti </w:t>
      </w:r>
      <w:r w:rsidRPr="001302F9">
        <w:rPr>
          <w:rFonts w:ascii="Arial" w:eastAsia="Times New Roman" w:hAnsi="Arial" w:cs="Arial"/>
          <w:b/>
          <w:bCs/>
          <w:lang w:val="sr-Latn-ME"/>
        </w:rPr>
        <w:t>Direkciji za zaštitu finansijskih interesa EU/ AFCOS</w:t>
      </w:r>
      <w:r w:rsidRPr="001302F9">
        <w:rPr>
          <w:rFonts w:ascii="Arial" w:eastAsia="Times New Roman" w:hAnsi="Arial" w:cs="Arial"/>
          <w:lang w:val="sr-Latn-ME"/>
        </w:rPr>
        <w:t xml:space="preserve">. Ovi </w:t>
      </w:r>
      <w:r w:rsidR="00C24CFC">
        <w:rPr>
          <w:rFonts w:ascii="Arial" w:eastAsia="Times New Roman" w:hAnsi="Arial" w:cs="Arial"/>
          <w:lang w:val="sr-Latn-ME"/>
        </w:rPr>
        <w:t>prilozi</w:t>
      </w:r>
      <w:r w:rsidRPr="001302F9">
        <w:rPr>
          <w:rFonts w:ascii="Arial" w:eastAsia="Times New Roman" w:hAnsi="Arial" w:cs="Arial"/>
          <w:lang w:val="sr-Latn-ME"/>
        </w:rPr>
        <w:t xml:space="preserve"> biće integrisani u godišnji finalni izvještaj AFCOS-a o implementaciji Strategije.</w:t>
      </w:r>
    </w:p>
    <w:p w:rsidR="000F471C" w:rsidRPr="001302F9" w:rsidRDefault="000F471C" w:rsidP="009B6B3B">
      <w:pPr>
        <w:numPr>
          <w:ilvl w:val="0"/>
          <w:numId w:val="23"/>
        </w:numPr>
        <w:spacing w:before="100" w:beforeAutospacing="1" w:after="100" w:afterAutospacing="1" w:line="240" w:lineRule="auto"/>
        <w:jc w:val="both"/>
        <w:rPr>
          <w:rFonts w:ascii="Arial" w:eastAsia="Times New Roman" w:hAnsi="Arial" w:cs="Arial"/>
          <w:lang w:val="sr-Latn-ME"/>
        </w:rPr>
      </w:pPr>
      <w:r w:rsidRPr="001302F9">
        <w:rPr>
          <w:rFonts w:ascii="Arial" w:eastAsia="Times New Roman" w:hAnsi="Arial" w:cs="Arial"/>
          <w:b/>
          <w:bCs/>
          <w:lang w:val="sr-Latn-ME"/>
        </w:rPr>
        <w:t>Kontinuirani dijalog</w:t>
      </w:r>
      <w:r w:rsidRPr="001302F9">
        <w:rPr>
          <w:rFonts w:ascii="Arial" w:eastAsia="Times New Roman" w:hAnsi="Arial" w:cs="Arial"/>
          <w:lang w:val="sr-Latn-ME"/>
        </w:rPr>
        <w:t xml:space="preserve"> </w:t>
      </w:r>
      <w:r w:rsidR="00C24CFC">
        <w:rPr>
          <w:rFonts w:ascii="Arial" w:eastAsia="Times New Roman" w:hAnsi="Arial" w:cs="Arial"/>
          <w:lang w:val="sr-Latn-ME"/>
        </w:rPr>
        <w:t>o</w:t>
      </w:r>
      <w:r w:rsidRPr="001302F9">
        <w:rPr>
          <w:rFonts w:ascii="Arial" w:eastAsia="Times New Roman" w:hAnsi="Arial" w:cs="Arial"/>
          <w:lang w:val="sr-Latn-ME"/>
        </w:rPr>
        <w:t>država</w:t>
      </w:r>
      <w:r w:rsidR="00C24CFC">
        <w:rPr>
          <w:rFonts w:ascii="Arial" w:eastAsia="Times New Roman" w:hAnsi="Arial" w:cs="Arial"/>
          <w:lang w:val="sr-Latn-ME"/>
        </w:rPr>
        <w:t>će se</w:t>
      </w:r>
      <w:r w:rsidRPr="001302F9">
        <w:rPr>
          <w:rFonts w:ascii="Arial" w:eastAsia="Times New Roman" w:hAnsi="Arial" w:cs="Arial"/>
          <w:lang w:val="sr-Latn-ME"/>
        </w:rPr>
        <w:t xml:space="preserve"> sa nadležnim tijelima AFCOS sistema, kao i sa nevladinim organizacijama i drugim zainteresovanim stranama, kako bi se unaprijedio proces implementacije Strategije.</w:t>
      </w:r>
    </w:p>
    <w:p w:rsidR="000F471C" w:rsidRDefault="000F471C" w:rsidP="000F471C">
      <w:pPr>
        <w:spacing w:before="100" w:beforeAutospacing="1" w:after="100" w:afterAutospacing="1" w:line="240" w:lineRule="auto"/>
        <w:jc w:val="both"/>
        <w:rPr>
          <w:rFonts w:ascii="Arial" w:eastAsia="Times New Roman" w:hAnsi="Arial" w:cs="Arial"/>
          <w:lang w:val="sr-Latn-ME"/>
        </w:rPr>
      </w:pPr>
      <w:r w:rsidRPr="001302F9">
        <w:rPr>
          <w:rFonts w:ascii="Arial" w:eastAsia="Times New Roman" w:hAnsi="Arial" w:cs="Arial"/>
          <w:lang w:val="sr-Latn-ME"/>
        </w:rPr>
        <w:t>Po završetku implementacije</w:t>
      </w:r>
      <w:r w:rsidR="00C24CFC">
        <w:rPr>
          <w:rFonts w:ascii="Arial" w:eastAsia="Times New Roman" w:hAnsi="Arial" w:cs="Arial"/>
          <w:lang w:val="sr-Latn-ME"/>
        </w:rPr>
        <w:t xml:space="preserve"> </w:t>
      </w:r>
      <w:r w:rsidRPr="001302F9">
        <w:rPr>
          <w:rFonts w:ascii="Arial" w:eastAsia="Times New Roman" w:hAnsi="Arial" w:cs="Arial"/>
          <w:lang w:val="sr-Latn-ME"/>
        </w:rPr>
        <w:t xml:space="preserve">ove Strategije, biće sprovedena </w:t>
      </w:r>
      <w:r w:rsidRPr="001302F9">
        <w:rPr>
          <w:rFonts w:ascii="Arial" w:eastAsia="Times New Roman" w:hAnsi="Arial" w:cs="Arial"/>
          <w:b/>
          <w:bCs/>
          <w:lang w:val="sr-Latn-ME"/>
        </w:rPr>
        <w:t>spoljna</w:t>
      </w:r>
      <w:r w:rsidR="00C24CFC">
        <w:rPr>
          <w:rFonts w:ascii="Arial" w:eastAsia="Times New Roman" w:hAnsi="Arial" w:cs="Arial"/>
          <w:b/>
          <w:bCs/>
          <w:lang w:val="sr-Latn-ME"/>
        </w:rPr>
        <w:t>, nezavisna</w:t>
      </w:r>
      <w:r w:rsidRPr="001302F9">
        <w:rPr>
          <w:rFonts w:ascii="Arial" w:eastAsia="Times New Roman" w:hAnsi="Arial" w:cs="Arial"/>
          <w:b/>
          <w:bCs/>
          <w:lang w:val="sr-Latn-ME"/>
        </w:rPr>
        <w:t xml:space="preserve"> evaluacija</w:t>
      </w:r>
      <w:r w:rsidRPr="001302F9">
        <w:rPr>
          <w:rFonts w:ascii="Arial" w:eastAsia="Times New Roman" w:hAnsi="Arial" w:cs="Arial"/>
          <w:lang w:val="sr-Latn-ME"/>
        </w:rPr>
        <w:t>, a njeni rezultati biće uključeni u finalni izveštaj o implementaciji Strategije, koji će biti dostavljen Vladi Crne Gore</w:t>
      </w:r>
      <w:r w:rsidR="00C24CFC">
        <w:rPr>
          <w:rFonts w:ascii="Arial" w:eastAsia="Times New Roman" w:hAnsi="Arial" w:cs="Arial"/>
          <w:lang w:val="sr-Latn-ME"/>
        </w:rPr>
        <w:t xml:space="preserve"> na razmatranje i usvajanje</w:t>
      </w:r>
      <w:r w:rsidRPr="001302F9">
        <w:rPr>
          <w:rFonts w:ascii="Arial" w:eastAsia="Times New Roman" w:hAnsi="Arial" w:cs="Arial"/>
          <w:lang w:val="sr-Latn-ME"/>
        </w:rPr>
        <w:t>.</w:t>
      </w:r>
    </w:p>
    <w:p w:rsidR="00693FD8" w:rsidRPr="001302F9" w:rsidRDefault="00693FD8" w:rsidP="000F471C">
      <w:pPr>
        <w:spacing w:before="100" w:beforeAutospacing="1" w:after="100" w:afterAutospacing="1" w:line="240" w:lineRule="auto"/>
        <w:jc w:val="both"/>
        <w:rPr>
          <w:rFonts w:ascii="Arial" w:eastAsia="Times New Roman" w:hAnsi="Arial" w:cs="Arial"/>
          <w:lang w:val="sr-Latn-ME"/>
        </w:rPr>
      </w:pPr>
      <w:r>
        <w:rPr>
          <w:rFonts w:ascii="Arial" w:eastAsia="Times New Roman" w:hAnsi="Arial" w:cs="Arial"/>
          <w:lang w:val="sr-Latn-ME"/>
        </w:rPr>
        <w:t>Godišnji</w:t>
      </w:r>
      <w:r w:rsidR="006A6D5C">
        <w:rPr>
          <w:rFonts w:ascii="Arial" w:eastAsia="Times New Roman" w:hAnsi="Arial" w:cs="Arial"/>
          <w:lang w:val="sr-Latn-ME"/>
        </w:rPr>
        <w:t xml:space="preserve">, </w:t>
      </w:r>
      <w:r>
        <w:rPr>
          <w:rFonts w:ascii="Arial" w:eastAsia="Times New Roman" w:hAnsi="Arial" w:cs="Arial"/>
          <w:lang w:val="sr-Latn-ME"/>
        </w:rPr>
        <w:t xml:space="preserve">Završni izvještaji i Izvještaj o evaluacija Strategije i </w:t>
      </w:r>
      <w:r w:rsidR="006A6D5C">
        <w:rPr>
          <w:rFonts w:ascii="Arial" w:eastAsia="Times New Roman" w:hAnsi="Arial" w:cs="Arial"/>
          <w:lang w:val="sr-Latn-ME"/>
        </w:rPr>
        <w:t>A</w:t>
      </w:r>
      <w:r>
        <w:rPr>
          <w:rFonts w:ascii="Arial" w:eastAsia="Times New Roman" w:hAnsi="Arial" w:cs="Arial"/>
          <w:lang w:val="sr-Latn-ME"/>
        </w:rPr>
        <w:t>kcionog plana</w:t>
      </w:r>
      <w:r w:rsidR="006A6D5C">
        <w:rPr>
          <w:rFonts w:ascii="Arial" w:eastAsia="Times New Roman" w:hAnsi="Arial" w:cs="Arial"/>
          <w:lang w:val="sr-Latn-ME"/>
        </w:rPr>
        <w:t xml:space="preserve"> dostavljaće se Generalnom sekretarijatu Vlade na mišljenje, prije slanja Vladi na usvajanje.</w:t>
      </w:r>
    </w:p>
    <w:p w:rsidR="000F471C" w:rsidRPr="001302F9" w:rsidRDefault="000F471C" w:rsidP="000F471C">
      <w:pPr>
        <w:pStyle w:val="NormalWeb"/>
        <w:rPr>
          <w:rFonts w:ascii="Arial" w:hAnsi="Arial" w:cs="Arial"/>
          <w:sz w:val="22"/>
          <w:szCs w:val="22"/>
          <w:lang w:val="sr-Latn-ME"/>
        </w:rPr>
      </w:pPr>
    </w:p>
    <w:p w:rsidR="0033403A" w:rsidRDefault="00C555BF">
      <w:pPr>
        <w:spacing w:after="160" w:line="259" w:lineRule="auto"/>
        <w:rPr>
          <w:rFonts w:ascii="Arial" w:hAnsi="Arial" w:cs="Arial"/>
          <w:lang w:val="sr-Latn-ME"/>
        </w:rPr>
        <w:sectPr w:rsidR="0033403A" w:rsidSect="006403AA">
          <w:pgSz w:w="11906" w:h="16838"/>
          <w:pgMar w:top="1440" w:right="1440" w:bottom="1440" w:left="1440" w:header="708" w:footer="708" w:gutter="0"/>
          <w:cols w:space="708"/>
          <w:docGrid w:linePitch="360"/>
        </w:sectPr>
      </w:pPr>
      <w:r>
        <w:rPr>
          <w:rFonts w:ascii="Arial" w:hAnsi="Arial" w:cs="Arial"/>
          <w:lang w:val="sr-Latn-ME"/>
        </w:rPr>
        <w:br w:type="page"/>
      </w:r>
    </w:p>
    <w:p w:rsidR="0033403A" w:rsidRPr="00B76EFF" w:rsidRDefault="0033403A" w:rsidP="0033403A">
      <w:pPr>
        <w:spacing w:after="160" w:line="259" w:lineRule="auto"/>
        <w:rPr>
          <w:rFonts w:ascii="Arial" w:hAnsi="Arial" w:cs="Arial"/>
          <w:b/>
          <w:lang w:val="sr-Latn-ME"/>
        </w:rPr>
      </w:pPr>
      <w:r w:rsidRPr="0033403A">
        <w:rPr>
          <w:rFonts w:ascii="Arial" w:hAnsi="Arial" w:cs="Arial"/>
          <w:b/>
          <w:lang w:val="sr-Latn-ME"/>
        </w:rPr>
        <w:t>ANNEX  “Pasoš indikatora uspjeha”</w:t>
      </w:r>
    </w:p>
    <w:p w:rsidR="0033403A" w:rsidRPr="0033403A" w:rsidRDefault="0033403A" w:rsidP="0033403A">
      <w:pPr>
        <w:spacing w:after="160" w:line="259" w:lineRule="auto"/>
        <w:rPr>
          <w:rFonts w:ascii="Arial" w:hAnsi="Arial" w:cs="Arial"/>
          <w:b/>
          <w:lang w:val="sr-Latn-ME"/>
        </w:rPr>
      </w:pPr>
      <w:r w:rsidRPr="0033403A">
        <w:rPr>
          <w:rFonts w:ascii="Arial" w:hAnsi="Arial" w:cs="Arial"/>
          <w:lang w:val="sr-Latn-ME"/>
        </w:rPr>
        <w:t>Pasoš  br. 1 (za indikator uspjeha za Strateški cilj)</w:t>
      </w:r>
    </w:p>
    <w:tbl>
      <w:tblPr>
        <w:tblStyle w:val="TableGrid"/>
        <w:tblW w:w="14040" w:type="dxa"/>
        <w:tblInd w:w="-95" w:type="dxa"/>
        <w:tblLook w:val="04A0" w:firstRow="1" w:lastRow="0" w:firstColumn="1" w:lastColumn="0" w:noHBand="0" w:noVBand="1"/>
      </w:tblPr>
      <w:tblGrid>
        <w:gridCol w:w="4054"/>
        <w:gridCol w:w="2411"/>
        <w:gridCol w:w="915"/>
        <w:gridCol w:w="1496"/>
        <w:gridCol w:w="2411"/>
        <w:gridCol w:w="705"/>
        <w:gridCol w:w="2048"/>
      </w:tblGrid>
      <w:tr w:rsidR="0033403A" w:rsidRPr="0033403A" w:rsidTr="00B76EFF">
        <w:tc>
          <w:tcPr>
            <w:tcW w:w="4054" w:type="dxa"/>
            <w:shd w:val="clear" w:color="auto" w:fill="657C9C" w:themeFill="text2" w:themeFillTint="BF"/>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Kategorija</w:t>
            </w:r>
          </w:p>
        </w:tc>
        <w:tc>
          <w:tcPr>
            <w:tcW w:w="9986" w:type="dxa"/>
            <w:gridSpan w:val="6"/>
            <w:shd w:val="clear" w:color="auto" w:fill="657C9C" w:themeFill="text2" w:themeFillTint="BF"/>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 xml:space="preserve"> Opis</w:t>
            </w:r>
          </w:p>
        </w:tc>
      </w:tr>
      <w:tr w:rsidR="0033403A" w:rsidRPr="0033403A" w:rsidTr="00B76EFF">
        <w:tc>
          <w:tcPr>
            <w:tcW w:w="4054" w:type="dxa"/>
            <w:shd w:val="clear" w:color="auto" w:fill="DEEAF6" w:themeFill="accent1" w:themeFillTint="33"/>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Naziv indikatora</w:t>
            </w:r>
          </w:p>
        </w:tc>
        <w:tc>
          <w:tcPr>
            <w:tcW w:w="9986" w:type="dxa"/>
            <w:gridSpan w:val="6"/>
            <w:shd w:val="clear" w:color="auto" w:fill="DEEAF6" w:themeFill="accent1" w:themeFillTint="33"/>
          </w:tcPr>
          <w:p w:rsidR="0033403A" w:rsidRPr="0033403A" w:rsidRDefault="0033403A" w:rsidP="0033403A">
            <w:pPr>
              <w:spacing w:after="160" w:line="259" w:lineRule="auto"/>
              <w:rPr>
                <w:rFonts w:ascii="Arial" w:hAnsi="Arial" w:cs="Arial"/>
                <w:b/>
                <w:bCs/>
                <w:sz w:val="22"/>
                <w:szCs w:val="22"/>
                <w:lang w:val="sr-Latn-ME" w:eastAsia="en-US"/>
              </w:rPr>
            </w:pPr>
            <w:r w:rsidRPr="0033403A">
              <w:rPr>
                <w:rFonts w:ascii="Arial" w:hAnsi="Arial" w:cs="Arial"/>
                <w:b/>
                <w:bCs/>
                <w:sz w:val="22"/>
                <w:szCs w:val="22"/>
                <w:lang w:val="sr-Latn-ME" w:eastAsia="en-US"/>
              </w:rPr>
              <w:t>Stopa otkrivanja nepravilnosti</w:t>
            </w:r>
          </w:p>
        </w:tc>
      </w:tr>
      <w:tr w:rsidR="0033403A" w:rsidRPr="0033403A" w:rsidTr="00B76EFF">
        <w:tc>
          <w:tcPr>
            <w:tcW w:w="4054" w:type="dxa"/>
            <w:shd w:val="clear" w:color="auto" w:fill="DEEAF6" w:themeFill="accent1" w:themeFillTint="33"/>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Cilj na koji se indikator odnosi</w:t>
            </w:r>
          </w:p>
        </w:tc>
        <w:tc>
          <w:tcPr>
            <w:tcW w:w="9986" w:type="dxa"/>
            <w:gridSpan w:val="6"/>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b/>
                <w:sz w:val="22"/>
                <w:szCs w:val="22"/>
                <w:lang w:val="sr-Latn-ME" w:eastAsia="en-US"/>
              </w:rPr>
              <w:t>Strateški cilj:</w:t>
            </w:r>
            <w:r w:rsidRPr="0033403A">
              <w:rPr>
                <w:rFonts w:ascii="Arial" w:hAnsi="Arial" w:cs="Arial"/>
                <w:sz w:val="22"/>
                <w:szCs w:val="22"/>
                <w:lang w:val="sr-Latn-ME" w:eastAsia="en-US"/>
              </w:rPr>
              <w:t xml:space="preserve"> Smanjiti prevaru i druge nepravilnosti koje utiču na EU finansijske interese u Crnoj Gori do 2028. godine jačanjem AFCOS sistema, koordinacione uloge Direkcije za zaštitu finansijskih interesa EU/AFCOS, poboljšanjem saradnje među svim zainteresovanim stranama, sprovođenjem preventivnih mjera i održavanjem kapaciteta za detekciju nepravilnosti, čime će se osigurati zaštita novca poreskih obveznika EU i Crne Gore, kao i efikasna i efektivna upotreba EU resursa.</w:t>
            </w:r>
          </w:p>
        </w:tc>
      </w:tr>
      <w:tr w:rsidR="0033403A" w:rsidRPr="0033403A" w:rsidTr="00B76EFF">
        <w:tc>
          <w:tcPr>
            <w:tcW w:w="4054" w:type="dxa"/>
            <w:shd w:val="clear" w:color="auto" w:fill="DEEAF6" w:themeFill="accent1" w:themeFillTint="33"/>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Kratak opis indikatora</w:t>
            </w:r>
          </w:p>
        </w:tc>
        <w:tc>
          <w:tcPr>
            <w:tcW w:w="9986" w:type="dxa"/>
            <w:gridSpan w:val="6"/>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Indikator stope otkrivanja nepravilnosti će pratiti efikasnost otkrivanja pogrešno potrošenih sredstava EU – upoređujući broj otkrivenih nepravilnosti (kako prevarnih, tako i neprevarnih) sa isplatama koje je Crna Gora primila iz EU fondova.( uključujući sve komponente HRD, IPA III, IPARD, REGD, CBC (CG-KOS i CG-ALB), CAP, SOPEES).</w:t>
            </w:r>
          </w:p>
        </w:tc>
      </w:tr>
      <w:tr w:rsidR="0033403A" w:rsidRPr="0033403A" w:rsidTr="00B76EFF">
        <w:tc>
          <w:tcPr>
            <w:tcW w:w="4054" w:type="dxa"/>
            <w:shd w:val="clear" w:color="auto" w:fill="DEEAF6" w:themeFill="accent1" w:themeFillTint="33"/>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Podaci koje je potrebno prikupiti</w:t>
            </w:r>
          </w:p>
        </w:tc>
        <w:tc>
          <w:tcPr>
            <w:tcW w:w="9986" w:type="dxa"/>
            <w:gridSpan w:val="6"/>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Broj nepravilnosti, isplate  iz EU fondova primljene od strane Crne Gore (uključujući sve komponente HRD, IPA III, IPARD, REGD, CBC (CG-KOS i CG-ALB), CAP, SOPEES).</w:t>
            </w:r>
          </w:p>
        </w:tc>
      </w:tr>
      <w:tr w:rsidR="0033403A" w:rsidRPr="0033403A" w:rsidTr="00B76EFF">
        <w:tc>
          <w:tcPr>
            <w:tcW w:w="4054" w:type="dxa"/>
            <w:shd w:val="clear" w:color="auto" w:fill="DEEAF6" w:themeFill="accent1" w:themeFillTint="33"/>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Source of data / Izvor podataka</w:t>
            </w:r>
          </w:p>
        </w:tc>
        <w:tc>
          <w:tcPr>
            <w:tcW w:w="9986" w:type="dxa"/>
            <w:gridSpan w:val="6"/>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IMS</w:t>
            </w:r>
          </w:p>
          <w:p w:rsidR="0033403A" w:rsidRPr="0033403A" w:rsidRDefault="0033403A" w:rsidP="0033403A">
            <w:pPr>
              <w:spacing w:after="160" w:line="259" w:lineRule="auto"/>
              <w:rPr>
                <w:rFonts w:ascii="Arial" w:hAnsi="Arial" w:cs="Arial"/>
                <w:sz w:val="22"/>
                <w:szCs w:val="22"/>
                <w:lang w:val="sr-Latn-ME" w:eastAsia="en-US"/>
              </w:rPr>
            </w:pPr>
          </w:p>
        </w:tc>
      </w:tr>
      <w:tr w:rsidR="0033403A" w:rsidRPr="0033403A" w:rsidTr="00B76EFF">
        <w:tc>
          <w:tcPr>
            <w:tcW w:w="4054" w:type="dxa"/>
            <w:shd w:val="clear" w:color="auto" w:fill="DEEAF6" w:themeFill="accent1" w:themeFillTint="33"/>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Informacija o instituciji odgovornoj za prikupljanje podataka</w:t>
            </w:r>
          </w:p>
        </w:tc>
        <w:tc>
          <w:tcPr>
            <w:tcW w:w="9986" w:type="dxa"/>
            <w:gridSpan w:val="6"/>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Direkcija za zaštitu finansijskih interesa EU/AFCOS i Direkcija za nacionalni fond i upravljanje računima  - Ministarstvo finansija</w:t>
            </w:r>
          </w:p>
        </w:tc>
      </w:tr>
      <w:tr w:rsidR="0033403A" w:rsidRPr="0033403A" w:rsidTr="00B76EFF">
        <w:tc>
          <w:tcPr>
            <w:tcW w:w="4054" w:type="dxa"/>
            <w:shd w:val="clear" w:color="auto" w:fill="DEEAF6" w:themeFill="accent1" w:themeFillTint="33"/>
          </w:tcPr>
          <w:p w:rsidR="0033403A" w:rsidRPr="0033403A" w:rsidRDefault="0033403A" w:rsidP="0033403A">
            <w:pPr>
              <w:spacing w:after="160" w:line="259" w:lineRule="auto"/>
              <w:rPr>
                <w:rFonts w:ascii="Arial" w:hAnsi="Arial" w:cs="Arial"/>
                <w:sz w:val="22"/>
                <w:szCs w:val="22"/>
                <w:lang w:val="sr-Latn-ME" w:eastAsia="en-US"/>
              </w:rPr>
            </w:pPr>
            <w:bookmarkStart w:id="23" w:name="_Hlk193182628"/>
            <w:r w:rsidRPr="0033403A">
              <w:rPr>
                <w:rFonts w:ascii="Arial" w:hAnsi="Arial" w:cs="Arial"/>
                <w:sz w:val="22"/>
                <w:szCs w:val="22"/>
                <w:lang w:val="sr-Latn-ME" w:eastAsia="en-US"/>
              </w:rPr>
              <w:t>Učestalost prikupljanja podataka</w:t>
            </w:r>
          </w:p>
        </w:tc>
        <w:tc>
          <w:tcPr>
            <w:tcW w:w="9986" w:type="dxa"/>
            <w:gridSpan w:val="6"/>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Godišnje</w:t>
            </w:r>
          </w:p>
        </w:tc>
      </w:tr>
      <w:tr w:rsidR="0033403A" w:rsidRPr="0033403A" w:rsidTr="00B76EFF">
        <w:tc>
          <w:tcPr>
            <w:tcW w:w="4054" w:type="dxa"/>
            <w:shd w:val="clear" w:color="auto" w:fill="DEEAF6" w:themeFill="accent1" w:themeFillTint="33"/>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Učestalost izvještavanja o vrijednosti indikatora</w:t>
            </w:r>
          </w:p>
        </w:tc>
        <w:tc>
          <w:tcPr>
            <w:tcW w:w="9986" w:type="dxa"/>
            <w:gridSpan w:val="6"/>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Jednom u dvije godine – prilikom evaluacije Akcionog plana</w:t>
            </w:r>
          </w:p>
        </w:tc>
      </w:tr>
      <w:bookmarkEnd w:id="23"/>
      <w:tr w:rsidR="0033403A" w:rsidRPr="0033403A" w:rsidTr="00B76EFF">
        <w:tc>
          <w:tcPr>
            <w:tcW w:w="4054" w:type="dxa"/>
            <w:vMerge w:val="restart"/>
            <w:shd w:val="clear" w:color="auto" w:fill="DEEAF6" w:themeFill="accent1" w:themeFillTint="33"/>
          </w:tcPr>
          <w:p w:rsidR="0033403A" w:rsidRPr="0033403A" w:rsidRDefault="0033403A" w:rsidP="0033403A">
            <w:pPr>
              <w:spacing w:after="160" w:line="259" w:lineRule="auto"/>
              <w:rPr>
                <w:rFonts w:ascii="Arial" w:hAnsi="Arial" w:cs="Arial"/>
                <w:sz w:val="22"/>
                <w:szCs w:val="22"/>
                <w:lang w:val="sr-Latn-ME" w:eastAsia="en-US"/>
              </w:rPr>
            </w:pPr>
          </w:p>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Kratak opis metodologije izračunavanja podataka</w:t>
            </w:r>
          </w:p>
        </w:tc>
        <w:tc>
          <w:tcPr>
            <w:tcW w:w="3326" w:type="dxa"/>
            <w:gridSpan w:val="2"/>
            <w:vMerge w:val="restart"/>
            <w:tcBorders>
              <w:right w:val="nil"/>
            </w:tcBorders>
            <w:vAlign w:val="center"/>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Stopa otkrivanja nepravilnosti =</w:t>
            </w:r>
          </w:p>
        </w:tc>
        <w:tc>
          <w:tcPr>
            <w:tcW w:w="4612" w:type="dxa"/>
            <w:gridSpan w:val="3"/>
            <w:tcBorders>
              <w:left w:val="nil"/>
              <w:right w:val="nil"/>
            </w:tcBorders>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Ukupni finansijski iznos pogođen nepravilnostima i prevarama</w:t>
            </w:r>
          </w:p>
        </w:tc>
        <w:tc>
          <w:tcPr>
            <w:tcW w:w="2048" w:type="dxa"/>
            <w:vMerge w:val="restart"/>
            <w:tcBorders>
              <w:left w:val="nil"/>
            </w:tcBorders>
            <w:vAlign w:val="center"/>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X 100</w:t>
            </w:r>
          </w:p>
        </w:tc>
      </w:tr>
      <w:tr w:rsidR="0033403A" w:rsidRPr="0033403A" w:rsidTr="00B76EFF">
        <w:tc>
          <w:tcPr>
            <w:tcW w:w="4054" w:type="dxa"/>
            <w:vMerge/>
            <w:shd w:val="clear" w:color="auto" w:fill="DEEAF6" w:themeFill="accent1" w:themeFillTint="33"/>
          </w:tcPr>
          <w:p w:rsidR="0033403A" w:rsidRPr="0033403A" w:rsidRDefault="0033403A" w:rsidP="0033403A">
            <w:pPr>
              <w:spacing w:after="160" w:line="259" w:lineRule="auto"/>
              <w:rPr>
                <w:rFonts w:ascii="Arial" w:hAnsi="Arial" w:cs="Arial"/>
                <w:sz w:val="22"/>
                <w:szCs w:val="22"/>
                <w:lang w:val="sr-Latn-ME" w:eastAsia="en-US"/>
              </w:rPr>
            </w:pPr>
          </w:p>
        </w:tc>
        <w:tc>
          <w:tcPr>
            <w:tcW w:w="3326" w:type="dxa"/>
            <w:gridSpan w:val="2"/>
            <w:vMerge/>
            <w:tcBorders>
              <w:bottom w:val="single" w:sz="4" w:space="0" w:color="auto"/>
              <w:right w:val="nil"/>
            </w:tcBorders>
          </w:tcPr>
          <w:p w:rsidR="0033403A" w:rsidRPr="0033403A" w:rsidRDefault="0033403A" w:rsidP="0033403A">
            <w:pPr>
              <w:spacing w:after="160" w:line="259" w:lineRule="auto"/>
              <w:rPr>
                <w:rFonts w:ascii="Arial" w:hAnsi="Arial" w:cs="Arial"/>
                <w:sz w:val="22"/>
                <w:szCs w:val="22"/>
                <w:lang w:val="sr-Latn-ME" w:eastAsia="en-US"/>
              </w:rPr>
            </w:pPr>
          </w:p>
        </w:tc>
        <w:tc>
          <w:tcPr>
            <w:tcW w:w="4612" w:type="dxa"/>
            <w:gridSpan w:val="3"/>
            <w:tcBorders>
              <w:left w:val="nil"/>
              <w:bottom w:val="single" w:sz="4" w:space="0" w:color="auto"/>
              <w:right w:val="nil"/>
            </w:tcBorders>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 xml:space="preserve">Ukupan iznos EU sredstava koji je primila Crna Gora za određeni program, definisanim posljednjim finansijskim sporazumom/adendumom </w:t>
            </w:r>
          </w:p>
        </w:tc>
        <w:tc>
          <w:tcPr>
            <w:tcW w:w="2048" w:type="dxa"/>
            <w:vMerge/>
            <w:tcBorders>
              <w:left w:val="nil"/>
              <w:bottom w:val="single" w:sz="4" w:space="0" w:color="auto"/>
            </w:tcBorders>
          </w:tcPr>
          <w:p w:rsidR="0033403A" w:rsidRPr="0033403A" w:rsidRDefault="0033403A" w:rsidP="0033403A">
            <w:pPr>
              <w:spacing w:after="160" w:line="259" w:lineRule="auto"/>
              <w:rPr>
                <w:rFonts w:ascii="Arial" w:hAnsi="Arial" w:cs="Arial"/>
                <w:sz w:val="22"/>
                <w:szCs w:val="22"/>
                <w:lang w:val="sr-Latn-ME" w:eastAsia="en-US"/>
              </w:rPr>
            </w:pPr>
          </w:p>
        </w:tc>
      </w:tr>
      <w:tr w:rsidR="0033403A" w:rsidRPr="0033403A" w:rsidTr="00B76EFF">
        <w:tc>
          <w:tcPr>
            <w:tcW w:w="4054" w:type="dxa"/>
            <w:vMerge/>
            <w:shd w:val="clear" w:color="auto" w:fill="DEEAF6" w:themeFill="accent1" w:themeFillTint="33"/>
          </w:tcPr>
          <w:p w:rsidR="0033403A" w:rsidRPr="0033403A" w:rsidRDefault="0033403A" w:rsidP="0033403A">
            <w:pPr>
              <w:spacing w:after="160" w:line="259" w:lineRule="auto"/>
              <w:rPr>
                <w:rFonts w:ascii="Arial" w:hAnsi="Arial" w:cs="Arial"/>
                <w:sz w:val="22"/>
                <w:szCs w:val="22"/>
                <w:lang w:val="sr-Latn-ME" w:eastAsia="en-US"/>
              </w:rPr>
            </w:pPr>
          </w:p>
        </w:tc>
        <w:tc>
          <w:tcPr>
            <w:tcW w:w="9986" w:type="dxa"/>
            <w:gridSpan w:val="6"/>
            <w:tcBorders>
              <w:top w:val="single" w:sz="4" w:space="0" w:color="auto"/>
            </w:tcBorders>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sz w:val="22"/>
                <w:szCs w:val="22"/>
                <w:lang w:val="sr-Latn-ME" w:eastAsia="en-US"/>
              </w:rPr>
              <w:t>Početna / osnovna vrijednost od 1,53% izračunata je na osnovu iznosa  za određeni program i nepravilnosti, podaci su uključeni u dokument Procjena rizika od prevara za 2024. godinu.</w:t>
            </w:r>
            <w:r w:rsidRPr="0033403A">
              <w:rPr>
                <w:rFonts w:ascii="Arial" w:hAnsi="Arial" w:cs="Arial"/>
                <w:sz w:val="22"/>
                <w:szCs w:val="22"/>
                <w:vertAlign w:val="superscript"/>
                <w:lang w:val="sr-Latn-ME" w:eastAsia="en-US"/>
              </w:rPr>
              <w:footnoteReference w:id="14"/>
            </w:r>
          </w:p>
        </w:tc>
      </w:tr>
      <w:tr w:rsidR="0033403A" w:rsidRPr="0033403A" w:rsidTr="00B76EFF">
        <w:tc>
          <w:tcPr>
            <w:tcW w:w="4054" w:type="dxa"/>
            <w:vMerge w:val="restart"/>
            <w:shd w:val="clear" w:color="auto" w:fill="DEEAF6" w:themeFill="accent1" w:themeFillTint="33"/>
          </w:tcPr>
          <w:p w:rsidR="0033403A" w:rsidRPr="0033403A" w:rsidRDefault="0033403A" w:rsidP="0033403A">
            <w:pPr>
              <w:spacing w:after="160" w:line="259" w:lineRule="auto"/>
              <w:rPr>
                <w:rFonts w:ascii="Arial" w:hAnsi="Arial" w:cs="Arial"/>
                <w:sz w:val="22"/>
                <w:szCs w:val="22"/>
                <w:lang w:val="lv-LV" w:eastAsia="en-US"/>
              </w:rPr>
            </w:pPr>
            <w:bookmarkStart w:id="24" w:name="_Hlk193183006"/>
            <w:r w:rsidRPr="0033403A">
              <w:rPr>
                <w:rFonts w:ascii="Arial" w:hAnsi="Arial" w:cs="Arial"/>
                <w:sz w:val="22"/>
                <w:szCs w:val="22"/>
                <w:lang w:val="mk-MK" w:eastAsia="en-US"/>
              </w:rPr>
              <w:t>Informacija o početnoj vrijednosti</w:t>
            </w:r>
            <w:r w:rsidRPr="0033403A">
              <w:rPr>
                <w:rFonts w:ascii="Arial" w:hAnsi="Arial" w:cs="Arial"/>
                <w:sz w:val="22"/>
                <w:szCs w:val="22"/>
                <w:lang w:val="lv-LV" w:eastAsia="en-US"/>
              </w:rPr>
              <w:t xml:space="preserve"> i </w:t>
            </w:r>
            <w:r w:rsidRPr="0033403A">
              <w:rPr>
                <w:rFonts w:ascii="Arial" w:hAnsi="Arial" w:cs="Arial"/>
                <w:sz w:val="22"/>
                <w:szCs w:val="22"/>
                <w:lang w:val="mk-MK" w:eastAsia="en-US"/>
              </w:rPr>
              <w:t>o ciljnim vrijednostima</w:t>
            </w:r>
          </w:p>
        </w:tc>
        <w:tc>
          <w:tcPr>
            <w:tcW w:w="2411" w:type="dxa"/>
          </w:tcPr>
          <w:p w:rsidR="0033403A" w:rsidRPr="0033403A" w:rsidRDefault="0033403A" w:rsidP="0033403A">
            <w:pPr>
              <w:spacing w:after="160" w:line="259" w:lineRule="auto"/>
              <w:rPr>
                <w:rFonts w:ascii="Arial" w:hAnsi="Arial" w:cs="Arial"/>
                <w:sz w:val="22"/>
                <w:szCs w:val="22"/>
                <w:lang w:eastAsia="en-US"/>
              </w:rPr>
            </w:pPr>
            <w:r w:rsidRPr="0033403A">
              <w:rPr>
                <w:rFonts w:ascii="Arial" w:hAnsi="Arial" w:cs="Arial"/>
                <w:sz w:val="22"/>
                <w:szCs w:val="22"/>
                <w:lang w:val="mk-MK" w:eastAsia="en-US"/>
              </w:rPr>
              <w:t>Godina</w:t>
            </w:r>
          </w:p>
        </w:tc>
        <w:tc>
          <w:tcPr>
            <w:tcW w:w="2411" w:type="dxa"/>
            <w:gridSpan w:val="2"/>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b/>
                <w:sz w:val="22"/>
                <w:szCs w:val="22"/>
                <w:lang w:val="sr-Latn-ME" w:eastAsia="en-US"/>
              </w:rPr>
              <w:t>Početna vrijednost u 2024</w:t>
            </w:r>
          </w:p>
        </w:tc>
        <w:tc>
          <w:tcPr>
            <w:tcW w:w="2411" w:type="dxa"/>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b/>
                <w:sz w:val="22"/>
                <w:szCs w:val="22"/>
                <w:lang w:val="sr-Latn-ME" w:eastAsia="en-US"/>
              </w:rPr>
              <w:t>Željena vrijednost u 2026</w:t>
            </w:r>
          </w:p>
        </w:tc>
        <w:tc>
          <w:tcPr>
            <w:tcW w:w="2753" w:type="dxa"/>
            <w:gridSpan w:val="2"/>
          </w:tcPr>
          <w:p w:rsidR="0033403A" w:rsidRPr="0033403A" w:rsidRDefault="0033403A" w:rsidP="0033403A">
            <w:pPr>
              <w:spacing w:after="160" w:line="259" w:lineRule="auto"/>
              <w:rPr>
                <w:rFonts w:ascii="Arial" w:hAnsi="Arial" w:cs="Arial"/>
                <w:sz w:val="22"/>
                <w:szCs w:val="22"/>
                <w:lang w:val="sr-Latn-ME" w:eastAsia="en-US"/>
              </w:rPr>
            </w:pPr>
            <w:r w:rsidRPr="0033403A">
              <w:rPr>
                <w:rFonts w:ascii="Arial" w:hAnsi="Arial" w:cs="Arial"/>
                <w:b/>
                <w:sz w:val="22"/>
                <w:szCs w:val="22"/>
                <w:lang w:val="sr-Latn-ME" w:eastAsia="en-US"/>
              </w:rPr>
              <w:t>Željena vrijednost u 2028</w:t>
            </w:r>
          </w:p>
        </w:tc>
      </w:tr>
      <w:bookmarkEnd w:id="24"/>
      <w:tr w:rsidR="0033403A" w:rsidRPr="0033403A" w:rsidTr="00B76EFF">
        <w:tc>
          <w:tcPr>
            <w:tcW w:w="4054" w:type="dxa"/>
            <w:vMerge/>
            <w:shd w:val="clear" w:color="auto" w:fill="DEEAF6" w:themeFill="accent1" w:themeFillTint="33"/>
          </w:tcPr>
          <w:p w:rsidR="0033403A" w:rsidRPr="0033403A" w:rsidRDefault="0033403A" w:rsidP="0033403A">
            <w:pPr>
              <w:spacing w:after="160" w:line="259" w:lineRule="auto"/>
              <w:rPr>
                <w:rFonts w:ascii="Arial" w:hAnsi="Arial" w:cs="Arial"/>
                <w:sz w:val="22"/>
                <w:szCs w:val="22"/>
                <w:lang w:eastAsia="en-US"/>
              </w:rPr>
            </w:pPr>
          </w:p>
        </w:tc>
        <w:tc>
          <w:tcPr>
            <w:tcW w:w="2411" w:type="dxa"/>
          </w:tcPr>
          <w:p w:rsidR="0033403A" w:rsidRPr="0033403A" w:rsidRDefault="0033403A" w:rsidP="0033403A">
            <w:pPr>
              <w:spacing w:after="160" w:line="259" w:lineRule="auto"/>
              <w:rPr>
                <w:rFonts w:ascii="Arial" w:hAnsi="Arial" w:cs="Arial"/>
                <w:sz w:val="22"/>
                <w:szCs w:val="22"/>
                <w:lang w:eastAsia="en-US"/>
              </w:rPr>
            </w:pPr>
            <w:r w:rsidRPr="0033403A">
              <w:rPr>
                <w:rFonts w:ascii="Arial" w:hAnsi="Arial" w:cs="Arial"/>
                <w:sz w:val="22"/>
                <w:szCs w:val="22"/>
                <w:lang w:val="mk-MK" w:eastAsia="en-US"/>
              </w:rPr>
              <w:t>Vrijednost</w:t>
            </w:r>
          </w:p>
        </w:tc>
        <w:tc>
          <w:tcPr>
            <w:tcW w:w="2411" w:type="dxa"/>
            <w:gridSpan w:val="2"/>
            <w:vAlign w:val="center"/>
          </w:tcPr>
          <w:p w:rsidR="0033403A" w:rsidRPr="0033403A" w:rsidRDefault="0033403A" w:rsidP="0033403A">
            <w:pPr>
              <w:spacing w:after="160" w:line="259" w:lineRule="auto"/>
              <w:rPr>
                <w:rFonts w:ascii="Arial" w:hAnsi="Arial" w:cs="Arial"/>
                <w:sz w:val="22"/>
                <w:szCs w:val="22"/>
                <w:lang w:eastAsia="en-US"/>
              </w:rPr>
            </w:pPr>
            <w:r w:rsidRPr="0033403A">
              <w:rPr>
                <w:rFonts w:ascii="Arial" w:hAnsi="Arial" w:cs="Arial"/>
                <w:bCs/>
                <w:sz w:val="22"/>
                <w:szCs w:val="22"/>
                <w:lang w:val="en-GB" w:eastAsia="en-US"/>
              </w:rPr>
              <w:t>1.53%</w:t>
            </w:r>
          </w:p>
        </w:tc>
        <w:tc>
          <w:tcPr>
            <w:tcW w:w="2411" w:type="dxa"/>
            <w:vAlign w:val="center"/>
          </w:tcPr>
          <w:p w:rsidR="0033403A" w:rsidRPr="0033403A" w:rsidRDefault="0033403A" w:rsidP="0033403A">
            <w:pPr>
              <w:spacing w:after="160" w:line="259" w:lineRule="auto"/>
              <w:rPr>
                <w:rFonts w:ascii="Arial" w:hAnsi="Arial" w:cs="Arial"/>
                <w:sz w:val="22"/>
                <w:szCs w:val="22"/>
                <w:lang w:eastAsia="en-US"/>
              </w:rPr>
            </w:pPr>
            <w:r w:rsidRPr="0033403A">
              <w:rPr>
                <w:rFonts w:ascii="Arial" w:hAnsi="Arial" w:cs="Arial"/>
                <w:bCs/>
                <w:sz w:val="22"/>
                <w:szCs w:val="22"/>
                <w:lang w:val="en-GB" w:eastAsia="en-US"/>
              </w:rPr>
              <w:t>&lt; 1.53%</w:t>
            </w:r>
          </w:p>
        </w:tc>
        <w:tc>
          <w:tcPr>
            <w:tcW w:w="2753" w:type="dxa"/>
            <w:gridSpan w:val="2"/>
            <w:vAlign w:val="center"/>
          </w:tcPr>
          <w:p w:rsidR="0033403A" w:rsidRPr="0033403A" w:rsidRDefault="0033403A" w:rsidP="0033403A">
            <w:pPr>
              <w:spacing w:after="160" w:line="259" w:lineRule="auto"/>
              <w:rPr>
                <w:rFonts w:ascii="Arial" w:hAnsi="Arial" w:cs="Arial"/>
                <w:sz w:val="22"/>
                <w:szCs w:val="22"/>
                <w:lang w:eastAsia="en-US"/>
              </w:rPr>
            </w:pPr>
            <w:r w:rsidRPr="0033403A">
              <w:rPr>
                <w:rFonts w:ascii="Arial" w:hAnsi="Arial" w:cs="Arial"/>
                <w:bCs/>
                <w:sz w:val="22"/>
                <w:szCs w:val="22"/>
                <w:lang w:val="en-GB" w:eastAsia="en-US"/>
              </w:rPr>
              <w:t>&lt; 1.53%</w:t>
            </w:r>
          </w:p>
        </w:tc>
      </w:tr>
    </w:tbl>
    <w:p w:rsidR="00B76EFF" w:rsidRDefault="00B76EFF" w:rsidP="00B76EFF">
      <w:pPr>
        <w:spacing w:after="160" w:line="259" w:lineRule="auto"/>
        <w:rPr>
          <w:rFonts w:ascii="Arial" w:hAnsi="Arial" w:cs="Arial"/>
        </w:rPr>
      </w:pPr>
    </w:p>
    <w:p w:rsidR="00B76EFF" w:rsidRPr="00B76EFF" w:rsidRDefault="00B76EFF" w:rsidP="00B76EFF">
      <w:pPr>
        <w:spacing w:after="160" w:line="259" w:lineRule="auto"/>
        <w:rPr>
          <w:rFonts w:ascii="Arial" w:hAnsi="Arial" w:cs="Arial"/>
          <w:lang w:val="sr-Latn-ME"/>
        </w:rPr>
      </w:pPr>
      <w:r w:rsidRPr="00B76EFF">
        <w:rPr>
          <w:rFonts w:ascii="Arial" w:hAnsi="Arial" w:cs="Arial"/>
          <w:lang w:val="sr-Latn-ME"/>
        </w:rPr>
        <w:t>Pasoš br. 2 (za indikator uspjeha 1.1)</w:t>
      </w:r>
    </w:p>
    <w:tbl>
      <w:tblPr>
        <w:tblStyle w:val="TableGrid"/>
        <w:tblW w:w="14040" w:type="dxa"/>
        <w:tblInd w:w="-95" w:type="dxa"/>
        <w:tblLook w:val="04A0" w:firstRow="1" w:lastRow="0" w:firstColumn="1" w:lastColumn="0" w:noHBand="0" w:noVBand="1"/>
      </w:tblPr>
      <w:tblGrid>
        <w:gridCol w:w="3682"/>
        <w:gridCol w:w="2255"/>
        <w:gridCol w:w="2587"/>
        <w:gridCol w:w="2587"/>
        <w:gridCol w:w="2929"/>
      </w:tblGrid>
      <w:tr w:rsidR="00B76EFF" w:rsidRPr="00B76EFF" w:rsidTr="00B76EFF">
        <w:tc>
          <w:tcPr>
            <w:tcW w:w="3682" w:type="dxa"/>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Kategorija</w:t>
            </w:r>
          </w:p>
        </w:tc>
        <w:tc>
          <w:tcPr>
            <w:tcW w:w="10358" w:type="dxa"/>
            <w:gridSpan w:val="4"/>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Opis</w:t>
            </w:r>
          </w:p>
        </w:tc>
      </w:tr>
      <w:tr w:rsidR="00B76EFF" w:rsidRPr="00B76EFF" w:rsidTr="00B76EFF">
        <w:tc>
          <w:tcPr>
            <w:tcW w:w="3682"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Naziv indikatora </w:t>
            </w:r>
          </w:p>
        </w:tc>
        <w:tc>
          <w:tcPr>
            <w:tcW w:w="10358" w:type="dxa"/>
            <w:gridSpan w:val="4"/>
            <w:shd w:val="clear" w:color="auto" w:fill="DEEAF6" w:themeFill="accent1" w:themeFillTint="33"/>
          </w:tcPr>
          <w:p w:rsidR="00B76EFF" w:rsidRPr="00B76EFF" w:rsidRDefault="00B76EFF" w:rsidP="00B76EFF">
            <w:pPr>
              <w:spacing w:after="160" w:line="259" w:lineRule="auto"/>
              <w:rPr>
                <w:rFonts w:ascii="Arial" w:hAnsi="Arial" w:cs="Arial"/>
                <w:b/>
                <w:bCs/>
                <w:sz w:val="22"/>
                <w:szCs w:val="22"/>
                <w:lang w:val="sr-Latn-ME" w:eastAsia="en-US"/>
              </w:rPr>
            </w:pPr>
            <w:r w:rsidRPr="00B76EFF">
              <w:rPr>
                <w:rFonts w:ascii="Arial" w:hAnsi="Arial" w:cs="Arial"/>
                <w:b/>
                <w:bCs/>
                <w:sz w:val="22"/>
                <w:szCs w:val="22"/>
                <w:lang w:val="sr-Latn-ME" w:eastAsia="en-US"/>
              </w:rPr>
              <w:t>Uspostavljen operativan i u potpunosti funkcionalan AFCOS sistem</w:t>
            </w:r>
          </w:p>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c>
          <w:tcPr>
            <w:tcW w:w="3682"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Cilj na koji se indikator odnosi</w:t>
            </w:r>
          </w:p>
        </w:tc>
        <w:tc>
          <w:tcPr>
            <w:tcW w:w="10358"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Operativni cilj 1:</w:t>
            </w:r>
            <w:r w:rsidRPr="00B76EFF">
              <w:rPr>
                <w:rFonts w:ascii="Arial" w:hAnsi="Arial" w:cs="Arial"/>
                <w:sz w:val="22"/>
                <w:szCs w:val="22"/>
                <w:lang w:val="sr-Latn-ME" w:eastAsia="en-US"/>
              </w:rPr>
              <w:t xml:space="preserve"> Unaprijeđenje pravnog okvira u cilju finalizacije uspostavljanja potpuno funkcionalnog AFCOS sistema.</w:t>
            </w:r>
          </w:p>
        </w:tc>
      </w:tr>
      <w:tr w:rsidR="00B76EFF" w:rsidRPr="00B76EFF" w:rsidTr="00B76EFF">
        <w:tc>
          <w:tcPr>
            <w:tcW w:w="3682"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indikatora</w:t>
            </w:r>
          </w:p>
        </w:tc>
        <w:tc>
          <w:tcPr>
            <w:tcW w:w="10358" w:type="dxa"/>
            <w:gridSpan w:val="4"/>
          </w:tcPr>
          <w:p w:rsidR="00B76EFF" w:rsidRPr="00B76EFF" w:rsidRDefault="00B76EFF" w:rsidP="00B76EFF">
            <w:pPr>
              <w:spacing w:after="160" w:line="259" w:lineRule="auto"/>
              <w:rPr>
                <w:rFonts w:ascii="Arial" w:hAnsi="Arial" w:cs="Arial"/>
                <w:sz w:val="22"/>
                <w:szCs w:val="22"/>
                <w:lang w:val="sr-Latn-ME" w:eastAsia="en-US"/>
              </w:rPr>
            </w:pPr>
          </w:p>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Usvojeni pravni akti i uspostavljena pravna osnova za adekvatno funkcionisanje AFCOS sistema</w:t>
            </w:r>
          </w:p>
        </w:tc>
      </w:tr>
      <w:tr w:rsidR="00B76EFF" w:rsidRPr="00B76EFF" w:rsidTr="00B76EFF">
        <w:tc>
          <w:tcPr>
            <w:tcW w:w="3682"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Podaci koje je potrebno prikupiti</w:t>
            </w:r>
          </w:p>
        </w:tc>
        <w:tc>
          <w:tcPr>
            <w:tcW w:w="10358"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Usvojeni pravni akti</w:t>
            </w:r>
          </w:p>
        </w:tc>
      </w:tr>
      <w:tr w:rsidR="00B76EFF" w:rsidRPr="00B76EFF" w:rsidTr="00B76EFF">
        <w:tc>
          <w:tcPr>
            <w:tcW w:w="3682"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Izvor podataka</w:t>
            </w:r>
          </w:p>
        </w:tc>
        <w:tc>
          <w:tcPr>
            <w:tcW w:w="10358"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 Službeni List Crne Gore</w:t>
            </w:r>
          </w:p>
        </w:tc>
      </w:tr>
      <w:tr w:rsidR="00B76EFF" w:rsidRPr="00B76EFF" w:rsidTr="00B76EFF">
        <w:tc>
          <w:tcPr>
            <w:tcW w:w="3682"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instituciji odgovornoj za prikupljanje podataka</w:t>
            </w:r>
          </w:p>
        </w:tc>
        <w:tc>
          <w:tcPr>
            <w:tcW w:w="10358"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Direkcija za zaštitu finansijskih interesa EU/AFCOS – Ministarstvo finansija</w:t>
            </w:r>
          </w:p>
        </w:tc>
      </w:tr>
      <w:tr w:rsidR="00B76EFF" w:rsidRPr="00B76EFF" w:rsidTr="00B76EFF">
        <w:tc>
          <w:tcPr>
            <w:tcW w:w="3682"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prikupljanja podataka</w:t>
            </w:r>
          </w:p>
        </w:tc>
        <w:tc>
          <w:tcPr>
            <w:tcW w:w="10358"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w:t>
            </w:r>
          </w:p>
        </w:tc>
      </w:tr>
      <w:tr w:rsidR="00B76EFF" w:rsidRPr="00B76EFF" w:rsidTr="00B76EFF">
        <w:tc>
          <w:tcPr>
            <w:tcW w:w="3682"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izvještavanja o vrijednosti indikatora</w:t>
            </w:r>
          </w:p>
        </w:tc>
        <w:tc>
          <w:tcPr>
            <w:tcW w:w="10358"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 – prilikom evaluacije Akcionog plana</w:t>
            </w:r>
          </w:p>
        </w:tc>
      </w:tr>
      <w:tr w:rsidR="00B76EFF" w:rsidRPr="00B76EFF" w:rsidTr="00B76EFF">
        <w:tc>
          <w:tcPr>
            <w:tcW w:w="3682"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metodologije izračunavanja podataka</w:t>
            </w:r>
          </w:p>
        </w:tc>
        <w:tc>
          <w:tcPr>
            <w:tcW w:w="10358"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U okviru </w:t>
            </w:r>
            <w:r w:rsidRPr="00B76EFF">
              <w:rPr>
                <w:rFonts w:ascii="Arial" w:hAnsi="Arial" w:cs="Arial"/>
                <w:b/>
                <w:sz w:val="22"/>
                <w:szCs w:val="22"/>
                <w:lang w:val="sr-Latn-ME" w:eastAsia="en-US"/>
              </w:rPr>
              <w:t>Operativnog cilja 1</w:t>
            </w:r>
            <w:r w:rsidRPr="00B76EFF">
              <w:rPr>
                <w:rFonts w:ascii="Arial" w:hAnsi="Arial" w:cs="Arial"/>
                <w:sz w:val="22"/>
                <w:szCs w:val="22"/>
                <w:lang w:val="sr-Latn-ME" w:eastAsia="en-US"/>
              </w:rPr>
              <w:t xml:space="preserve"> u Akcionom planu ,kao pratećem dokumentu ove Strategije, predviđeno je nekoliko mjera kako bi se završilo uspostavljanje potpuno operativnog AFCOS sistema i sprovela dalja harmonizacija nacionalnog zakonodavstva sa zakonodavstvom EU - PIF Direktiva, Uredba 883/2013 i Uredba 2185/1996. </w:t>
            </w:r>
          </w:p>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Svaka od ovih komponenti može se procijeniti pojedinačno kao djelimično ili potpuno implementirana. </w:t>
            </w:r>
          </w:p>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Početna / osnovna vrijednost u trenutku  pisanja nove Strategije pretpostavlja da je AFCOS sistem djelimično uspostavljen, jer su već usvojene izmene Zakona o budžetu i fiskalnoj odgovornosti, </w:t>
            </w:r>
            <w:r w:rsidRPr="00B76EFF">
              <w:rPr>
                <w:rFonts w:ascii="Arial" w:hAnsi="Arial" w:cs="Arial"/>
                <w:sz w:val="22"/>
                <w:szCs w:val="22"/>
                <w:lang w:val="sr-Latn-ME" w:eastAsia="en-US"/>
              </w:rPr>
              <w:pgNum/>
            </w:r>
            <w:r w:rsidRPr="00B76EFF">
              <w:rPr>
                <w:rFonts w:ascii="Arial" w:hAnsi="Arial" w:cs="Arial"/>
                <w:sz w:val="22"/>
                <w:szCs w:val="22"/>
                <w:lang w:val="sr-Latn-ME" w:eastAsia="en-US"/>
              </w:rPr>
              <w:t>ndic Odluka o uspostavljanju AFCOS mreže, koji su relevantni u određenoj mjeri. Takođe, za zakonodavstvo EU u oblasti zaštite finansijskih interesa EU – nacionalno zakonodavstvo u Crnoj Gori je ocenjeno kao djelimično usklađeno.</w:t>
            </w:r>
          </w:p>
        </w:tc>
      </w:tr>
      <w:tr w:rsidR="00B76EFF" w:rsidRPr="00B76EFF" w:rsidTr="00B76EFF">
        <w:tc>
          <w:tcPr>
            <w:tcW w:w="3682"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početnoj vrijednosti i o ciljnim vrijednostima</w:t>
            </w:r>
          </w:p>
        </w:tc>
        <w:tc>
          <w:tcPr>
            <w:tcW w:w="2255"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Godina</w:t>
            </w:r>
          </w:p>
        </w:tc>
        <w:tc>
          <w:tcPr>
            <w:tcW w:w="2587"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Početna vrijednost u 2024</w:t>
            </w:r>
          </w:p>
        </w:tc>
        <w:tc>
          <w:tcPr>
            <w:tcW w:w="2587"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2026</w:t>
            </w:r>
          </w:p>
        </w:tc>
        <w:tc>
          <w:tcPr>
            <w:tcW w:w="2929"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2028</w:t>
            </w:r>
          </w:p>
        </w:tc>
      </w:tr>
      <w:tr w:rsidR="00B76EFF" w:rsidRPr="00B76EFF" w:rsidTr="00B76EFF">
        <w:tc>
          <w:tcPr>
            <w:tcW w:w="3682"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2255"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Vrijednost</w:t>
            </w:r>
          </w:p>
        </w:tc>
        <w:tc>
          <w:tcPr>
            <w:tcW w:w="2587" w:type="dxa"/>
          </w:tcPr>
          <w:p w:rsidR="00B76EFF" w:rsidRPr="00B76EFF" w:rsidRDefault="00B76EFF" w:rsidP="00B76EFF">
            <w:pPr>
              <w:numPr>
                <w:ilvl w:val="0"/>
                <w:numId w:val="49"/>
              </w:num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AFCOS sistem – </w:t>
            </w:r>
            <w:r w:rsidRPr="00B76EFF">
              <w:rPr>
                <w:rFonts w:ascii="Arial" w:hAnsi="Arial" w:cs="Arial"/>
                <w:sz w:val="22"/>
                <w:szCs w:val="22"/>
                <w:u w:val="single"/>
                <w:lang w:val="sr-Latn-ME" w:eastAsia="en-US"/>
              </w:rPr>
              <w:t xml:space="preserve">djelimično </w:t>
            </w:r>
            <w:r w:rsidRPr="00B76EFF">
              <w:rPr>
                <w:rFonts w:ascii="Arial" w:hAnsi="Arial" w:cs="Arial"/>
                <w:sz w:val="22"/>
                <w:szCs w:val="22"/>
                <w:lang w:val="sr-Latn-ME" w:eastAsia="en-US"/>
              </w:rPr>
              <w:t>uspostavljen</w:t>
            </w:r>
          </w:p>
          <w:p w:rsidR="00B76EFF" w:rsidRPr="00B76EFF" w:rsidRDefault="00B76EFF" w:rsidP="00B76EFF">
            <w:pPr>
              <w:numPr>
                <w:ilvl w:val="0"/>
                <w:numId w:val="49"/>
              </w:num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Harmonizacija sa zakonodavstvom EU </w:t>
            </w:r>
            <w:r w:rsidRPr="00B76EFF">
              <w:rPr>
                <w:rFonts w:ascii="Arial" w:hAnsi="Arial" w:cs="Arial"/>
                <w:sz w:val="22"/>
                <w:szCs w:val="22"/>
                <w:u w:val="single"/>
                <w:lang w:val="sr-Latn-ME" w:eastAsia="en-US"/>
              </w:rPr>
              <w:t>– djelimično</w:t>
            </w:r>
            <w:r w:rsidRPr="00B76EFF">
              <w:rPr>
                <w:rFonts w:ascii="Arial" w:hAnsi="Arial" w:cs="Arial"/>
                <w:sz w:val="22"/>
                <w:szCs w:val="22"/>
                <w:lang w:val="sr-Latn-ME" w:eastAsia="en-US"/>
              </w:rPr>
              <w:t xml:space="preserve"> usklađeno</w:t>
            </w:r>
          </w:p>
        </w:tc>
        <w:tc>
          <w:tcPr>
            <w:tcW w:w="2587" w:type="dxa"/>
          </w:tcPr>
          <w:p w:rsidR="00B76EFF" w:rsidRPr="00B76EFF" w:rsidRDefault="00B76EFF" w:rsidP="00B76EFF">
            <w:pPr>
              <w:numPr>
                <w:ilvl w:val="0"/>
                <w:numId w:val="49"/>
              </w:numPr>
              <w:spacing w:after="160" w:line="259" w:lineRule="auto"/>
              <w:rPr>
                <w:rFonts w:ascii="Arial" w:hAnsi="Arial" w:cs="Arial"/>
                <w:bCs/>
                <w:sz w:val="22"/>
                <w:szCs w:val="22"/>
                <w:lang w:val="sr-Latn-ME" w:eastAsia="en-US"/>
              </w:rPr>
            </w:pPr>
            <w:r w:rsidRPr="00B76EFF">
              <w:rPr>
                <w:rFonts w:ascii="Arial" w:hAnsi="Arial" w:cs="Arial"/>
                <w:sz w:val="22"/>
                <w:szCs w:val="22"/>
                <w:lang w:val="sr-Latn-ME" w:eastAsia="en-US"/>
              </w:rPr>
              <w:t xml:space="preserve">AFCOS sistem – </w:t>
            </w:r>
            <w:r w:rsidRPr="00B76EFF">
              <w:rPr>
                <w:rFonts w:ascii="Arial" w:hAnsi="Arial" w:cs="Arial"/>
                <w:sz w:val="22"/>
                <w:szCs w:val="22"/>
                <w:u w:val="single"/>
                <w:lang w:val="sr-Latn-ME" w:eastAsia="en-US"/>
              </w:rPr>
              <w:t xml:space="preserve">potpuno </w:t>
            </w:r>
            <w:r w:rsidRPr="00B76EFF">
              <w:rPr>
                <w:rFonts w:ascii="Arial" w:hAnsi="Arial" w:cs="Arial"/>
                <w:sz w:val="22"/>
                <w:szCs w:val="22"/>
                <w:lang w:val="sr-Latn-ME" w:eastAsia="en-US"/>
              </w:rPr>
              <w:t>uspostavljen i funkcionalan</w:t>
            </w:r>
          </w:p>
          <w:p w:rsidR="00B76EFF" w:rsidRPr="00B76EFF" w:rsidRDefault="00B76EFF" w:rsidP="00B76EFF">
            <w:pPr>
              <w:numPr>
                <w:ilvl w:val="0"/>
                <w:numId w:val="49"/>
              </w:numPr>
              <w:spacing w:after="160" w:line="259" w:lineRule="auto"/>
              <w:rPr>
                <w:rFonts w:ascii="Arial" w:hAnsi="Arial" w:cs="Arial"/>
                <w:bCs/>
                <w:sz w:val="22"/>
                <w:szCs w:val="22"/>
                <w:lang w:val="sr-Latn-ME" w:eastAsia="en-US"/>
              </w:rPr>
            </w:pPr>
            <w:r w:rsidRPr="00B76EFF">
              <w:rPr>
                <w:rFonts w:ascii="Arial" w:hAnsi="Arial" w:cs="Arial"/>
                <w:sz w:val="22"/>
                <w:szCs w:val="22"/>
                <w:lang w:val="sr-Latn-ME" w:eastAsia="en-US"/>
              </w:rPr>
              <w:t xml:space="preserve"> Harmonizacija sa zakonodavstvom EU – </w:t>
            </w:r>
            <w:r w:rsidRPr="00B76EFF">
              <w:rPr>
                <w:rFonts w:ascii="Arial" w:hAnsi="Arial" w:cs="Arial"/>
                <w:sz w:val="22"/>
                <w:szCs w:val="22"/>
                <w:u w:val="single"/>
                <w:lang w:val="sr-Latn-ME" w:eastAsia="en-US"/>
              </w:rPr>
              <w:t>djelimično</w:t>
            </w:r>
            <w:r w:rsidRPr="00B76EFF">
              <w:rPr>
                <w:rFonts w:ascii="Arial" w:hAnsi="Arial" w:cs="Arial"/>
                <w:sz w:val="22"/>
                <w:szCs w:val="22"/>
                <w:lang w:val="sr-Latn-ME" w:eastAsia="en-US"/>
              </w:rPr>
              <w:t xml:space="preserve"> usklađeno</w:t>
            </w:r>
          </w:p>
        </w:tc>
        <w:tc>
          <w:tcPr>
            <w:tcW w:w="2929" w:type="dxa"/>
          </w:tcPr>
          <w:p w:rsidR="00B76EFF" w:rsidRPr="00B76EFF" w:rsidRDefault="00B76EFF" w:rsidP="00B76EFF">
            <w:pPr>
              <w:numPr>
                <w:ilvl w:val="0"/>
                <w:numId w:val="49"/>
              </w:num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AFCOS sistem – </w:t>
            </w:r>
            <w:r w:rsidRPr="00B76EFF">
              <w:rPr>
                <w:rFonts w:ascii="Arial" w:hAnsi="Arial" w:cs="Arial"/>
                <w:sz w:val="22"/>
                <w:szCs w:val="22"/>
                <w:u w:val="single"/>
                <w:lang w:val="sr-Latn-ME" w:eastAsia="en-US"/>
              </w:rPr>
              <w:t xml:space="preserve">potpuno </w:t>
            </w:r>
            <w:r w:rsidRPr="00B76EFF">
              <w:rPr>
                <w:rFonts w:ascii="Arial" w:hAnsi="Arial" w:cs="Arial"/>
                <w:sz w:val="22"/>
                <w:szCs w:val="22"/>
                <w:lang w:val="sr-Latn-ME" w:eastAsia="en-US"/>
              </w:rPr>
              <w:t>uspostavljen i funkcionalan</w:t>
            </w:r>
          </w:p>
          <w:p w:rsidR="00B76EFF" w:rsidRPr="00B76EFF" w:rsidRDefault="00B76EFF" w:rsidP="00B76EFF">
            <w:pPr>
              <w:numPr>
                <w:ilvl w:val="0"/>
                <w:numId w:val="49"/>
              </w:num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 Harmonizacija sa zakonodavstvom EU – </w:t>
            </w:r>
            <w:r w:rsidRPr="00B76EFF">
              <w:rPr>
                <w:rFonts w:ascii="Arial" w:hAnsi="Arial" w:cs="Arial"/>
                <w:sz w:val="22"/>
                <w:szCs w:val="22"/>
                <w:u w:val="single"/>
                <w:lang w:val="sr-Latn-ME" w:eastAsia="en-US"/>
              </w:rPr>
              <w:t>potpuno</w:t>
            </w:r>
            <w:r w:rsidRPr="00B76EFF">
              <w:rPr>
                <w:rFonts w:ascii="Arial" w:hAnsi="Arial" w:cs="Arial"/>
                <w:sz w:val="22"/>
                <w:szCs w:val="22"/>
                <w:lang w:val="sr-Latn-ME" w:eastAsia="en-US"/>
              </w:rPr>
              <w:t xml:space="preserve"> usklađeno</w:t>
            </w:r>
          </w:p>
        </w:tc>
      </w:tr>
    </w:tbl>
    <w:p w:rsidR="00B76EFF" w:rsidRPr="00B76EFF" w:rsidRDefault="00B76EFF" w:rsidP="00B76EFF">
      <w:pPr>
        <w:spacing w:after="160" w:line="259" w:lineRule="auto"/>
        <w:rPr>
          <w:rFonts w:ascii="Arial" w:hAnsi="Arial" w:cs="Arial"/>
          <w:lang w:val="sr-Latn-ME"/>
        </w:rPr>
      </w:pPr>
    </w:p>
    <w:p w:rsidR="00B76EFF" w:rsidRPr="00B76EFF" w:rsidRDefault="00B76EFF" w:rsidP="00B76EFF">
      <w:pPr>
        <w:spacing w:after="160" w:line="259" w:lineRule="auto"/>
        <w:rPr>
          <w:rFonts w:ascii="Arial" w:hAnsi="Arial" w:cs="Arial"/>
          <w:lang w:val="sr-Latn-ME"/>
        </w:rPr>
      </w:pPr>
      <w:r w:rsidRPr="00B76EFF">
        <w:rPr>
          <w:rFonts w:ascii="Arial" w:hAnsi="Arial" w:cs="Arial"/>
          <w:lang w:val="sr-Latn-ME"/>
        </w:rPr>
        <w:t>Pasoš  br. 3 (za indikator uspjeha 2.1)</w:t>
      </w:r>
    </w:p>
    <w:tbl>
      <w:tblPr>
        <w:tblStyle w:val="TableGrid"/>
        <w:tblW w:w="14040" w:type="dxa"/>
        <w:tblInd w:w="-95" w:type="dxa"/>
        <w:tblLook w:val="04A0" w:firstRow="1" w:lastRow="0" w:firstColumn="1" w:lastColumn="0" w:noHBand="0" w:noVBand="1"/>
      </w:tblPr>
      <w:tblGrid>
        <w:gridCol w:w="4059"/>
        <w:gridCol w:w="2409"/>
        <w:gridCol w:w="1135"/>
        <w:gridCol w:w="1275"/>
        <w:gridCol w:w="2410"/>
        <w:gridCol w:w="851"/>
        <w:gridCol w:w="1901"/>
      </w:tblGrid>
      <w:tr w:rsidR="00B76EFF" w:rsidRPr="00B76EFF" w:rsidTr="00B76EFF">
        <w:tc>
          <w:tcPr>
            <w:tcW w:w="4059" w:type="dxa"/>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Kategorija</w:t>
            </w:r>
          </w:p>
        </w:tc>
        <w:tc>
          <w:tcPr>
            <w:tcW w:w="9981" w:type="dxa"/>
            <w:gridSpan w:val="6"/>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Opis</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Naziv indikatora</w:t>
            </w:r>
          </w:p>
        </w:tc>
        <w:tc>
          <w:tcPr>
            <w:tcW w:w="9981" w:type="dxa"/>
            <w:gridSpan w:val="6"/>
            <w:shd w:val="clear" w:color="auto" w:fill="DEEAF6" w:themeFill="accent1" w:themeFillTint="33"/>
          </w:tcPr>
          <w:p w:rsidR="00B76EFF" w:rsidRPr="00B76EFF" w:rsidRDefault="00B76EFF" w:rsidP="00B76EFF">
            <w:pPr>
              <w:spacing w:after="160" w:line="259" w:lineRule="auto"/>
              <w:rPr>
                <w:rFonts w:ascii="Arial" w:hAnsi="Arial" w:cs="Arial"/>
                <w:b/>
                <w:sz w:val="22"/>
                <w:szCs w:val="22"/>
                <w:lang w:val="sr-Latn-ME" w:eastAsia="en-US"/>
              </w:rPr>
            </w:pPr>
            <w:r w:rsidRPr="00B76EFF">
              <w:rPr>
                <w:rFonts w:ascii="Arial" w:hAnsi="Arial" w:cs="Arial"/>
                <w:b/>
                <w:sz w:val="22"/>
                <w:szCs w:val="22"/>
                <w:lang w:eastAsia="en-US"/>
              </w:rPr>
              <w:t>Indeks zadovoljstva saradnjom između institucija uključenih u zaštitu finansijskih interesa EU</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Cilj na koji se indikator odnosi</w:t>
            </w:r>
          </w:p>
        </w:tc>
        <w:tc>
          <w:tcPr>
            <w:tcW w:w="998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Operativni cilj 2</w:t>
            </w:r>
            <w:r w:rsidRPr="00B76EFF">
              <w:rPr>
                <w:rFonts w:ascii="Arial" w:hAnsi="Arial" w:cs="Arial"/>
                <w:sz w:val="22"/>
                <w:szCs w:val="22"/>
                <w:lang w:val="sr-Latn-ME" w:eastAsia="en-US"/>
              </w:rPr>
              <w:t>: Jačanje koordinacione uloge AFCOS kancelarije i unaprijeđenje saradnje između institucija uključenih u zaštitu finansijskih interesa EU.</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indikatora</w:t>
            </w:r>
          </w:p>
        </w:tc>
        <w:tc>
          <w:tcPr>
            <w:tcW w:w="998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Ovaj indikator rezultata će pratiti nivo zadovoljstva saradnjom između institucija uključenih u zaštitu finansijskih interesa EU u Crnoj Gori.</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Podaci koje je potrebno prikupiti</w:t>
            </w:r>
          </w:p>
        </w:tc>
        <w:tc>
          <w:tcPr>
            <w:tcW w:w="998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Samoprocjena o zadovoljstvu nivoom saradnje među institucijama, na skali od 10 poena (od minimuma 0 do maksimuma 10 poena).</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Izvor podataka</w:t>
            </w:r>
          </w:p>
        </w:tc>
        <w:tc>
          <w:tcPr>
            <w:tcW w:w="998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Upitnici za samoprocjenu distribuirani među institucijama uključenim u zaštitu finansijskih interesa EU.</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instituciji odgovornoj za prikupljanje podataka</w:t>
            </w:r>
          </w:p>
        </w:tc>
        <w:tc>
          <w:tcPr>
            <w:tcW w:w="998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Direkcija za zaštitu finansijskih interesa EU/AFCOS – Ministarstvo finansija</w:t>
            </w:r>
          </w:p>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prikupljanja podataka</w:t>
            </w:r>
          </w:p>
        </w:tc>
        <w:tc>
          <w:tcPr>
            <w:tcW w:w="998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izvještavanja o vrijednosti indikatora</w:t>
            </w:r>
          </w:p>
        </w:tc>
        <w:tc>
          <w:tcPr>
            <w:tcW w:w="998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 – prilikom evaluacije Akcionog plana</w:t>
            </w:r>
          </w:p>
        </w:tc>
      </w:tr>
      <w:tr w:rsidR="00B76EFF" w:rsidRPr="00B76EFF" w:rsidTr="00B76EFF">
        <w:tc>
          <w:tcPr>
            <w:tcW w:w="4059"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metodologije izračunavanja podataka</w:t>
            </w:r>
          </w:p>
        </w:tc>
        <w:tc>
          <w:tcPr>
            <w:tcW w:w="9981" w:type="dxa"/>
            <w:gridSpan w:val="6"/>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Početna / osnovna vrijednost je pretpostavka zasnovana na rezultatima ankete distribuirane među tijelima AFCOS sistema tokom izrade Strategije, u oktobru 2024. godine. Dva su pitanja vezana za saradnju i razmjenu informacija unutar AFCOS sistema, a od 4 odgovora koja su primljena: 2 su naveli da je saradnja bila dobra ili adekvatna i da nije bilo problema sa primanjem informacija (pretpostavka: prosječno 8 poena od 10 za svako pitanje); 2 su naveli saradnju kao zadovoljavajuću sa preporukama za poboljšanje i  da nema problema u razmjeni informacija (pretpostavka: prosječno 6 poena od 10 za svako pitanje). Dakle, početna vrijednost je postavljena na 8+8+6+6=28/4=7,0 poena na skali od 10 poena.</w:t>
            </w:r>
          </w:p>
        </w:tc>
      </w:tr>
      <w:tr w:rsidR="00B76EFF" w:rsidRPr="00B76EFF" w:rsidTr="00B76EFF">
        <w:tc>
          <w:tcPr>
            <w:tcW w:w="405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3544" w:type="dxa"/>
            <w:gridSpan w:val="2"/>
            <w:vMerge w:val="restart"/>
            <w:tcBorders>
              <w:right w:val="nil"/>
            </w:tcBorders>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Index zadovoljstva = </w:t>
            </w:r>
          </w:p>
        </w:tc>
        <w:tc>
          <w:tcPr>
            <w:tcW w:w="4536" w:type="dxa"/>
            <w:gridSpan w:val="3"/>
            <w:tcBorders>
              <w:left w:val="nil"/>
              <w:right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Zbir prosječnog nivoa zadovoljstva u svakom popunjenom upitniku, na skali od 10 poena.</w:t>
            </w:r>
          </w:p>
        </w:tc>
        <w:tc>
          <w:tcPr>
            <w:tcW w:w="1901" w:type="dxa"/>
            <w:vMerge w:val="restart"/>
            <w:tcBorders>
              <w:left w:val="nil"/>
            </w:tcBorders>
          </w:tcPr>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c>
          <w:tcPr>
            <w:tcW w:w="405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3544" w:type="dxa"/>
            <w:gridSpan w:val="2"/>
            <w:vMerge/>
            <w:tcBorders>
              <w:right w:val="nil"/>
            </w:tcBorders>
          </w:tcPr>
          <w:p w:rsidR="00B76EFF" w:rsidRPr="00B76EFF" w:rsidRDefault="00B76EFF" w:rsidP="00B76EFF">
            <w:pPr>
              <w:spacing w:after="160" w:line="259" w:lineRule="auto"/>
              <w:rPr>
                <w:rFonts w:ascii="Arial" w:hAnsi="Arial" w:cs="Arial"/>
                <w:sz w:val="22"/>
                <w:szCs w:val="22"/>
                <w:lang w:val="sr-Latn-ME" w:eastAsia="en-US"/>
              </w:rPr>
            </w:pPr>
          </w:p>
        </w:tc>
        <w:tc>
          <w:tcPr>
            <w:tcW w:w="4536" w:type="dxa"/>
            <w:gridSpan w:val="3"/>
            <w:tcBorders>
              <w:left w:val="nil"/>
              <w:right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popunjenih upitnika koji su primljeni.</w:t>
            </w:r>
          </w:p>
        </w:tc>
        <w:tc>
          <w:tcPr>
            <w:tcW w:w="1901" w:type="dxa"/>
            <w:vMerge/>
            <w:tcBorders>
              <w:left w:val="nil"/>
            </w:tcBorders>
          </w:tcPr>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c>
          <w:tcPr>
            <w:tcW w:w="4059"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početnoj vrijednosti i o ciljnim vrijednostima</w:t>
            </w:r>
          </w:p>
        </w:tc>
        <w:tc>
          <w:tcPr>
            <w:tcW w:w="2409"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Godina</w:t>
            </w:r>
          </w:p>
        </w:tc>
        <w:tc>
          <w:tcPr>
            <w:tcW w:w="2410"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Početna vrijednost u 2024</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2026</w:t>
            </w:r>
          </w:p>
        </w:tc>
        <w:tc>
          <w:tcPr>
            <w:tcW w:w="2752"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2028</w:t>
            </w:r>
          </w:p>
        </w:tc>
      </w:tr>
      <w:tr w:rsidR="00B76EFF" w:rsidRPr="00B76EFF" w:rsidTr="00B76EFF">
        <w:tc>
          <w:tcPr>
            <w:tcW w:w="405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2409"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Vrijednost</w:t>
            </w:r>
          </w:p>
        </w:tc>
        <w:tc>
          <w:tcPr>
            <w:tcW w:w="2410"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7.0 poena na skali od </w:t>
            </w:r>
          </w:p>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10 poena</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Najmanje 7.5 poena na skali od 10 poena</w:t>
            </w:r>
          </w:p>
        </w:tc>
        <w:tc>
          <w:tcPr>
            <w:tcW w:w="2752"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Najmanje 8 poena na skali od 10 poena</w:t>
            </w:r>
          </w:p>
        </w:tc>
      </w:tr>
    </w:tbl>
    <w:p w:rsidR="00B76EFF" w:rsidRPr="00B76EFF" w:rsidRDefault="00B76EFF" w:rsidP="00B76EFF">
      <w:pPr>
        <w:spacing w:after="160" w:line="259" w:lineRule="auto"/>
        <w:rPr>
          <w:rFonts w:ascii="Arial" w:hAnsi="Arial" w:cs="Arial"/>
          <w:lang w:val="sr-Latn-ME"/>
        </w:rPr>
      </w:pPr>
    </w:p>
    <w:p w:rsidR="00B76EFF" w:rsidRPr="00B76EFF" w:rsidRDefault="00B76EFF" w:rsidP="00B76EFF">
      <w:pPr>
        <w:spacing w:after="160" w:line="259" w:lineRule="auto"/>
        <w:rPr>
          <w:rFonts w:ascii="Arial" w:hAnsi="Arial" w:cs="Arial"/>
          <w:lang w:val="sr-Latn-ME"/>
        </w:rPr>
      </w:pPr>
      <w:r w:rsidRPr="00B76EFF">
        <w:rPr>
          <w:rFonts w:ascii="Arial" w:hAnsi="Arial" w:cs="Arial"/>
          <w:lang w:val="sr-Latn-ME"/>
        </w:rPr>
        <w:t>Pasoš br. 4 (za indikator uspjeha 2.2)</w:t>
      </w:r>
    </w:p>
    <w:p w:rsidR="00B76EFF" w:rsidRPr="00B76EFF" w:rsidRDefault="00B76EFF" w:rsidP="00B76EFF">
      <w:pPr>
        <w:spacing w:after="160" w:line="259" w:lineRule="auto"/>
        <w:rPr>
          <w:rFonts w:ascii="Arial" w:hAnsi="Arial" w:cs="Arial"/>
          <w:lang w:val="sr-Latn-ME"/>
        </w:rPr>
      </w:pPr>
    </w:p>
    <w:tbl>
      <w:tblPr>
        <w:tblStyle w:val="TableGrid"/>
        <w:tblW w:w="14040" w:type="dxa"/>
        <w:tblInd w:w="-95" w:type="dxa"/>
        <w:tblLook w:val="04A0" w:firstRow="1" w:lastRow="0" w:firstColumn="1" w:lastColumn="0" w:noHBand="0" w:noVBand="1"/>
      </w:tblPr>
      <w:tblGrid>
        <w:gridCol w:w="4059"/>
        <w:gridCol w:w="2409"/>
        <w:gridCol w:w="1135"/>
        <w:gridCol w:w="1275"/>
        <w:gridCol w:w="2410"/>
        <w:gridCol w:w="851"/>
        <w:gridCol w:w="1901"/>
      </w:tblGrid>
      <w:tr w:rsidR="00B76EFF" w:rsidRPr="00B76EFF" w:rsidTr="00B76EFF">
        <w:tc>
          <w:tcPr>
            <w:tcW w:w="4059" w:type="dxa"/>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Kategorija</w:t>
            </w:r>
          </w:p>
        </w:tc>
        <w:tc>
          <w:tcPr>
            <w:tcW w:w="9981" w:type="dxa"/>
            <w:gridSpan w:val="6"/>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Opis</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Naziv indikatora</w:t>
            </w:r>
          </w:p>
        </w:tc>
        <w:tc>
          <w:tcPr>
            <w:tcW w:w="9981" w:type="dxa"/>
            <w:gridSpan w:val="6"/>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Stopa prisustva sastancima AFCOS radnog tijela za implementaciju aktivnosti za zaštitu finansijskih interesa EU u Crnoj Gori </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Cilj na koji se indikator odnosi</w:t>
            </w:r>
          </w:p>
        </w:tc>
        <w:tc>
          <w:tcPr>
            <w:tcW w:w="998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Operativni cilj 2:</w:t>
            </w:r>
            <w:r w:rsidRPr="00B76EFF">
              <w:rPr>
                <w:rFonts w:ascii="Arial" w:hAnsi="Arial" w:cs="Arial"/>
                <w:sz w:val="22"/>
                <w:szCs w:val="22"/>
                <w:lang w:val="sr-Latn-ME" w:eastAsia="en-US"/>
              </w:rPr>
              <w:t xml:space="preserve"> Jačanje koordinacione uloge Direkcije za zaštitu finansijskih interesa EU/AFCOS i unaprijeđenje saradnje između institucija uključenih u zaštitu finansijskih interesa EU.</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indikatora</w:t>
            </w:r>
          </w:p>
        </w:tc>
        <w:tc>
          <w:tcPr>
            <w:tcW w:w="998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Ovaj indikator rezultata će doprinijeti praćenju stope prisustva redovnim sastancima AFCOS radnog tijela.</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Podaci koje je potrebno prikupiti</w:t>
            </w:r>
          </w:p>
        </w:tc>
        <w:tc>
          <w:tcPr>
            <w:tcW w:w="998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poziva putem e -mail-a na sastanke relevantnim institucijama / tijelima i broj učesnika sa svakog sastanka.</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Izvor podataka</w:t>
            </w:r>
          </w:p>
        </w:tc>
        <w:tc>
          <w:tcPr>
            <w:tcW w:w="998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Poslati pozivni e-mail-ovi/ Lista predstavnika AFCOS radnog tijela</w:t>
            </w:r>
          </w:p>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Potpisane liste prisustva na sastancima</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instituciji odgovornoj za prikupljanje podataka</w:t>
            </w:r>
          </w:p>
        </w:tc>
        <w:tc>
          <w:tcPr>
            <w:tcW w:w="998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Direkcija za zaštitu finansijskih interesa EU/AFCOS – Ministarstvo finansija</w:t>
            </w:r>
          </w:p>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prikupljanja podataka</w:t>
            </w:r>
          </w:p>
        </w:tc>
        <w:tc>
          <w:tcPr>
            <w:tcW w:w="998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3-4 puta godišnje</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izvještavanja o vrijednosti indikatora</w:t>
            </w:r>
          </w:p>
        </w:tc>
        <w:tc>
          <w:tcPr>
            <w:tcW w:w="9981" w:type="dxa"/>
            <w:gridSpan w:val="6"/>
            <w:tcBorders>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 – prilikom evaluacije Akcionog plana</w:t>
            </w:r>
          </w:p>
        </w:tc>
      </w:tr>
      <w:tr w:rsidR="00B76EFF" w:rsidRPr="00B76EFF" w:rsidTr="00B76EFF">
        <w:tc>
          <w:tcPr>
            <w:tcW w:w="4059"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metodologije izračunavanja podataka</w:t>
            </w:r>
          </w:p>
        </w:tc>
        <w:tc>
          <w:tcPr>
            <w:tcW w:w="9981" w:type="dxa"/>
            <w:gridSpan w:val="6"/>
            <w:tcBorders>
              <w:bottom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Stopa prisustva se izračunava kao odnos između broja učesnika koji su prisustvovali sastanku i broja poslatih poziva za učešće na sastanku / ili broja delegiranih predstavnika AFCOS radnog tijela.</w:t>
            </w:r>
          </w:p>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Početna / osnovna vrijednost izračunata je na osnovu prisustva sastancima AFCOS mreže</w:t>
            </w:r>
            <w:r w:rsidRPr="00B76EFF">
              <w:rPr>
                <w:rFonts w:ascii="Arial" w:hAnsi="Arial" w:cs="Arial"/>
                <w:sz w:val="22"/>
                <w:szCs w:val="22"/>
                <w:vertAlign w:val="superscript"/>
                <w:lang w:val="sr-Latn-ME" w:eastAsia="en-US"/>
              </w:rPr>
              <w:footnoteReference w:id="15"/>
            </w:r>
            <w:r w:rsidRPr="00B76EFF">
              <w:rPr>
                <w:rFonts w:ascii="Arial" w:hAnsi="Arial" w:cs="Arial"/>
                <w:sz w:val="22"/>
                <w:szCs w:val="22"/>
                <w:lang w:val="sr-Latn-ME" w:eastAsia="en-US"/>
              </w:rPr>
              <w:t xml:space="preserve">  održanim u 2024. godini. Održana su 3 sastanka sa 8, 6 i 7 prisutnih od 13 predstavnika (10 institucija plus 3 zaposleni iz AFCOS-a). Prilikom izračunavanja stope prisustva, osim predstavnika AFCOS kancelarije, prosečna stopa prisustva u 2024. godini bila je 40%.</w:t>
            </w:r>
          </w:p>
        </w:tc>
      </w:tr>
      <w:tr w:rsidR="00B76EFF" w:rsidRPr="00B76EFF" w:rsidTr="00B76EFF">
        <w:tc>
          <w:tcPr>
            <w:tcW w:w="405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3544" w:type="dxa"/>
            <w:gridSpan w:val="2"/>
            <w:vMerge w:val="restart"/>
            <w:tcBorders>
              <w:top w:val="nil"/>
              <w:right w:val="nil"/>
            </w:tcBorders>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Stopa prisustva = </w:t>
            </w:r>
          </w:p>
        </w:tc>
        <w:tc>
          <w:tcPr>
            <w:tcW w:w="4536" w:type="dxa"/>
            <w:gridSpan w:val="3"/>
            <w:tcBorders>
              <w:top w:val="nil"/>
              <w:left w:val="nil"/>
              <w:right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učesnika na sastanku</w:t>
            </w:r>
          </w:p>
        </w:tc>
        <w:tc>
          <w:tcPr>
            <w:tcW w:w="1901" w:type="dxa"/>
            <w:vMerge w:val="restart"/>
            <w:tcBorders>
              <w:top w:val="nil"/>
              <w:left w:val="nil"/>
            </w:tcBorders>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X 100</w:t>
            </w:r>
          </w:p>
        </w:tc>
      </w:tr>
      <w:tr w:rsidR="00B76EFF" w:rsidRPr="00B76EFF" w:rsidTr="00B76EFF">
        <w:tc>
          <w:tcPr>
            <w:tcW w:w="405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3544" w:type="dxa"/>
            <w:gridSpan w:val="2"/>
            <w:vMerge/>
            <w:tcBorders>
              <w:right w:val="nil"/>
            </w:tcBorders>
          </w:tcPr>
          <w:p w:rsidR="00B76EFF" w:rsidRPr="00B76EFF" w:rsidRDefault="00B76EFF" w:rsidP="00B76EFF">
            <w:pPr>
              <w:spacing w:after="160" w:line="259" w:lineRule="auto"/>
              <w:rPr>
                <w:rFonts w:ascii="Arial" w:hAnsi="Arial" w:cs="Arial"/>
                <w:sz w:val="22"/>
                <w:szCs w:val="22"/>
                <w:lang w:val="sr-Latn-ME" w:eastAsia="en-US"/>
              </w:rPr>
            </w:pPr>
          </w:p>
        </w:tc>
        <w:tc>
          <w:tcPr>
            <w:tcW w:w="4536" w:type="dxa"/>
            <w:gridSpan w:val="3"/>
            <w:tcBorders>
              <w:left w:val="nil"/>
              <w:right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poslatih poziva za učešće</w:t>
            </w:r>
          </w:p>
        </w:tc>
        <w:tc>
          <w:tcPr>
            <w:tcW w:w="1901" w:type="dxa"/>
            <w:vMerge/>
            <w:tcBorders>
              <w:left w:val="nil"/>
            </w:tcBorders>
          </w:tcPr>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c>
          <w:tcPr>
            <w:tcW w:w="4059"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početnoj vrijednosti i o ciljnim vrijednostima</w:t>
            </w:r>
          </w:p>
        </w:tc>
        <w:tc>
          <w:tcPr>
            <w:tcW w:w="2409"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Godina</w:t>
            </w:r>
          </w:p>
        </w:tc>
        <w:tc>
          <w:tcPr>
            <w:tcW w:w="2410"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Početna vrijednost u 2024</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2026</w:t>
            </w:r>
          </w:p>
        </w:tc>
        <w:tc>
          <w:tcPr>
            <w:tcW w:w="2752"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2028</w:t>
            </w:r>
          </w:p>
        </w:tc>
      </w:tr>
      <w:tr w:rsidR="00B76EFF" w:rsidRPr="00B76EFF" w:rsidTr="00B76EFF">
        <w:tc>
          <w:tcPr>
            <w:tcW w:w="405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2409"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Vrijednost</w:t>
            </w:r>
          </w:p>
        </w:tc>
        <w:tc>
          <w:tcPr>
            <w:tcW w:w="2410"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40%</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60%</w:t>
            </w:r>
          </w:p>
        </w:tc>
        <w:tc>
          <w:tcPr>
            <w:tcW w:w="2752"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80%</w:t>
            </w:r>
          </w:p>
        </w:tc>
      </w:tr>
    </w:tbl>
    <w:p w:rsidR="00B76EFF" w:rsidRPr="00B76EFF" w:rsidRDefault="00B76EFF" w:rsidP="00B76EFF">
      <w:pPr>
        <w:spacing w:after="160" w:line="259" w:lineRule="auto"/>
        <w:rPr>
          <w:rFonts w:ascii="Arial" w:hAnsi="Arial" w:cs="Arial"/>
        </w:rPr>
      </w:pPr>
    </w:p>
    <w:p w:rsidR="00B76EFF" w:rsidRPr="00B76EFF" w:rsidRDefault="00B76EFF" w:rsidP="00B76EFF">
      <w:pPr>
        <w:spacing w:after="160" w:line="259" w:lineRule="auto"/>
        <w:rPr>
          <w:rFonts w:ascii="Arial" w:hAnsi="Arial" w:cs="Arial"/>
          <w:lang w:val="sr-Latn-ME"/>
        </w:rPr>
      </w:pPr>
      <w:r w:rsidRPr="00B76EFF">
        <w:rPr>
          <w:rFonts w:ascii="Arial" w:hAnsi="Arial" w:cs="Arial"/>
          <w:lang w:val="sr-Latn-ME"/>
        </w:rPr>
        <w:t>Pasoš br. 5 (za indikator uspjeha 2.3)</w:t>
      </w:r>
    </w:p>
    <w:tbl>
      <w:tblPr>
        <w:tblStyle w:val="TableGrid"/>
        <w:tblW w:w="14040" w:type="dxa"/>
        <w:tblInd w:w="-95" w:type="dxa"/>
        <w:tblLook w:val="04A0" w:firstRow="1" w:lastRow="0" w:firstColumn="1" w:lastColumn="0" w:noHBand="0" w:noVBand="1"/>
      </w:tblPr>
      <w:tblGrid>
        <w:gridCol w:w="4059"/>
        <w:gridCol w:w="2409"/>
        <w:gridCol w:w="2410"/>
        <w:gridCol w:w="2410"/>
        <w:gridCol w:w="2752"/>
      </w:tblGrid>
      <w:tr w:rsidR="00B76EFF" w:rsidRPr="00B76EFF" w:rsidTr="00B76EFF">
        <w:tc>
          <w:tcPr>
            <w:tcW w:w="4059" w:type="dxa"/>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Kategorija</w:t>
            </w:r>
          </w:p>
        </w:tc>
        <w:tc>
          <w:tcPr>
            <w:tcW w:w="9981" w:type="dxa"/>
            <w:gridSpan w:val="4"/>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Opis</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Naziv indikatora</w:t>
            </w:r>
          </w:p>
        </w:tc>
        <w:tc>
          <w:tcPr>
            <w:tcW w:w="9981" w:type="dxa"/>
            <w:gridSpan w:val="4"/>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sastanaka koje inicira struktura za izvještavanje o nepravilnostima i institucije AFCOS mreže</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Cilj na koji se indikator odnosi</w:t>
            </w:r>
          </w:p>
        </w:tc>
        <w:tc>
          <w:tcPr>
            <w:tcW w:w="998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Operativni cilj 2:</w:t>
            </w:r>
            <w:r w:rsidRPr="00B76EFF">
              <w:rPr>
                <w:rFonts w:ascii="Arial" w:hAnsi="Arial" w:cs="Arial"/>
                <w:sz w:val="22"/>
                <w:szCs w:val="22"/>
                <w:lang w:val="sr-Latn-ME" w:eastAsia="en-US"/>
              </w:rPr>
              <w:t xml:space="preserve"> Jačanje koordinacione uloge Direkcije za zaštitu finansijskih interesa EU/AFCOS i unapređenje saradnje između institucija uključenih u zaštitu finansijskih interesa EU</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indikatora</w:t>
            </w:r>
          </w:p>
        </w:tc>
        <w:tc>
          <w:tcPr>
            <w:tcW w:w="998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Ovaj indikator rezultata će pratiti broj sastanaka koje iniciraju druge institucije kako bi koristile sastanke AFCOS radnog tijela za dalje rješavanje problema ili rješavanje pitanja relevantnih za bolju zaštitu finansijskih interesa EU.</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Podaci koje je potrebno prikupiti</w:t>
            </w:r>
          </w:p>
        </w:tc>
        <w:tc>
          <w:tcPr>
            <w:tcW w:w="998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održanih sastanaka</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Izvor podataka</w:t>
            </w:r>
          </w:p>
        </w:tc>
        <w:tc>
          <w:tcPr>
            <w:tcW w:w="998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E-mail-ovi upućeni  Direkciji za zaštitu finansijskih interesa EU/AFCOS od strane tijela iz AFCOS sistema</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instituciji odgovornoj za prikupljanje podataka</w:t>
            </w:r>
          </w:p>
        </w:tc>
        <w:tc>
          <w:tcPr>
            <w:tcW w:w="998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Direkcija za zaštitu finansijskih interesa EU/AFCOS – Ministarstvo finansija</w:t>
            </w:r>
          </w:p>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prikupljanja podataka</w:t>
            </w:r>
          </w:p>
        </w:tc>
        <w:tc>
          <w:tcPr>
            <w:tcW w:w="998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Svaki sastanak koji inicira struktura za izvještavanje o nepravilnostima i institucije AFCOS mreže</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izvještavanja o vrijednosti indikatora</w:t>
            </w:r>
          </w:p>
        </w:tc>
        <w:tc>
          <w:tcPr>
            <w:tcW w:w="9981" w:type="dxa"/>
            <w:gridSpan w:val="4"/>
            <w:tcBorders>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 – prilikom evaluacije Akcionog plana</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metodologije izračunavanja podataka</w:t>
            </w:r>
          </w:p>
        </w:tc>
        <w:tc>
          <w:tcPr>
            <w:tcW w:w="9981" w:type="dxa"/>
            <w:gridSpan w:val="4"/>
            <w:tcBorders>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Brojanje svakog sastanka koji je iniciran od strane strukture za izvještavanje o nepravilnostima i institucije AFCOS mreže</w:t>
            </w:r>
          </w:p>
        </w:tc>
      </w:tr>
      <w:tr w:rsidR="00B76EFF" w:rsidRPr="00B76EFF" w:rsidTr="00B76EFF">
        <w:tc>
          <w:tcPr>
            <w:tcW w:w="4059"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početnoj vrijednosti i o ciljnim vrijednostima</w:t>
            </w:r>
          </w:p>
        </w:tc>
        <w:tc>
          <w:tcPr>
            <w:tcW w:w="2409"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Godina</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Početna vrijednost u 2024</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2026</w:t>
            </w:r>
          </w:p>
        </w:tc>
        <w:tc>
          <w:tcPr>
            <w:tcW w:w="2752"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2028</w:t>
            </w:r>
          </w:p>
        </w:tc>
      </w:tr>
      <w:tr w:rsidR="00B76EFF" w:rsidRPr="00B76EFF" w:rsidTr="00B76EFF">
        <w:tc>
          <w:tcPr>
            <w:tcW w:w="405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2409"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Vrijednost</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0</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2</w:t>
            </w:r>
          </w:p>
        </w:tc>
        <w:tc>
          <w:tcPr>
            <w:tcW w:w="2752"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4</w:t>
            </w:r>
          </w:p>
        </w:tc>
      </w:tr>
    </w:tbl>
    <w:p w:rsidR="00B76EFF" w:rsidRDefault="00B76EFF" w:rsidP="00B76EFF">
      <w:pPr>
        <w:spacing w:after="160" w:line="259" w:lineRule="auto"/>
        <w:rPr>
          <w:rFonts w:ascii="Arial" w:hAnsi="Arial" w:cs="Arial"/>
          <w:lang w:val="sr-Latn-ME"/>
        </w:rPr>
      </w:pPr>
    </w:p>
    <w:p w:rsidR="0017225E" w:rsidRDefault="0017225E" w:rsidP="00B76EFF">
      <w:pPr>
        <w:spacing w:after="160" w:line="259" w:lineRule="auto"/>
        <w:rPr>
          <w:rFonts w:ascii="Arial" w:hAnsi="Arial" w:cs="Arial"/>
          <w:lang w:val="sr-Latn-ME"/>
        </w:rPr>
      </w:pPr>
    </w:p>
    <w:p w:rsidR="0017225E" w:rsidRDefault="0017225E" w:rsidP="00B76EFF">
      <w:pPr>
        <w:spacing w:after="160" w:line="259" w:lineRule="auto"/>
        <w:rPr>
          <w:rFonts w:ascii="Arial" w:hAnsi="Arial" w:cs="Arial"/>
          <w:lang w:val="sr-Latn-ME"/>
        </w:rPr>
      </w:pPr>
    </w:p>
    <w:p w:rsidR="0017225E" w:rsidRDefault="0017225E" w:rsidP="00B76EFF">
      <w:pPr>
        <w:spacing w:after="160" w:line="259" w:lineRule="auto"/>
        <w:rPr>
          <w:rFonts w:ascii="Arial" w:hAnsi="Arial" w:cs="Arial"/>
          <w:lang w:val="sr-Latn-ME"/>
        </w:rPr>
      </w:pPr>
    </w:p>
    <w:p w:rsidR="00B76EFF" w:rsidRPr="00B76EFF" w:rsidRDefault="00B76EFF" w:rsidP="00B76EFF">
      <w:pPr>
        <w:spacing w:after="160" w:line="259" w:lineRule="auto"/>
        <w:rPr>
          <w:rFonts w:ascii="Arial" w:hAnsi="Arial" w:cs="Arial"/>
          <w:lang w:val="sr-Latn-ME"/>
        </w:rPr>
      </w:pPr>
      <w:r w:rsidRPr="00B76EFF">
        <w:rPr>
          <w:rFonts w:ascii="Arial" w:hAnsi="Arial" w:cs="Arial"/>
          <w:lang w:val="sr-Latn-ME"/>
        </w:rPr>
        <w:t>Pasoš br. 6 (za indikator uspjeha 3.1)</w:t>
      </w:r>
    </w:p>
    <w:tbl>
      <w:tblPr>
        <w:tblStyle w:val="TableGrid"/>
        <w:tblW w:w="14130" w:type="dxa"/>
        <w:tblInd w:w="-95" w:type="dxa"/>
        <w:tblLook w:val="04A0" w:firstRow="1" w:lastRow="0" w:firstColumn="1" w:lastColumn="0" w:noHBand="0" w:noVBand="1"/>
      </w:tblPr>
      <w:tblGrid>
        <w:gridCol w:w="4059"/>
        <w:gridCol w:w="2409"/>
        <w:gridCol w:w="2410"/>
        <w:gridCol w:w="2410"/>
        <w:gridCol w:w="2842"/>
      </w:tblGrid>
      <w:tr w:rsidR="00B76EFF" w:rsidRPr="00B76EFF" w:rsidTr="00B76EFF">
        <w:tc>
          <w:tcPr>
            <w:tcW w:w="4059" w:type="dxa"/>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Kategorija</w:t>
            </w:r>
          </w:p>
        </w:tc>
        <w:tc>
          <w:tcPr>
            <w:tcW w:w="10071" w:type="dxa"/>
            <w:gridSpan w:val="4"/>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Opis</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Naziv indikatora</w:t>
            </w:r>
          </w:p>
        </w:tc>
        <w:tc>
          <w:tcPr>
            <w:tcW w:w="10071" w:type="dxa"/>
            <w:gridSpan w:val="4"/>
            <w:shd w:val="clear" w:color="auto" w:fill="DEEAF6" w:themeFill="accent1" w:themeFillTint="33"/>
          </w:tcPr>
          <w:p w:rsidR="00B76EFF" w:rsidRPr="00B76EFF" w:rsidRDefault="00B76EFF" w:rsidP="00B76EFF">
            <w:pPr>
              <w:spacing w:after="160" w:line="259" w:lineRule="auto"/>
              <w:rPr>
                <w:rFonts w:ascii="Arial" w:hAnsi="Arial" w:cs="Arial"/>
                <w:b/>
                <w:sz w:val="22"/>
                <w:szCs w:val="22"/>
                <w:lang w:eastAsia="en-US"/>
              </w:rPr>
            </w:pPr>
            <w:r w:rsidRPr="00B76EFF">
              <w:rPr>
                <w:rFonts w:ascii="Arial" w:hAnsi="Arial" w:cs="Arial"/>
                <w:b/>
                <w:sz w:val="22"/>
                <w:szCs w:val="22"/>
                <w:lang w:eastAsia="en-US"/>
              </w:rPr>
              <w:t>Implementirane efikasne i proporcionalne mjere protiv nepravilnosti i prevara</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Cilj na koji se indikator odnosi</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Operativni cilj 3:</w:t>
            </w:r>
            <w:r w:rsidRPr="00B76EFF">
              <w:rPr>
                <w:rFonts w:ascii="Arial" w:hAnsi="Arial" w:cs="Arial"/>
                <w:sz w:val="22"/>
                <w:szCs w:val="22"/>
                <w:lang w:val="sr-Latn-ME" w:eastAsia="en-US"/>
              </w:rPr>
              <w:t xml:space="preserve"> Dalje jačanje prevencije nepravilnosti i prevara kroz odgovarajuću procjenu rizika i uvođenje efikasnih i proporcionalnih mjera protiv nepravilnosti i prevara, uključujući uspostavljanje sistemskog pristupa edukacijama i podizanju svijesti.</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indikatora</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Ovaj indikator rezultata će pratiti implementaciju Akcionog plana unutar postavljenih rokova kako bi se pokazalo da su efikasne i proporcionalne mere za spriječavanje prevara implementirane</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Podaci koje je potrebno prikupiti</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aktivnosti iz Akcionog plana koje su završene</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Izvor podataka</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Napredak u implementaciji Strategije - sastanci AFCOS radnog tijela, razmjena e-mailova sa nadležnim institucijama</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instituciji odgovornoj za prikupljanje podataka</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Direkcija za zaštitu finansijskih interesa EU/AFCOS – Ministarstvo finansija</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prikupljanja podataka</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Čim se aktivnost Akcionog plana implementira</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izvještavanja o vrijednosti indikatora</w:t>
            </w:r>
          </w:p>
        </w:tc>
        <w:tc>
          <w:tcPr>
            <w:tcW w:w="10071" w:type="dxa"/>
            <w:gridSpan w:val="4"/>
            <w:tcBorders>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 – prilikom evaluacije Akcionog plana</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metodologije izračunavanja podataka</w:t>
            </w:r>
          </w:p>
        </w:tc>
        <w:tc>
          <w:tcPr>
            <w:tcW w:w="10071" w:type="dxa"/>
            <w:gridSpan w:val="4"/>
            <w:tcBorders>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Brojanje svake mjere završene u Akcionom planu 2025-2026 i kasnije u Akcionom planu 2027-2028</w:t>
            </w:r>
            <w:r w:rsidRPr="00B76EFF">
              <w:rPr>
                <w:rFonts w:ascii="Arial" w:hAnsi="Arial" w:cs="Arial"/>
                <w:sz w:val="22"/>
                <w:szCs w:val="22"/>
                <w:lang w:val="sr-Latn-ME" w:eastAsia="en-US"/>
              </w:rPr>
              <w:br/>
              <w:t>Početna / osnovna vrijednost postavljena je u skladu sa ukupnim stepenom implementacije prethodne Strategije za 2019-2022.</w:t>
            </w:r>
          </w:p>
        </w:tc>
      </w:tr>
      <w:tr w:rsidR="00B76EFF" w:rsidRPr="00B76EFF" w:rsidTr="00B76EFF">
        <w:tc>
          <w:tcPr>
            <w:tcW w:w="4059"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početnoj vrijednosti i o ciljnim vrijednostima</w:t>
            </w:r>
          </w:p>
        </w:tc>
        <w:tc>
          <w:tcPr>
            <w:tcW w:w="2409"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Godina</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Početna vrijednost u 2024</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2026</w:t>
            </w:r>
          </w:p>
        </w:tc>
        <w:tc>
          <w:tcPr>
            <w:tcW w:w="2842"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2028</w:t>
            </w:r>
          </w:p>
        </w:tc>
      </w:tr>
      <w:tr w:rsidR="00B76EFF" w:rsidRPr="00B76EFF" w:rsidTr="00B76EFF">
        <w:tc>
          <w:tcPr>
            <w:tcW w:w="405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2409"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Vrijednost</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70%</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100% aktivnosti iz Akcionog plana 2025-2026 implementirane su u roku.</w:t>
            </w:r>
          </w:p>
        </w:tc>
        <w:tc>
          <w:tcPr>
            <w:tcW w:w="2842"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100% aktivnosti iz Akcionog plana 2025-2026 implementirane su u roku.</w:t>
            </w:r>
          </w:p>
        </w:tc>
      </w:tr>
    </w:tbl>
    <w:p w:rsidR="00B76EFF" w:rsidRPr="00B76EFF" w:rsidRDefault="00B76EFF" w:rsidP="00B76EFF">
      <w:pPr>
        <w:spacing w:after="160" w:line="259" w:lineRule="auto"/>
        <w:rPr>
          <w:rFonts w:ascii="Arial" w:hAnsi="Arial" w:cs="Arial"/>
        </w:rPr>
      </w:pPr>
    </w:p>
    <w:p w:rsidR="00B76EFF" w:rsidRPr="00B76EFF" w:rsidRDefault="00B76EFF" w:rsidP="00B76EFF">
      <w:pPr>
        <w:spacing w:after="160" w:line="259" w:lineRule="auto"/>
        <w:rPr>
          <w:rFonts w:ascii="Arial" w:hAnsi="Arial" w:cs="Arial"/>
          <w:lang w:val="sr-Latn-ME"/>
        </w:rPr>
      </w:pPr>
      <w:r w:rsidRPr="00B76EFF">
        <w:rPr>
          <w:rFonts w:ascii="Arial" w:hAnsi="Arial" w:cs="Arial"/>
          <w:lang w:val="sr-Latn-ME"/>
        </w:rPr>
        <w:t>Pasoš  br. 7 (za indikator uspjeha 3.2)</w:t>
      </w:r>
    </w:p>
    <w:tbl>
      <w:tblPr>
        <w:tblStyle w:val="TableGrid"/>
        <w:tblW w:w="14130" w:type="dxa"/>
        <w:tblInd w:w="-95" w:type="dxa"/>
        <w:tblLook w:val="04A0" w:firstRow="1" w:lastRow="0" w:firstColumn="1" w:lastColumn="0" w:noHBand="0" w:noVBand="1"/>
      </w:tblPr>
      <w:tblGrid>
        <w:gridCol w:w="4059"/>
        <w:gridCol w:w="2409"/>
        <w:gridCol w:w="2410"/>
        <w:gridCol w:w="2410"/>
        <w:gridCol w:w="2842"/>
      </w:tblGrid>
      <w:tr w:rsidR="00B76EFF" w:rsidRPr="00B76EFF" w:rsidTr="00B76EFF">
        <w:tc>
          <w:tcPr>
            <w:tcW w:w="4059" w:type="dxa"/>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Kategorija</w:t>
            </w:r>
          </w:p>
        </w:tc>
        <w:tc>
          <w:tcPr>
            <w:tcW w:w="10071" w:type="dxa"/>
            <w:gridSpan w:val="4"/>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Opis</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bookmarkStart w:id="25" w:name="_Hlk193284940"/>
            <w:r w:rsidRPr="00B76EFF">
              <w:rPr>
                <w:rFonts w:ascii="Arial" w:hAnsi="Arial" w:cs="Arial"/>
                <w:sz w:val="22"/>
                <w:szCs w:val="22"/>
                <w:lang w:val="sr-Latn-ME" w:eastAsia="en-US"/>
              </w:rPr>
              <w:t>Naziv indikatora</w:t>
            </w:r>
          </w:p>
        </w:tc>
        <w:tc>
          <w:tcPr>
            <w:tcW w:w="10071" w:type="dxa"/>
            <w:gridSpan w:val="4"/>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obučenih službenika iz institucija i tijela  koja rade na zaštiti finansijskih interesa EU</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Cilj na koji se indikator odnosi</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Operativni cilj 3:</w:t>
            </w:r>
            <w:r w:rsidRPr="00B76EFF">
              <w:rPr>
                <w:rFonts w:ascii="Arial" w:hAnsi="Arial" w:cs="Arial"/>
                <w:sz w:val="22"/>
                <w:szCs w:val="22"/>
                <w:lang w:val="sr-Latn-ME" w:eastAsia="en-US"/>
              </w:rPr>
              <w:t xml:space="preserve"> Dalje jačanje prevencije nepravilnosti i prevara kroz odgovarajuću procjenu rizika i uvođenje efikasnih i proporcionalnih mjera protiv nepravilnosti i prevara, uključujući uspostavljanje sistemskog pristupa edukacijama i podizanju svijesti.</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indikatora</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Ovaj indikator će pratiti broj službenika iz institucija koje rade na zaštiti finansijskih interesa EU, a koji su pohađali seminare i obučavali se na teme iz ove oblasti, u cilju jačanja prevencije u otkrivanja nepravilnosti i prevara, a samim tim podigli stepen zaštite finansijskih interesa EU.</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Podaci koje je potrebno prikupiti</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Broj službenika koji su prisustvovali obukama u oblasti Zaštita finansijskih interesa EU </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Izvor podataka</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Liste prisustva obukama ili sertifikati o završenoj obuci</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instituciji odgovornoj za prikupljanje podataka</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Direkcija za zaštitu finansijskih interesa EU/AFCOS – Ministarstvo finansija</w:t>
            </w:r>
          </w:p>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prikupljanja podataka</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Na svakoj obuci</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izvještavanja o vrijednosti indikatora</w:t>
            </w:r>
          </w:p>
        </w:tc>
        <w:tc>
          <w:tcPr>
            <w:tcW w:w="10071" w:type="dxa"/>
            <w:gridSpan w:val="4"/>
            <w:tcBorders>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 – prilikom evaluacije Akcionog plana</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metodologije izračunavanja podataka</w:t>
            </w:r>
          </w:p>
        </w:tc>
        <w:tc>
          <w:tcPr>
            <w:tcW w:w="10071" w:type="dxa"/>
            <w:gridSpan w:val="4"/>
            <w:tcBorders>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Sabiranje ukupnog broja obučenih službenika na svakoj relevantnoj obuci.</w:t>
            </w:r>
            <w:r w:rsidRPr="00B76EFF">
              <w:rPr>
                <w:rFonts w:ascii="Arial" w:hAnsi="Arial" w:cs="Arial"/>
                <w:sz w:val="22"/>
                <w:szCs w:val="22"/>
                <w:lang w:val="sr-Latn-ME" w:eastAsia="en-US"/>
              </w:rPr>
              <w:br/>
              <w:t>Početna / osnovna vrijednost postavljena je u skladu sa statistikom prisustva obukama iz 2024. godine.</w:t>
            </w:r>
          </w:p>
        </w:tc>
      </w:tr>
      <w:tr w:rsidR="00B76EFF" w:rsidRPr="00B76EFF" w:rsidTr="00B76EFF">
        <w:tc>
          <w:tcPr>
            <w:tcW w:w="4059"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početnoj vrijednosti i o ciljnim vrijednostima</w:t>
            </w:r>
          </w:p>
        </w:tc>
        <w:tc>
          <w:tcPr>
            <w:tcW w:w="2409"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Godina</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Početna vrijednost u 2024</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2026</w:t>
            </w:r>
          </w:p>
        </w:tc>
        <w:tc>
          <w:tcPr>
            <w:tcW w:w="2842"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2028</w:t>
            </w:r>
          </w:p>
        </w:tc>
      </w:tr>
      <w:bookmarkEnd w:id="25"/>
      <w:tr w:rsidR="00B76EFF" w:rsidRPr="00B76EFF" w:rsidTr="00B76EFF">
        <w:tc>
          <w:tcPr>
            <w:tcW w:w="405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2409"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Vrijednost</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25</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35 (u 2025-2026) jednako zastupljeni muskarci i žene</w:t>
            </w:r>
          </w:p>
        </w:tc>
        <w:tc>
          <w:tcPr>
            <w:tcW w:w="2842" w:type="dxa"/>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40 (u 2027-2028) jednako zastupljeni muskarci i žene</w:t>
            </w:r>
          </w:p>
        </w:tc>
      </w:tr>
    </w:tbl>
    <w:p w:rsidR="00B76EFF" w:rsidRPr="00B76EFF" w:rsidRDefault="00B76EFF" w:rsidP="00B76EFF">
      <w:pPr>
        <w:spacing w:after="160" w:line="259" w:lineRule="auto"/>
        <w:rPr>
          <w:rFonts w:ascii="Arial" w:hAnsi="Arial" w:cs="Arial"/>
        </w:rPr>
      </w:pPr>
    </w:p>
    <w:p w:rsidR="00B76EFF" w:rsidRPr="00B76EFF" w:rsidRDefault="00B76EFF" w:rsidP="00B76EFF">
      <w:pPr>
        <w:spacing w:after="160" w:line="259" w:lineRule="auto"/>
        <w:rPr>
          <w:rFonts w:ascii="Arial" w:hAnsi="Arial" w:cs="Arial"/>
          <w:lang w:val="sr-Latn-ME"/>
        </w:rPr>
      </w:pPr>
      <w:r w:rsidRPr="00B76EFF">
        <w:rPr>
          <w:rFonts w:ascii="Arial" w:hAnsi="Arial" w:cs="Arial"/>
          <w:lang w:val="sr-Latn-ME"/>
        </w:rPr>
        <w:t>Pasoš br. 8 (za indikator uspjeha 4.1)</w:t>
      </w:r>
    </w:p>
    <w:tbl>
      <w:tblPr>
        <w:tblStyle w:val="TableGrid"/>
        <w:tblW w:w="14125" w:type="dxa"/>
        <w:jc w:val="center"/>
        <w:tblLook w:val="04A0" w:firstRow="1" w:lastRow="0" w:firstColumn="1" w:lastColumn="0" w:noHBand="0" w:noVBand="1"/>
      </w:tblPr>
      <w:tblGrid>
        <w:gridCol w:w="4199"/>
        <w:gridCol w:w="3325"/>
        <w:gridCol w:w="250"/>
        <w:gridCol w:w="2428"/>
        <w:gridCol w:w="2655"/>
        <w:gridCol w:w="1268"/>
      </w:tblGrid>
      <w:tr w:rsidR="00B76EFF" w:rsidRPr="00B76EFF" w:rsidTr="00B76EFF">
        <w:trPr>
          <w:jc w:val="center"/>
        </w:trPr>
        <w:tc>
          <w:tcPr>
            <w:tcW w:w="4495" w:type="dxa"/>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Kategorija</w:t>
            </w:r>
          </w:p>
        </w:tc>
        <w:tc>
          <w:tcPr>
            <w:tcW w:w="9630" w:type="dxa"/>
            <w:gridSpan w:val="5"/>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Opis</w:t>
            </w:r>
          </w:p>
        </w:tc>
      </w:tr>
      <w:tr w:rsidR="00B76EFF" w:rsidRPr="00B76EFF" w:rsidTr="00B76EFF">
        <w:trPr>
          <w:jc w:val="center"/>
        </w:trPr>
        <w:tc>
          <w:tcPr>
            <w:tcW w:w="4495" w:type="dxa"/>
            <w:shd w:val="clear" w:color="auto" w:fill="657C9C" w:themeFill="text2" w:themeFillTint="BF"/>
          </w:tcPr>
          <w:p w:rsidR="00B76EFF" w:rsidRPr="00B76EFF" w:rsidRDefault="00B76EFF" w:rsidP="00B76EFF">
            <w:pPr>
              <w:spacing w:after="160" w:line="259" w:lineRule="auto"/>
              <w:rPr>
                <w:rFonts w:ascii="Arial" w:hAnsi="Arial" w:cs="Arial"/>
                <w:lang w:val="sr-Latn-ME"/>
              </w:rPr>
            </w:pPr>
          </w:p>
        </w:tc>
        <w:tc>
          <w:tcPr>
            <w:tcW w:w="9630" w:type="dxa"/>
            <w:gridSpan w:val="5"/>
            <w:shd w:val="clear" w:color="auto" w:fill="657C9C" w:themeFill="text2" w:themeFillTint="BF"/>
          </w:tcPr>
          <w:p w:rsidR="00B76EFF" w:rsidRPr="00B76EFF" w:rsidRDefault="00B76EFF" w:rsidP="00B76EFF">
            <w:pPr>
              <w:spacing w:after="160" w:line="259" w:lineRule="auto"/>
              <w:rPr>
                <w:rFonts w:ascii="Arial" w:hAnsi="Arial" w:cs="Arial"/>
                <w:lang w:val="sr-Latn-ME"/>
              </w:rPr>
            </w:pPr>
          </w:p>
        </w:tc>
      </w:tr>
      <w:tr w:rsidR="00B76EFF" w:rsidRPr="00B76EFF" w:rsidTr="00B76EFF">
        <w:trPr>
          <w:jc w:val="center"/>
        </w:trPr>
        <w:tc>
          <w:tcPr>
            <w:tcW w:w="4495"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Naziv indikatora</w:t>
            </w:r>
          </w:p>
        </w:tc>
        <w:tc>
          <w:tcPr>
            <w:tcW w:w="9630" w:type="dxa"/>
            <w:gridSpan w:val="5"/>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Procenat nepravilnosti prijavljenih u IMS-u u okviru postavljenih rokova (u roku od 45 dana od PACA datuma)</w:t>
            </w:r>
          </w:p>
        </w:tc>
      </w:tr>
      <w:tr w:rsidR="00B76EFF" w:rsidRPr="00B76EFF" w:rsidTr="00B76EFF">
        <w:trPr>
          <w:jc w:val="center"/>
        </w:trPr>
        <w:tc>
          <w:tcPr>
            <w:tcW w:w="4495"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Cilj na koji se indikator odnosi</w:t>
            </w:r>
          </w:p>
        </w:tc>
        <w:tc>
          <w:tcPr>
            <w:tcW w:w="9630" w:type="dxa"/>
            <w:gridSpan w:val="5"/>
          </w:tcPr>
          <w:p w:rsidR="00B76EFF" w:rsidRPr="00B76EFF" w:rsidRDefault="00B76EFF" w:rsidP="00B76EFF">
            <w:pPr>
              <w:spacing w:after="160" w:line="259" w:lineRule="auto"/>
              <w:rPr>
                <w:rFonts w:ascii="Arial" w:hAnsi="Arial" w:cs="Arial"/>
                <w:b/>
                <w:sz w:val="22"/>
                <w:szCs w:val="22"/>
                <w:lang w:val="sr-Latn-ME" w:eastAsia="en-US"/>
              </w:rPr>
            </w:pPr>
            <w:r w:rsidRPr="00B76EFF">
              <w:rPr>
                <w:rFonts w:ascii="Arial" w:hAnsi="Arial" w:cs="Arial"/>
                <w:b/>
                <w:sz w:val="22"/>
                <w:szCs w:val="22"/>
                <w:lang w:val="sr-Latn-ME" w:eastAsia="en-US"/>
              </w:rPr>
              <w:t>Operativni cilj 4:</w:t>
            </w:r>
            <w:r w:rsidRPr="00B76EFF">
              <w:rPr>
                <w:rFonts w:ascii="Arial" w:hAnsi="Arial" w:cs="Arial"/>
                <w:sz w:val="22"/>
                <w:szCs w:val="22"/>
                <w:lang w:val="sr-Latn-ME" w:eastAsia="en-US"/>
              </w:rPr>
              <w:t xml:space="preserve"> Održavanje kapaciteta za otkrivanje nepravilnosti uz istovremeno poboljšanje kvaliteta izvještavanja o nepravilnostima i unaprijeđenje prepoznavanja crvenih zastavica i znakova prevara</w:t>
            </w:r>
            <w:r w:rsidRPr="00B76EFF">
              <w:rPr>
                <w:rFonts w:ascii="Arial" w:hAnsi="Arial" w:cs="Arial"/>
                <w:b/>
                <w:sz w:val="22"/>
                <w:szCs w:val="22"/>
                <w:lang w:val="sr-Latn-ME" w:eastAsia="en-US"/>
              </w:rPr>
              <w:t>.</w:t>
            </w:r>
          </w:p>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rPr>
          <w:jc w:val="center"/>
        </w:trPr>
        <w:tc>
          <w:tcPr>
            <w:tcW w:w="4495"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indikatora</w:t>
            </w:r>
          </w:p>
        </w:tc>
        <w:tc>
          <w:tcPr>
            <w:tcW w:w="9630" w:type="dxa"/>
            <w:gridSpan w:val="5"/>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Ovaj indikator će pratiti kvalitet i efikasnost izvještavanja o nepravilnostima identifikovanjem procenta nepravilnosti prijavljenih u roku od 45 dana od PACA datuma u odnosu na ukupan broj nepravilnosti prijavljenih OLAF-u u IMS-u.</w:t>
            </w:r>
          </w:p>
        </w:tc>
      </w:tr>
      <w:tr w:rsidR="00B76EFF" w:rsidRPr="00B76EFF" w:rsidTr="00B76EFF">
        <w:trPr>
          <w:jc w:val="center"/>
        </w:trPr>
        <w:tc>
          <w:tcPr>
            <w:tcW w:w="4495"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Podaci koje je potrebno prikupiti</w:t>
            </w:r>
          </w:p>
        </w:tc>
        <w:tc>
          <w:tcPr>
            <w:tcW w:w="9630" w:type="dxa"/>
            <w:gridSpan w:val="5"/>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Broj nepravilnosti i njihov vremenski okvir izvještavanja </w:t>
            </w:r>
          </w:p>
        </w:tc>
      </w:tr>
      <w:tr w:rsidR="00B76EFF" w:rsidRPr="00B76EFF" w:rsidTr="00B76EFF">
        <w:trPr>
          <w:jc w:val="center"/>
        </w:trPr>
        <w:tc>
          <w:tcPr>
            <w:tcW w:w="4495"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Izvor podataka</w:t>
            </w:r>
          </w:p>
        </w:tc>
        <w:tc>
          <w:tcPr>
            <w:tcW w:w="9630" w:type="dxa"/>
            <w:gridSpan w:val="5"/>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IMS</w:t>
            </w:r>
          </w:p>
        </w:tc>
      </w:tr>
      <w:tr w:rsidR="00B76EFF" w:rsidRPr="00B76EFF" w:rsidTr="00B76EFF">
        <w:trPr>
          <w:jc w:val="center"/>
        </w:trPr>
        <w:tc>
          <w:tcPr>
            <w:tcW w:w="4495"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instituciji odgovornoj za prikupljanje podataka</w:t>
            </w:r>
          </w:p>
        </w:tc>
        <w:tc>
          <w:tcPr>
            <w:tcW w:w="9630" w:type="dxa"/>
            <w:gridSpan w:val="5"/>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Direkcija za zaštitu finansijskih interesa EU/AFCOS – Ministarstvo finansija</w:t>
            </w:r>
          </w:p>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rPr>
          <w:jc w:val="center"/>
        </w:trPr>
        <w:tc>
          <w:tcPr>
            <w:tcW w:w="4495"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prikupljanja podataka</w:t>
            </w:r>
          </w:p>
        </w:tc>
        <w:tc>
          <w:tcPr>
            <w:tcW w:w="9630" w:type="dxa"/>
            <w:gridSpan w:val="5"/>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Na godišnjem nivou</w:t>
            </w:r>
          </w:p>
        </w:tc>
      </w:tr>
      <w:tr w:rsidR="00B76EFF" w:rsidRPr="00B76EFF" w:rsidTr="00B76EFF">
        <w:trPr>
          <w:jc w:val="center"/>
        </w:trPr>
        <w:tc>
          <w:tcPr>
            <w:tcW w:w="4495"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izvještavanja o vrijednosti indikatora</w:t>
            </w:r>
          </w:p>
        </w:tc>
        <w:tc>
          <w:tcPr>
            <w:tcW w:w="9630" w:type="dxa"/>
            <w:gridSpan w:val="5"/>
            <w:tcBorders>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 – prilikom evaluacije Akcionog plana</w:t>
            </w:r>
          </w:p>
        </w:tc>
      </w:tr>
      <w:tr w:rsidR="00B76EFF" w:rsidRPr="00B76EFF" w:rsidTr="00B76EFF">
        <w:trPr>
          <w:jc w:val="center"/>
        </w:trPr>
        <w:tc>
          <w:tcPr>
            <w:tcW w:w="4495"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metodologije izračunavanja podataka</w:t>
            </w:r>
          </w:p>
          <w:p w:rsidR="00B76EFF" w:rsidRPr="00B76EFF" w:rsidRDefault="00B76EFF" w:rsidP="00B76EFF">
            <w:pPr>
              <w:spacing w:after="160" w:line="259" w:lineRule="auto"/>
              <w:rPr>
                <w:rFonts w:ascii="Arial" w:hAnsi="Arial" w:cs="Arial"/>
                <w:sz w:val="22"/>
                <w:szCs w:val="22"/>
                <w:lang w:val="sr-Latn-ME" w:eastAsia="en-US"/>
              </w:rPr>
            </w:pPr>
          </w:p>
        </w:tc>
        <w:tc>
          <w:tcPr>
            <w:tcW w:w="9630" w:type="dxa"/>
            <w:gridSpan w:val="5"/>
            <w:tcBorders>
              <w:bottom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slučajeva koji su prijavljeni u roku od 45 dana od PACA datuma podijeljen sa ukupnim brojem slučajeva nepravilnosti u IMS-u u relevantnoj godini. Početna / osnovna vrijednost postavljena je na 4% jer je od 77 nepravilnosti prijavljenih u IMS-u (100%) samo 3 (3/77*100=4%) prijavljeno u prvom mjesecu.</w:t>
            </w:r>
            <w:r w:rsidRPr="00B76EFF">
              <w:rPr>
                <w:rFonts w:ascii="Arial" w:hAnsi="Arial" w:cs="Arial"/>
                <w:sz w:val="22"/>
                <w:szCs w:val="22"/>
                <w:vertAlign w:val="superscript"/>
                <w:lang w:val="sr-Latn-ME" w:eastAsia="en-US"/>
              </w:rPr>
              <w:t xml:space="preserve"> </w:t>
            </w:r>
            <w:r w:rsidRPr="00B76EFF">
              <w:rPr>
                <w:rFonts w:ascii="Arial" w:hAnsi="Arial" w:cs="Arial"/>
                <w:sz w:val="22"/>
                <w:szCs w:val="22"/>
                <w:vertAlign w:val="superscript"/>
                <w:lang w:val="sr-Latn-ME" w:eastAsia="en-US"/>
              </w:rPr>
              <w:footnoteReference w:id="16"/>
            </w:r>
            <w:r w:rsidRPr="00B76EFF">
              <w:rPr>
                <w:rFonts w:ascii="Arial" w:hAnsi="Arial" w:cs="Arial"/>
                <w:sz w:val="22"/>
                <w:szCs w:val="22"/>
                <w:lang w:val="sr-Latn-ME" w:eastAsia="en-US"/>
              </w:rPr>
              <w:t xml:space="preserve">. </w:t>
            </w:r>
          </w:p>
        </w:tc>
      </w:tr>
      <w:tr w:rsidR="00B76EFF" w:rsidRPr="00B76EFF" w:rsidTr="00B76EFF">
        <w:trPr>
          <w:jc w:val="center"/>
        </w:trPr>
        <w:tc>
          <w:tcPr>
            <w:tcW w:w="4495"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3573" w:type="dxa"/>
            <w:vMerge w:val="restart"/>
            <w:tcBorders>
              <w:top w:val="nil"/>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p>
        </w:tc>
        <w:tc>
          <w:tcPr>
            <w:tcW w:w="2813" w:type="dxa"/>
            <w:gridSpan w:val="2"/>
            <w:vMerge w:val="restart"/>
            <w:tcBorders>
              <w:top w:val="nil"/>
              <w:left w:val="nil"/>
              <w:bottom w:val="single" w:sz="4" w:space="0" w:color="auto"/>
              <w:right w:val="nil"/>
            </w:tcBorders>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Procenat nepravilnosti prijavljenih u IMS-u na vrijeme=</w:t>
            </w:r>
          </w:p>
        </w:tc>
        <w:tc>
          <w:tcPr>
            <w:tcW w:w="2791" w:type="dxa"/>
            <w:tcBorders>
              <w:top w:val="nil"/>
              <w:left w:val="nil"/>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nepravilnosti prijavljenih u roku od 45 dana od PACA datuma (u određenom periodu)</w:t>
            </w:r>
          </w:p>
        </w:tc>
        <w:tc>
          <w:tcPr>
            <w:tcW w:w="453" w:type="dxa"/>
            <w:vMerge w:val="restart"/>
            <w:tcBorders>
              <w:top w:val="nil"/>
              <w:left w:val="nil"/>
              <w:bottom w:val="single" w:sz="4" w:space="0" w:color="auto"/>
            </w:tcBorders>
            <w:vAlign w:val="center"/>
          </w:tcPr>
          <w:p w:rsidR="00B76EFF" w:rsidRPr="00B76EFF" w:rsidRDefault="00B76EFF" w:rsidP="00B76EFF">
            <w:pPr>
              <w:spacing w:after="160" w:line="259" w:lineRule="auto"/>
              <w:rPr>
                <w:rFonts w:ascii="Arial" w:hAnsi="Arial" w:cs="Arial"/>
                <w:sz w:val="22"/>
                <w:szCs w:val="22"/>
                <w:lang w:val="sr-Latn-ME" w:eastAsia="en-US"/>
              </w:rPr>
            </w:pPr>
          </w:p>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X 100</w:t>
            </w:r>
          </w:p>
        </w:tc>
      </w:tr>
      <w:tr w:rsidR="00B76EFF" w:rsidRPr="00B76EFF" w:rsidTr="00B76EFF">
        <w:trPr>
          <w:jc w:val="center"/>
        </w:trPr>
        <w:tc>
          <w:tcPr>
            <w:tcW w:w="4495"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3573" w:type="dxa"/>
            <w:vMerge/>
            <w:tcBorders>
              <w:top w:val="single" w:sz="4" w:space="0" w:color="auto"/>
              <w:bottom w:val="nil"/>
              <w:right w:val="nil"/>
            </w:tcBorders>
          </w:tcPr>
          <w:p w:rsidR="00B76EFF" w:rsidRPr="00B76EFF" w:rsidRDefault="00B76EFF" w:rsidP="00B76EFF">
            <w:pPr>
              <w:spacing w:after="160" w:line="259" w:lineRule="auto"/>
              <w:rPr>
                <w:rFonts w:ascii="Arial" w:hAnsi="Arial" w:cs="Arial"/>
                <w:sz w:val="22"/>
                <w:szCs w:val="22"/>
                <w:lang w:val="sr-Latn-ME" w:eastAsia="en-US"/>
              </w:rPr>
            </w:pPr>
          </w:p>
        </w:tc>
        <w:tc>
          <w:tcPr>
            <w:tcW w:w="2813" w:type="dxa"/>
            <w:gridSpan w:val="2"/>
            <w:vMerge/>
            <w:tcBorders>
              <w:top w:val="single" w:sz="4" w:space="0" w:color="auto"/>
              <w:left w:val="nil"/>
              <w:bottom w:val="nil"/>
              <w:right w:val="nil"/>
            </w:tcBorders>
          </w:tcPr>
          <w:p w:rsidR="00B76EFF" w:rsidRPr="00B76EFF" w:rsidRDefault="00B76EFF" w:rsidP="00B76EFF">
            <w:pPr>
              <w:spacing w:after="160" w:line="259" w:lineRule="auto"/>
              <w:rPr>
                <w:rFonts w:ascii="Arial" w:hAnsi="Arial" w:cs="Arial"/>
                <w:sz w:val="22"/>
                <w:szCs w:val="22"/>
                <w:lang w:val="sr-Latn-ME" w:eastAsia="en-US"/>
              </w:rPr>
            </w:pPr>
          </w:p>
        </w:tc>
        <w:tc>
          <w:tcPr>
            <w:tcW w:w="2791" w:type="dxa"/>
            <w:tcBorders>
              <w:top w:val="single" w:sz="4" w:space="0" w:color="auto"/>
              <w:left w:val="nil"/>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Ukupan broj nepravilnosti (u određenom periodu)</w:t>
            </w:r>
          </w:p>
        </w:tc>
        <w:tc>
          <w:tcPr>
            <w:tcW w:w="453" w:type="dxa"/>
            <w:vMerge/>
            <w:tcBorders>
              <w:top w:val="single" w:sz="4" w:space="0" w:color="auto"/>
              <w:left w:val="nil"/>
              <w:bottom w:val="nil"/>
            </w:tcBorders>
          </w:tcPr>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rPr>
          <w:jc w:val="center"/>
        </w:trPr>
        <w:tc>
          <w:tcPr>
            <w:tcW w:w="4495"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početnoj vrijednosti i o ciljnim vrijednostima</w:t>
            </w:r>
          </w:p>
        </w:tc>
        <w:tc>
          <w:tcPr>
            <w:tcW w:w="3845"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Godina</w:t>
            </w:r>
          </w:p>
        </w:tc>
        <w:tc>
          <w:tcPr>
            <w:tcW w:w="2541"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Početna vrijednost u 2024</w:t>
            </w:r>
          </w:p>
        </w:tc>
        <w:tc>
          <w:tcPr>
            <w:tcW w:w="2791"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2026</w:t>
            </w:r>
          </w:p>
        </w:tc>
        <w:tc>
          <w:tcPr>
            <w:tcW w:w="453"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2028</w:t>
            </w:r>
          </w:p>
        </w:tc>
      </w:tr>
      <w:tr w:rsidR="00B76EFF" w:rsidRPr="00B76EFF" w:rsidTr="00B76EFF">
        <w:trPr>
          <w:jc w:val="center"/>
        </w:trPr>
        <w:tc>
          <w:tcPr>
            <w:tcW w:w="4495"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3845"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Vrijednost</w:t>
            </w:r>
          </w:p>
        </w:tc>
        <w:tc>
          <w:tcPr>
            <w:tcW w:w="2541"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4%</w:t>
            </w:r>
          </w:p>
        </w:tc>
        <w:tc>
          <w:tcPr>
            <w:tcW w:w="2791"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40%</w:t>
            </w:r>
          </w:p>
        </w:tc>
        <w:tc>
          <w:tcPr>
            <w:tcW w:w="453" w:type="dxa"/>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65%</w:t>
            </w:r>
          </w:p>
        </w:tc>
      </w:tr>
    </w:tbl>
    <w:p w:rsidR="00B76EFF" w:rsidRPr="00B76EFF" w:rsidRDefault="00B76EFF" w:rsidP="00B76EFF">
      <w:pPr>
        <w:spacing w:after="160" w:line="259" w:lineRule="auto"/>
        <w:rPr>
          <w:rFonts w:ascii="Arial" w:hAnsi="Arial" w:cs="Arial"/>
        </w:rPr>
      </w:pPr>
    </w:p>
    <w:p w:rsidR="00B76EFF" w:rsidRPr="00B76EFF" w:rsidRDefault="00B76EFF" w:rsidP="00B76EFF">
      <w:pPr>
        <w:spacing w:after="160" w:line="259" w:lineRule="auto"/>
        <w:rPr>
          <w:rFonts w:ascii="Arial" w:hAnsi="Arial" w:cs="Arial"/>
          <w:lang w:val="sr-Latn-ME"/>
        </w:rPr>
      </w:pPr>
      <w:r w:rsidRPr="00B76EFF">
        <w:rPr>
          <w:rFonts w:ascii="Arial" w:hAnsi="Arial" w:cs="Arial"/>
          <w:lang w:val="sr-Latn-ME"/>
        </w:rPr>
        <w:t>Pasoš br. 9 (za indikator uspjeha 4.2)</w:t>
      </w:r>
    </w:p>
    <w:tbl>
      <w:tblPr>
        <w:tblStyle w:val="TableGrid"/>
        <w:tblW w:w="14130" w:type="dxa"/>
        <w:tblInd w:w="-95" w:type="dxa"/>
        <w:tblLook w:val="04A0" w:firstRow="1" w:lastRow="0" w:firstColumn="1" w:lastColumn="0" w:noHBand="0" w:noVBand="1"/>
      </w:tblPr>
      <w:tblGrid>
        <w:gridCol w:w="4059"/>
        <w:gridCol w:w="1276"/>
        <w:gridCol w:w="1133"/>
        <w:gridCol w:w="1542"/>
        <w:gridCol w:w="868"/>
        <w:gridCol w:w="2410"/>
        <w:gridCol w:w="2842"/>
      </w:tblGrid>
      <w:tr w:rsidR="00B76EFF" w:rsidRPr="00B76EFF" w:rsidTr="00B76EFF">
        <w:tc>
          <w:tcPr>
            <w:tcW w:w="4059" w:type="dxa"/>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Kategorija</w:t>
            </w:r>
          </w:p>
        </w:tc>
        <w:tc>
          <w:tcPr>
            <w:tcW w:w="10071" w:type="dxa"/>
            <w:gridSpan w:val="6"/>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Opis</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bookmarkStart w:id="26" w:name="_Hlk193285836"/>
            <w:r w:rsidRPr="00B76EFF">
              <w:rPr>
                <w:rFonts w:ascii="Arial" w:hAnsi="Arial" w:cs="Arial"/>
                <w:sz w:val="22"/>
                <w:szCs w:val="22"/>
                <w:lang w:val="sr-Latn-ME" w:eastAsia="en-US"/>
              </w:rPr>
              <w:t>Naziv indikatora</w:t>
            </w:r>
          </w:p>
        </w:tc>
        <w:tc>
          <w:tcPr>
            <w:tcW w:w="10071" w:type="dxa"/>
            <w:gridSpan w:val="6"/>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Procenat nepravilnosti prijavljenih kao sumnja na prevaru</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Cilj na koji se indikator odnosi</w:t>
            </w:r>
          </w:p>
        </w:tc>
        <w:tc>
          <w:tcPr>
            <w:tcW w:w="10071" w:type="dxa"/>
            <w:gridSpan w:val="6"/>
          </w:tcPr>
          <w:p w:rsidR="00B76EFF" w:rsidRPr="00B76EFF" w:rsidRDefault="00B76EFF" w:rsidP="00B76EFF">
            <w:pPr>
              <w:spacing w:after="160" w:line="259" w:lineRule="auto"/>
              <w:rPr>
                <w:rFonts w:ascii="Arial" w:hAnsi="Arial" w:cs="Arial"/>
                <w:b/>
                <w:sz w:val="22"/>
                <w:szCs w:val="22"/>
                <w:lang w:val="sr-Latn-ME" w:eastAsia="en-US"/>
              </w:rPr>
            </w:pPr>
            <w:r w:rsidRPr="00B76EFF">
              <w:rPr>
                <w:rFonts w:ascii="Arial" w:hAnsi="Arial" w:cs="Arial"/>
                <w:b/>
                <w:sz w:val="22"/>
                <w:szCs w:val="22"/>
                <w:lang w:val="sr-Latn-ME" w:eastAsia="en-US"/>
              </w:rPr>
              <w:t>Operativni cilj 4:</w:t>
            </w:r>
            <w:r w:rsidRPr="00B76EFF">
              <w:rPr>
                <w:rFonts w:ascii="Arial" w:hAnsi="Arial" w:cs="Arial"/>
                <w:sz w:val="22"/>
                <w:szCs w:val="22"/>
                <w:lang w:val="sr-Latn-ME" w:eastAsia="en-US"/>
              </w:rPr>
              <w:t xml:space="preserve"> Održavanje kapaciteta za otkrivanje nepravilnosti uz istovremeno poboljšanje kvaliteta izvještavanja o nepravilnostima i unaprijeđenje prepoznavanja crvenih zastavica i znakova prevara</w:t>
            </w:r>
            <w:r w:rsidRPr="00B76EFF">
              <w:rPr>
                <w:rFonts w:ascii="Arial" w:hAnsi="Arial" w:cs="Arial"/>
                <w:b/>
                <w:sz w:val="22"/>
                <w:szCs w:val="22"/>
                <w:lang w:val="sr-Latn-ME" w:eastAsia="en-US"/>
              </w:rPr>
              <w:t>.</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indikatora</w:t>
            </w:r>
          </w:p>
        </w:tc>
        <w:tc>
          <w:tcPr>
            <w:tcW w:w="1007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Ovaj indikator će pratiti procenat nepravilnosti koje su identifikovane kao prevarne u odnosu na sve prijavljene nepravilnosti.</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Podaci koje je potrebno prikupiti</w:t>
            </w:r>
          </w:p>
        </w:tc>
        <w:tc>
          <w:tcPr>
            <w:tcW w:w="1007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nepravilnosti, kako prevarnih, tako i neprevarnih</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Izvor podataka</w:t>
            </w:r>
          </w:p>
        </w:tc>
        <w:tc>
          <w:tcPr>
            <w:tcW w:w="1007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IMS</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instituciji odgovornoj za prikupljanje podataka</w:t>
            </w:r>
          </w:p>
        </w:tc>
        <w:tc>
          <w:tcPr>
            <w:tcW w:w="1007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Direkcija za zaštitu finansijskih interesa EU/AFCOS – Ministarstvo finansija</w:t>
            </w:r>
          </w:p>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prikupljanja podataka</w:t>
            </w:r>
          </w:p>
        </w:tc>
        <w:tc>
          <w:tcPr>
            <w:tcW w:w="1007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w:t>
            </w:r>
          </w:p>
        </w:tc>
      </w:tr>
      <w:tr w:rsidR="00B76EFF" w:rsidRPr="00B76EFF" w:rsidTr="00B76EFF">
        <w:tc>
          <w:tcPr>
            <w:tcW w:w="405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izvještavanja o vrijednosti indikatora</w:t>
            </w:r>
          </w:p>
        </w:tc>
        <w:tc>
          <w:tcPr>
            <w:tcW w:w="10071" w:type="dxa"/>
            <w:gridSpan w:val="6"/>
            <w:tcBorders>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 – prilikom evaluacije Akcionog plana</w:t>
            </w:r>
          </w:p>
        </w:tc>
      </w:tr>
      <w:tr w:rsidR="00B76EFF" w:rsidRPr="00B76EFF" w:rsidTr="00B76EFF">
        <w:tc>
          <w:tcPr>
            <w:tcW w:w="4059"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metodologije izračunavanja podataka</w:t>
            </w:r>
          </w:p>
          <w:p w:rsidR="00B76EFF" w:rsidRPr="00B76EFF" w:rsidRDefault="00B76EFF" w:rsidP="00B76EFF">
            <w:pPr>
              <w:spacing w:after="160" w:line="259" w:lineRule="auto"/>
              <w:rPr>
                <w:rFonts w:ascii="Arial" w:hAnsi="Arial" w:cs="Arial"/>
                <w:sz w:val="22"/>
                <w:szCs w:val="22"/>
                <w:lang w:val="sr-Latn-ME" w:eastAsia="en-US"/>
              </w:rPr>
            </w:pPr>
          </w:p>
        </w:tc>
        <w:tc>
          <w:tcPr>
            <w:tcW w:w="10071" w:type="dxa"/>
            <w:gridSpan w:val="6"/>
            <w:tcBorders>
              <w:bottom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Procenat nepravilnosti prijavljenih kao sumnja na prevaru (u prosjeku godišnje) računa se tako što se ukupan  broj slučajeva koji su prijavljeni kao prevara dijeli sa ukupnim brojem nepravilnosti prijavljenih u IMS-u u posljednjoj godini..</w:t>
            </w:r>
            <w:r w:rsidRPr="00B76EFF">
              <w:rPr>
                <w:rFonts w:ascii="Arial" w:hAnsi="Arial" w:cs="Arial"/>
                <w:sz w:val="22"/>
                <w:szCs w:val="22"/>
                <w:lang w:val="sr-Latn-ME" w:eastAsia="en-US"/>
              </w:rPr>
              <w:br/>
              <w:t>Početna / osnovna vrijednost postavljena je na 5%, jer je od 2018. godine, od ukupnog broja prijavljenih nepravilnosti (77), samo četiri (4) slučaja prijavljena kao sumnja na prevaru</w:t>
            </w:r>
            <w:r w:rsidRPr="00B76EFF">
              <w:rPr>
                <w:rFonts w:ascii="Arial" w:hAnsi="Arial" w:cs="Arial"/>
                <w:sz w:val="22"/>
                <w:szCs w:val="22"/>
                <w:vertAlign w:val="superscript"/>
                <w:lang w:val="sr-Latn-ME" w:eastAsia="en-US"/>
              </w:rPr>
              <w:t xml:space="preserve"> </w:t>
            </w:r>
            <w:r w:rsidRPr="00B76EFF">
              <w:rPr>
                <w:rFonts w:ascii="Arial" w:hAnsi="Arial" w:cs="Arial"/>
                <w:sz w:val="22"/>
                <w:szCs w:val="22"/>
                <w:vertAlign w:val="superscript"/>
                <w:lang w:val="sr-Latn-ME" w:eastAsia="en-US"/>
              </w:rPr>
              <w:footnoteReference w:id="17"/>
            </w:r>
            <w:r w:rsidRPr="00B76EFF">
              <w:rPr>
                <w:rFonts w:ascii="Arial" w:hAnsi="Arial" w:cs="Arial"/>
                <w:sz w:val="22"/>
                <w:szCs w:val="22"/>
                <w:lang w:val="sr-Latn-ME" w:eastAsia="en-US"/>
              </w:rPr>
              <w:t xml:space="preserve"> – dakle, 5% nepravilnosti prijavljeno je kao prevarno.</w:t>
            </w:r>
          </w:p>
        </w:tc>
      </w:tr>
      <w:tr w:rsidR="00B76EFF" w:rsidRPr="00B76EFF" w:rsidTr="00B76EFF">
        <w:tc>
          <w:tcPr>
            <w:tcW w:w="405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1276" w:type="dxa"/>
            <w:vMerge w:val="restart"/>
            <w:tcBorders>
              <w:top w:val="nil"/>
              <w:right w:val="nil"/>
            </w:tcBorders>
          </w:tcPr>
          <w:p w:rsidR="00B76EFF" w:rsidRPr="00B76EFF" w:rsidRDefault="00B76EFF" w:rsidP="00B76EFF">
            <w:pPr>
              <w:spacing w:after="160" w:line="259" w:lineRule="auto"/>
              <w:rPr>
                <w:rFonts w:ascii="Arial" w:hAnsi="Arial" w:cs="Arial"/>
                <w:sz w:val="22"/>
                <w:szCs w:val="22"/>
                <w:lang w:val="sr-Latn-ME" w:eastAsia="en-US"/>
              </w:rPr>
            </w:pPr>
          </w:p>
          <w:p w:rsidR="00B76EFF" w:rsidRPr="00B76EFF" w:rsidRDefault="00B76EFF" w:rsidP="00B76EFF">
            <w:pPr>
              <w:spacing w:after="160" w:line="259" w:lineRule="auto"/>
              <w:rPr>
                <w:rFonts w:ascii="Arial" w:hAnsi="Arial" w:cs="Arial"/>
                <w:sz w:val="22"/>
                <w:szCs w:val="22"/>
                <w:lang w:val="sr-Latn-ME" w:eastAsia="en-US"/>
              </w:rPr>
            </w:pPr>
          </w:p>
          <w:p w:rsidR="00B76EFF" w:rsidRPr="00B76EFF" w:rsidRDefault="00B76EFF" w:rsidP="00B76EFF">
            <w:pPr>
              <w:spacing w:after="160" w:line="259" w:lineRule="auto"/>
              <w:rPr>
                <w:rFonts w:ascii="Arial" w:hAnsi="Arial" w:cs="Arial"/>
                <w:sz w:val="22"/>
                <w:szCs w:val="22"/>
                <w:lang w:val="sr-Latn-ME" w:eastAsia="en-US"/>
              </w:rPr>
            </w:pPr>
          </w:p>
          <w:p w:rsidR="00B76EFF" w:rsidRPr="00B76EFF" w:rsidRDefault="00B76EFF" w:rsidP="00B76EFF">
            <w:pPr>
              <w:spacing w:after="160" w:line="259" w:lineRule="auto"/>
              <w:rPr>
                <w:rFonts w:ascii="Arial" w:hAnsi="Arial" w:cs="Arial"/>
                <w:sz w:val="22"/>
                <w:szCs w:val="22"/>
                <w:lang w:val="sr-Latn-ME" w:eastAsia="en-US"/>
              </w:rPr>
            </w:pPr>
          </w:p>
        </w:tc>
        <w:tc>
          <w:tcPr>
            <w:tcW w:w="2675" w:type="dxa"/>
            <w:gridSpan w:val="2"/>
            <w:vMerge w:val="restart"/>
            <w:tcBorders>
              <w:top w:val="nil"/>
              <w:left w:val="nil"/>
              <w:right w:val="nil"/>
            </w:tcBorders>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Procenat(%) nepravilnosti prijavljenih kao prevara=</w:t>
            </w:r>
          </w:p>
        </w:tc>
        <w:tc>
          <w:tcPr>
            <w:tcW w:w="3278" w:type="dxa"/>
            <w:gridSpan w:val="2"/>
            <w:tcBorders>
              <w:top w:val="nil"/>
              <w:left w:val="nil"/>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slučajeva prevare prijavljenih u IMS-u (u poslednjoj godini))</w:t>
            </w:r>
          </w:p>
        </w:tc>
        <w:tc>
          <w:tcPr>
            <w:tcW w:w="2842" w:type="dxa"/>
            <w:vMerge w:val="restart"/>
            <w:tcBorders>
              <w:top w:val="nil"/>
              <w:left w:val="nil"/>
            </w:tcBorders>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X 100</w:t>
            </w:r>
          </w:p>
        </w:tc>
      </w:tr>
      <w:tr w:rsidR="00B76EFF" w:rsidRPr="00B76EFF" w:rsidTr="00B76EFF">
        <w:tc>
          <w:tcPr>
            <w:tcW w:w="405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1276" w:type="dxa"/>
            <w:vMerge/>
            <w:tcBorders>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p>
        </w:tc>
        <w:tc>
          <w:tcPr>
            <w:tcW w:w="2675" w:type="dxa"/>
            <w:gridSpan w:val="2"/>
            <w:vMerge/>
            <w:tcBorders>
              <w:left w:val="nil"/>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p>
        </w:tc>
        <w:tc>
          <w:tcPr>
            <w:tcW w:w="3278" w:type="dxa"/>
            <w:gridSpan w:val="2"/>
            <w:tcBorders>
              <w:left w:val="nil"/>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Ukupan broj nepravilnosti u IMS-u (u poslednjoj godini)</w:t>
            </w:r>
          </w:p>
        </w:tc>
        <w:tc>
          <w:tcPr>
            <w:tcW w:w="2842" w:type="dxa"/>
            <w:vMerge/>
            <w:tcBorders>
              <w:left w:val="nil"/>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c>
          <w:tcPr>
            <w:tcW w:w="4059"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eastAsia="en-US"/>
              </w:rPr>
            </w:pPr>
            <w:r w:rsidRPr="00B76EFF">
              <w:rPr>
                <w:rFonts w:ascii="Arial" w:hAnsi="Arial" w:cs="Arial"/>
                <w:sz w:val="22"/>
                <w:szCs w:val="22"/>
                <w:lang w:val="mk-MK" w:eastAsia="en-US"/>
              </w:rPr>
              <w:t>Informacija o početnoj vrijednosti</w:t>
            </w:r>
            <w:r w:rsidRPr="00B76EFF">
              <w:rPr>
                <w:rFonts w:ascii="Arial" w:hAnsi="Arial" w:cs="Arial"/>
                <w:sz w:val="22"/>
                <w:szCs w:val="22"/>
                <w:lang w:val="lv-LV" w:eastAsia="en-US"/>
              </w:rPr>
              <w:t xml:space="preserve"> i </w:t>
            </w:r>
            <w:r w:rsidRPr="00B76EFF">
              <w:rPr>
                <w:rFonts w:ascii="Arial" w:hAnsi="Arial" w:cs="Arial"/>
                <w:sz w:val="22"/>
                <w:szCs w:val="22"/>
                <w:lang w:val="mk-MK" w:eastAsia="en-US"/>
              </w:rPr>
              <w:t>o ciljnim vrijednostima</w:t>
            </w:r>
          </w:p>
        </w:tc>
        <w:tc>
          <w:tcPr>
            <w:tcW w:w="2409"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Godina</w:t>
            </w:r>
          </w:p>
        </w:tc>
        <w:tc>
          <w:tcPr>
            <w:tcW w:w="2410"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Početna vrijednost u 2024</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2026</w:t>
            </w:r>
          </w:p>
        </w:tc>
        <w:tc>
          <w:tcPr>
            <w:tcW w:w="2842"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2028</w:t>
            </w:r>
          </w:p>
        </w:tc>
      </w:tr>
      <w:bookmarkEnd w:id="26"/>
      <w:tr w:rsidR="00B76EFF" w:rsidRPr="00B76EFF" w:rsidTr="00B76EFF">
        <w:tc>
          <w:tcPr>
            <w:tcW w:w="405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eastAsia="en-US"/>
              </w:rPr>
            </w:pPr>
          </w:p>
        </w:tc>
        <w:tc>
          <w:tcPr>
            <w:tcW w:w="2409"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Vrijednost</w:t>
            </w:r>
          </w:p>
        </w:tc>
        <w:tc>
          <w:tcPr>
            <w:tcW w:w="2410" w:type="dxa"/>
            <w:gridSpan w:val="2"/>
          </w:tcPr>
          <w:p w:rsidR="00B76EFF" w:rsidRPr="00B76EFF" w:rsidRDefault="00B76EFF" w:rsidP="00B76EFF">
            <w:pPr>
              <w:spacing w:after="160" w:line="259" w:lineRule="auto"/>
              <w:rPr>
                <w:rFonts w:ascii="Arial" w:hAnsi="Arial" w:cs="Arial"/>
                <w:sz w:val="22"/>
                <w:szCs w:val="22"/>
                <w:lang w:val="en-GB" w:eastAsia="en-US"/>
              </w:rPr>
            </w:pPr>
            <w:r w:rsidRPr="00B76EFF">
              <w:rPr>
                <w:rFonts w:ascii="Arial" w:hAnsi="Arial" w:cs="Arial"/>
                <w:sz w:val="22"/>
                <w:szCs w:val="22"/>
                <w:lang w:val="en-GB" w:eastAsia="en-US"/>
              </w:rPr>
              <w:t>5%</w:t>
            </w:r>
          </w:p>
        </w:tc>
        <w:tc>
          <w:tcPr>
            <w:tcW w:w="2410" w:type="dxa"/>
          </w:tcPr>
          <w:p w:rsidR="00B76EFF" w:rsidRPr="00B76EFF" w:rsidRDefault="00B76EFF" w:rsidP="00B76EFF">
            <w:pPr>
              <w:spacing w:after="160" w:line="259" w:lineRule="auto"/>
              <w:rPr>
                <w:rFonts w:ascii="Arial" w:hAnsi="Arial" w:cs="Arial"/>
                <w:sz w:val="22"/>
                <w:szCs w:val="22"/>
                <w:lang w:val="en-GB" w:eastAsia="en-US"/>
              </w:rPr>
            </w:pPr>
            <w:r w:rsidRPr="00B76EFF">
              <w:rPr>
                <w:rFonts w:ascii="Arial" w:hAnsi="Arial" w:cs="Arial"/>
                <w:sz w:val="22"/>
                <w:szCs w:val="22"/>
                <w:lang w:val="en-GB" w:eastAsia="en-US"/>
              </w:rPr>
              <w:t>6%</w:t>
            </w:r>
          </w:p>
        </w:tc>
        <w:tc>
          <w:tcPr>
            <w:tcW w:w="2842" w:type="dxa"/>
            <w:vAlign w:val="center"/>
          </w:tcPr>
          <w:p w:rsidR="00B76EFF" w:rsidRPr="00B76EFF" w:rsidRDefault="00B76EFF" w:rsidP="00B76EFF">
            <w:pPr>
              <w:spacing w:after="160" w:line="259" w:lineRule="auto"/>
              <w:rPr>
                <w:rFonts w:ascii="Arial" w:hAnsi="Arial" w:cs="Arial"/>
                <w:sz w:val="22"/>
                <w:szCs w:val="22"/>
                <w:lang w:val="en-GB" w:eastAsia="en-US"/>
              </w:rPr>
            </w:pPr>
            <w:r w:rsidRPr="00B76EFF">
              <w:rPr>
                <w:rFonts w:ascii="Arial" w:hAnsi="Arial" w:cs="Arial"/>
                <w:sz w:val="22"/>
                <w:szCs w:val="22"/>
                <w:lang w:val="en-GB" w:eastAsia="en-US"/>
              </w:rPr>
              <w:t>8%</w:t>
            </w:r>
          </w:p>
        </w:tc>
      </w:tr>
    </w:tbl>
    <w:p w:rsidR="00B76EFF" w:rsidRPr="00B76EFF" w:rsidRDefault="00B76EFF" w:rsidP="00B76EFF">
      <w:pPr>
        <w:spacing w:after="160" w:line="259" w:lineRule="auto"/>
        <w:rPr>
          <w:rFonts w:ascii="Arial" w:hAnsi="Arial" w:cs="Arial"/>
        </w:rPr>
      </w:pPr>
    </w:p>
    <w:p w:rsidR="00B76EFF" w:rsidRPr="00B76EFF" w:rsidRDefault="00B76EFF" w:rsidP="00B76EFF">
      <w:pPr>
        <w:spacing w:after="160" w:line="259" w:lineRule="auto"/>
        <w:rPr>
          <w:rFonts w:ascii="Arial" w:hAnsi="Arial" w:cs="Arial"/>
          <w:lang w:val="sr-Latn-ME"/>
        </w:rPr>
      </w:pPr>
      <w:r w:rsidRPr="00B76EFF">
        <w:rPr>
          <w:rFonts w:ascii="Arial" w:hAnsi="Arial" w:cs="Arial"/>
          <w:lang w:val="sr-Latn-ME"/>
        </w:rPr>
        <w:t>Pasoš br. 10 (za indikator uspjeha 4.3)</w:t>
      </w:r>
    </w:p>
    <w:tbl>
      <w:tblPr>
        <w:tblStyle w:val="TableGrid"/>
        <w:tblW w:w="14220" w:type="dxa"/>
        <w:tblInd w:w="-185" w:type="dxa"/>
        <w:tblLook w:val="04A0" w:firstRow="1" w:lastRow="0" w:firstColumn="1" w:lastColumn="0" w:noHBand="0" w:noVBand="1"/>
      </w:tblPr>
      <w:tblGrid>
        <w:gridCol w:w="4149"/>
        <w:gridCol w:w="2409"/>
        <w:gridCol w:w="2410"/>
        <w:gridCol w:w="2410"/>
        <w:gridCol w:w="2842"/>
      </w:tblGrid>
      <w:tr w:rsidR="00B76EFF" w:rsidRPr="00B76EFF" w:rsidTr="00B76EFF">
        <w:tc>
          <w:tcPr>
            <w:tcW w:w="4149" w:type="dxa"/>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Kategorija</w:t>
            </w:r>
          </w:p>
        </w:tc>
        <w:tc>
          <w:tcPr>
            <w:tcW w:w="10071" w:type="dxa"/>
            <w:gridSpan w:val="4"/>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Opis</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Naziv indikatora</w:t>
            </w:r>
          </w:p>
        </w:tc>
        <w:tc>
          <w:tcPr>
            <w:tcW w:w="10071" w:type="dxa"/>
            <w:gridSpan w:val="4"/>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vraćenih izveštaja o nepravilnostima od strane Direkcije za zaštitu finansijskih interesa EU / AFCOS implementacionim agencijama / Posredničkim tijelima za finansijsko upravljanje, na doradu</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Cilj na koji se indikator odnosi</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Operativni cilj 4:</w:t>
            </w:r>
            <w:r w:rsidRPr="00B76EFF">
              <w:rPr>
                <w:rFonts w:ascii="Arial" w:hAnsi="Arial" w:cs="Arial"/>
                <w:sz w:val="22"/>
                <w:szCs w:val="22"/>
                <w:lang w:val="sr-Latn-ME" w:eastAsia="en-US"/>
              </w:rPr>
              <w:t xml:space="preserve"> Održavanje kapaciteta za otkrivanje nepravilnosti uz istovremeno poboljšanje kvaliteta izvještavanja o nepravilnostima i unaprijeđenje prepoznavanja crvenih zastavica i znakova prevara</w:t>
            </w:r>
            <w:r w:rsidRPr="00B76EFF">
              <w:rPr>
                <w:rFonts w:ascii="Arial" w:hAnsi="Arial" w:cs="Arial"/>
                <w:b/>
                <w:sz w:val="22"/>
                <w:szCs w:val="22"/>
                <w:lang w:val="sr-Latn-ME" w:eastAsia="en-US"/>
              </w:rPr>
              <w:t>.</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indikatora</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Ovaj indikator će pratiti kvalitet i efikasnost izvještavanja o nepravilnostima identifikovanjem broja nepravilnosti koje je analizirala i provjerila Direkcija za zaštitu finansijskih interesa EU / AFCOS i koje su vraćene implementacionim agencijama / Posredničkim tijelima za finansijsko upravljanje, na doradu.</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Podaci koje je potrebno prikupiti</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izveštaja o nepravilnostima vraćenih implementacionim agencijama / Posredničkim tijelima za finansijsko upravljanje, na doradu</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Izvor podataka</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IMS</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instituciji odgovornoj za prikupljanje podataka</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Direkcija za zaštitu finansijskih interesa EU/AFCOS – Ministarstvo finansija</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prikupljanja podataka</w:t>
            </w:r>
          </w:p>
        </w:tc>
        <w:tc>
          <w:tcPr>
            <w:tcW w:w="10071" w:type="dxa"/>
            <w:gridSpan w:val="4"/>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Godišnje</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izvještavanja o vrijednosti indikatora</w:t>
            </w:r>
          </w:p>
        </w:tc>
        <w:tc>
          <w:tcPr>
            <w:tcW w:w="10071" w:type="dxa"/>
            <w:gridSpan w:val="4"/>
            <w:tcBorders>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 – prilikom evaluacije Akcionog plana</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metodologije izračunavanja podataka</w:t>
            </w:r>
          </w:p>
          <w:p w:rsidR="00B76EFF" w:rsidRPr="00B76EFF" w:rsidRDefault="00B76EFF" w:rsidP="00B76EFF">
            <w:pPr>
              <w:spacing w:after="160" w:line="259" w:lineRule="auto"/>
              <w:rPr>
                <w:rFonts w:ascii="Arial" w:hAnsi="Arial" w:cs="Arial"/>
                <w:sz w:val="22"/>
                <w:szCs w:val="22"/>
                <w:lang w:val="sr-Latn-ME" w:eastAsia="en-US"/>
              </w:rPr>
            </w:pPr>
          </w:p>
        </w:tc>
        <w:tc>
          <w:tcPr>
            <w:tcW w:w="10071" w:type="dxa"/>
            <w:gridSpan w:val="4"/>
            <w:tcBorders>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Sabiranje izveštaja o nepravilnostima koji su vraćeni implementacionim agencijama Posredničkim tijelima za finansijsko upravljanje nakon što je izvršena provjera kvaliteta od strane Direkcije za zaštitu finansijskih interesa EU / AFCOS,  tokom jedne izvještajne godine.</w:t>
            </w:r>
          </w:p>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Početna / osnovna vrijednost postavljena je na 24 vraćena izvještaja, kako je registrovano u IMS-u u 2024. godini.</w:t>
            </w:r>
          </w:p>
        </w:tc>
      </w:tr>
      <w:tr w:rsidR="00B76EFF" w:rsidRPr="00B76EFF" w:rsidTr="00B76EFF">
        <w:tc>
          <w:tcPr>
            <w:tcW w:w="4149"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početnoj vrijednosti i o ciljnim vrijednostima</w:t>
            </w:r>
          </w:p>
        </w:tc>
        <w:tc>
          <w:tcPr>
            <w:tcW w:w="2409"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Godina</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Početna vrijednost u 2024</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2026</w:t>
            </w:r>
          </w:p>
        </w:tc>
        <w:tc>
          <w:tcPr>
            <w:tcW w:w="2842"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2028</w:t>
            </w:r>
          </w:p>
        </w:tc>
      </w:tr>
      <w:tr w:rsidR="00B76EFF" w:rsidRPr="00B76EFF" w:rsidTr="00B76EFF">
        <w:trPr>
          <w:trHeight w:val="45"/>
        </w:trPr>
        <w:tc>
          <w:tcPr>
            <w:tcW w:w="414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2409"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Vrijednost</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24</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&lt;20</w:t>
            </w:r>
          </w:p>
        </w:tc>
        <w:tc>
          <w:tcPr>
            <w:tcW w:w="2842" w:type="dxa"/>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&lt;15</w:t>
            </w:r>
          </w:p>
        </w:tc>
      </w:tr>
    </w:tbl>
    <w:p w:rsidR="00B76EFF" w:rsidRDefault="00B76EFF" w:rsidP="00B76EFF">
      <w:pPr>
        <w:spacing w:after="160" w:line="259" w:lineRule="auto"/>
        <w:rPr>
          <w:rFonts w:ascii="Arial" w:hAnsi="Arial" w:cs="Arial"/>
          <w:lang w:val="sr-Latn-ME"/>
        </w:rPr>
      </w:pPr>
    </w:p>
    <w:p w:rsidR="00B76EFF" w:rsidRPr="00B76EFF" w:rsidRDefault="00B76EFF" w:rsidP="00B76EFF">
      <w:pPr>
        <w:spacing w:after="160" w:line="259" w:lineRule="auto"/>
        <w:rPr>
          <w:rFonts w:ascii="Arial" w:hAnsi="Arial" w:cs="Arial"/>
          <w:lang w:val="sr-Latn-ME"/>
        </w:rPr>
      </w:pPr>
      <w:r w:rsidRPr="00B76EFF">
        <w:rPr>
          <w:rFonts w:ascii="Arial" w:hAnsi="Arial" w:cs="Arial"/>
          <w:lang w:val="sr-Latn-ME"/>
        </w:rPr>
        <w:t>Pasoš br. 11 (za indikator uspjeha 5.1)</w:t>
      </w:r>
    </w:p>
    <w:tbl>
      <w:tblPr>
        <w:tblStyle w:val="TableGrid"/>
        <w:tblW w:w="14220" w:type="dxa"/>
        <w:tblInd w:w="-185" w:type="dxa"/>
        <w:tblLook w:val="04A0" w:firstRow="1" w:lastRow="0" w:firstColumn="1" w:lastColumn="0" w:noHBand="0" w:noVBand="1"/>
      </w:tblPr>
      <w:tblGrid>
        <w:gridCol w:w="4149"/>
        <w:gridCol w:w="1560"/>
        <w:gridCol w:w="849"/>
        <w:gridCol w:w="2082"/>
        <w:gridCol w:w="328"/>
        <w:gridCol w:w="2410"/>
        <w:gridCol w:w="2842"/>
      </w:tblGrid>
      <w:tr w:rsidR="00B76EFF" w:rsidRPr="00B76EFF" w:rsidTr="00B76EFF">
        <w:tc>
          <w:tcPr>
            <w:tcW w:w="4149" w:type="dxa"/>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Kategorija</w:t>
            </w:r>
          </w:p>
        </w:tc>
        <w:tc>
          <w:tcPr>
            <w:tcW w:w="10071" w:type="dxa"/>
            <w:gridSpan w:val="6"/>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Opis</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Naziv indikatora</w:t>
            </w:r>
          </w:p>
        </w:tc>
        <w:tc>
          <w:tcPr>
            <w:tcW w:w="10071" w:type="dxa"/>
            <w:gridSpan w:val="6"/>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Svi OLAF-ovi zahtjevi su pravilno obrađeni i završeni</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Cilj na koji se indikator odnosi</w:t>
            </w:r>
          </w:p>
        </w:tc>
        <w:tc>
          <w:tcPr>
            <w:tcW w:w="1007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Operativni cilj 5</w:t>
            </w:r>
            <w:r w:rsidRPr="00B76EFF">
              <w:rPr>
                <w:rFonts w:ascii="Arial" w:hAnsi="Arial" w:cs="Arial"/>
                <w:sz w:val="22"/>
                <w:szCs w:val="22"/>
                <w:lang w:val="sr-Latn-ME" w:eastAsia="en-US"/>
              </w:rPr>
              <w:t>: Unaprijeđenje saradnje između istražnih tijela, AFCOS-a i OLAF-a</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indikatora</w:t>
            </w:r>
          </w:p>
        </w:tc>
        <w:tc>
          <w:tcPr>
            <w:tcW w:w="1007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Ovaj indikator će pratiti da li su svi OLAF-ovi zahtjevi upućeni kontakt tački u Crnoj Gori (AFCOS-u), pravilno obrađeni i završeni, u skladu sa rokovima i uz saradnju svih relevantnih institucija na nacionalnom nivou.</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Podaci koje je potrebno prikupiti</w:t>
            </w:r>
          </w:p>
        </w:tc>
        <w:tc>
          <w:tcPr>
            <w:tcW w:w="1007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OLAF-ovih administrativnih istražnih posjeta Crnoj Gori</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Izvor podataka</w:t>
            </w:r>
          </w:p>
        </w:tc>
        <w:tc>
          <w:tcPr>
            <w:tcW w:w="1007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AFCOS registri</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instituciji odgovornoj za prikupljanje podataka</w:t>
            </w:r>
          </w:p>
        </w:tc>
        <w:tc>
          <w:tcPr>
            <w:tcW w:w="1007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Direkcija za zaštitu finansijskih interesa EU/AFCOS – Ministarstvo finansija</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prikupljanja podataka</w:t>
            </w:r>
          </w:p>
        </w:tc>
        <w:tc>
          <w:tcPr>
            <w:tcW w:w="10071"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Jednom u dvije godine </w:t>
            </w:r>
          </w:p>
        </w:tc>
      </w:tr>
      <w:tr w:rsidR="00B76EFF" w:rsidRPr="00B76EFF" w:rsidTr="00B76EFF">
        <w:tc>
          <w:tcPr>
            <w:tcW w:w="4149"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izvještavanja o vrijednosti indikatora</w:t>
            </w:r>
          </w:p>
        </w:tc>
        <w:tc>
          <w:tcPr>
            <w:tcW w:w="10071" w:type="dxa"/>
            <w:gridSpan w:val="6"/>
            <w:tcBorders>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 – prilikom evaluacije Akcionog plana</w:t>
            </w:r>
          </w:p>
        </w:tc>
      </w:tr>
      <w:tr w:rsidR="00B76EFF" w:rsidRPr="00B76EFF" w:rsidTr="00B76EFF">
        <w:tc>
          <w:tcPr>
            <w:tcW w:w="4149"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metodologije izračunavanja podataka</w:t>
            </w:r>
          </w:p>
          <w:p w:rsidR="00B76EFF" w:rsidRPr="00B76EFF" w:rsidRDefault="00B76EFF" w:rsidP="00B76EFF">
            <w:pPr>
              <w:spacing w:after="160" w:line="259" w:lineRule="auto"/>
              <w:rPr>
                <w:rFonts w:ascii="Arial" w:hAnsi="Arial" w:cs="Arial"/>
                <w:sz w:val="22"/>
                <w:szCs w:val="22"/>
                <w:lang w:val="sr-Latn-ME" w:eastAsia="en-US"/>
              </w:rPr>
            </w:pPr>
          </w:p>
        </w:tc>
        <w:tc>
          <w:tcPr>
            <w:tcW w:w="10071" w:type="dxa"/>
            <w:gridSpan w:val="6"/>
            <w:tcBorders>
              <w:bottom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Procenat pravilno obrađenih OLAF-ovih zahtjeva računa se tako što se broj dobro završenih OLAF-ovih administrativnih istražnih posjeta  tj. zahtjeva upućenih Crnoj Gori dijeli sa ukupnim brojem primljenih OLAF-ovih zahtjeva.</w:t>
            </w:r>
            <w:r w:rsidRPr="00B76EFF">
              <w:rPr>
                <w:rFonts w:ascii="Arial" w:hAnsi="Arial" w:cs="Arial"/>
                <w:sz w:val="22"/>
                <w:szCs w:val="22"/>
                <w:lang w:val="sr-Latn-ME" w:eastAsia="en-US"/>
              </w:rPr>
              <w:br/>
              <w:t>Početna / osnovna vrijednost postavljena je na 100%, jer su sprovedene dvije OLAF posjete na terenu, koje su obrađene i završene bez problema.</w:t>
            </w:r>
          </w:p>
        </w:tc>
      </w:tr>
      <w:tr w:rsidR="00B76EFF" w:rsidRPr="00B76EFF" w:rsidTr="00B76EFF">
        <w:tc>
          <w:tcPr>
            <w:tcW w:w="414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1560" w:type="dxa"/>
            <w:vMerge w:val="restart"/>
            <w:tcBorders>
              <w:top w:val="nil"/>
              <w:right w:val="nil"/>
            </w:tcBorders>
          </w:tcPr>
          <w:p w:rsidR="00B76EFF" w:rsidRPr="00B76EFF" w:rsidRDefault="00B76EFF" w:rsidP="00B76EFF">
            <w:pPr>
              <w:spacing w:after="160" w:line="259" w:lineRule="auto"/>
              <w:rPr>
                <w:rFonts w:ascii="Arial" w:hAnsi="Arial" w:cs="Arial"/>
                <w:sz w:val="22"/>
                <w:szCs w:val="22"/>
                <w:lang w:val="sr-Latn-ME" w:eastAsia="en-US"/>
              </w:rPr>
            </w:pPr>
          </w:p>
        </w:tc>
        <w:tc>
          <w:tcPr>
            <w:tcW w:w="2931" w:type="dxa"/>
            <w:gridSpan w:val="2"/>
            <w:vMerge w:val="restart"/>
            <w:tcBorders>
              <w:top w:val="nil"/>
              <w:left w:val="nil"/>
              <w:right w:val="nil"/>
            </w:tcBorders>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Procenat (%)pravilno obrađenih OLAF-ovih zahtjeva =</w:t>
            </w:r>
          </w:p>
        </w:tc>
        <w:tc>
          <w:tcPr>
            <w:tcW w:w="2738" w:type="dxa"/>
            <w:gridSpan w:val="2"/>
            <w:tcBorders>
              <w:top w:val="nil"/>
              <w:left w:val="nil"/>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pravilno obrađenih i završenih OLAF zahteva</w:t>
            </w:r>
          </w:p>
        </w:tc>
        <w:tc>
          <w:tcPr>
            <w:tcW w:w="2842" w:type="dxa"/>
            <w:vMerge w:val="restart"/>
            <w:tcBorders>
              <w:top w:val="nil"/>
              <w:left w:val="nil"/>
            </w:tcBorders>
            <w:vAlign w:val="center"/>
          </w:tcPr>
          <w:p w:rsidR="00B76EFF" w:rsidRPr="00B76EFF" w:rsidRDefault="00B76EFF" w:rsidP="00B76EFF">
            <w:pPr>
              <w:spacing w:after="160" w:line="259" w:lineRule="auto"/>
              <w:rPr>
                <w:rFonts w:ascii="Arial" w:hAnsi="Arial" w:cs="Arial"/>
                <w:sz w:val="22"/>
                <w:szCs w:val="22"/>
                <w:lang w:val="sr-Latn-ME" w:eastAsia="en-US"/>
              </w:rPr>
            </w:pPr>
          </w:p>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X 100</w:t>
            </w:r>
          </w:p>
        </w:tc>
      </w:tr>
      <w:tr w:rsidR="00B76EFF" w:rsidRPr="00B76EFF" w:rsidTr="00B76EFF">
        <w:tc>
          <w:tcPr>
            <w:tcW w:w="414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1560" w:type="dxa"/>
            <w:vMerge/>
            <w:tcBorders>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p>
        </w:tc>
        <w:tc>
          <w:tcPr>
            <w:tcW w:w="2931" w:type="dxa"/>
            <w:gridSpan w:val="2"/>
            <w:vMerge/>
            <w:tcBorders>
              <w:left w:val="nil"/>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p>
        </w:tc>
        <w:tc>
          <w:tcPr>
            <w:tcW w:w="2738" w:type="dxa"/>
            <w:gridSpan w:val="2"/>
            <w:tcBorders>
              <w:left w:val="nil"/>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Broj svih OLAF-ovih zahtjeva</w:t>
            </w:r>
          </w:p>
        </w:tc>
        <w:tc>
          <w:tcPr>
            <w:tcW w:w="2842" w:type="dxa"/>
            <w:vMerge/>
            <w:tcBorders>
              <w:left w:val="nil"/>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c>
          <w:tcPr>
            <w:tcW w:w="4149"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početnoj vrijednosti i o ciljnim vrijednostima</w:t>
            </w:r>
          </w:p>
        </w:tc>
        <w:tc>
          <w:tcPr>
            <w:tcW w:w="2409"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Godina</w:t>
            </w:r>
          </w:p>
        </w:tc>
        <w:tc>
          <w:tcPr>
            <w:tcW w:w="2410"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Početna vrijednost u 2024</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2026</w:t>
            </w:r>
          </w:p>
        </w:tc>
        <w:tc>
          <w:tcPr>
            <w:tcW w:w="2842"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2028</w:t>
            </w:r>
          </w:p>
        </w:tc>
      </w:tr>
      <w:tr w:rsidR="00B76EFF" w:rsidRPr="00B76EFF" w:rsidTr="00B76EFF">
        <w:tc>
          <w:tcPr>
            <w:tcW w:w="4149"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2409"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Vrijednost</w:t>
            </w:r>
          </w:p>
        </w:tc>
        <w:tc>
          <w:tcPr>
            <w:tcW w:w="2410"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100%</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100%</w:t>
            </w:r>
          </w:p>
        </w:tc>
        <w:tc>
          <w:tcPr>
            <w:tcW w:w="2842" w:type="dxa"/>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100%</w:t>
            </w:r>
          </w:p>
        </w:tc>
      </w:tr>
    </w:tbl>
    <w:p w:rsidR="00B76EFF" w:rsidRPr="00B76EFF" w:rsidRDefault="00B76EFF" w:rsidP="00B76EFF">
      <w:pPr>
        <w:spacing w:after="160" w:line="259" w:lineRule="auto"/>
        <w:rPr>
          <w:rFonts w:ascii="Arial" w:hAnsi="Arial" w:cs="Arial"/>
        </w:rPr>
      </w:pPr>
    </w:p>
    <w:p w:rsidR="00B76EFF" w:rsidRPr="00B76EFF" w:rsidRDefault="00B76EFF" w:rsidP="00B76EFF">
      <w:pPr>
        <w:spacing w:after="160" w:line="259" w:lineRule="auto"/>
        <w:rPr>
          <w:rFonts w:ascii="Arial" w:hAnsi="Arial" w:cs="Arial"/>
        </w:rPr>
      </w:pPr>
      <w:r w:rsidRPr="00B76EFF">
        <w:rPr>
          <w:rFonts w:ascii="Arial" w:hAnsi="Arial" w:cs="Arial"/>
          <w:lang w:val="sr-Latn-ME"/>
        </w:rPr>
        <w:t>Pasoš br. 12 (za indikator uspjeha 6.1)</w:t>
      </w:r>
    </w:p>
    <w:tbl>
      <w:tblPr>
        <w:tblStyle w:val="TableGrid"/>
        <w:tblW w:w="14175" w:type="dxa"/>
        <w:jc w:val="center"/>
        <w:tblLook w:val="04A0" w:firstRow="1" w:lastRow="0" w:firstColumn="1" w:lastColumn="0" w:noHBand="0" w:noVBand="1"/>
      </w:tblPr>
      <w:tblGrid>
        <w:gridCol w:w="4536"/>
        <w:gridCol w:w="1843"/>
        <w:gridCol w:w="566"/>
        <w:gridCol w:w="1560"/>
        <w:gridCol w:w="850"/>
        <w:gridCol w:w="2410"/>
        <w:gridCol w:w="2410"/>
      </w:tblGrid>
      <w:tr w:rsidR="00B76EFF" w:rsidRPr="00B76EFF" w:rsidTr="00B76EFF">
        <w:trPr>
          <w:jc w:val="center"/>
        </w:trPr>
        <w:tc>
          <w:tcPr>
            <w:tcW w:w="4536" w:type="dxa"/>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Kategorija</w:t>
            </w:r>
          </w:p>
        </w:tc>
        <w:tc>
          <w:tcPr>
            <w:tcW w:w="9639" w:type="dxa"/>
            <w:gridSpan w:val="6"/>
            <w:shd w:val="clear" w:color="auto" w:fill="657C9C" w:themeFill="text2" w:themeFillTint="BF"/>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Opis</w:t>
            </w:r>
          </w:p>
        </w:tc>
      </w:tr>
      <w:tr w:rsidR="00B76EFF" w:rsidRPr="00B76EFF" w:rsidTr="00B76EFF">
        <w:trPr>
          <w:jc w:val="center"/>
        </w:trPr>
        <w:tc>
          <w:tcPr>
            <w:tcW w:w="4536"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Naziv indikatora</w:t>
            </w:r>
          </w:p>
        </w:tc>
        <w:tc>
          <w:tcPr>
            <w:tcW w:w="9639" w:type="dxa"/>
            <w:gridSpan w:val="6"/>
            <w:shd w:val="clear" w:color="auto" w:fill="DEEAF6" w:themeFill="accent1" w:themeFillTint="33"/>
          </w:tcPr>
          <w:p w:rsidR="00B76EFF" w:rsidRPr="00B76EFF" w:rsidRDefault="00B76EFF" w:rsidP="00B76EFF">
            <w:pPr>
              <w:spacing w:after="160" w:line="259" w:lineRule="auto"/>
              <w:rPr>
                <w:rFonts w:ascii="Arial" w:hAnsi="Arial" w:cs="Arial"/>
                <w:b/>
                <w:bCs/>
                <w:sz w:val="22"/>
                <w:szCs w:val="22"/>
                <w:lang w:val="sr-Latn-ME" w:eastAsia="en-US"/>
              </w:rPr>
            </w:pPr>
            <w:r w:rsidRPr="00B76EFF">
              <w:rPr>
                <w:rFonts w:ascii="Arial" w:hAnsi="Arial" w:cs="Arial"/>
                <w:b/>
                <w:bCs/>
                <w:sz w:val="22"/>
                <w:szCs w:val="22"/>
                <w:lang w:val="sr-Latn-ME" w:eastAsia="en-US"/>
              </w:rPr>
              <w:t>Stopa povraćaja nepravilno utrošenih sredstava</w:t>
            </w:r>
          </w:p>
        </w:tc>
      </w:tr>
      <w:tr w:rsidR="00B76EFF" w:rsidRPr="00B76EFF" w:rsidTr="00B76EFF">
        <w:trPr>
          <w:jc w:val="center"/>
        </w:trPr>
        <w:tc>
          <w:tcPr>
            <w:tcW w:w="4536"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Cilj na koji se indikator odnosi</w:t>
            </w:r>
          </w:p>
        </w:tc>
        <w:tc>
          <w:tcPr>
            <w:tcW w:w="9639"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Operativni cilj 6:</w:t>
            </w:r>
            <w:r w:rsidRPr="00B76EFF">
              <w:rPr>
                <w:rFonts w:ascii="Arial" w:hAnsi="Arial" w:cs="Arial"/>
                <w:sz w:val="22"/>
                <w:szCs w:val="22"/>
                <w:lang w:val="sr-Latn-ME" w:eastAsia="en-US"/>
              </w:rPr>
              <w:t xml:space="preserve"> Unaprijeđenje kapaciteta za osiguranje efektivnog i efikasnog povraćaja nepravilno utrošenih sredstava.</w:t>
            </w:r>
          </w:p>
        </w:tc>
      </w:tr>
      <w:tr w:rsidR="00B76EFF" w:rsidRPr="00B76EFF" w:rsidTr="00B76EFF">
        <w:trPr>
          <w:jc w:val="center"/>
        </w:trPr>
        <w:tc>
          <w:tcPr>
            <w:tcW w:w="4536"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indikatora</w:t>
            </w:r>
          </w:p>
        </w:tc>
        <w:tc>
          <w:tcPr>
            <w:tcW w:w="9639"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Cs/>
                <w:sz w:val="22"/>
                <w:szCs w:val="22"/>
                <w:lang w:val="sr-Latn-ME" w:eastAsia="en-US"/>
              </w:rPr>
              <w:t>Stopa povraćaja nepravilno utrošenih sredstava</w:t>
            </w:r>
            <w:r w:rsidRPr="00B76EFF">
              <w:rPr>
                <w:rFonts w:ascii="Arial" w:hAnsi="Arial" w:cs="Arial"/>
                <w:sz w:val="22"/>
                <w:szCs w:val="22"/>
                <w:lang w:val="sr-Latn-ME" w:eastAsia="en-US"/>
              </w:rPr>
              <w:t xml:space="preserve"> predstavlja procenat ukupnog iznosa koji je povraćen od izvođača / korisnika grantova u odnosu na ukupno utvrđeni iznos povraćaja tokom jedne izvještajne godine.</w:t>
            </w:r>
          </w:p>
        </w:tc>
      </w:tr>
      <w:tr w:rsidR="00B76EFF" w:rsidRPr="00B76EFF" w:rsidTr="00B76EFF">
        <w:trPr>
          <w:jc w:val="center"/>
        </w:trPr>
        <w:tc>
          <w:tcPr>
            <w:tcW w:w="4536"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Podaci koje je potrebno prikupiti</w:t>
            </w:r>
          </w:p>
        </w:tc>
        <w:tc>
          <w:tcPr>
            <w:tcW w:w="9639"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 xml:space="preserve">Ukupni iznos utvrđenih nepravilnosti; Ukupni iznos povraćenih IPA sredstava </w:t>
            </w:r>
          </w:p>
        </w:tc>
      </w:tr>
      <w:tr w:rsidR="00B76EFF" w:rsidRPr="00B76EFF" w:rsidTr="00B76EFF">
        <w:trPr>
          <w:jc w:val="center"/>
        </w:trPr>
        <w:tc>
          <w:tcPr>
            <w:tcW w:w="4536"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Izvor podataka</w:t>
            </w:r>
          </w:p>
        </w:tc>
        <w:tc>
          <w:tcPr>
            <w:tcW w:w="9639"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IMS</w:t>
            </w:r>
          </w:p>
        </w:tc>
      </w:tr>
      <w:tr w:rsidR="00B76EFF" w:rsidRPr="00B76EFF" w:rsidTr="00B76EFF">
        <w:trPr>
          <w:jc w:val="center"/>
        </w:trPr>
        <w:tc>
          <w:tcPr>
            <w:tcW w:w="4536"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instituciji odgovornoj za prikupljanje podataka</w:t>
            </w:r>
          </w:p>
        </w:tc>
        <w:tc>
          <w:tcPr>
            <w:tcW w:w="9639"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Direkcija za zaštitu finansijskih interesa EU/AFCOS – Ministarstvo finansija</w:t>
            </w:r>
          </w:p>
        </w:tc>
      </w:tr>
      <w:tr w:rsidR="00B76EFF" w:rsidRPr="00B76EFF" w:rsidTr="00B76EFF">
        <w:trPr>
          <w:jc w:val="center"/>
        </w:trPr>
        <w:tc>
          <w:tcPr>
            <w:tcW w:w="4536"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prikupljanja podataka</w:t>
            </w:r>
          </w:p>
        </w:tc>
        <w:tc>
          <w:tcPr>
            <w:tcW w:w="9639" w:type="dxa"/>
            <w:gridSpan w:val="6"/>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Godišnje</w:t>
            </w:r>
          </w:p>
        </w:tc>
      </w:tr>
      <w:tr w:rsidR="00B76EFF" w:rsidRPr="00B76EFF" w:rsidTr="00B76EFF">
        <w:trPr>
          <w:jc w:val="center"/>
        </w:trPr>
        <w:tc>
          <w:tcPr>
            <w:tcW w:w="4536" w:type="dxa"/>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Učestalost izvještavanja o vrijednosti indikatora</w:t>
            </w:r>
          </w:p>
        </w:tc>
        <w:tc>
          <w:tcPr>
            <w:tcW w:w="9639" w:type="dxa"/>
            <w:gridSpan w:val="6"/>
            <w:tcBorders>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Jednom u dvije godine – prilikom evaluacije Akcionog plana</w:t>
            </w:r>
          </w:p>
        </w:tc>
      </w:tr>
      <w:tr w:rsidR="00B76EFF" w:rsidRPr="00B76EFF" w:rsidTr="00B76EFF">
        <w:trPr>
          <w:jc w:val="center"/>
        </w:trPr>
        <w:tc>
          <w:tcPr>
            <w:tcW w:w="4536"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Kratak opis metodologije izračunavanja podataka</w:t>
            </w:r>
          </w:p>
          <w:p w:rsidR="00B76EFF" w:rsidRPr="00B76EFF" w:rsidRDefault="00B76EFF" w:rsidP="00B76EFF">
            <w:pPr>
              <w:spacing w:after="160" w:line="259" w:lineRule="auto"/>
              <w:rPr>
                <w:rFonts w:ascii="Arial" w:hAnsi="Arial" w:cs="Arial"/>
                <w:sz w:val="22"/>
                <w:szCs w:val="22"/>
                <w:lang w:val="sr-Latn-ME" w:eastAsia="en-US"/>
              </w:rPr>
            </w:pPr>
          </w:p>
        </w:tc>
        <w:tc>
          <w:tcPr>
            <w:tcW w:w="9639" w:type="dxa"/>
            <w:gridSpan w:val="6"/>
            <w:tcBorders>
              <w:bottom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bCs/>
                <w:sz w:val="22"/>
                <w:szCs w:val="22"/>
                <w:lang w:val="sr-Latn-ME" w:eastAsia="en-US"/>
              </w:rPr>
              <w:t>Stopa povraćaja nepravilno utrošenih sredstava</w:t>
            </w:r>
            <w:r w:rsidRPr="00B76EFF">
              <w:rPr>
                <w:rFonts w:ascii="Arial" w:hAnsi="Arial" w:cs="Arial"/>
                <w:sz w:val="22"/>
                <w:szCs w:val="22"/>
                <w:lang w:val="sr-Latn-ME" w:eastAsia="en-US"/>
              </w:rPr>
              <w:t xml:space="preserve"> računa se tako što se iznos već povraćenih sredstava u jednoj izveštajnoj godini dijeli sa ukupnim iznosom utvrđenih nepravilnosti u istom periodu, uz prilagođavanje za buduće obaveze – iznose koji još treba da se povrate.</w:t>
            </w:r>
            <w:r w:rsidRPr="00B76EFF">
              <w:rPr>
                <w:rFonts w:ascii="Arial" w:hAnsi="Arial" w:cs="Arial"/>
                <w:sz w:val="22"/>
                <w:szCs w:val="22"/>
                <w:lang w:val="sr-Latn-ME" w:eastAsia="en-US"/>
              </w:rPr>
              <w:br/>
              <w:t>Početna / osnovna vrijednost postavljena je na 43% na osnovu statističke analize iznosa nepravilnosti na nivou programa uključene u Analizu rizika od prevara iz 2024. godine</w:t>
            </w:r>
            <w:r w:rsidRPr="00B76EFF">
              <w:rPr>
                <w:rFonts w:ascii="Arial" w:hAnsi="Arial" w:cs="Arial"/>
                <w:sz w:val="22"/>
                <w:szCs w:val="22"/>
                <w:vertAlign w:val="superscript"/>
                <w:lang w:val="sr-Latn-ME" w:eastAsia="en-US"/>
              </w:rPr>
              <w:t xml:space="preserve"> </w:t>
            </w:r>
            <w:r w:rsidRPr="00B76EFF">
              <w:rPr>
                <w:rFonts w:ascii="Arial" w:hAnsi="Arial" w:cs="Arial"/>
                <w:sz w:val="22"/>
                <w:szCs w:val="22"/>
                <w:vertAlign w:val="superscript"/>
                <w:lang w:val="sr-Latn-ME" w:eastAsia="en-US"/>
              </w:rPr>
              <w:footnoteReference w:id="18"/>
            </w:r>
            <w:r w:rsidRPr="00B76EFF">
              <w:rPr>
                <w:rFonts w:ascii="Arial" w:hAnsi="Arial" w:cs="Arial"/>
                <w:sz w:val="22"/>
                <w:szCs w:val="22"/>
                <w:lang w:val="sr-Latn-ME" w:eastAsia="en-US"/>
              </w:rPr>
              <w:t xml:space="preserve">. </w:t>
            </w:r>
          </w:p>
        </w:tc>
      </w:tr>
      <w:tr w:rsidR="00B76EFF" w:rsidRPr="00B76EFF" w:rsidTr="00B76EFF">
        <w:trPr>
          <w:jc w:val="center"/>
        </w:trPr>
        <w:tc>
          <w:tcPr>
            <w:tcW w:w="4536"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1843" w:type="dxa"/>
            <w:vMerge w:val="restart"/>
            <w:tcBorders>
              <w:top w:val="nil"/>
              <w:right w:val="nil"/>
            </w:tcBorders>
          </w:tcPr>
          <w:p w:rsidR="00B76EFF" w:rsidRPr="00B76EFF" w:rsidRDefault="00B76EFF" w:rsidP="00B76EFF">
            <w:pPr>
              <w:spacing w:after="160" w:line="259" w:lineRule="auto"/>
              <w:rPr>
                <w:rFonts w:ascii="Arial" w:hAnsi="Arial" w:cs="Arial"/>
                <w:sz w:val="22"/>
                <w:szCs w:val="22"/>
                <w:lang w:val="sr-Latn-ME" w:eastAsia="en-US"/>
              </w:rPr>
            </w:pPr>
          </w:p>
        </w:tc>
        <w:tc>
          <w:tcPr>
            <w:tcW w:w="2126" w:type="dxa"/>
            <w:gridSpan w:val="2"/>
            <w:vMerge w:val="restart"/>
            <w:tcBorders>
              <w:top w:val="nil"/>
              <w:left w:val="nil"/>
              <w:right w:val="nil"/>
            </w:tcBorders>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Stopa povraćaja=</w:t>
            </w:r>
          </w:p>
        </w:tc>
        <w:tc>
          <w:tcPr>
            <w:tcW w:w="3260" w:type="dxa"/>
            <w:gridSpan w:val="2"/>
            <w:tcBorders>
              <w:top w:val="nil"/>
              <w:left w:val="nil"/>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iznos već povraćenih IPA sredstava</w:t>
            </w:r>
          </w:p>
        </w:tc>
        <w:tc>
          <w:tcPr>
            <w:tcW w:w="2410" w:type="dxa"/>
            <w:vMerge w:val="restart"/>
            <w:tcBorders>
              <w:top w:val="nil"/>
              <w:left w:val="nil"/>
            </w:tcBorders>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X 100</w:t>
            </w:r>
          </w:p>
        </w:tc>
      </w:tr>
      <w:tr w:rsidR="00B76EFF" w:rsidRPr="00B76EFF" w:rsidTr="00B76EFF">
        <w:trPr>
          <w:jc w:val="center"/>
        </w:trPr>
        <w:tc>
          <w:tcPr>
            <w:tcW w:w="4536"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1843" w:type="dxa"/>
            <w:vMerge/>
            <w:tcBorders>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p>
        </w:tc>
        <w:tc>
          <w:tcPr>
            <w:tcW w:w="2126" w:type="dxa"/>
            <w:gridSpan w:val="2"/>
            <w:vMerge/>
            <w:tcBorders>
              <w:left w:val="nil"/>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p>
        </w:tc>
        <w:tc>
          <w:tcPr>
            <w:tcW w:w="3260" w:type="dxa"/>
            <w:gridSpan w:val="2"/>
            <w:tcBorders>
              <w:left w:val="nil"/>
              <w:bottom w:val="single" w:sz="4" w:space="0" w:color="auto"/>
              <w:right w:val="nil"/>
            </w:tcBorders>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ukupnim iznosom utvrđenih nepravilnosti (uz prilagođavanja)</w:t>
            </w:r>
          </w:p>
        </w:tc>
        <w:tc>
          <w:tcPr>
            <w:tcW w:w="2410" w:type="dxa"/>
            <w:vMerge/>
            <w:tcBorders>
              <w:left w:val="nil"/>
              <w:bottom w:val="single" w:sz="4" w:space="0" w:color="auto"/>
            </w:tcBorders>
          </w:tcPr>
          <w:p w:rsidR="00B76EFF" w:rsidRPr="00B76EFF" w:rsidRDefault="00B76EFF" w:rsidP="00B76EFF">
            <w:pPr>
              <w:spacing w:after="160" w:line="259" w:lineRule="auto"/>
              <w:rPr>
                <w:rFonts w:ascii="Arial" w:hAnsi="Arial" w:cs="Arial"/>
                <w:sz w:val="22"/>
                <w:szCs w:val="22"/>
                <w:lang w:val="sr-Latn-ME" w:eastAsia="en-US"/>
              </w:rPr>
            </w:pPr>
          </w:p>
        </w:tc>
      </w:tr>
      <w:tr w:rsidR="00B76EFF" w:rsidRPr="00B76EFF" w:rsidTr="00B76EFF">
        <w:trPr>
          <w:jc w:val="center"/>
        </w:trPr>
        <w:tc>
          <w:tcPr>
            <w:tcW w:w="4536" w:type="dxa"/>
            <w:vMerge w:val="restart"/>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Informacija o početnoj vrijednosti i o ciljnim vrijednostima</w:t>
            </w:r>
          </w:p>
        </w:tc>
        <w:tc>
          <w:tcPr>
            <w:tcW w:w="2409"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Godina</w:t>
            </w:r>
          </w:p>
        </w:tc>
        <w:tc>
          <w:tcPr>
            <w:tcW w:w="2410"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Početna vrijednost u 2024</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2026</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b/>
                <w:sz w:val="22"/>
                <w:szCs w:val="22"/>
                <w:lang w:val="sr-Latn-ME" w:eastAsia="en-US"/>
              </w:rPr>
              <w:t>Željena vrijednost u 2028</w:t>
            </w:r>
          </w:p>
        </w:tc>
      </w:tr>
      <w:tr w:rsidR="00B76EFF" w:rsidRPr="00B76EFF" w:rsidTr="00B76EFF">
        <w:trPr>
          <w:jc w:val="center"/>
        </w:trPr>
        <w:tc>
          <w:tcPr>
            <w:tcW w:w="4536" w:type="dxa"/>
            <w:vMerge/>
            <w:shd w:val="clear" w:color="auto" w:fill="DEEAF6" w:themeFill="accent1" w:themeFillTint="33"/>
          </w:tcPr>
          <w:p w:rsidR="00B76EFF" w:rsidRPr="00B76EFF" w:rsidRDefault="00B76EFF" w:rsidP="00B76EFF">
            <w:pPr>
              <w:spacing w:after="160" w:line="259" w:lineRule="auto"/>
              <w:rPr>
                <w:rFonts w:ascii="Arial" w:hAnsi="Arial" w:cs="Arial"/>
                <w:sz w:val="22"/>
                <w:szCs w:val="22"/>
                <w:lang w:val="sr-Latn-ME" w:eastAsia="en-US"/>
              </w:rPr>
            </w:pPr>
          </w:p>
        </w:tc>
        <w:tc>
          <w:tcPr>
            <w:tcW w:w="2409"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Vrijednost</w:t>
            </w:r>
          </w:p>
        </w:tc>
        <w:tc>
          <w:tcPr>
            <w:tcW w:w="2410" w:type="dxa"/>
            <w:gridSpan w:val="2"/>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43%</w:t>
            </w:r>
          </w:p>
        </w:tc>
        <w:tc>
          <w:tcPr>
            <w:tcW w:w="2410" w:type="dxa"/>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60%</w:t>
            </w:r>
          </w:p>
        </w:tc>
        <w:tc>
          <w:tcPr>
            <w:tcW w:w="2410" w:type="dxa"/>
            <w:vAlign w:val="center"/>
          </w:tcPr>
          <w:p w:rsidR="00B76EFF" w:rsidRPr="00B76EFF" w:rsidRDefault="00B76EFF" w:rsidP="00B76EFF">
            <w:pPr>
              <w:spacing w:after="160" w:line="259" w:lineRule="auto"/>
              <w:rPr>
                <w:rFonts w:ascii="Arial" w:hAnsi="Arial" w:cs="Arial"/>
                <w:sz w:val="22"/>
                <w:szCs w:val="22"/>
                <w:lang w:val="sr-Latn-ME" w:eastAsia="en-US"/>
              </w:rPr>
            </w:pPr>
            <w:r w:rsidRPr="00B76EFF">
              <w:rPr>
                <w:rFonts w:ascii="Arial" w:hAnsi="Arial" w:cs="Arial"/>
                <w:sz w:val="22"/>
                <w:szCs w:val="22"/>
                <w:lang w:val="sr-Latn-ME" w:eastAsia="en-US"/>
              </w:rPr>
              <w:t>75%</w:t>
            </w:r>
          </w:p>
        </w:tc>
      </w:tr>
    </w:tbl>
    <w:p w:rsidR="00B76EFF" w:rsidRPr="00B76EFF" w:rsidRDefault="00B76EFF" w:rsidP="00B76EFF">
      <w:pPr>
        <w:spacing w:after="160" w:line="259" w:lineRule="auto"/>
        <w:rPr>
          <w:rFonts w:ascii="Arial" w:hAnsi="Arial" w:cs="Arial"/>
        </w:rPr>
      </w:pPr>
    </w:p>
    <w:p w:rsidR="00B76EFF" w:rsidRDefault="00B76EFF" w:rsidP="00B76EFF">
      <w:pPr>
        <w:spacing w:after="160" w:line="259" w:lineRule="auto"/>
        <w:rPr>
          <w:rFonts w:ascii="Arial" w:hAnsi="Arial" w:cs="Arial"/>
        </w:rPr>
      </w:pPr>
    </w:p>
    <w:p w:rsidR="00621357" w:rsidRDefault="00621357" w:rsidP="00B76EFF">
      <w:pPr>
        <w:spacing w:after="160" w:line="259" w:lineRule="auto"/>
        <w:rPr>
          <w:rFonts w:ascii="Arial" w:hAnsi="Arial" w:cs="Arial"/>
        </w:rPr>
      </w:pPr>
    </w:p>
    <w:p w:rsidR="00621357" w:rsidRDefault="00621357" w:rsidP="00B76EFF">
      <w:pPr>
        <w:spacing w:after="160" w:line="259" w:lineRule="auto"/>
        <w:rPr>
          <w:rFonts w:ascii="Arial" w:hAnsi="Arial" w:cs="Arial"/>
        </w:rPr>
      </w:pPr>
    </w:p>
    <w:p w:rsidR="00621357" w:rsidRDefault="00621357" w:rsidP="00B76EFF">
      <w:pPr>
        <w:spacing w:after="160" w:line="259" w:lineRule="auto"/>
        <w:rPr>
          <w:rFonts w:ascii="Arial" w:hAnsi="Arial" w:cs="Arial"/>
        </w:rPr>
      </w:pPr>
    </w:p>
    <w:p w:rsidR="00621357" w:rsidRDefault="00621357" w:rsidP="00B76EFF">
      <w:pPr>
        <w:spacing w:after="160" w:line="259" w:lineRule="auto"/>
        <w:rPr>
          <w:rFonts w:ascii="Arial" w:hAnsi="Arial" w:cs="Arial"/>
        </w:rPr>
      </w:pPr>
    </w:p>
    <w:p w:rsidR="00621357" w:rsidRDefault="00621357" w:rsidP="00B76EFF">
      <w:pPr>
        <w:spacing w:after="160" w:line="259" w:lineRule="auto"/>
        <w:rPr>
          <w:rFonts w:ascii="Arial" w:hAnsi="Arial" w:cs="Arial"/>
        </w:rPr>
      </w:pPr>
    </w:p>
    <w:p w:rsidR="00621357" w:rsidRPr="00B76EFF" w:rsidRDefault="00621357" w:rsidP="00B76EFF">
      <w:pPr>
        <w:spacing w:after="160" w:line="259" w:lineRule="auto"/>
        <w:rPr>
          <w:rFonts w:ascii="Arial" w:hAnsi="Arial" w:cs="Arial"/>
        </w:rPr>
      </w:pPr>
    </w:p>
    <w:p w:rsidR="00B76EFF" w:rsidRPr="00621357" w:rsidRDefault="00621357" w:rsidP="00621357">
      <w:pPr>
        <w:spacing w:after="160" w:line="259" w:lineRule="auto"/>
        <w:jc w:val="center"/>
        <w:rPr>
          <w:rFonts w:ascii="Arial" w:hAnsi="Arial" w:cs="Arial"/>
          <w:b/>
        </w:rPr>
      </w:pPr>
      <w:r w:rsidRPr="00621357">
        <w:rPr>
          <w:rFonts w:ascii="Arial" w:hAnsi="Arial" w:cs="Arial"/>
          <w:b/>
        </w:rPr>
        <w:t>AKCIONI PLAN 2025-2026</w:t>
      </w:r>
    </w:p>
    <w:tbl>
      <w:tblPr>
        <w:tblStyle w:val="TableGrid"/>
        <w:tblW w:w="15310"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40"/>
        <w:gridCol w:w="1932"/>
        <w:gridCol w:w="2039"/>
        <w:gridCol w:w="1818"/>
        <w:gridCol w:w="36"/>
        <w:gridCol w:w="560"/>
        <w:gridCol w:w="643"/>
        <w:gridCol w:w="34"/>
        <w:gridCol w:w="1373"/>
        <w:gridCol w:w="78"/>
        <w:gridCol w:w="2128"/>
        <w:gridCol w:w="383"/>
        <w:gridCol w:w="1746"/>
      </w:tblGrid>
      <w:tr w:rsidR="00621357" w:rsidRPr="00621357" w:rsidTr="007904C2">
        <w:tc>
          <w:tcPr>
            <w:tcW w:w="2540" w:type="dxa"/>
            <w:shd w:val="clear" w:color="auto" w:fill="7BAAEF"/>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Strateški cilj</w:t>
            </w:r>
          </w:p>
        </w:tc>
        <w:tc>
          <w:tcPr>
            <w:tcW w:w="12770" w:type="dxa"/>
            <w:gridSpan w:val="12"/>
            <w:shd w:val="clear" w:color="auto" w:fill="7BAAEF"/>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Smanjiti prevaru i druge nepravilnosti koje utiču na EU finansijske interese u Crnoj Gori do 2028. godine jačanjem AFCOS sistema, koordinacione uloge Direkcije za zaštitu finansijskih interesa EU/AFCOS, poboljšanjem saradnje među svim zainteresovanim stranama, sprovođenjem preventivnih mjera i održavanjem kapaciteta za detekciju nepravilnosti, čime će se osigurati zaštita novca poreskih obveznika EU i Crne Gore, kao i efikasna i efektivna upotreba EU resursa.</w:t>
            </w:r>
          </w:p>
        </w:tc>
      </w:tr>
      <w:tr w:rsidR="00621357" w:rsidRPr="00621357" w:rsidTr="007904C2">
        <w:tc>
          <w:tcPr>
            <w:tcW w:w="2540" w:type="dxa"/>
            <w:shd w:val="clear" w:color="auto" w:fill="7BAAEF"/>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uspjeha</w:t>
            </w:r>
          </w:p>
        </w:tc>
        <w:tc>
          <w:tcPr>
            <w:tcW w:w="7062" w:type="dxa"/>
            <w:gridSpan w:val="7"/>
            <w:shd w:val="clear" w:color="auto" w:fill="7BAAEF"/>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Stopa otkrivanja nepravilnosti</w:t>
            </w:r>
          </w:p>
        </w:tc>
        <w:tc>
          <w:tcPr>
            <w:tcW w:w="1373"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Početna vrijednost u 2024: </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1.53%</w:t>
            </w:r>
          </w:p>
        </w:tc>
        <w:tc>
          <w:tcPr>
            <w:tcW w:w="2589" w:type="dxa"/>
            <w:gridSpan w:val="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 vrijednost u 2026:</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&lt;1.53%</w:t>
            </w:r>
          </w:p>
        </w:tc>
        <w:tc>
          <w:tcPr>
            <w:tcW w:w="1746"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Ciljana vrijednost u 2028: </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&lt;1.53%</w:t>
            </w:r>
          </w:p>
        </w:tc>
      </w:tr>
      <w:tr w:rsidR="00621357" w:rsidRPr="00621357" w:rsidTr="007904C2">
        <w:tc>
          <w:tcPr>
            <w:tcW w:w="2540" w:type="dxa"/>
            <w:shd w:val="clear" w:color="auto" w:fill="DEEAF6" w:themeFill="accent1" w:themeFillTint="3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Operativni cilj 1</w:t>
            </w:r>
          </w:p>
        </w:tc>
        <w:tc>
          <w:tcPr>
            <w:tcW w:w="12770" w:type="dxa"/>
            <w:gridSpan w:val="12"/>
            <w:shd w:val="clear" w:color="auto" w:fill="DEEAF6" w:themeFill="accent1" w:themeFillTint="3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Unaprjeđenje pravnog okvira u cilju finalizacije uspostavljanja potpuno funkcionalnog AFCOS sistema</w:t>
            </w:r>
          </w:p>
          <w:p w:rsidR="00621357" w:rsidRPr="00621357" w:rsidRDefault="00621357" w:rsidP="00621357">
            <w:pPr>
              <w:spacing w:after="160" w:line="259" w:lineRule="auto"/>
              <w:rPr>
                <w:rFonts w:ascii="Arial" w:hAnsi="Arial" w:cs="Arial"/>
                <w:sz w:val="22"/>
                <w:szCs w:val="22"/>
                <w:lang w:val="sr-Latn-ME" w:eastAsia="en-US"/>
              </w:rPr>
            </w:pPr>
          </w:p>
        </w:tc>
      </w:tr>
      <w:tr w:rsidR="00621357" w:rsidRPr="00621357" w:rsidTr="007904C2">
        <w:tc>
          <w:tcPr>
            <w:tcW w:w="2540"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uspjeha 1.1</w:t>
            </w:r>
          </w:p>
        </w:tc>
        <w:tc>
          <w:tcPr>
            <w:tcW w:w="7062" w:type="dxa"/>
            <w:gridSpan w:val="7"/>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Uspostavljen operativan i potpuno funkcionalan AFCOS sistem</w:t>
            </w:r>
          </w:p>
        </w:tc>
        <w:tc>
          <w:tcPr>
            <w:tcW w:w="1373"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Početna vrijednost u 2024: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30%</w:t>
            </w:r>
          </w:p>
        </w:tc>
        <w:tc>
          <w:tcPr>
            <w:tcW w:w="2589" w:type="dxa"/>
            <w:gridSpan w:val="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 vrijednost u 2026:</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60%</w:t>
            </w:r>
          </w:p>
        </w:tc>
        <w:tc>
          <w:tcPr>
            <w:tcW w:w="1746"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Ciljana vrijednost u 2028: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100%</w:t>
            </w:r>
          </w:p>
        </w:tc>
      </w:tr>
      <w:tr w:rsidR="00621357" w:rsidRPr="00621357" w:rsidTr="007904C2">
        <w:tc>
          <w:tcPr>
            <w:tcW w:w="2540"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bookmarkStart w:id="27" w:name="_Hlk194042714"/>
            <w:r w:rsidRPr="00621357">
              <w:rPr>
                <w:rFonts w:ascii="Arial" w:hAnsi="Arial" w:cs="Arial"/>
                <w:b/>
                <w:sz w:val="22"/>
                <w:szCs w:val="22"/>
                <w:lang w:val="sr-Latn-ME" w:eastAsia="en-US"/>
              </w:rPr>
              <w:t>Mjere povezane sa operativnim ciljem 1</w:t>
            </w:r>
          </w:p>
        </w:tc>
        <w:tc>
          <w:tcPr>
            <w:tcW w:w="1932"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Aktivnost</w:t>
            </w:r>
          </w:p>
        </w:tc>
        <w:tc>
          <w:tcPr>
            <w:tcW w:w="2039"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učinka</w:t>
            </w:r>
          </w:p>
        </w:tc>
        <w:tc>
          <w:tcPr>
            <w:tcW w:w="1854" w:type="dxa"/>
            <w:gridSpan w:val="2"/>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Odgovorna institucija</w:t>
            </w:r>
          </w:p>
        </w:tc>
        <w:tc>
          <w:tcPr>
            <w:tcW w:w="1237" w:type="dxa"/>
            <w:gridSpan w:val="3"/>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Datum početka </w:t>
            </w:r>
          </w:p>
        </w:tc>
        <w:tc>
          <w:tcPr>
            <w:tcW w:w="1373"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Datum završetka</w:t>
            </w:r>
          </w:p>
        </w:tc>
        <w:tc>
          <w:tcPr>
            <w:tcW w:w="2589" w:type="dxa"/>
            <w:gridSpan w:val="3"/>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Predviđeni troškovi</w:t>
            </w:r>
          </w:p>
        </w:tc>
        <w:tc>
          <w:tcPr>
            <w:tcW w:w="1746"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Izvor finansiranja</w:t>
            </w:r>
          </w:p>
        </w:tc>
      </w:tr>
      <w:bookmarkEnd w:id="27"/>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1.1. Usvajanje izmjena i dopuna Zakona o budžetu i fiskalnoj odgovornosti</w:t>
            </w: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Usvojiti izmjene i dopune Zakona o budžetu i fiskalnoj odgovornosti</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Izmjene i dopune Zakona o budžetu i fiskalnoj odgovornosti usvojene</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 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3.500,00EUR</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Twinning light projekat </w:t>
            </w:r>
            <w:r w:rsidRPr="00621357">
              <w:rPr>
                <w:rFonts w:ascii="Arial" w:hAnsi="Arial" w:cs="Arial"/>
                <w:bCs/>
                <w:sz w:val="22"/>
                <w:szCs w:val="22"/>
                <w:lang w:val="sr-Latn-ME" w:eastAsia="en-US"/>
              </w:rPr>
              <w:t>„Dalje unaprijeđenje funkcionisanja crnogorskog AFCOS sistema u cilju efikasne zaštite finansijskih interesa EU“</w:t>
            </w:r>
          </w:p>
        </w:tc>
      </w:tr>
      <w:tr w:rsidR="00621357" w:rsidRPr="00621357" w:rsidTr="007904C2">
        <w:tc>
          <w:tcPr>
            <w:tcW w:w="2540" w:type="dxa"/>
            <w:vMerge w:val="restart"/>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1.2. Usvajanje podzakonskih akata za funkcionisanje sistema zaštite finansijskih interesa EU u CG</w:t>
            </w: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Usvojiti Uredbu o institucionalnom okviru funkcionisanja sistema za borbu protiv prevara i nepravilnosti (AFCOS sistem) </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Uredba o institucionalnom okviru funkcionisanja sistema za borbu protiv prevara i nepravilnosti (AFCOS sistem) usvojena</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Direkcija za zaštitu finansijskih interesa EU /Ministarstvo finansija</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 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3.500,00EUR</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Twinning light projekat </w:t>
            </w:r>
            <w:r w:rsidRPr="00621357">
              <w:rPr>
                <w:rFonts w:ascii="Arial" w:hAnsi="Arial" w:cs="Arial"/>
                <w:bCs/>
                <w:sz w:val="22"/>
                <w:szCs w:val="22"/>
                <w:lang w:val="sr-Latn-ME" w:eastAsia="en-US"/>
              </w:rPr>
              <w:t>„Dalje unaprijeđenje funkcionisanja crnogorskog AFCOS sistema u cilju efikasne zaštite finansijskih interesa EU“</w:t>
            </w:r>
          </w:p>
        </w:tc>
      </w:tr>
      <w:tr w:rsidR="00621357" w:rsidRPr="00621357" w:rsidTr="007904C2">
        <w:trPr>
          <w:trHeight w:val="848"/>
        </w:trPr>
        <w:tc>
          <w:tcPr>
            <w:tcW w:w="2540" w:type="dxa"/>
            <w:vMerge/>
          </w:tcPr>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Usvojiti Uredbu o načinu sprovođenja podrške EU kroz Instrument za Reformu i rast</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Uredbu o načinu sprovođenja podrške EU kroz Instrument za Reformu i rast usvojena</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III 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2540" w:type="dxa"/>
            <w:vMerge/>
          </w:tcPr>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Usvojiti Odluku o uspostavljanju Radnog tijela za sprovodjenje aktivnosti na polju zaštite finansijskih interesa EU u CG</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Odluka o uspostavljanju Radnog tijela za sprovodjenje aktivnosti na polju zaštite finansijskih interesa EU u CG usvojena</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Direkcija za zaštitu finansijskih interesa EU /Ministarstvo finansija</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 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IVQ2025</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3.500,00EUR</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Twinning light projekat </w:t>
            </w:r>
            <w:r w:rsidRPr="00621357">
              <w:rPr>
                <w:rFonts w:ascii="Arial" w:hAnsi="Arial" w:cs="Arial"/>
                <w:bCs/>
                <w:sz w:val="22"/>
                <w:szCs w:val="22"/>
                <w:lang w:val="sr-Latn-ME" w:eastAsia="en-US"/>
              </w:rPr>
              <w:t>„Dalje unaprijeđenje funkcionisanja crnogorskog AFCOS sistema u cilju efikasne zaštite finansijskih interesa EU“</w:t>
            </w: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bookmarkStart w:id="28" w:name="_Hlk197948728"/>
            <w:r w:rsidRPr="00621357">
              <w:rPr>
                <w:rFonts w:ascii="Arial" w:hAnsi="Arial" w:cs="Arial"/>
                <w:sz w:val="22"/>
                <w:szCs w:val="22"/>
                <w:lang w:val="sr-Latn-ME" w:eastAsia="en-US"/>
              </w:rPr>
              <w:t>1.3. Dalje uskladjivanje nacionalnog zakonodavstva sa EU legislativom/PIF Direktivom</w:t>
            </w:r>
          </w:p>
        </w:tc>
        <w:tc>
          <w:tcPr>
            <w:tcW w:w="1932" w:type="dxa"/>
          </w:tcPr>
          <w:p w:rsidR="00621357" w:rsidRPr="00621357" w:rsidRDefault="00621357" w:rsidP="00621357">
            <w:pPr>
              <w:spacing w:after="160" w:line="259" w:lineRule="auto"/>
              <w:rPr>
                <w:rFonts w:ascii="Arial" w:hAnsi="Arial" w:cs="Arial"/>
                <w:sz w:val="22"/>
                <w:szCs w:val="22"/>
                <w:lang w:val="sr-Latn-ME" w:eastAsia="en-US"/>
              </w:rPr>
            </w:pPr>
            <w:bookmarkStart w:id="29" w:name="_Hlk197951183"/>
            <w:r w:rsidRPr="00621357">
              <w:rPr>
                <w:rFonts w:ascii="Arial" w:hAnsi="Arial" w:cs="Arial"/>
                <w:sz w:val="22"/>
                <w:szCs w:val="22"/>
                <w:lang w:val="sr-Latn-ME" w:eastAsia="en-US"/>
              </w:rPr>
              <w:t xml:space="preserve">Usvojiti amandmane Krivičnog zakonika u skladu sa PIF Direktivom </w:t>
            </w:r>
            <w:bookmarkEnd w:id="29"/>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Krivični zakonik u dijelu uskladjenosti sa PIF Direktivom izmijenjen</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Direktorat za krivično i građansko zakonodavstvo/ Ministarstvo pravde</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 Q 2026</w:t>
            </w:r>
            <w:r w:rsidRPr="00621357">
              <w:rPr>
                <w:rFonts w:ascii="Arial" w:hAnsi="Arial" w:cs="Arial"/>
                <w:sz w:val="22"/>
                <w:szCs w:val="22"/>
                <w:lang w:val="sr-Latn-ME" w:eastAsia="en-US"/>
              </w:rPr>
              <w:tab/>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pravde</w:t>
            </w:r>
          </w:p>
        </w:tc>
      </w:tr>
      <w:bookmarkEnd w:id="28"/>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1.4.</w:t>
            </w:r>
            <w:bookmarkStart w:id="30" w:name="_Hlk197951334"/>
            <w:r w:rsidRPr="00621357">
              <w:rPr>
                <w:rFonts w:ascii="Arial" w:hAnsi="Arial" w:cs="Arial"/>
                <w:sz w:val="22"/>
                <w:szCs w:val="22"/>
                <w:lang w:val="sr-Latn-ME" w:eastAsia="en-US"/>
              </w:rPr>
              <w:t>Dalje uskladjivanje nacionalnog zakonodavstva sa EU legislativom/ Regulativom 883/2013 i Regulativom 2185/1996</w:t>
            </w:r>
            <w:bookmarkEnd w:id="30"/>
          </w:p>
        </w:tc>
        <w:tc>
          <w:tcPr>
            <w:tcW w:w="1932" w:type="dxa"/>
          </w:tcPr>
          <w:p w:rsidR="00621357" w:rsidRPr="00621357" w:rsidRDefault="00621357" w:rsidP="00621357">
            <w:pPr>
              <w:spacing w:after="160" w:line="259" w:lineRule="auto"/>
              <w:rPr>
                <w:rFonts w:ascii="Arial" w:hAnsi="Arial" w:cs="Arial"/>
                <w:sz w:val="22"/>
                <w:szCs w:val="22"/>
                <w:lang w:val="sr-Latn-ME" w:eastAsia="en-US"/>
              </w:rPr>
            </w:pPr>
            <w:bookmarkStart w:id="31" w:name="_Hlk197951379"/>
            <w:r w:rsidRPr="00621357">
              <w:rPr>
                <w:rFonts w:ascii="Arial" w:hAnsi="Arial" w:cs="Arial"/>
                <w:sz w:val="22"/>
                <w:szCs w:val="22"/>
                <w:lang w:val="sr-Latn-ME" w:eastAsia="en-US"/>
              </w:rPr>
              <w:t>Izmijeniti pravne akte koji definišu oblast koje se tiču usaglašavanja sa Regulativama 883/2013 i 2185/1996</w:t>
            </w:r>
            <w:bookmarkEnd w:id="31"/>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Pravni akti koji definišu oblast koje se tiču usaglašavanja sa Regulativama 883/2013 i 2185/1996 izmijenjeni</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Direkcija za zaštitu finansijskih interesa EU/ Ministarstvo finansija</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 Q 2026</w:t>
            </w:r>
            <w:r w:rsidRPr="00621357">
              <w:rPr>
                <w:rFonts w:ascii="Arial" w:hAnsi="Arial" w:cs="Arial"/>
                <w:sz w:val="22"/>
                <w:szCs w:val="22"/>
                <w:lang w:val="sr-Latn-ME" w:eastAsia="en-US"/>
              </w:rPr>
              <w:tab/>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bookmarkStart w:id="32" w:name="_Hlk197951531"/>
            <w:r w:rsidRPr="00621357">
              <w:rPr>
                <w:rFonts w:ascii="Arial" w:hAnsi="Arial" w:cs="Arial"/>
                <w:sz w:val="22"/>
                <w:szCs w:val="22"/>
                <w:lang w:val="sr-Latn-ME" w:eastAsia="en-US"/>
              </w:rPr>
              <w:t>1.5. Usaglašavanje nacionalnog zakonodavstva sa EU legislativom/ Drektivom 2019/1937 o zaštiti lica koja prijavlju povrede prava Evropske unije (Direktiva o zaštiti zviždača)</w:t>
            </w:r>
            <w:bookmarkEnd w:id="32"/>
          </w:p>
        </w:tc>
        <w:tc>
          <w:tcPr>
            <w:tcW w:w="1932" w:type="dxa"/>
          </w:tcPr>
          <w:p w:rsidR="00621357" w:rsidRPr="00621357" w:rsidRDefault="00621357" w:rsidP="00621357">
            <w:pPr>
              <w:spacing w:after="160" w:line="259" w:lineRule="auto"/>
              <w:rPr>
                <w:rFonts w:ascii="Arial" w:hAnsi="Arial" w:cs="Arial"/>
                <w:sz w:val="22"/>
                <w:szCs w:val="22"/>
                <w:lang w:val="sr-Latn-ME" w:eastAsia="en-US"/>
              </w:rPr>
            </w:pPr>
            <w:bookmarkStart w:id="33" w:name="_Hlk197951560"/>
            <w:r w:rsidRPr="00621357">
              <w:rPr>
                <w:rFonts w:ascii="Arial" w:hAnsi="Arial" w:cs="Arial"/>
                <w:sz w:val="22"/>
                <w:szCs w:val="22"/>
                <w:lang w:val="sr-Latn-ME" w:eastAsia="en-US"/>
              </w:rPr>
              <w:t>Donošenje posebnog Zakona o zaštiti zviždača</w:t>
            </w:r>
            <w:bookmarkEnd w:id="33"/>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Zakona o zaštiti zviždača usvojen</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Ministarstvo pravde </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Agencija za spriječavanje korupcije (ASK)</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 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 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Ministarstvo pravde </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Agencija za sprečavanje korupcije  (ASK)</w:t>
            </w:r>
          </w:p>
        </w:tc>
      </w:tr>
      <w:tr w:rsidR="00621357" w:rsidRPr="00621357" w:rsidTr="007904C2">
        <w:tc>
          <w:tcPr>
            <w:tcW w:w="2540" w:type="dxa"/>
            <w:shd w:val="clear" w:color="auto" w:fill="DEEAF6" w:themeFill="accent1" w:themeFillTint="3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Operativni cilj 2</w:t>
            </w:r>
          </w:p>
        </w:tc>
        <w:tc>
          <w:tcPr>
            <w:tcW w:w="12770" w:type="dxa"/>
            <w:gridSpan w:val="12"/>
            <w:shd w:val="clear" w:color="auto" w:fill="DEEAF6" w:themeFill="accent1" w:themeFillTint="3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Jačanje koordinacione uloge AFCOS kancelarije i unapređenje saradnje između institucija uključenih u zaštitu finansijskih interesa EU</w:t>
            </w:r>
          </w:p>
          <w:p w:rsidR="00621357" w:rsidRPr="00621357" w:rsidRDefault="00621357" w:rsidP="00621357">
            <w:pPr>
              <w:spacing w:after="160" w:line="259" w:lineRule="auto"/>
              <w:rPr>
                <w:rFonts w:ascii="Arial" w:hAnsi="Arial" w:cs="Arial"/>
                <w:sz w:val="22"/>
                <w:szCs w:val="22"/>
                <w:lang w:val="sr-Latn-ME" w:eastAsia="en-US"/>
              </w:rPr>
            </w:pPr>
          </w:p>
        </w:tc>
      </w:tr>
      <w:tr w:rsidR="00621357" w:rsidRPr="00621357" w:rsidTr="007904C2">
        <w:tc>
          <w:tcPr>
            <w:tcW w:w="2540" w:type="dxa"/>
          </w:tcPr>
          <w:p w:rsidR="00621357" w:rsidRPr="00621357" w:rsidRDefault="00621357" w:rsidP="00621357">
            <w:pPr>
              <w:spacing w:after="160" w:line="259" w:lineRule="auto"/>
              <w:rPr>
                <w:rFonts w:ascii="Arial" w:hAnsi="Arial" w:cs="Arial"/>
                <w:b/>
                <w:sz w:val="22"/>
                <w:szCs w:val="22"/>
                <w:lang w:val="sr-Latn-ME" w:eastAsia="en-US"/>
              </w:rPr>
            </w:pPr>
            <w:bookmarkStart w:id="34" w:name="_Hlk191037343"/>
            <w:r w:rsidRPr="00621357">
              <w:rPr>
                <w:rFonts w:ascii="Arial" w:hAnsi="Arial" w:cs="Arial"/>
                <w:b/>
                <w:sz w:val="22"/>
                <w:szCs w:val="22"/>
                <w:lang w:val="sr-Latn-ME" w:eastAsia="en-US"/>
              </w:rPr>
              <w:t>Indikator uspjeha 2.1</w:t>
            </w:r>
          </w:p>
        </w:tc>
        <w:tc>
          <w:tcPr>
            <w:tcW w:w="7062" w:type="dxa"/>
            <w:gridSpan w:val="7"/>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Indeks zadovoljstva saradnjom između institucija uključenih u zaštitu finansijskih interesa EU.</w:t>
            </w:r>
          </w:p>
        </w:tc>
        <w:tc>
          <w:tcPr>
            <w:tcW w:w="1373"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Početna vrijednost u 2024: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7.0 poena na skali do 10</w:t>
            </w:r>
          </w:p>
        </w:tc>
        <w:tc>
          <w:tcPr>
            <w:tcW w:w="2589" w:type="dxa"/>
            <w:gridSpan w:val="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Ciljana vrijednost u 2026: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Najmanje 7.5 poena na skali od 10</w:t>
            </w:r>
          </w:p>
        </w:tc>
        <w:tc>
          <w:tcPr>
            <w:tcW w:w="1746"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vrijednost u 2028: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Najmanje 7.5 poena na skali od 10</w:t>
            </w:r>
          </w:p>
        </w:tc>
      </w:tr>
      <w:bookmarkEnd w:id="34"/>
      <w:tr w:rsidR="00621357" w:rsidRPr="00621357" w:rsidTr="007904C2">
        <w:tc>
          <w:tcPr>
            <w:tcW w:w="2540"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uspjeha 2.2</w:t>
            </w:r>
          </w:p>
        </w:tc>
        <w:tc>
          <w:tcPr>
            <w:tcW w:w="7062" w:type="dxa"/>
            <w:gridSpan w:val="7"/>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Stopa prisustva sastancima Radnog tijela za implementaciju aktivnosti za zaštitu finansijskih interesa EU u Crnoj Gori.</w:t>
            </w:r>
          </w:p>
        </w:tc>
        <w:tc>
          <w:tcPr>
            <w:tcW w:w="1373"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Početna vrijednost u 2024: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30%</w:t>
            </w:r>
          </w:p>
        </w:tc>
        <w:tc>
          <w:tcPr>
            <w:tcW w:w="2589" w:type="dxa"/>
            <w:gridSpan w:val="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Ciljana vrijednost u 2026: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70%</w:t>
            </w:r>
          </w:p>
        </w:tc>
        <w:tc>
          <w:tcPr>
            <w:tcW w:w="1746"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vrijednost u 2028: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90%</w:t>
            </w:r>
          </w:p>
        </w:tc>
      </w:tr>
      <w:tr w:rsidR="00621357" w:rsidRPr="00621357" w:rsidTr="007904C2">
        <w:tc>
          <w:tcPr>
            <w:tcW w:w="2540"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uspjeha 2.3</w:t>
            </w:r>
          </w:p>
        </w:tc>
        <w:tc>
          <w:tcPr>
            <w:tcW w:w="7062" w:type="dxa"/>
            <w:gridSpan w:val="7"/>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Broj sastanaka koje inicira struktura za izvještavanje o nepravilnostima i institucije AFCOS mreže.</w:t>
            </w:r>
          </w:p>
        </w:tc>
        <w:tc>
          <w:tcPr>
            <w:tcW w:w="1373"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Početna vrijednost u 2024: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0</w:t>
            </w:r>
          </w:p>
        </w:tc>
        <w:tc>
          <w:tcPr>
            <w:tcW w:w="2589" w:type="dxa"/>
            <w:gridSpan w:val="3"/>
            <w:tcBorders>
              <w:right w:val="single" w:sz="4" w:space="0" w:color="auto"/>
            </w:tcBorders>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Ciljana vrijednost u 2026: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2 </w:t>
            </w:r>
          </w:p>
        </w:tc>
        <w:tc>
          <w:tcPr>
            <w:tcW w:w="1746" w:type="dxa"/>
            <w:tcBorders>
              <w:left w:val="single" w:sz="4" w:space="0" w:color="auto"/>
            </w:tcBorders>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vrijednost u 2028: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4</w:t>
            </w:r>
          </w:p>
        </w:tc>
      </w:tr>
      <w:tr w:rsidR="00621357" w:rsidRPr="00621357" w:rsidTr="007904C2">
        <w:tc>
          <w:tcPr>
            <w:tcW w:w="2540"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Mjere povezane sa operativnim ciljem 2</w:t>
            </w:r>
          </w:p>
        </w:tc>
        <w:tc>
          <w:tcPr>
            <w:tcW w:w="1932"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Aktivnost</w:t>
            </w:r>
          </w:p>
        </w:tc>
        <w:tc>
          <w:tcPr>
            <w:tcW w:w="2039"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učinka</w:t>
            </w:r>
          </w:p>
        </w:tc>
        <w:tc>
          <w:tcPr>
            <w:tcW w:w="1854" w:type="dxa"/>
            <w:gridSpan w:val="2"/>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Odgovorna institucija</w:t>
            </w:r>
          </w:p>
        </w:tc>
        <w:tc>
          <w:tcPr>
            <w:tcW w:w="1237" w:type="dxa"/>
            <w:gridSpan w:val="3"/>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datum početka </w:t>
            </w:r>
          </w:p>
        </w:tc>
        <w:tc>
          <w:tcPr>
            <w:tcW w:w="1373"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datum završetka</w:t>
            </w:r>
          </w:p>
        </w:tc>
        <w:tc>
          <w:tcPr>
            <w:tcW w:w="2589" w:type="dxa"/>
            <w:gridSpan w:val="3"/>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Predviđeni troškovi</w:t>
            </w:r>
          </w:p>
        </w:tc>
        <w:tc>
          <w:tcPr>
            <w:tcW w:w="1746"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Izvor finansiranja</w:t>
            </w: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2.1. Organizovanje godišnjeg događaja za razmjenu iskustava na polju zaštite finansijkih interesa EU</w:t>
            </w: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Organizovati godišnji događaj razmjene iskustava između strukture za izvještavanje o nepravilnostima i AFCOS mreže</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2 događaja razmjene iskustava i na polju zaštite finansijkih interesa EU organitovana</w:t>
            </w:r>
          </w:p>
          <w:p w:rsidR="00621357" w:rsidRPr="00621357" w:rsidRDefault="00621357" w:rsidP="00621357">
            <w:pPr>
              <w:spacing w:after="160" w:line="259" w:lineRule="auto"/>
              <w:rPr>
                <w:rFonts w:ascii="Arial" w:hAnsi="Arial" w:cs="Arial"/>
                <w:sz w:val="22"/>
                <w:szCs w:val="22"/>
                <w:lang w:val="sr-Latn-ME" w:eastAsia="en-US"/>
              </w:rPr>
            </w:pPr>
          </w:p>
          <w:p w:rsidR="00621357" w:rsidRPr="00621357" w:rsidRDefault="00621357" w:rsidP="00621357">
            <w:pPr>
              <w:spacing w:after="160" w:line="259" w:lineRule="auto"/>
              <w:rPr>
                <w:rFonts w:ascii="Arial" w:hAnsi="Arial" w:cs="Arial"/>
                <w:sz w:val="22"/>
                <w:szCs w:val="22"/>
                <w:lang w:val="sr-Latn-ME" w:eastAsia="en-US"/>
              </w:rPr>
            </w:pP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Direkcija za zaštitu finansijskih interesa EU/ AFCOS Ministarstvo finansija </w:t>
            </w:r>
          </w:p>
          <w:p w:rsidR="00621357" w:rsidRPr="00621357" w:rsidRDefault="00621357" w:rsidP="00621357">
            <w:pPr>
              <w:spacing w:after="160" w:line="259" w:lineRule="auto"/>
              <w:rPr>
                <w:rFonts w:ascii="Arial" w:hAnsi="Arial" w:cs="Arial"/>
                <w:sz w:val="22"/>
                <w:szCs w:val="22"/>
                <w:lang w:val="sr-Latn-ME" w:eastAsia="en-US"/>
              </w:rPr>
            </w:pP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Struktura za izvještavanje o AFCOS mreža</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Neophodno je isplanirati u budžetu iznos od 200,00 EUR</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2.2. Razvoj online platforme za dokumentaciju radi efikasnije razmjene informacija</w:t>
            </w:r>
            <w:r w:rsidRPr="00621357">
              <w:rPr>
                <w:rFonts w:ascii="Arial" w:hAnsi="Arial" w:cs="Arial"/>
                <w:sz w:val="22"/>
                <w:szCs w:val="22"/>
                <w:lang w:val="sr-Latn-ME" w:eastAsia="en-US"/>
              </w:rPr>
              <w:br/>
            </w:r>
          </w:p>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Razviti online platformu za dokumentaciju za razmjenu informacija između AFCOS kancelarije, strukture za izvještavanje o nepravilnostima i AFCOS mreže.</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1 online platforma za dokumentaciju razvijena</w:t>
            </w:r>
            <w:r w:rsidRPr="00621357">
              <w:rPr>
                <w:rFonts w:ascii="Arial" w:hAnsi="Arial" w:cs="Arial"/>
                <w:sz w:val="22"/>
                <w:szCs w:val="22"/>
                <w:lang w:val="sr-Latn-ME" w:eastAsia="en-US"/>
              </w:rPr>
              <w:br/>
            </w:r>
          </w:p>
          <w:p w:rsidR="00621357" w:rsidRPr="00621357" w:rsidRDefault="00621357" w:rsidP="00621357">
            <w:pPr>
              <w:spacing w:after="160" w:line="259" w:lineRule="auto"/>
              <w:rPr>
                <w:rFonts w:ascii="Arial" w:hAnsi="Arial" w:cs="Arial"/>
                <w:sz w:val="22"/>
                <w:szCs w:val="22"/>
                <w:lang w:val="sr-Latn-ME" w:eastAsia="en-US"/>
              </w:rPr>
            </w:pP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Direkcija za zaštitu finansijskih interesa EU/ AFCOS Ministarstvo finansija </w:t>
            </w:r>
          </w:p>
          <w:p w:rsidR="00621357" w:rsidRPr="00621357" w:rsidRDefault="00621357" w:rsidP="00621357">
            <w:pPr>
              <w:spacing w:after="160" w:line="259" w:lineRule="auto"/>
              <w:rPr>
                <w:rFonts w:ascii="Arial" w:hAnsi="Arial" w:cs="Arial"/>
                <w:sz w:val="22"/>
                <w:szCs w:val="22"/>
                <w:lang w:val="sr-Latn-ME" w:eastAsia="en-US"/>
              </w:rPr>
            </w:pP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IQ 2026</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2.3. Organizovanje obuka sa učešćem eksperata iz OLAF-a i zemalja članica EU</w:t>
            </w:r>
            <w:r w:rsidRPr="00621357">
              <w:rPr>
                <w:rFonts w:ascii="Arial" w:hAnsi="Arial" w:cs="Arial"/>
                <w:sz w:val="22"/>
                <w:szCs w:val="22"/>
                <w:lang w:val="sr-Latn-ME" w:eastAsia="en-US"/>
              </w:rPr>
              <w:br/>
            </w:r>
          </w:p>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Organizovati obuke sa učešćem eksperata iz OLAF-a i zemalja članica EU za predstavnike strukture za izvještavanje o nepravilnostima i AFCOS mreže.</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2 obuke obuke sa učešćem stručnjaka iz OLAF-a i zemalja članica EU za predstavnike strukture za izvještavanje o nepravilnostima i AFCOS mreže.</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Direkcija za zaštitu finansijskih interesa EU/ AFCOS</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Neophodno je isplanirati u budžetu iznos od 3.500,00 EUR</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2540" w:type="dxa"/>
            <w:shd w:val="clear" w:color="auto" w:fill="DEEAF6" w:themeFill="accent1" w:themeFillTint="3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Operativni cilj 3</w:t>
            </w:r>
          </w:p>
        </w:tc>
        <w:tc>
          <w:tcPr>
            <w:tcW w:w="12770" w:type="dxa"/>
            <w:gridSpan w:val="12"/>
            <w:shd w:val="clear" w:color="auto" w:fill="DEEAF6" w:themeFill="accent1" w:themeFillTint="3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Dalje jačanje prevencije nepravilnosti i prevara kroz odgovarajuće procjene rizika i uvođenje efikasnih i proporcionalnih mjera protiv nepravilnosti i prevara, uključujući uspostavljanje sistemskog pristupa edukacijama i podizanju svijesti</w:t>
            </w:r>
          </w:p>
        </w:tc>
      </w:tr>
      <w:tr w:rsidR="00621357" w:rsidRPr="00621357" w:rsidTr="007904C2">
        <w:tc>
          <w:tcPr>
            <w:tcW w:w="2540" w:type="dxa"/>
          </w:tcPr>
          <w:p w:rsidR="00621357" w:rsidRPr="00621357" w:rsidRDefault="00621357" w:rsidP="00621357">
            <w:pPr>
              <w:spacing w:after="160" w:line="259" w:lineRule="auto"/>
              <w:rPr>
                <w:rFonts w:ascii="Arial" w:hAnsi="Arial" w:cs="Arial"/>
                <w:b/>
                <w:sz w:val="22"/>
                <w:szCs w:val="22"/>
                <w:lang w:val="sr-Latn-ME" w:eastAsia="en-US"/>
              </w:rPr>
            </w:pPr>
            <w:bookmarkStart w:id="35" w:name="_Hlk197939448"/>
            <w:r w:rsidRPr="00621357">
              <w:rPr>
                <w:rFonts w:ascii="Arial" w:hAnsi="Arial" w:cs="Arial"/>
                <w:b/>
                <w:sz w:val="22"/>
                <w:szCs w:val="22"/>
                <w:lang w:val="sr-Latn-ME" w:eastAsia="en-US"/>
              </w:rPr>
              <w:t>Indikator uspjeha 3.1</w:t>
            </w:r>
          </w:p>
        </w:tc>
        <w:tc>
          <w:tcPr>
            <w:tcW w:w="6385" w:type="dxa"/>
            <w:gridSpan w:val="5"/>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Implementirane efikasne i proporcionalne mjere protiv prevara</w:t>
            </w:r>
          </w:p>
        </w:tc>
        <w:tc>
          <w:tcPr>
            <w:tcW w:w="2128" w:type="dxa"/>
            <w:gridSpan w:val="4"/>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Početna vrijednost u 2024:</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70%</w:t>
            </w:r>
          </w:p>
        </w:tc>
        <w:tc>
          <w:tcPr>
            <w:tcW w:w="2128"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 vrijednost u 2026:</w:t>
            </w:r>
          </w:p>
          <w:p w:rsidR="00621357" w:rsidRPr="00621357" w:rsidRDefault="00621357" w:rsidP="00621357">
            <w:pPr>
              <w:spacing w:after="160" w:line="259" w:lineRule="auto"/>
              <w:rPr>
                <w:rFonts w:ascii="Arial" w:hAnsi="Arial" w:cs="Arial"/>
                <w:b/>
                <w:sz w:val="22"/>
                <w:szCs w:val="22"/>
                <w:lang w:val="sr-Latn-ME" w:eastAsia="en-US"/>
              </w:rPr>
            </w:pP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bCs/>
                <w:sz w:val="22"/>
                <w:szCs w:val="22"/>
                <w:lang w:eastAsia="en-US"/>
              </w:rPr>
              <w:t>100% aktivnosti iz Akcionog plana za 2025-2026. su implementirane u roku</w:t>
            </w:r>
          </w:p>
        </w:tc>
        <w:tc>
          <w:tcPr>
            <w:tcW w:w="2129" w:type="dxa"/>
            <w:gridSpan w:val="2"/>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vrijednost u 2028: </w:t>
            </w:r>
          </w:p>
          <w:p w:rsidR="00621357" w:rsidRPr="00621357" w:rsidRDefault="00621357" w:rsidP="00621357">
            <w:pPr>
              <w:spacing w:after="160" w:line="259" w:lineRule="auto"/>
              <w:rPr>
                <w:rFonts w:ascii="Arial" w:hAnsi="Arial" w:cs="Arial"/>
                <w:sz w:val="22"/>
                <w:szCs w:val="22"/>
                <w:lang w:val="sr-Latn-ME" w:eastAsia="en-US"/>
              </w:rPr>
            </w:pP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bCs/>
                <w:sz w:val="22"/>
                <w:szCs w:val="22"/>
                <w:lang w:eastAsia="en-US"/>
              </w:rPr>
              <w:t>100% aktivnosti iz Akcionog plana za 2027-2028. su implementirane u roku</w:t>
            </w:r>
          </w:p>
        </w:tc>
      </w:tr>
      <w:bookmarkEnd w:id="35"/>
      <w:tr w:rsidR="00621357" w:rsidRPr="00621357" w:rsidTr="007904C2">
        <w:tc>
          <w:tcPr>
            <w:tcW w:w="2540"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uspjeha 3.2</w:t>
            </w:r>
          </w:p>
        </w:tc>
        <w:tc>
          <w:tcPr>
            <w:tcW w:w="6385" w:type="dxa"/>
            <w:gridSpan w:val="5"/>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Broj obučenih službenika iz institucija i tijela  koja rade na zaštiti finansijskih interesa EU</w:t>
            </w:r>
          </w:p>
        </w:tc>
        <w:tc>
          <w:tcPr>
            <w:tcW w:w="2128" w:type="dxa"/>
            <w:gridSpan w:val="4"/>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Početna vrijednost u 2024:</w:t>
            </w:r>
          </w:p>
          <w:p w:rsidR="00621357" w:rsidRPr="00621357" w:rsidRDefault="00621357" w:rsidP="00621357">
            <w:pPr>
              <w:spacing w:after="160" w:line="259" w:lineRule="auto"/>
              <w:rPr>
                <w:rFonts w:ascii="Arial" w:hAnsi="Arial" w:cs="Arial"/>
                <w:sz w:val="22"/>
                <w:szCs w:val="22"/>
                <w:lang w:val="sr-Latn-ME" w:eastAsia="en-US"/>
              </w:rPr>
            </w:pP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55</w:t>
            </w:r>
          </w:p>
        </w:tc>
        <w:tc>
          <w:tcPr>
            <w:tcW w:w="2128"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 vrijednost u 2026:</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bCs/>
                <w:sz w:val="22"/>
                <w:szCs w:val="22"/>
                <w:lang w:eastAsia="en-US"/>
              </w:rPr>
              <w:t>55 (u 2025-2026) ravnomjerno raspoređeni među muškarcima i ženama</w:t>
            </w:r>
          </w:p>
          <w:p w:rsidR="00621357" w:rsidRPr="00621357" w:rsidRDefault="00621357" w:rsidP="00621357">
            <w:pPr>
              <w:spacing w:after="160" w:line="259" w:lineRule="auto"/>
              <w:rPr>
                <w:rFonts w:ascii="Arial" w:hAnsi="Arial" w:cs="Arial"/>
                <w:sz w:val="22"/>
                <w:szCs w:val="22"/>
                <w:lang w:val="sr-Latn-ME" w:eastAsia="en-US"/>
              </w:rPr>
            </w:pPr>
          </w:p>
        </w:tc>
        <w:tc>
          <w:tcPr>
            <w:tcW w:w="2129" w:type="dxa"/>
            <w:gridSpan w:val="2"/>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vrijednost u 2028: </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bCs/>
                <w:sz w:val="22"/>
                <w:szCs w:val="22"/>
                <w:lang w:eastAsia="en-US"/>
              </w:rPr>
              <w:t>55 (u 2027-2028) ravnomjerno raspoređeni među muškarcima i ženama</w:t>
            </w:r>
          </w:p>
        </w:tc>
      </w:tr>
      <w:tr w:rsidR="00621357" w:rsidRPr="00621357" w:rsidTr="007904C2">
        <w:tc>
          <w:tcPr>
            <w:tcW w:w="2540"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bookmarkStart w:id="36" w:name="_Hlk191040612"/>
            <w:r w:rsidRPr="00621357">
              <w:rPr>
                <w:rFonts w:ascii="Arial" w:hAnsi="Arial" w:cs="Arial"/>
                <w:b/>
                <w:sz w:val="22"/>
                <w:szCs w:val="22"/>
                <w:lang w:val="sr-Latn-ME" w:eastAsia="en-US"/>
              </w:rPr>
              <w:t>Mjere povezane sa operativnim ciljem 3</w:t>
            </w:r>
          </w:p>
        </w:tc>
        <w:tc>
          <w:tcPr>
            <w:tcW w:w="1932"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Aktivnost</w:t>
            </w:r>
          </w:p>
        </w:tc>
        <w:tc>
          <w:tcPr>
            <w:tcW w:w="2039"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učinka</w:t>
            </w:r>
          </w:p>
        </w:tc>
        <w:tc>
          <w:tcPr>
            <w:tcW w:w="1854" w:type="dxa"/>
            <w:gridSpan w:val="2"/>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Odgovorna institucija</w:t>
            </w:r>
          </w:p>
        </w:tc>
        <w:tc>
          <w:tcPr>
            <w:tcW w:w="1237" w:type="dxa"/>
            <w:gridSpan w:val="3"/>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Datum početka</w:t>
            </w:r>
          </w:p>
        </w:tc>
        <w:tc>
          <w:tcPr>
            <w:tcW w:w="1373"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Datum završetka</w:t>
            </w:r>
          </w:p>
        </w:tc>
        <w:tc>
          <w:tcPr>
            <w:tcW w:w="2589" w:type="dxa"/>
            <w:gridSpan w:val="3"/>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Predviđeni troškovi</w:t>
            </w:r>
          </w:p>
        </w:tc>
        <w:tc>
          <w:tcPr>
            <w:tcW w:w="1746"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Izvor finansiranja</w:t>
            </w:r>
          </w:p>
        </w:tc>
      </w:tr>
      <w:bookmarkEnd w:id="36"/>
      <w:tr w:rsidR="00621357" w:rsidRPr="00621357" w:rsidTr="007904C2">
        <w:tc>
          <w:tcPr>
            <w:tcW w:w="2540" w:type="dxa"/>
            <w:vMerge w:val="restart"/>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3.1. Uspostavljanje održivog sistema obuka za institucije koje su uključene u zaštitu finansijskih interesa EU</w:t>
            </w: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Sprovesti novu analizu potreba za obukama za predstavnike strukture za izvještavanje o nepravilnostima i AFCOS mreže.</w:t>
            </w:r>
          </w:p>
          <w:p w:rsidR="00621357" w:rsidRPr="00621357" w:rsidRDefault="00621357" w:rsidP="00621357">
            <w:pPr>
              <w:spacing w:after="160" w:line="259" w:lineRule="auto"/>
              <w:rPr>
                <w:rFonts w:ascii="Arial" w:hAnsi="Arial" w:cs="Arial"/>
                <w:sz w:val="22"/>
                <w:szCs w:val="22"/>
                <w:lang w:val="sr-Latn-ME" w:eastAsia="en-US"/>
              </w:rPr>
            </w:pP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Analiza potreba za obukama sprovedena</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Direkcija za zaštitu finansijskih interesa EU/Ministarstvo finansija </w:t>
            </w:r>
          </w:p>
          <w:p w:rsidR="00621357" w:rsidRPr="00621357" w:rsidRDefault="00621357" w:rsidP="00621357">
            <w:pPr>
              <w:spacing w:after="160" w:line="259" w:lineRule="auto"/>
              <w:rPr>
                <w:rFonts w:ascii="Arial" w:hAnsi="Arial" w:cs="Arial"/>
                <w:sz w:val="22"/>
                <w:szCs w:val="22"/>
                <w:lang w:val="sr-Latn-ME" w:eastAsia="en-US"/>
              </w:rPr>
            </w:pP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IIIQ 2025</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6.000,00 EUR</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PFM/CEF</w:t>
            </w:r>
          </w:p>
        </w:tc>
      </w:tr>
      <w:tr w:rsidR="00621357" w:rsidRPr="00621357" w:rsidTr="007904C2">
        <w:trPr>
          <w:trHeight w:val="865"/>
        </w:trPr>
        <w:tc>
          <w:tcPr>
            <w:tcW w:w="2540" w:type="dxa"/>
            <w:vMerge/>
          </w:tcPr>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Izraditi program i plan obuka za period 2025-2028 u skladu sa rezultatima analize potreba za obukama.</w:t>
            </w:r>
          </w:p>
          <w:p w:rsidR="00621357" w:rsidRPr="00621357" w:rsidRDefault="00621357" w:rsidP="00621357">
            <w:pPr>
              <w:spacing w:after="160" w:line="259" w:lineRule="auto"/>
              <w:rPr>
                <w:rFonts w:ascii="Arial" w:hAnsi="Arial" w:cs="Arial"/>
                <w:sz w:val="22"/>
                <w:szCs w:val="22"/>
                <w:lang w:val="sr-Latn-ME" w:eastAsia="en-US"/>
              </w:rPr>
            </w:pP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Trening program i plan za period 2025-2028 izrađen </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Direkcija za zaštitu finansijskih interesa EU/Ministarstvo finansija </w:t>
            </w:r>
          </w:p>
          <w:p w:rsidR="00621357" w:rsidRPr="00621357" w:rsidRDefault="00621357" w:rsidP="00621357">
            <w:pPr>
              <w:spacing w:after="160" w:line="259" w:lineRule="auto"/>
              <w:rPr>
                <w:rFonts w:ascii="Arial" w:hAnsi="Arial" w:cs="Arial"/>
                <w:sz w:val="22"/>
                <w:szCs w:val="22"/>
                <w:lang w:val="sr-Latn-ME" w:eastAsia="en-US"/>
              </w:rPr>
            </w:pP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IIIQ 2025</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6.000,00EUR</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PFM/CEF</w:t>
            </w:r>
          </w:p>
        </w:tc>
      </w:tr>
      <w:tr w:rsidR="00621357" w:rsidRPr="00621357" w:rsidTr="007904C2">
        <w:tc>
          <w:tcPr>
            <w:tcW w:w="2540" w:type="dxa"/>
            <w:vMerge/>
          </w:tcPr>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Sprovoditi obuke u saradnji sa Agencijom za sprečavanje korupcije (ASK).</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Obuke za osobe zadužene za prijem i postupanje po izvještajima sprovedene</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Direkcija za zaštitu finansijskih interesa EU/Ministarstvo finansija </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  Agencija za sprečavanje korupcije  (ASK)</w:t>
            </w:r>
          </w:p>
          <w:p w:rsidR="00621357" w:rsidRPr="00621357" w:rsidRDefault="00621357" w:rsidP="00621357">
            <w:pPr>
              <w:spacing w:after="160" w:line="259" w:lineRule="auto"/>
              <w:rPr>
                <w:rFonts w:ascii="Arial" w:hAnsi="Arial" w:cs="Arial"/>
                <w:sz w:val="22"/>
                <w:szCs w:val="22"/>
                <w:lang w:val="sr-Latn-ME" w:eastAsia="en-US"/>
              </w:rPr>
            </w:pP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IIQ2026</w:t>
            </w:r>
            <w:r w:rsidRPr="00621357">
              <w:rPr>
                <w:rFonts w:ascii="Arial" w:hAnsi="Arial" w:cs="Arial"/>
                <w:sz w:val="22"/>
                <w:szCs w:val="22"/>
                <w:lang w:val="sr-Latn-ME" w:eastAsia="en-US"/>
              </w:rPr>
              <w:tab/>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IIIQ2026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p w:rsidR="00621357" w:rsidRPr="00621357" w:rsidRDefault="00621357" w:rsidP="00621357">
            <w:pPr>
              <w:spacing w:after="160" w:line="259" w:lineRule="auto"/>
              <w:rPr>
                <w:rFonts w:ascii="Arial" w:hAnsi="Arial" w:cs="Arial"/>
                <w:sz w:val="22"/>
                <w:szCs w:val="22"/>
                <w:lang w:val="sr-Latn-ME" w:eastAsia="en-US"/>
              </w:rPr>
            </w:pP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Agencija za sprečavanje korupcije  (ASK)</w:t>
            </w:r>
          </w:p>
          <w:p w:rsidR="00621357" w:rsidRPr="00621357" w:rsidRDefault="00621357" w:rsidP="00621357">
            <w:pPr>
              <w:spacing w:after="160" w:line="259" w:lineRule="auto"/>
              <w:rPr>
                <w:rFonts w:ascii="Arial" w:hAnsi="Arial" w:cs="Arial"/>
                <w:sz w:val="22"/>
                <w:szCs w:val="22"/>
                <w:lang w:val="sr-Latn-ME" w:eastAsia="en-US"/>
              </w:rPr>
            </w:pPr>
          </w:p>
          <w:p w:rsidR="00621357" w:rsidRPr="00621357" w:rsidRDefault="00621357" w:rsidP="00621357">
            <w:pPr>
              <w:spacing w:after="160" w:line="259" w:lineRule="auto"/>
              <w:rPr>
                <w:rFonts w:ascii="Arial" w:hAnsi="Arial" w:cs="Arial"/>
                <w:sz w:val="22"/>
                <w:szCs w:val="22"/>
                <w:lang w:val="sr-Latn-ME" w:eastAsia="en-US"/>
              </w:rPr>
            </w:pPr>
          </w:p>
          <w:p w:rsidR="00621357" w:rsidRPr="00621357" w:rsidRDefault="00621357" w:rsidP="00621357">
            <w:pPr>
              <w:spacing w:after="160" w:line="259" w:lineRule="auto"/>
              <w:rPr>
                <w:rFonts w:ascii="Arial" w:hAnsi="Arial" w:cs="Arial"/>
                <w:sz w:val="22"/>
                <w:szCs w:val="22"/>
                <w:lang w:val="sr-Latn-ME" w:eastAsia="en-US"/>
              </w:rPr>
            </w:pP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3.2. Održavanje operativnog sistema upravljanja rizikom od nepravilnosti i prevara.</w:t>
            </w: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Sprovođenje analize rizika od nepravilnosti i prevara u skladu sa metodologijom upravljanja rizicima u oblasti nepravilnosti i prevara u okviru upravljanja i korišćenja EU fondova.</w:t>
            </w:r>
          </w:p>
          <w:p w:rsidR="00621357" w:rsidRPr="00621357" w:rsidRDefault="00621357" w:rsidP="00621357">
            <w:pPr>
              <w:spacing w:after="160" w:line="259" w:lineRule="auto"/>
              <w:rPr>
                <w:rFonts w:ascii="Arial" w:hAnsi="Arial" w:cs="Arial"/>
                <w:sz w:val="22"/>
                <w:szCs w:val="22"/>
                <w:lang w:val="sr-Latn-ME" w:eastAsia="en-US"/>
              </w:rPr>
            </w:pP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Analiza rizika od prevara za 2025-2026. sprovedena</w:t>
            </w:r>
          </w:p>
          <w:p w:rsidR="00621357" w:rsidRPr="00621357" w:rsidRDefault="00621357" w:rsidP="00621357">
            <w:pPr>
              <w:spacing w:after="160" w:line="259" w:lineRule="auto"/>
              <w:rPr>
                <w:rFonts w:ascii="Arial" w:hAnsi="Arial" w:cs="Arial"/>
                <w:sz w:val="22"/>
                <w:szCs w:val="22"/>
                <w:lang w:val="sr-Latn-ME" w:eastAsia="en-US"/>
              </w:rPr>
            </w:pP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Direkcija za zaštitu finansijskih interesa EU /Ministarstvo finansija </w:t>
            </w:r>
          </w:p>
          <w:p w:rsidR="00621357" w:rsidRPr="00621357" w:rsidRDefault="00621357" w:rsidP="00621357">
            <w:pPr>
              <w:spacing w:after="160" w:line="259" w:lineRule="auto"/>
              <w:rPr>
                <w:rFonts w:ascii="Arial" w:hAnsi="Arial" w:cs="Arial"/>
                <w:sz w:val="22"/>
                <w:szCs w:val="22"/>
                <w:lang w:val="sr-Latn-ME" w:eastAsia="en-US"/>
              </w:rPr>
            </w:pP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Struktura za izvještavanje o nepravilnostima</w:t>
            </w:r>
          </w:p>
          <w:p w:rsidR="00621357" w:rsidRPr="00621357" w:rsidRDefault="00621357" w:rsidP="00621357">
            <w:pPr>
              <w:spacing w:after="160" w:line="259" w:lineRule="auto"/>
              <w:rPr>
                <w:rFonts w:ascii="Arial" w:hAnsi="Arial" w:cs="Arial"/>
                <w:sz w:val="22"/>
                <w:szCs w:val="22"/>
                <w:lang w:val="sr-Latn-ME" w:eastAsia="en-US"/>
              </w:rPr>
            </w:pP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AFCOS mreža</w:t>
            </w:r>
          </w:p>
          <w:p w:rsidR="00621357" w:rsidRPr="00621357" w:rsidRDefault="00621357" w:rsidP="00621357">
            <w:pPr>
              <w:spacing w:after="160" w:line="259" w:lineRule="auto"/>
              <w:rPr>
                <w:rFonts w:ascii="Arial" w:hAnsi="Arial" w:cs="Arial"/>
                <w:sz w:val="22"/>
                <w:szCs w:val="22"/>
                <w:lang w:val="sr-Latn-ME" w:eastAsia="en-US"/>
              </w:rPr>
            </w:pP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IIIQ 2026</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3.3. Obezbjeđivanje adekvatne vidljivosti i transparentnosti u vezi sa EU fondovima i podizanje svijesti o značaju procesa za zaštitu finansijskih interesa EU i nacionalnih finansijskih interesa</w:t>
            </w:r>
            <w:r w:rsidRPr="00621357">
              <w:rPr>
                <w:rFonts w:ascii="Arial" w:hAnsi="Arial" w:cs="Arial"/>
                <w:sz w:val="22"/>
                <w:szCs w:val="22"/>
                <w:lang w:val="sr-Latn-ME" w:eastAsia="en-US"/>
              </w:rPr>
              <w:br/>
            </w:r>
            <w:r w:rsidRPr="00621357">
              <w:rPr>
                <w:rFonts w:ascii="Arial" w:hAnsi="Arial" w:cs="Arial"/>
                <w:sz w:val="22"/>
                <w:szCs w:val="22"/>
                <w:lang w:val="sr-Latn-ME" w:eastAsia="en-US"/>
              </w:rPr>
              <w:br/>
            </w: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Razviti sveobuhvatnu komunikacionu strategiju</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Komunikaciona strategija za period 2026-2028 usvojena</w:t>
            </w:r>
            <w:r w:rsidRPr="00621357">
              <w:rPr>
                <w:rFonts w:ascii="Arial" w:hAnsi="Arial" w:cs="Arial"/>
                <w:sz w:val="22"/>
                <w:szCs w:val="22"/>
                <w:lang w:val="sr-Latn-ME" w:eastAsia="en-US"/>
              </w:rPr>
              <w:br/>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Direkcija za zaštitu finansijskih interesa EU/Ministarstvo finansija</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21.000,00 EUR</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Twinning light projekat </w:t>
            </w:r>
            <w:r w:rsidRPr="00621357">
              <w:rPr>
                <w:rFonts w:ascii="Arial" w:hAnsi="Arial" w:cs="Arial"/>
                <w:bCs/>
                <w:sz w:val="22"/>
                <w:szCs w:val="22"/>
                <w:lang w:val="sr-Latn-ME" w:eastAsia="en-US"/>
              </w:rPr>
              <w:t>„Dalje unaprijeđenje funkcionisanja crnogorskog AFCOS sistema u cilju efikasne zaštite finansijskih interesa EU“</w:t>
            </w:r>
          </w:p>
        </w:tc>
      </w:tr>
      <w:tr w:rsidR="00621357" w:rsidRPr="00621357" w:rsidTr="007904C2">
        <w:tc>
          <w:tcPr>
            <w:tcW w:w="2540" w:type="dxa"/>
            <w:vMerge w:val="restart"/>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3.4. Praćenje najnovijih razvoja mjera protiv nepravilnosti i prevara i razmjena najboljih praksi.</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br/>
            </w:r>
            <w:r w:rsidRPr="00621357">
              <w:rPr>
                <w:rFonts w:ascii="Arial" w:hAnsi="Arial" w:cs="Arial"/>
                <w:sz w:val="22"/>
                <w:szCs w:val="22"/>
                <w:lang w:val="sr-Latn-ME" w:eastAsia="en-US"/>
              </w:rPr>
              <w:br/>
            </w:r>
          </w:p>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Redovno učešće na godišnjim konferencijama koje organizuje OLAF</w:t>
            </w:r>
            <w:r w:rsidRPr="00621357">
              <w:rPr>
                <w:rFonts w:ascii="Arial" w:hAnsi="Arial" w:cs="Arial"/>
                <w:sz w:val="22"/>
                <w:szCs w:val="22"/>
                <w:lang w:val="sr-Latn-ME" w:eastAsia="en-US"/>
              </w:rPr>
              <w:br/>
            </w:r>
            <w:r w:rsidRPr="00621357">
              <w:rPr>
                <w:rFonts w:ascii="Arial" w:hAnsi="Arial" w:cs="Arial"/>
                <w:sz w:val="22"/>
                <w:szCs w:val="22"/>
                <w:lang w:val="sr-Latn-ME" w:eastAsia="en-US"/>
              </w:rPr>
              <w:br/>
            </w:r>
          </w:p>
          <w:p w:rsidR="00621357" w:rsidRPr="00621357" w:rsidRDefault="00621357" w:rsidP="00621357">
            <w:pPr>
              <w:spacing w:after="160" w:line="259" w:lineRule="auto"/>
              <w:rPr>
                <w:rFonts w:ascii="Arial" w:hAnsi="Arial" w:cs="Arial"/>
                <w:sz w:val="22"/>
                <w:szCs w:val="22"/>
                <w:lang w:val="sr-Latn-ME" w:eastAsia="en-US"/>
              </w:rPr>
            </w:pP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2 godišnje konferencije koje je organizovao OLAF posjećene</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Direkcija za zaštitu finansijskih interesa EU/Ministarstvo finansija</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IIIQ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8.800EUR</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OLAF</w:t>
            </w:r>
          </w:p>
        </w:tc>
      </w:tr>
      <w:tr w:rsidR="00621357" w:rsidRPr="00621357" w:rsidTr="007904C2">
        <w:tc>
          <w:tcPr>
            <w:tcW w:w="2540" w:type="dxa"/>
            <w:vMerge/>
          </w:tcPr>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Organizovati barem jedan seminar o značaju prijavljivanja nepravilnosti i o različitim vrstama prevara i nepravilnosti za Jedinicu za implementaciju projekta</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Jedan seminar u periodu 2025-2026 organizovan</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Direkcija za zaštitu finansijskih interesa EU/Ministarstvo finansija</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IIIQ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Neophodno je isplanirati u budžetu iznos od 2.000,00 EUR</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3.5. Uključivanje Direkcije za zaštitu finansijskih interesa EU / AFCOS u IPA Monitoring komitet kao posmatrača.</w:t>
            </w:r>
          </w:p>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Usvojiti promjene u sastavu Monitoring komiteta</w:t>
            </w:r>
            <w:r w:rsidRPr="00621357">
              <w:rPr>
                <w:rFonts w:ascii="Arial" w:hAnsi="Arial" w:cs="Arial"/>
                <w:sz w:val="22"/>
                <w:szCs w:val="22"/>
                <w:lang w:val="sr-Latn-ME" w:eastAsia="en-US"/>
              </w:rPr>
              <w:br/>
            </w:r>
            <w:r w:rsidRPr="00621357">
              <w:rPr>
                <w:rFonts w:ascii="Arial" w:hAnsi="Arial" w:cs="Arial"/>
                <w:sz w:val="22"/>
                <w:szCs w:val="22"/>
                <w:lang w:val="sr-Latn-ME" w:eastAsia="en-US"/>
              </w:rPr>
              <w:br/>
            </w:r>
          </w:p>
          <w:p w:rsidR="00621357" w:rsidRPr="00621357" w:rsidRDefault="00621357" w:rsidP="00621357">
            <w:pPr>
              <w:spacing w:after="160" w:line="259" w:lineRule="auto"/>
              <w:rPr>
                <w:rFonts w:ascii="Arial" w:hAnsi="Arial" w:cs="Arial"/>
                <w:sz w:val="22"/>
                <w:szCs w:val="22"/>
                <w:lang w:val="sr-Latn-ME" w:eastAsia="en-US"/>
              </w:rPr>
            </w:pP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Promjene u sastavu Monitoring komiteta odobrene</w:t>
            </w:r>
          </w:p>
        </w:tc>
        <w:tc>
          <w:tcPr>
            <w:tcW w:w="1854" w:type="dxa"/>
            <w:gridSpan w:val="2"/>
          </w:tcPr>
          <w:p w:rsidR="00621357" w:rsidRPr="00621357" w:rsidRDefault="00621357" w:rsidP="00621357">
            <w:pPr>
              <w:spacing w:after="160" w:line="259" w:lineRule="auto"/>
              <w:rPr>
                <w:rFonts w:ascii="Arial" w:hAnsi="Arial" w:cs="Arial"/>
                <w:sz w:val="22"/>
                <w:szCs w:val="22"/>
                <w:lang w:val="sr-Latn-RS" w:eastAsia="en-US"/>
              </w:rPr>
            </w:pPr>
            <w:r w:rsidRPr="00621357">
              <w:rPr>
                <w:rFonts w:ascii="Arial" w:hAnsi="Arial" w:cs="Arial"/>
                <w:sz w:val="22"/>
                <w:szCs w:val="22"/>
                <w:lang w:val="sr-Latn-RS" w:eastAsia="en-US"/>
              </w:rPr>
              <w:t>Direktorat za upravljanje strukturama pretpristupne podrške EU</w:t>
            </w:r>
          </w:p>
          <w:p w:rsidR="00621357" w:rsidRPr="00621357" w:rsidRDefault="00621357" w:rsidP="00621357">
            <w:pPr>
              <w:spacing w:after="160" w:line="259" w:lineRule="auto"/>
              <w:rPr>
                <w:rFonts w:ascii="Arial" w:hAnsi="Arial" w:cs="Arial"/>
                <w:sz w:val="22"/>
                <w:szCs w:val="22"/>
                <w:lang w:val="sr-Latn-ME" w:eastAsia="en-US"/>
              </w:rPr>
            </w:pP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NIPAK</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IIIQ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2025</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p w:rsidR="00621357" w:rsidRPr="00621357" w:rsidRDefault="00621357" w:rsidP="00621357">
            <w:pPr>
              <w:spacing w:after="160" w:line="259" w:lineRule="auto"/>
              <w:rPr>
                <w:rFonts w:ascii="Arial" w:hAnsi="Arial" w:cs="Arial"/>
                <w:sz w:val="22"/>
                <w:szCs w:val="22"/>
                <w:lang w:val="sr-Latn-ME" w:eastAsia="en-US"/>
              </w:rPr>
            </w:pP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evropskih poslova</w:t>
            </w:r>
          </w:p>
        </w:tc>
      </w:tr>
      <w:tr w:rsidR="00621357" w:rsidRPr="00621357" w:rsidTr="007904C2">
        <w:tc>
          <w:tcPr>
            <w:tcW w:w="2540" w:type="dxa"/>
            <w:shd w:val="clear" w:color="auto" w:fill="DEEAF6" w:themeFill="accent1" w:themeFillTint="3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Operativni cilj 4 </w:t>
            </w:r>
          </w:p>
        </w:tc>
        <w:tc>
          <w:tcPr>
            <w:tcW w:w="12770" w:type="dxa"/>
            <w:gridSpan w:val="12"/>
            <w:shd w:val="clear" w:color="auto" w:fill="DEEAF6" w:themeFill="accent1" w:themeFillTint="3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Održavanje kapaciteta za otkrivanje nepravilnosti uz istovremeno poboljšanje kvaliteta izvještavanja o nepravilnostima i unapređenje prepoznavanja crvenih zastavica i znakova prevara.</w:t>
            </w:r>
          </w:p>
          <w:p w:rsidR="00621357" w:rsidRPr="00621357" w:rsidRDefault="00621357" w:rsidP="00621357">
            <w:pPr>
              <w:spacing w:after="160" w:line="259" w:lineRule="auto"/>
              <w:rPr>
                <w:rFonts w:ascii="Arial" w:hAnsi="Arial" w:cs="Arial"/>
                <w:b/>
                <w:sz w:val="22"/>
                <w:szCs w:val="22"/>
                <w:lang w:val="sr-Latn-ME" w:eastAsia="en-US"/>
              </w:rPr>
            </w:pPr>
          </w:p>
        </w:tc>
      </w:tr>
      <w:tr w:rsidR="00621357" w:rsidRPr="00621357" w:rsidTr="007904C2">
        <w:tc>
          <w:tcPr>
            <w:tcW w:w="2540"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uspjeha 4.1</w:t>
            </w:r>
          </w:p>
        </w:tc>
        <w:tc>
          <w:tcPr>
            <w:tcW w:w="7062" w:type="dxa"/>
            <w:gridSpan w:val="7"/>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Procenat nepravilnosti prijavljenih u IMS unutar postavljenog roka (u roku od 45</w:t>
            </w:r>
            <w:r w:rsidRPr="00621357">
              <w:rPr>
                <w:rFonts w:ascii="Arial" w:hAnsi="Arial" w:cs="Arial"/>
                <w:sz w:val="22"/>
                <w:szCs w:val="22"/>
                <w:vertAlign w:val="superscript"/>
                <w:lang w:val="sr-Latn-ME" w:eastAsia="en-US"/>
              </w:rPr>
              <w:footnoteReference w:id="19"/>
            </w:r>
            <w:r w:rsidRPr="00621357">
              <w:rPr>
                <w:rFonts w:ascii="Arial" w:hAnsi="Arial" w:cs="Arial"/>
                <w:sz w:val="22"/>
                <w:szCs w:val="22"/>
                <w:lang w:val="sr-Latn-ME" w:eastAsia="en-US"/>
              </w:rPr>
              <w:t xml:space="preserve"> dana od PACA datuma).</w:t>
            </w:r>
          </w:p>
          <w:p w:rsidR="00621357" w:rsidRPr="00621357" w:rsidRDefault="00621357" w:rsidP="00621357">
            <w:pPr>
              <w:spacing w:after="160" w:line="259" w:lineRule="auto"/>
              <w:rPr>
                <w:rFonts w:ascii="Arial" w:hAnsi="Arial" w:cs="Arial"/>
                <w:sz w:val="22"/>
                <w:szCs w:val="22"/>
                <w:lang w:val="sr-Latn-ME" w:eastAsia="en-US"/>
              </w:rPr>
            </w:pPr>
          </w:p>
        </w:tc>
        <w:tc>
          <w:tcPr>
            <w:tcW w:w="1373"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Početna vrijednost u 2024: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4%</w:t>
            </w:r>
          </w:p>
        </w:tc>
        <w:tc>
          <w:tcPr>
            <w:tcW w:w="2589" w:type="dxa"/>
            <w:gridSpan w:val="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 vrijednost u 2026:</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50%</w:t>
            </w:r>
          </w:p>
        </w:tc>
        <w:tc>
          <w:tcPr>
            <w:tcW w:w="1746"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 vrijednost u 2028:</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90%</w:t>
            </w:r>
          </w:p>
        </w:tc>
      </w:tr>
      <w:tr w:rsidR="00621357" w:rsidRPr="00621357" w:rsidTr="007904C2">
        <w:tc>
          <w:tcPr>
            <w:tcW w:w="2540"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uspjeha 4.2</w:t>
            </w:r>
          </w:p>
        </w:tc>
        <w:tc>
          <w:tcPr>
            <w:tcW w:w="7062" w:type="dxa"/>
            <w:gridSpan w:val="7"/>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Procenat nepravilnosti prijavljenih kao sumnja na prevaru </w:t>
            </w:r>
          </w:p>
          <w:p w:rsidR="00621357" w:rsidRPr="00621357" w:rsidRDefault="00621357" w:rsidP="00621357">
            <w:pPr>
              <w:spacing w:after="160" w:line="259" w:lineRule="auto"/>
              <w:rPr>
                <w:rFonts w:ascii="Arial" w:hAnsi="Arial" w:cs="Arial"/>
                <w:sz w:val="22"/>
                <w:szCs w:val="22"/>
                <w:lang w:val="sr-Latn-ME" w:eastAsia="en-US"/>
              </w:rPr>
            </w:pPr>
          </w:p>
        </w:tc>
        <w:tc>
          <w:tcPr>
            <w:tcW w:w="1373"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Početna vrijednost u 2024: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5%</w:t>
            </w:r>
          </w:p>
        </w:tc>
        <w:tc>
          <w:tcPr>
            <w:tcW w:w="2589" w:type="dxa"/>
            <w:gridSpan w:val="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 vrijednost u 2026:</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6%</w:t>
            </w:r>
          </w:p>
        </w:tc>
        <w:tc>
          <w:tcPr>
            <w:tcW w:w="1746"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Ciljana vrijednost u 2028: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8%</w:t>
            </w:r>
          </w:p>
        </w:tc>
      </w:tr>
      <w:tr w:rsidR="00621357" w:rsidRPr="00621357" w:rsidTr="007904C2">
        <w:tc>
          <w:tcPr>
            <w:tcW w:w="2540"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uspjeha 4.3</w:t>
            </w:r>
          </w:p>
        </w:tc>
        <w:tc>
          <w:tcPr>
            <w:tcW w:w="7062" w:type="dxa"/>
            <w:gridSpan w:val="7"/>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Broj vraćenih izvještaja o nepravilnostima od strane Direkcije za zaštitu finansijskih interesa EU/AFCOS  Implementacionim agencijama/ Posredničkim tijelima za finansijsko upravljanje, radi dorade.</w:t>
            </w:r>
          </w:p>
        </w:tc>
        <w:tc>
          <w:tcPr>
            <w:tcW w:w="1373"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Početna vrijednost u 2024: </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60</w:t>
            </w:r>
          </w:p>
        </w:tc>
        <w:tc>
          <w:tcPr>
            <w:tcW w:w="2589" w:type="dxa"/>
            <w:gridSpan w:val="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 vrijednost u 2026:</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40</w:t>
            </w:r>
          </w:p>
        </w:tc>
        <w:tc>
          <w:tcPr>
            <w:tcW w:w="1746"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 vrijednost u 2028:</w:t>
            </w:r>
          </w:p>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20 </w:t>
            </w:r>
          </w:p>
        </w:tc>
      </w:tr>
      <w:tr w:rsidR="00621357" w:rsidRPr="00621357" w:rsidTr="007904C2">
        <w:tc>
          <w:tcPr>
            <w:tcW w:w="2540"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Mjere povezane sa operativnim ciljem 4</w:t>
            </w:r>
            <w:r w:rsidRPr="00621357">
              <w:rPr>
                <w:rFonts w:ascii="Arial" w:hAnsi="Arial" w:cs="Arial"/>
                <w:b/>
                <w:sz w:val="22"/>
                <w:szCs w:val="22"/>
                <w:lang w:val="sr-Latn-ME" w:eastAsia="en-US"/>
              </w:rPr>
              <w:tab/>
            </w:r>
          </w:p>
        </w:tc>
        <w:tc>
          <w:tcPr>
            <w:tcW w:w="1932"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Aktivnost</w:t>
            </w:r>
          </w:p>
        </w:tc>
        <w:tc>
          <w:tcPr>
            <w:tcW w:w="2039"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učinka</w:t>
            </w:r>
          </w:p>
        </w:tc>
        <w:tc>
          <w:tcPr>
            <w:tcW w:w="1854" w:type="dxa"/>
            <w:gridSpan w:val="2"/>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Odgovorna institucija</w:t>
            </w:r>
          </w:p>
        </w:tc>
        <w:tc>
          <w:tcPr>
            <w:tcW w:w="1237" w:type="dxa"/>
            <w:gridSpan w:val="3"/>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Datum početka</w:t>
            </w:r>
          </w:p>
        </w:tc>
        <w:tc>
          <w:tcPr>
            <w:tcW w:w="1373"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Datum završetka</w:t>
            </w:r>
          </w:p>
        </w:tc>
        <w:tc>
          <w:tcPr>
            <w:tcW w:w="2589" w:type="dxa"/>
            <w:gridSpan w:val="3"/>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Predviđeni troškovi</w:t>
            </w:r>
          </w:p>
        </w:tc>
        <w:tc>
          <w:tcPr>
            <w:tcW w:w="1746"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Izvor finansiranja</w:t>
            </w:r>
          </w:p>
        </w:tc>
      </w:tr>
      <w:tr w:rsidR="00621357" w:rsidRPr="00621357" w:rsidTr="007904C2">
        <w:tc>
          <w:tcPr>
            <w:tcW w:w="2540" w:type="dxa"/>
            <w:vMerge w:val="restart"/>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4.1 Unaprjeđenje Smjernica o upravljanju nepravilnostima</w:t>
            </w:r>
          </w:p>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Pregled smjernica o nepravilnostima i prilagođavanje istih sa zahtjevima IPA III regulative</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Smjernice o nepravilnostima ažurirane i odobrene</w:t>
            </w:r>
          </w:p>
          <w:p w:rsidR="00621357" w:rsidRPr="00621357" w:rsidRDefault="00621357" w:rsidP="00621357">
            <w:pPr>
              <w:spacing w:after="160" w:line="259" w:lineRule="auto"/>
              <w:rPr>
                <w:rFonts w:ascii="Arial" w:hAnsi="Arial" w:cs="Arial"/>
                <w:sz w:val="22"/>
                <w:szCs w:val="22"/>
                <w:lang w:val="sr-Latn-ME" w:eastAsia="en-US"/>
              </w:rPr>
            </w:pP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Direkcija za zaštitu finansijskih interesa EU </w:t>
            </w:r>
          </w:p>
          <w:p w:rsidR="00621357" w:rsidRPr="00621357" w:rsidRDefault="00621357" w:rsidP="00621357">
            <w:pPr>
              <w:spacing w:after="160" w:line="259" w:lineRule="auto"/>
              <w:rPr>
                <w:rFonts w:ascii="Arial" w:hAnsi="Arial" w:cs="Arial"/>
                <w:sz w:val="22"/>
                <w:szCs w:val="22"/>
                <w:lang w:val="sr-Latn-ME" w:eastAsia="en-US"/>
              </w:rPr>
            </w:pPr>
          </w:p>
          <w:p w:rsidR="00621357" w:rsidRPr="00621357" w:rsidRDefault="00621357" w:rsidP="00621357">
            <w:pPr>
              <w:spacing w:after="160" w:line="259" w:lineRule="auto"/>
              <w:rPr>
                <w:rFonts w:ascii="Arial" w:hAnsi="Arial" w:cs="Arial"/>
                <w:sz w:val="22"/>
                <w:szCs w:val="22"/>
                <w:lang w:val="sr-Latn-RS" w:eastAsia="en-US"/>
              </w:rPr>
            </w:pPr>
            <w:r w:rsidRPr="00621357">
              <w:rPr>
                <w:rFonts w:ascii="Arial" w:hAnsi="Arial" w:cs="Arial"/>
                <w:sz w:val="22"/>
                <w:szCs w:val="22"/>
                <w:lang w:val="sr-Latn-RS" w:eastAsia="en-US"/>
              </w:rPr>
              <w:t>Direktorat za upravljanje strukturama pretpristupne podrške EU</w:t>
            </w:r>
          </w:p>
          <w:p w:rsidR="00621357" w:rsidRPr="00621357" w:rsidRDefault="00621357" w:rsidP="00621357">
            <w:pPr>
              <w:spacing w:after="160" w:line="259" w:lineRule="auto"/>
              <w:rPr>
                <w:rFonts w:ascii="Arial" w:hAnsi="Arial" w:cs="Arial"/>
                <w:sz w:val="22"/>
                <w:szCs w:val="22"/>
                <w:lang w:val="sr-Latn-ME" w:eastAsia="en-US"/>
              </w:rPr>
            </w:pP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IIIQ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2025</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2540" w:type="dxa"/>
            <w:vMerge/>
          </w:tcPr>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Uključivanje procedura iz ažuriranih Smjernica o nepravilnostima u poglavlje "Nepravilnosti" Priručnika o procedurama</w:t>
            </w:r>
          </w:p>
          <w:p w:rsidR="00621357" w:rsidRPr="00621357" w:rsidRDefault="00621357" w:rsidP="00621357">
            <w:pPr>
              <w:spacing w:after="160" w:line="259" w:lineRule="auto"/>
              <w:rPr>
                <w:rFonts w:ascii="Arial" w:hAnsi="Arial" w:cs="Arial"/>
                <w:sz w:val="22"/>
                <w:szCs w:val="22"/>
                <w:lang w:val="sr-Latn-ME" w:eastAsia="en-US"/>
              </w:rPr>
            </w:pP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Poglavlje "Nepravilnosti" u Priručniku procedurama ažurirano</w:t>
            </w:r>
          </w:p>
          <w:p w:rsidR="00621357" w:rsidRPr="00621357" w:rsidRDefault="00621357" w:rsidP="00621357">
            <w:pPr>
              <w:spacing w:after="160" w:line="259" w:lineRule="auto"/>
              <w:rPr>
                <w:rFonts w:ascii="Arial" w:hAnsi="Arial" w:cs="Arial"/>
                <w:sz w:val="22"/>
                <w:szCs w:val="22"/>
                <w:lang w:val="sr-Latn-ME" w:eastAsia="en-US"/>
              </w:rPr>
            </w:pPr>
          </w:p>
        </w:tc>
        <w:tc>
          <w:tcPr>
            <w:tcW w:w="1854" w:type="dxa"/>
            <w:gridSpan w:val="2"/>
          </w:tcPr>
          <w:p w:rsidR="00621357" w:rsidRPr="00621357" w:rsidRDefault="00621357" w:rsidP="00621357">
            <w:pPr>
              <w:spacing w:after="160" w:line="259" w:lineRule="auto"/>
              <w:rPr>
                <w:rFonts w:ascii="Arial" w:hAnsi="Arial" w:cs="Arial"/>
                <w:sz w:val="22"/>
                <w:szCs w:val="22"/>
                <w:lang w:val="sr-Latn-RS" w:eastAsia="en-US"/>
              </w:rPr>
            </w:pPr>
            <w:r w:rsidRPr="00621357">
              <w:rPr>
                <w:rFonts w:ascii="Arial" w:hAnsi="Arial" w:cs="Arial"/>
                <w:sz w:val="22"/>
                <w:szCs w:val="22"/>
                <w:lang w:val="sr-Latn-RS" w:eastAsia="en-US"/>
              </w:rPr>
              <w:t>Direktorat za upravljanje strukturama pretpristupne podrške EU</w:t>
            </w:r>
          </w:p>
          <w:p w:rsidR="00621357" w:rsidRPr="00621357" w:rsidRDefault="00621357" w:rsidP="00621357">
            <w:pPr>
              <w:spacing w:after="160" w:line="259" w:lineRule="auto"/>
              <w:rPr>
                <w:rFonts w:ascii="Arial" w:hAnsi="Arial" w:cs="Arial"/>
                <w:sz w:val="22"/>
                <w:szCs w:val="22"/>
                <w:lang w:val="sr-Latn-ME" w:eastAsia="en-US"/>
              </w:rPr>
            </w:pP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IQ 2026</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2540" w:type="dxa"/>
            <w:vMerge w:val="restart"/>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4.2 Unaprjeđenje indirektnog sistema upravljanja i kontrole za implementaciju projekata iz IPA fondova</w:t>
            </w:r>
          </w:p>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Kreirati jedinstvenu elektronsku bazu podataka projekata finansiranih iz EU podrške tj. internet platformu za EU fondove u Crnoj Gori i omogućiti pristup istoj u cilju objedinjavanja svih neophodnih informacija za krajnje korisnike  EU podrške i budué potencijalne aplikante </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Internet platforma za EU fondove u Crnoj Gori </w:t>
            </w:r>
          </w:p>
        </w:tc>
        <w:tc>
          <w:tcPr>
            <w:tcW w:w="1854" w:type="dxa"/>
            <w:gridSpan w:val="2"/>
          </w:tcPr>
          <w:p w:rsidR="00621357" w:rsidRPr="00621357" w:rsidRDefault="00621357" w:rsidP="00621357">
            <w:pPr>
              <w:spacing w:after="160" w:line="259" w:lineRule="auto"/>
              <w:rPr>
                <w:rFonts w:ascii="Arial" w:hAnsi="Arial" w:cs="Arial"/>
                <w:sz w:val="22"/>
                <w:szCs w:val="22"/>
                <w:lang w:val="sr-Latn-RS" w:eastAsia="en-US"/>
              </w:rPr>
            </w:pPr>
            <w:r w:rsidRPr="00621357">
              <w:rPr>
                <w:rFonts w:ascii="Arial" w:hAnsi="Arial" w:cs="Arial"/>
                <w:sz w:val="22"/>
                <w:szCs w:val="22"/>
                <w:lang w:val="sr-Latn-RS" w:eastAsia="en-US"/>
              </w:rPr>
              <w:t>Direktorat za upravljanje strukturama pretpristupne podrške EU (Ministarstvo finansija)</w:t>
            </w:r>
          </w:p>
          <w:p w:rsidR="00621357" w:rsidRPr="00621357" w:rsidRDefault="00621357" w:rsidP="00621357">
            <w:pPr>
              <w:spacing w:after="160" w:line="259" w:lineRule="auto"/>
              <w:rPr>
                <w:rFonts w:ascii="Arial" w:hAnsi="Arial" w:cs="Arial"/>
                <w:sz w:val="22"/>
                <w:szCs w:val="22"/>
                <w:lang w:val="sr-Latn-ME" w:eastAsia="en-US"/>
              </w:rPr>
            </w:pP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Sredstva će biti obezbijeđena ili iz EU donacija ili iz planiranih sredstava u budžetu Ministarstva finansija – budžetska linija za Direktorat za upravljanje strukturama pretpristupne podrške EU u za razvoj jedinstvene baze podataka.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2540" w:type="dxa"/>
            <w:vMerge/>
          </w:tcPr>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Propisati preciznu proceduru linija komuniciranja između svih nadležnih IPA tijela za provjeru povezanosti osoba koje sprovode kontrole na licu mjesta sa osobama koje su predmet kontrole kako bi se izbjegao potencijalni konflikt interesa.</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Dodatno osigurati potpisivanje Izjave o nepristrasnosti od strane svih uključenih lica u procesu.</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Postupak komunikacije između IPA struktura za provjeru povezanosti osoba koje sprovode kontrolu na licu mjesta sa osobama koje su predmet kontrole definisan i potpisivanje Izjave o nepristrasnosti osiguran</w:t>
            </w:r>
          </w:p>
        </w:tc>
        <w:tc>
          <w:tcPr>
            <w:tcW w:w="1854" w:type="dxa"/>
            <w:gridSpan w:val="2"/>
          </w:tcPr>
          <w:p w:rsidR="00621357" w:rsidRPr="00621357" w:rsidRDefault="00621357" w:rsidP="00621357">
            <w:pPr>
              <w:spacing w:after="160" w:line="259" w:lineRule="auto"/>
              <w:rPr>
                <w:rFonts w:ascii="Arial" w:hAnsi="Arial" w:cs="Arial"/>
                <w:sz w:val="22"/>
                <w:szCs w:val="22"/>
                <w:lang w:val="sr-Latn-RS" w:eastAsia="en-US"/>
              </w:rPr>
            </w:pPr>
            <w:r w:rsidRPr="00621357">
              <w:rPr>
                <w:rFonts w:ascii="Arial" w:hAnsi="Arial" w:cs="Arial"/>
                <w:sz w:val="22"/>
                <w:szCs w:val="22"/>
                <w:lang w:val="sr-Latn-RS" w:eastAsia="en-US"/>
              </w:rPr>
              <w:t>Direktorat za upravljanje strukturama pretpristupne podrške EU</w:t>
            </w:r>
          </w:p>
          <w:p w:rsidR="00621357" w:rsidRPr="00621357" w:rsidRDefault="00621357" w:rsidP="00621357">
            <w:pPr>
              <w:spacing w:after="160" w:line="259" w:lineRule="auto"/>
              <w:rPr>
                <w:rFonts w:ascii="Arial" w:hAnsi="Arial" w:cs="Arial"/>
                <w:sz w:val="22"/>
                <w:szCs w:val="22"/>
                <w:lang w:val="sr-Latn-ME" w:eastAsia="en-US"/>
              </w:rPr>
            </w:pP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IIIQ 2025</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2540" w:type="dxa"/>
            <w:shd w:val="clear" w:color="auto" w:fill="DEEAF6" w:themeFill="accent1" w:themeFillTint="3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Operativni cilj 5</w:t>
            </w:r>
          </w:p>
        </w:tc>
        <w:tc>
          <w:tcPr>
            <w:tcW w:w="12770" w:type="dxa"/>
            <w:gridSpan w:val="12"/>
            <w:shd w:val="clear" w:color="auto" w:fill="DEEAF6" w:themeFill="accent1" w:themeFillTint="3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Unaprjeđenje saradnje između istražnih tijela, AFCOS-a i OLAF-a</w:t>
            </w:r>
          </w:p>
          <w:p w:rsidR="00621357" w:rsidRPr="00621357" w:rsidRDefault="00621357" w:rsidP="00621357">
            <w:pPr>
              <w:spacing w:after="160" w:line="259" w:lineRule="auto"/>
              <w:rPr>
                <w:rFonts w:ascii="Arial" w:hAnsi="Arial" w:cs="Arial"/>
                <w:b/>
                <w:sz w:val="22"/>
                <w:szCs w:val="22"/>
                <w:lang w:val="sr-Latn-ME" w:eastAsia="en-US"/>
              </w:rPr>
            </w:pPr>
          </w:p>
        </w:tc>
      </w:tr>
      <w:tr w:rsidR="00621357" w:rsidRPr="00621357" w:rsidTr="007904C2">
        <w:tc>
          <w:tcPr>
            <w:tcW w:w="2540"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uspjeha 5.1</w:t>
            </w:r>
          </w:p>
        </w:tc>
        <w:tc>
          <w:tcPr>
            <w:tcW w:w="7062" w:type="dxa"/>
            <w:gridSpan w:val="7"/>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Svi OLAF-ovi zahtjevi su pravilno obrađeni i završeni</w:t>
            </w:r>
          </w:p>
          <w:p w:rsidR="00621357" w:rsidRPr="00621357" w:rsidRDefault="00621357" w:rsidP="00621357">
            <w:pPr>
              <w:spacing w:after="160" w:line="259" w:lineRule="auto"/>
              <w:rPr>
                <w:rFonts w:ascii="Arial" w:hAnsi="Arial" w:cs="Arial"/>
                <w:sz w:val="22"/>
                <w:szCs w:val="22"/>
                <w:lang w:val="sr-Latn-ME" w:eastAsia="en-US"/>
              </w:rPr>
            </w:pPr>
          </w:p>
        </w:tc>
        <w:tc>
          <w:tcPr>
            <w:tcW w:w="1373"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Početna vrijednost u 2024: </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100%</w:t>
            </w:r>
          </w:p>
        </w:tc>
        <w:tc>
          <w:tcPr>
            <w:tcW w:w="2589" w:type="dxa"/>
            <w:gridSpan w:val="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 vrijednost u 2026:</w:t>
            </w:r>
          </w:p>
          <w:p w:rsidR="00621357" w:rsidRPr="00621357" w:rsidRDefault="00621357" w:rsidP="00621357">
            <w:pPr>
              <w:spacing w:after="160" w:line="259" w:lineRule="auto"/>
              <w:rPr>
                <w:rFonts w:ascii="Arial" w:hAnsi="Arial" w:cs="Arial"/>
                <w:b/>
                <w:sz w:val="22"/>
                <w:szCs w:val="22"/>
                <w:lang w:val="sr-Latn-ME" w:eastAsia="en-US"/>
              </w:rPr>
            </w:pP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100%</w:t>
            </w:r>
          </w:p>
        </w:tc>
        <w:tc>
          <w:tcPr>
            <w:tcW w:w="1746"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 vrijednost u 2028:</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100%</w:t>
            </w:r>
          </w:p>
        </w:tc>
      </w:tr>
      <w:tr w:rsidR="00621357" w:rsidRPr="00621357" w:rsidTr="007904C2">
        <w:tc>
          <w:tcPr>
            <w:tcW w:w="2540"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Mjere povezane sa operativnim ciljem 4</w:t>
            </w:r>
          </w:p>
        </w:tc>
        <w:tc>
          <w:tcPr>
            <w:tcW w:w="1932"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Aktivnost</w:t>
            </w:r>
          </w:p>
        </w:tc>
        <w:tc>
          <w:tcPr>
            <w:tcW w:w="2039"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učinka</w:t>
            </w:r>
          </w:p>
        </w:tc>
        <w:tc>
          <w:tcPr>
            <w:tcW w:w="1818"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Odgovorna institucija</w:t>
            </w:r>
          </w:p>
        </w:tc>
        <w:tc>
          <w:tcPr>
            <w:tcW w:w="1273" w:type="dxa"/>
            <w:gridSpan w:val="4"/>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Datum početka</w:t>
            </w:r>
          </w:p>
        </w:tc>
        <w:tc>
          <w:tcPr>
            <w:tcW w:w="1373"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Datum završetka</w:t>
            </w:r>
          </w:p>
        </w:tc>
        <w:tc>
          <w:tcPr>
            <w:tcW w:w="2589" w:type="dxa"/>
            <w:gridSpan w:val="3"/>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Predviđeni troškovi</w:t>
            </w:r>
          </w:p>
        </w:tc>
        <w:tc>
          <w:tcPr>
            <w:tcW w:w="1746"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Izvor finansiranja</w:t>
            </w: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bookmarkStart w:id="37" w:name="_Hlk194044338"/>
            <w:r w:rsidRPr="00621357">
              <w:rPr>
                <w:rFonts w:ascii="Arial" w:hAnsi="Arial" w:cs="Arial"/>
                <w:sz w:val="22"/>
                <w:szCs w:val="22"/>
                <w:lang w:val="sr-Latn-ME" w:eastAsia="en-US"/>
              </w:rPr>
              <w:t xml:space="preserve">5.1 Unaprjeđenje saradnje jasnim definisanjem mehanizama i odgovornosti za saradnju sa OLAF-om i Direkcijom za zaštitu finansijskih interesa EU/AFCOS </w:t>
            </w:r>
          </w:p>
          <w:p w:rsidR="00621357" w:rsidRPr="00621357" w:rsidRDefault="00621357" w:rsidP="00621357">
            <w:pPr>
              <w:spacing w:after="160" w:line="259" w:lineRule="auto"/>
              <w:rPr>
                <w:rFonts w:ascii="Arial" w:hAnsi="Arial" w:cs="Arial"/>
                <w:sz w:val="22"/>
                <w:szCs w:val="22"/>
                <w:lang w:val="sr-Latn-ME" w:eastAsia="en-US"/>
              </w:rPr>
            </w:pP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Izrada procedura o postupanju u slučaju posjete OLAF-ovih inspektora i saradnja nacionalnih tijela sa AFCOS kancelarijom </w:t>
            </w:r>
          </w:p>
          <w:p w:rsidR="00621357" w:rsidRPr="00621357" w:rsidRDefault="00621357" w:rsidP="00621357">
            <w:pPr>
              <w:spacing w:after="160" w:line="259" w:lineRule="auto"/>
              <w:rPr>
                <w:rFonts w:ascii="Arial" w:hAnsi="Arial" w:cs="Arial"/>
                <w:sz w:val="22"/>
                <w:szCs w:val="22"/>
                <w:lang w:val="sr-Latn-ME" w:eastAsia="en-US"/>
              </w:rPr>
            </w:pP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Procedure za postupanje u slučaju posjete OLAF-ovih istražitelja i saradnja nacionalnih tijela sa AFCOS kancelarijom izrađene.</w:t>
            </w:r>
          </w:p>
          <w:p w:rsidR="00621357" w:rsidRPr="00621357" w:rsidRDefault="00621357" w:rsidP="00621357">
            <w:pPr>
              <w:spacing w:after="160" w:line="259" w:lineRule="auto"/>
              <w:rPr>
                <w:rFonts w:ascii="Arial" w:hAnsi="Arial" w:cs="Arial"/>
                <w:sz w:val="22"/>
                <w:szCs w:val="22"/>
                <w:lang w:val="sr-Latn-ME" w:eastAsia="en-US"/>
              </w:rPr>
            </w:pPr>
          </w:p>
          <w:p w:rsidR="00621357" w:rsidRPr="00621357" w:rsidRDefault="00621357" w:rsidP="00621357">
            <w:pPr>
              <w:spacing w:after="160" w:line="259" w:lineRule="auto"/>
              <w:rPr>
                <w:rFonts w:ascii="Arial" w:hAnsi="Arial" w:cs="Arial"/>
                <w:sz w:val="22"/>
                <w:szCs w:val="22"/>
                <w:lang w:val="sr-Latn-ME" w:eastAsia="en-US"/>
              </w:rPr>
            </w:pP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Direkcija za zaštitu finansijskih interesa EU/AFCOS</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IQ 2026</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bookmarkEnd w:id="37"/>
      <w:tr w:rsidR="00621357" w:rsidRPr="00621357" w:rsidTr="007904C2">
        <w:tc>
          <w:tcPr>
            <w:tcW w:w="2540" w:type="dxa"/>
            <w:shd w:val="clear" w:color="auto" w:fill="DEEAF6" w:themeFill="accent1" w:themeFillTint="3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Operativni cilj 6</w:t>
            </w:r>
          </w:p>
        </w:tc>
        <w:tc>
          <w:tcPr>
            <w:tcW w:w="12770" w:type="dxa"/>
            <w:gridSpan w:val="12"/>
            <w:shd w:val="clear" w:color="auto" w:fill="DEEAF6" w:themeFill="accent1" w:themeFillTint="3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Unaprjeđenje kapaciteta za osiguranje efikasnih i efektivnih povraćaja nepravilno utrošenih sredstava</w:t>
            </w:r>
          </w:p>
          <w:p w:rsidR="00621357" w:rsidRPr="00621357" w:rsidRDefault="00621357" w:rsidP="00621357">
            <w:pPr>
              <w:spacing w:after="160" w:line="259" w:lineRule="auto"/>
              <w:rPr>
                <w:rFonts w:ascii="Arial" w:hAnsi="Arial" w:cs="Arial"/>
                <w:b/>
                <w:sz w:val="22"/>
                <w:szCs w:val="22"/>
                <w:lang w:val="sr-Latn-ME" w:eastAsia="en-US"/>
              </w:rPr>
            </w:pPr>
          </w:p>
          <w:p w:rsidR="00621357" w:rsidRPr="00621357" w:rsidRDefault="00621357" w:rsidP="00621357">
            <w:pPr>
              <w:spacing w:after="160" w:line="259" w:lineRule="auto"/>
              <w:rPr>
                <w:rFonts w:ascii="Arial" w:hAnsi="Arial" w:cs="Arial"/>
                <w:b/>
                <w:sz w:val="22"/>
                <w:szCs w:val="22"/>
                <w:lang w:val="sr-Latn-ME" w:eastAsia="en-US"/>
              </w:rPr>
            </w:pPr>
          </w:p>
          <w:p w:rsidR="00621357" w:rsidRPr="00621357" w:rsidRDefault="00621357" w:rsidP="00621357">
            <w:pPr>
              <w:spacing w:after="160" w:line="259" w:lineRule="auto"/>
              <w:rPr>
                <w:rFonts w:ascii="Arial" w:hAnsi="Arial" w:cs="Arial"/>
                <w:b/>
                <w:sz w:val="22"/>
                <w:szCs w:val="22"/>
                <w:lang w:val="sr-Latn-ME" w:eastAsia="en-US"/>
              </w:rPr>
            </w:pPr>
          </w:p>
        </w:tc>
      </w:tr>
      <w:tr w:rsidR="00621357" w:rsidRPr="00621357" w:rsidTr="007904C2">
        <w:tc>
          <w:tcPr>
            <w:tcW w:w="2540"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uspjeha 6.1</w:t>
            </w:r>
          </w:p>
        </w:tc>
        <w:tc>
          <w:tcPr>
            <w:tcW w:w="7062" w:type="dxa"/>
            <w:gridSpan w:val="7"/>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Stopa povraćaja nepravilno utrošenih sredstava</w:t>
            </w:r>
          </w:p>
          <w:p w:rsidR="00621357" w:rsidRPr="00621357" w:rsidRDefault="00621357" w:rsidP="00621357">
            <w:pPr>
              <w:spacing w:after="160" w:line="259" w:lineRule="auto"/>
              <w:rPr>
                <w:rFonts w:ascii="Arial" w:hAnsi="Arial" w:cs="Arial"/>
                <w:sz w:val="22"/>
                <w:szCs w:val="22"/>
                <w:lang w:val="sr-Latn-ME" w:eastAsia="en-US"/>
              </w:rPr>
            </w:pPr>
          </w:p>
        </w:tc>
        <w:tc>
          <w:tcPr>
            <w:tcW w:w="1373"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 xml:space="preserve">Početna vrijednost u 2024: </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43%</w:t>
            </w:r>
          </w:p>
        </w:tc>
        <w:tc>
          <w:tcPr>
            <w:tcW w:w="2589" w:type="dxa"/>
            <w:gridSpan w:val="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 vrijednost u 2026:</w:t>
            </w:r>
          </w:p>
          <w:p w:rsidR="00621357" w:rsidRPr="00621357" w:rsidRDefault="00621357" w:rsidP="00621357">
            <w:pPr>
              <w:spacing w:after="160" w:line="259" w:lineRule="auto"/>
              <w:rPr>
                <w:rFonts w:ascii="Arial" w:hAnsi="Arial" w:cs="Arial"/>
                <w:b/>
                <w:sz w:val="22"/>
                <w:szCs w:val="22"/>
                <w:lang w:val="sr-Latn-ME" w:eastAsia="en-US"/>
              </w:rPr>
            </w:pP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60%</w:t>
            </w:r>
          </w:p>
        </w:tc>
        <w:tc>
          <w:tcPr>
            <w:tcW w:w="1746" w:type="dxa"/>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Ciljana vrijednost u 2028:</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75%</w:t>
            </w:r>
          </w:p>
        </w:tc>
      </w:tr>
      <w:tr w:rsidR="00621357" w:rsidRPr="00621357" w:rsidTr="007904C2">
        <w:tc>
          <w:tcPr>
            <w:tcW w:w="2540"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Mjere povezane sa operativnim ciljem 4</w:t>
            </w:r>
          </w:p>
        </w:tc>
        <w:tc>
          <w:tcPr>
            <w:tcW w:w="1932"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Aktivnost</w:t>
            </w:r>
          </w:p>
        </w:tc>
        <w:tc>
          <w:tcPr>
            <w:tcW w:w="2039"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učinka</w:t>
            </w:r>
          </w:p>
        </w:tc>
        <w:tc>
          <w:tcPr>
            <w:tcW w:w="1854" w:type="dxa"/>
            <w:gridSpan w:val="2"/>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Odgovorna institucija</w:t>
            </w:r>
          </w:p>
        </w:tc>
        <w:tc>
          <w:tcPr>
            <w:tcW w:w="1237" w:type="dxa"/>
            <w:gridSpan w:val="3"/>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Datum početka</w:t>
            </w:r>
          </w:p>
        </w:tc>
        <w:tc>
          <w:tcPr>
            <w:tcW w:w="1373"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Datum završetka</w:t>
            </w:r>
          </w:p>
        </w:tc>
        <w:tc>
          <w:tcPr>
            <w:tcW w:w="2589" w:type="dxa"/>
            <w:gridSpan w:val="3"/>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Predviđeni troškovi</w:t>
            </w:r>
          </w:p>
        </w:tc>
        <w:tc>
          <w:tcPr>
            <w:tcW w:w="1746"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Izvor finansiranja</w:t>
            </w: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6.1 Analiza uzroka niske stope povraćaja sredstava i naredne korektivne akcije</w:t>
            </w: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Sprovesti analizu uzroka niske stope povraćaja sredstava iz dosadašnjih implementiranih projekata</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Analiza uzroka niske stope povraćaja sprovedena</w:t>
            </w:r>
          </w:p>
        </w:tc>
        <w:tc>
          <w:tcPr>
            <w:tcW w:w="1854" w:type="dxa"/>
            <w:gridSpan w:val="2"/>
          </w:tcPr>
          <w:p w:rsidR="00621357" w:rsidRPr="00621357" w:rsidRDefault="00621357" w:rsidP="00621357">
            <w:pPr>
              <w:spacing w:after="160" w:line="259" w:lineRule="auto"/>
              <w:rPr>
                <w:rFonts w:ascii="Arial" w:hAnsi="Arial" w:cs="Arial"/>
                <w:sz w:val="22"/>
                <w:szCs w:val="22"/>
                <w:lang w:val="sr-Latn-RS" w:eastAsia="en-US"/>
              </w:rPr>
            </w:pPr>
            <w:r w:rsidRPr="00621357">
              <w:rPr>
                <w:rFonts w:ascii="Arial" w:hAnsi="Arial" w:cs="Arial"/>
                <w:sz w:val="22"/>
                <w:szCs w:val="22"/>
                <w:lang w:val="sr-Latn-RS" w:eastAsia="en-US"/>
              </w:rPr>
              <w:t>Direktorat za upravljanje strukturama pretpristupne podrške EU</w:t>
            </w:r>
          </w:p>
          <w:p w:rsidR="00621357" w:rsidRPr="00621357" w:rsidRDefault="00621357" w:rsidP="00621357">
            <w:pPr>
              <w:spacing w:after="160" w:line="259" w:lineRule="auto"/>
              <w:rPr>
                <w:rFonts w:ascii="Arial" w:hAnsi="Arial" w:cs="Arial"/>
                <w:sz w:val="22"/>
                <w:szCs w:val="22"/>
                <w:lang w:val="sr-Latn-ME" w:eastAsia="en-US"/>
              </w:rPr>
            </w:pP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IIIQ 2026</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15310" w:type="dxa"/>
            <w:gridSpan w:val="13"/>
            <w:shd w:val="clear" w:color="auto" w:fill="ACB9CA" w:themeFill="text2" w:themeFillTint="66"/>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KOMUNIKACIRANJE REFORMSKIH AKTIVNOSTI</w:t>
            </w:r>
          </w:p>
        </w:tc>
      </w:tr>
      <w:tr w:rsidR="00621357" w:rsidRPr="00621357" w:rsidTr="007904C2">
        <w:tc>
          <w:tcPr>
            <w:tcW w:w="2540" w:type="dxa"/>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 xml:space="preserve">Mjere </w:t>
            </w:r>
          </w:p>
        </w:tc>
        <w:tc>
          <w:tcPr>
            <w:tcW w:w="1932"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Aktivnost</w:t>
            </w:r>
          </w:p>
        </w:tc>
        <w:tc>
          <w:tcPr>
            <w:tcW w:w="2039"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Indikator učinka</w:t>
            </w:r>
          </w:p>
        </w:tc>
        <w:tc>
          <w:tcPr>
            <w:tcW w:w="1854" w:type="dxa"/>
            <w:gridSpan w:val="2"/>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Odgovorna institucija</w:t>
            </w:r>
          </w:p>
        </w:tc>
        <w:tc>
          <w:tcPr>
            <w:tcW w:w="1203" w:type="dxa"/>
            <w:gridSpan w:val="2"/>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Datum početka</w:t>
            </w:r>
          </w:p>
        </w:tc>
        <w:tc>
          <w:tcPr>
            <w:tcW w:w="1407" w:type="dxa"/>
            <w:gridSpan w:val="2"/>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Datum završetka</w:t>
            </w:r>
          </w:p>
        </w:tc>
        <w:tc>
          <w:tcPr>
            <w:tcW w:w="2589" w:type="dxa"/>
            <w:gridSpan w:val="3"/>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Predviđeni troškovi</w:t>
            </w:r>
          </w:p>
        </w:tc>
        <w:tc>
          <w:tcPr>
            <w:tcW w:w="1746" w:type="dxa"/>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Izvor finansiranja</w:t>
            </w: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1.Usvajanje IPA III komunikacione strategije</w:t>
            </w: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Promovisanje značaja Strategije i ostvaraenih ciljeva, kroz aktivnosti predviđene ovom strategijom</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Podizanje svijesti o značaju realizacije ciljeva Strategije</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evropskih poslova</w:t>
            </w:r>
          </w:p>
        </w:tc>
        <w:tc>
          <w:tcPr>
            <w:tcW w:w="1203"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 Q 2025</w:t>
            </w:r>
          </w:p>
        </w:tc>
        <w:tc>
          <w:tcPr>
            <w:tcW w:w="1407"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 Q 2028</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evropskih poslova</w:t>
            </w: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2.Organizovanje seminara u svrhu promocije Strateškog dokumenta</w:t>
            </w: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Organizovati seminare na kojima će se promovisati Strategija i Akcioni plan i obrađivati teme od značaja za uspješnu realizaciju definisanih ciljeva</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Podizanje svijesti o značaju realizacije ciljeva Strategije</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c>
          <w:tcPr>
            <w:tcW w:w="1203"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 Q 2025</w:t>
            </w:r>
          </w:p>
        </w:tc>
        <w:tc>
          <w:tcPr>
            <w:tcW w:w="1407"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 Q 2028</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Predviđeni troškovi kroz aktivnosti navedene ovim Akcionim planom</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(2000,00EUR)</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3.Unaprijeđenje vidljivosti kroz pojačanu saradnju sa PR službom u skladu sa internim pravilima komunikacije sa javnošću</w:t>
            </w: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Promovisanje preko društvenih mreža</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Podizanje svijesti o značaju realizacije ciljeva Strategije</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c>
          <w:tcPr>
            <w:tcW w:w="1203"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 Q 2025</w:t>
            </w:r>
          </w:p>
        </w:tc>
        <w:tc>
          <w:tcPr>
            <w:tcW w:w="1407"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 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2540"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 xml:space="preserve">4.Razviti komunikacionu strategiju za oblast zaštite finansijskih interesa EU </w:t>
            </w:r>
          </w:p>
        </w:tc>
        <w:tc>
          <w:tcPr>
            <w:tcW w:w="1932"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Usvojiti komunikacionu strategiju za oblast zaštite finansijskih interesa EU</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Usvojena komunikaciona strategija za period 2026-2028</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Direkcija za zaštitu finansijskih interesa EU/AFCOS</w:t>
            </w:r>
          </w:p>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c>
          <w:tcPr>
            <w:tcW w:w="1203"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 Q 2025</w:t>
            </w:r>
          </w:p>
        </w:tc>
        <w:tc>
          <w:tcPr>
            <w:tcW w:w="1407"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 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15310" w:type="dxa"/>
            <w:gridSpan w:val="13"/>
            <w:shd w:val="clear" w:color="auto" w:fill="DEEAF6" w:themeFill="accent1" w:themeFillTint="3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Presjek stanja nakon 2 godine</w:t>
            </w:r>
          </w:p>
        </w:tc>
      </w:tr>
      <w:tr w:rsidR="00621357" w:rsidRPr="00621357" w:rsidTr="007904C2">
        <w:tc>
          <w:tcPr>
            <w:tcW w:w="4472" w:type="dxa"/>
            <w:gridSpan w:val="2"/>
            <w:shd w:val="clear" w:color="auto" w:fill="9CC2E5" w:themeFill="accent1" w:themeFillTint="99"/>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Aktivnost</w:t>
            </w:r>
          </w:p>
        </w:tc>
        <w:tc>
          <w:tcPr>
            <w:tcW w:w="2039" w:type="dxa"/>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Indikator učinka</w:t>
            </w:r>
          </w:p>
        </w:tc>
        <w:tc>
          <w:tcPr>
            <w:tcW w:w="1854" w:type="dxa"/>
            <w:gridSpan w:val="2"/>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Odgovorna institucija</w:t>
            </w:r>
          </w:p>
        </w:tc>
        <w:tc>
          <w:tcPr>
            <w:tcW w:w="1237" w:type="dxa"/>
            <w:gridSpan w:val="3"/>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Datum početka</w:t>
            </w:r>
          </w:p>
        </w:tc>
        <w:tc>
          <w:tcPr>
            <w:tcW w:w="1373" w:type="dxa"/>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Datum završetka</w:t>
            </w:r>
          </w:p>
        </w:tc>
        <w:tc>
          <w:tcPr>
            <w:tcW w:w="2589" w:type="dxa"/>
            <w:gridSpan w:val="3"/>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Predviđeni troškovi</w:t>
            </w:r>
          </w:p>
        </w:tc>
        <w:tc>
          <w:tcPr>
            <w:tcW w:w="1746" w:type="dxa"/>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Izvor finansiranja</w:t>
            </w:r>
          </w:p>
        </w:tc>
      </w:tr>
      <w:tr w:rsidR="00621357" w:rsidRPr="00621357" w:rsidTr="007904C2">
        <w:tc>
          <w:tcPr>
            <w:tcW w:w="4472"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Izrada Akcionog plana za period 2027-2028</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Akcioni plan 2027-2028 izrađen</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Direkcija za zaštitu finansijskih interesa EU/AFCOS</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IIIQ 2026</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IVQ 2026</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Ova aktivnost će biti implementirana od strane odgovorne institucije u okviru postojećeg budžeta.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Ministarstvo finansija</w:t>
            </w:r>
          </w:p>
        </w:tc>
      </w:tr>
      <w:tr w:rsidR="00621357" w:rsidRPr="00621357" w:rsidTr="007904C2">
        <w:tc>
          <w:tcPr>
            <w:tcW w:w="15310" w:type="dxa"/>
            <w:gridSpan w:val="13"/>
            <w:shd w:val="clear" w:color="auto" w:fill="DEEAF6" w:themeFill="accent1" w:themeFillTint="33"/>
          </w:tcPr>
          <w:p w:rsidR="00621357" w:rsidRPr="00621357" w:rsidRDefault="00621357" w:rsidP="00621357">
            <w:pPr>
              <w:spacing w:after="160" w:line="259" w:lineRule="auto"/>
              <w:rPr>
                <w:rFonts w:ascii="Arial" w:hAnsi="Arial" w:cs="Arial"/>
                <w:b/>
                <w:sz w:val="22"/>
                <w:szCs w:val="22"/>
                <w:lang w:val="sr-Latn-ME" w:eastAsia="en-US"/>
              </w:rPr>
            </w:pPr>
            <w:r w:rsidRPr="00621357">
              <w:rPr>
                <w:rFonts w:ascii="Arial" w:hAnsi="Arial" w:cs="Arial"/>
                <w:b/>
                <w:sz w:val="22"/>
                <w:szCs w:val="22"/>
                <w:lang w:val="sr-Latn-ME" w:eastAsia="en-US"/>
              </w:rPr>
              <w:t>Evaluacija Strategije na kraju perioda važenja</w:t>
            </w:r>
          </w:p>
        </w:tc>
      </w:tr>
      <w:tr w:rsidR="00621357" w:rsidRPr="00621357" w:rsidTr="007904C2">
        <w:tc>
          <w:tcPr>
            <w:tcW w:w="4472" w:type="dxa"/>
            <w:gridSpan w:val="2"/>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Aktivnost</w:t>
            </w:r>
          </w:p>
        </w:tc>
        <w:tc>
          <w:tcPr>
            <w:tcW w:w="2039" w:type="dxa"/>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Indikator učinka</w:t>
            </w:r>
          </w:p>
        </w:tc>
        <w:tc>
          <w:tcPr>
            <w:tcW w:w="1854" w:type="dxa"/>
            <w:gridSpan w:val="2"/>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Odgovorna institucija</w:t>
            </w:r>
          </w:p>
        </w:tc>
        <w:tc>
          <w:tcPr>
            <w:tcW w:w="1237" w:type="dxa"/>
            <w:gridSpan w:val="3"/>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Datum početka</w:t>
            </w:r>
          </w:p>
        </w:tc>
        <w:tc>
          <w:tcPr>
            <w:tcW w:w="1373" w:type="dxa"/>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Datum završetka</w:t>
            </w:r>
          </w:p>
        </w:tc>
        <w:tc>
          <w:tcPr>
            <w:tcW w:w="2589" w:type="dxa"/>
            <w:gridSpan w:val="3"/>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Predviđeni troškovi</w:t>
            </w:r>
          </w:p>
        </w:tc>
        <w:tc>
          <w:tcPr>
            <w:tcW w:w="1746" w:type="dxa"/>
            <w:shd w:val="clear" w:color="auto" w:fill="9CC2E5" w:themeFill="accent1" w:themeFillTint="99"/>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b/>
                <w:sz w:val="22"/>
                <w:szCs w:val="22"/>
                <w:lang w:val="sr-Latn-ME" w:eastAsia="en-US"/>
              </w:rPr>
              <w:t>Izvor finansiranja</w:t>
            </w:r>
          </w:p>
        </w:tc>
      </w:tr>
      <w:tr w:rsidR="00621357" w:rsidRPr="00621357" w:rsidTr="007904C2">
        <w:tc>
          <w:tcPr>
            <w:tcW w:w="4472"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Evaluacija Strategije 2025-2028</w:t>
            </w:r>
          </w:p>
        </w:tc>
        <w:tc>
          <w:tcPr>
            <w:tcW w:w="2039"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Izvještaj evaluacije pripremljen i poslat Vladi Crne Gore na usvajanje</w:t>
            </w:r>
          </w:p>
        </w:tc>
        <w:tc>
          <w:tcPr>
            <w:tcW w:w="1854" w:type="dxa"/>
            <w:gridSpan w:val="2"/>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Direkcija za zaštitu finansijskih interesa EU/AFCOS</w:t>
            </w:r>
          </w:p>
        </w:tc>
        <w:tc>
          <w:tcPr>
            <w:tcW w:w="1237"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IV Q 2028</w:t>
            </w:r>
          </w:p>
        </w:tc>
        <w:tc>
          <w:tcPr>
            <w:tcW w:w="1373"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II Q 2029</w:t>
            </w:r>
          </w:p>
        </w:tc>
        <w:tc>
          <w:tcPr>
            <w:tcW w:w="2589" w:type="dxa"/>
            <w:gridSpan w:val="3"/>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Neophodno je isplanirati u budžetu iznos od 60.000,00 EUR za angažovanje eksternog evaluatora</w:t>
            </w:r>
          </w:p>
        </w:tc>
        <w:tc>
          <w:tcPr>
            <w:tcW w:w="1746" w:type="dxa"/>
          </w:tcPr>
          <w:p w:rsidR="00621357" w:rsidRPr="00621357" w:rsidRDefault="00621357" w:rsidP="00621357">
            <w:pPr>
              <w:spacing w:after="160" w:line="259" w:lineRule="auto"/>
              <w:rPr>
                <w:rFonts w:ascii="Arial" w:hAnsi="Arial" w:cs="Arial"/>
                <w:sz w:val="22"/>
                <w:szCs w:val="22"/>
                <w:lang w:val="sr-Latn-ME" w:eastAsia="en-US"/>
              </w:rPr>
            </w:pPr>
            <w:r w:rsidRPr="00621357">
              <w:rPr>
                <w:rFonts w:ascii="Arial" w:hAnsi="Arial" w:cs="Arial"/>
                <w:sz w:val="22"/>
                <w:szCs w:val="22"/>
                <w:lang w:val="sr-Latn-ME" w:eastAsia="en-US"/>
              </w:rPr>
              <w:t>Twinnig light projekat</w:t>
            </w:r>
          </w:p>
        </w:tc>
      </w:tr>
    </w:tbl>
    <w:p w:rsidR="00B76EFF" w:rsidRPr="00B76EFF" w:rsidRDefault="00B76EFF" w:rsidP="00B76EFF">
      <w:pPr>
        <w:spacing w:after="160" w:line="259" w:lineRule="auto"/>
        <w:rPr>
          <w:rFonts w:ascii="Arial" w:hAnsi="Arial" w:cs="Arial"/>
        </w:rPr>
      </w:pPr>
    </w:p>
    <w:p w:rsidR="00C555BF" w:rsidRDefault="00C555BF">
      <w:pPr>
        <w:spacing w:after="160" w:line="259" w:lineRule="auto"/>
        <w:rPr>
          <w:rFonts w:ascii="Arial" w:hAnsi="Arial" w:cs="Arial"/>
          <w:lang w:val="sr-Latn-ME"/>
        </w:rPr>
      </w:pPr>
    </w:p>
    <w:p w:rsidR="000F471C" w:rsidRPr="001302F9" w:rsidRDefault="000F471C" w:rsidP="000F471C">
      <w:pPr>
        <w:rPr>
          <w:rFonts w:ascii="Arial" w:hAnsi="Arial" w:cs="Arial"/>
          <w:lang w:val="sr-Latn-ME"/>
        </w:rPr>
      </w:pPr>
    </w:p>
    <w:p w:rsidR="000F471C" w:rsidRPr="001302F9" w:rsidRDefault="000F471C" w:rsidP="000F471C">
      <w:pPr>
        <w:jc w:val="both"/>
        <w:rPr>
          <w:rFonts w:ascii="Arial" w:hAnsi="Arial" w:cs="Arial"/>
          <w:lang w:val="sr-Latn-ME"/>
        </w:rPr>
      </w:pPr>
    </w:p>
    <w:p w:rsidR="00470302" w:rsidRPr="001302F9" w:rsidRDefault="00470302" w:rsidP="00EE65EF">
      <w:pPr>
        <w:spacing w:before="120" w:after="120" w:line="240" w:lineRule="auto"/>
        <w:jc w:val="both"/>
        <w:rPr>
          <w:rFonts w:ascii="Arial" w:hAnsi="Arial" w:cs="Arial"/>
          <w:lang w:val="sr-Latn-ME"/>
        </w:rPr>
      </w:pPr>
    </w:p>
    <w:sectPr w:rsidR="00470302" w:rsidRPr="001302F9" w:rsidSect="0033403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7B6" w:rsidRDefault="004067B6" w:rsidP="008533CC">
      <w:pPr>
        <w:spacing w:after="0" w:line="240" w:lineRule="auto"/>
      </w:pPr>
      <w:r>
        <w:separator/>
      </w:r>
    </w:p>
  </w:endnote>
  <w:endnote w:type="continuationSeparator" w:id="0">
    <w:p w:rsidR="004067B6" w:rsidRDefault="004067B6" w:rsidP="0085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EFF" w:rsidRDefault="00B76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464423"/>
      <w:docPartObj>
        <w:docPartGallery w:val="Page Numbers (Bottom of Page)"/>
        <w:docPartUnique/>
      </w:docPartObj>
    </w:sdtPr>
    <w:sdtEndPr>
      <w:rPr>
        <w:noProof/>
      </w:rPr>
    </w:sdtEndPr>
    <w:sdtContent>
      <w:p w:rsidR="00B76EFF" w:rsidRDefault="00B76EFF" w:rsidP="00EE65EF">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EFF" w:rsidRDefault="00B76EFF">
    <w:pPr>
      <w:pStyle w:val="Footer"/>
      <w:jc w:val="center"/>
    </w:pPr>
  </w:p>
  <w:p w:rsidR="00B76EFF" w:rsidRDefault="00B76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7B6" w:rsidRDefault="004067B6" w:rsidP="008533CC">
      <w:pPr>
        <w:spacing w:after="0" w:line="240" w:lineRule="auto"/>
      </w:pPr>
      <w:r>
        <w:separator/>
      </w:r>
    </w:p>
  </w:footnote>
  <w:footnote w:type="continuationSeparator" w:id="0">
    <w:p w:rsidR="004067B6" w:rsidRDefault="004067B6" w:rsidP="008533CC">
      <w:pPr>
        <w:spacing w:after="0" w:line="240" w:lineRule="auto"/>
      </w:pPr>
      <w:r>
        <w:continuationSeparator/>
      </w:r>
    </w:p>
  </w:footnote>
  <w:footnote w:id="1">
    <w:p w:rsidR="00B76EFF" w:rsidRPr="00774C59" w:rsidRDefault="00B76EFF" w:rsidP="00774C59">
      <w:pPr>
        <w:pStyle w:val="FootnoteText"/>
        <w:jc w:val="both"/>
        <w:rPr>
          <w:rFonts w:asciiTheme="minorHAnsi" w:hAnsiTheme="minorHAnsi" w:cstheme="minorHAnsi"/>
          <w:sz w:val="18"/>
          <w:szCs w:val="18"/>
        </w:rPr>
      </w:pPr>
      <w:r w:rsidRPr="00774C59">
        <w:rPr>
          <w:rStyle w:val="FootnoteReference"/>
          <w:rFonts w:asciiTheme="minorHAnsi" w:hAnsiTheme="minorHAnsi" w:cstheme="minorHAnsi"/>
          <w:sz w:val="18"/>
          <w:szCs w:val="18"/>
        </w:rPr>
        <w:footnoteRef/>
      </w:r>
      <w:r w:rsidRPr="00774C59">
        <w:rPr>
          <w:rFonts w:asciiTheme="minorHAnsi" w:hAnsiTheme="minorHAnsi" w:cstheme="minorHAnsi"/>
          <w:sz w:val="18"/>
          <w:szCs w:val="18"/>
        </w:rPr>
        <w:t xml:space="preserve"> </w:t>
      </w:r>
      <w:r w:rsidRPr="00B21E98">
        <w:rPr>
          <w:rFonts w:asciiTheme="minorHAnsi" w:hAnsiTheme="minorHAnsi" w:cstheme="minorHAnsi"/>
          <w:sz w:val="18"/>
          <w:szCs w:val="18"/>
        </w:rPr>
        <w:t>IPA obuka o nepravilnostima koju su održali predstavnici AFCOS ureda u novembru 2024.; Kroz TA projekat PPF sa NIPAC kancelarijom kao i kroz TA projekat sa Upravljačkom strukturom, planirane su obuke iz oblasti nepravilnosti za 2025. godinu, kako bi se podigla svest o ovoj specifičnoj IPA oblasti i važnosti zaštite finansijskih interesa EU.</w:t>
      </w:r>
    </w:p>
  </w:footnote>
  <w:footnote w:id="2">
    <w:p w:rsidR="00B76EFF" w:rsidRPr="000E778B" w:rsidRDefault="00B76EFF" w:rsidP="000E778B">
      <w:pPr>
        <w:pStyle w:val="FootnoteText"/>
        <w:jc w:val="both"/>
        <w:rPr>
          <w:rFonts w:ascii="Calibri" w:hAnsi="Calibri" w:cs="Calibri"/>
          <w:sz w:val="18"/>
          <w:szCs w:val="18"/>
          <w:lang w:val="lv-LV"/>
        </w:rPr>
      </w:pPr>
      <w:r w:rsidRPr="000E778B">
        <w:rPr>
          <w:rStyle w:val="FootnoteReference"/>
          <w:rFonts w:ascii="Calibri" w:hAnsi="Calibri" w:cs="Calibri"/>
          <w:sz w:val="18"/>
          <w:szCs w:val="18"/>
        </w:rPr>
        <w:footnoteRef/>
      </w:r>
      <w:r w:rsidRPr="000E778B">
        <w:rPr>
          <w:rFonts w:ascii="Calibri" w:hAnsi="Calibri" w:cs="Calibri"/>
          <w:sz w:val="18"/>
          <w:szCs w:val="18"/>
        </w:rPr>
        <w:t xml:space="preserve"> “</w:t>
      </w:r>
      <w:r w:rsidRPr="00B21E98">
        <w:rPr>
          <w:rFonts w:ascii="Helvetica" w:eastAsia="Calibri" w:hAnsi="Helvetica" w:cs="Helvetica"/>
          <w:color w:val="3C4043"/>
          <w:sz w:val="27"/>
          <w:szCs w:val="27"/>
          <w:shd w:val="clear" w:color="auto" w:fill="D2E3FC"/>
          <w:lang w:val="en-US" w:eastAsia="en-US"/>
        </w:rPr>
        <w:t xml:space="preserve"> </w:t>
      </w:r>
      <w:r w:rsidRPr="00B21E98">
        <w:rPr>
          <w:rFonts w:ascii="Calibri" w:hAnsi="Calibri" w:cs="Calibri"/>
          <w:sz w:val="18"/>
          <w:szCs w:val="18"/>
          <w:lang w:val="en-US"/>
        </w:rPr>
        <w:t>Analiza rizika od prevara sa statističkom analizom slučajeva nepravilnosti, u kontekstu realizacije projekata finansiranih iz IPA fondova“, usvojena odlukom Vlade Crne Gore u julu 2024. godine</w:t>
      </w:r>
    </w:p>
  </w:footnote>
  <w:footnote w:id="3">
    <w:p w:rsidR="00B76EFF" w:rsidRPr="00D24F0F" w:rsidRDefault="00B76EFF" w:rsidP="00D24F0F">
      <w:pPr>
        <w:pStyle w:val="FootnoteText"/>
        <w:jc w:val="both"/>
        <w:rPr>
          <w:rFonts w:asciiTheme="minorHAnsi" w:hAnsiTheme="minorHAnsi" w:cstheme="minorHAnsi"/>
          <w:sz w:val="18"/>
          <w:szCs w:val="18"/>
        </w:rPr>
      </w:pPr>
      <w:r w:rsidRPr="00D24F0F">
        <w:rPr>
          <w:rStyle w:val="FootnoteReference"/>
          <w:rFonts w:asciiTheme="minorHAnsi" w:hAnsiTheme="minorHAnsi" w:cstheme="minorHAnsi"/>
          <w:sz w:val="18"/>
          <w:szCs w:val="18"/>
        </w:rPr>
        <w:footnoteRef/>
      </w:r>
      <w:r w:rsidRPr="00D24F0F">
        <w:rPr>
          <w:rFonts w:asciiTheme="minorHAnsi" w:hAnsiTheme="minorHAnsi" w:cstheme="minorHAnsi"/>
          <w:sz w:val="18"/>
          <w:szCs w:val="18"/>
        </w:rPr>
        <w:t xml:space="preserve"> EC Guidelines “Fraud Risk Assessment and Effective and Proportionate Anti-Fraud Measures” of June 2014, Ref. EGESIF 14-0021-00 16/06/2014</w:t>
      </w:r>
    </w:p>
  </w:footnote>
  <w:footnote w:id="4">
    <w:p w:rsidR="00B76EFF" w:rsidRPr="00AD60B4" w:rsidRDefault="00B76EFF" w:rsidP="000F471C">
      <w:pPr>
        <w:jc w:val="both"/>
        <w:rPr>
          <w:rFonts w:ascii="Arial" w:hAnsi="Arial" w:cs="Arial"/>
          <w:sz w:val="16"/>
          <w:szCs w:val="16"/>
          <w:lang w:val="sr-Latn-ME"/>
        </w:rPr>
      </w:pPr>
      <w:r w:rsidRPr="00AD60B4">
        <w:rPr>
          <w:rStyle w:val="FootnoteReference"/>
          <w:rFonts w:cs="Arial"/>
          <w:sz w:val="16"/>
          <w:szCs w:val="16"/>
        </w:rPr>
        <w:footnoteRef/>
      </w:r>
      <w:r w:rsidRPr="00AD60B4">
        <w:rPr>
          <w:rFonts w:ascii="Arial" w:hAnsi="Arial" w:cs="Arial"/>
          <w:sz w:val="16"/>
          <w:szCs w:val="16"/>
        </w:rPr>
        <w:t xml:space="preserve"> "Analiza rizika od prevare sa statističkom analizom slučajeva nepravilnosti, u kontekstu sprovođenja projekata koji se finansiraju iz IPA fondova", usvojena odlukom Vlade Crne Gore u julu 2024. godine, sprovedenom u skladu sa Zaključkom Vlade br. 07-430/23-4407/2 sa 68. sjednice, održane 12. oktobra 2023. godine, "</w:t>
      </w:r>
      <w:r>
        <w:rPr>
          <w:rFonts w:ascii="Arial" w:hAnsi="Arial" w:cs="Arial"/>
          <w:sz w:val="16"/>
          <w:szCs w:val="16"/>
        </w:rPr>
        <w:t xml:space="preserve"> </w:t>
      </w:r>
      <w:r w:rsidRPr="00AD60B4">
        <w:rPr>
          <w:rFonts w:ascii="Arial" w:hAnsi="Arial" w:cs="Arial"/>
          <w:sz w:val="16"/>
          <w:szCs w:val="16"/>
        </w:rPr>
        <w:t>Ministarstvo finansija ima zadatak da pripremi analizu sistemskog rizika u oblasti spriječavanja prevara i upravljanja nepravilnostima, koristeći metodologiju koju je razvio OLAF"</w:t>
      </w:r>
      <w:r>
        <w:rPr>
          <w:rFonts w:ascii="Arial" w:hAnsi="Arial" w:cs="Arial"/>
          <w:sz w:val="16"/>
          <w:szCs w:val="16"/>
        </w:rPr>
        <w:t>.</w:t>
      </w:r>
    </w:p>
  </w:footnote>
  <w:footnote w:id="5">
    <w:p w:rsidR="00B76EFF" w:rsidRPr="00051EEA" w:rsidRDefault="00B76EFF" w:rsidP="000F471C">
      <w:pPr>
        <w:pStyle w:val="FootnoteText"/>
        <w:rPr>
          <w:rFonts w:cstheme="minorHAnsi"/>
          <w:color w:val="000080"/>
          <w:sz w:val="18"/>
          <w:szCs w:val="18"/>
          <w:u w:val="single"/>
        </w:rPr>
      </w:pPr>
      <w:r>
        <w:rPr>
          <w:rStyle w:val="FootnoteReference"/>
        </w:rPr>
        <w:footnoteRef/>
      </w:r>
      <w:r>
        <w:t xml:space="preserve"> </w:t>
      </w:r>
      <w:hyperlink r:id="rId1" w:history="1">
        <w:r w:rsidRPr="00E83F47">
          <w:rPr>
            <w:rStyle w:val="Hyperlink"/>
            <w:rFonts w:cstheme="minorHAnsi"/>
            <w:sz w:val="18"/>
            <w:szCs w:val="18"/>
          </w:rPr>
          <w:t>https://anti-fraud.ec.europa.eu/about-us/reports/annual-reports-protection-eus-financial-interests-pif-report_en</w:t>
        </w:r>
      </w:hyperlink>
    </w:p>
  </w:footnote>
  <w:footnote w:id="6">
    <w:p w:rsidR="00B76EFF" w:rsidRDefault="00B76EFF" w:rsidP="000F471C">
      <w:pPr>
        <w:pStyle w:val="FootnoteText"/>
      </w:pPr>
      <w:r>
        <w:rPr>
          <w:rStyle w:val="FootnoteReference"/>
        </w:rPr>
        <w:footnoteRef/>
      </w:r>
      <w:r>
        <w:t xml:space="preserve"> </w:t>
      </w:r>
      <w:r w:rsidRPr="005F369D">
        <w:t>Detaljnije pogledajte "Analiza rizika od prevare sa statističkom analizom slučajeva nepravilnosti, u kontekstu sprovođenja projekata koji se finansiraju iz IPA fondova" iz jula 2024. godine, odeljak II "</w:t>
      </w:r>
      <w:r>
        <w:rPr>
          <w:lang w:val="sr-Latn-RS"/>
        </w:rPr>
        <w:t>S</w:t>
      </w:r>
      <w:r w:rsidRPr="005F369D">
        <w:t xml:space="preserve">tatistička analiza slučajeva nepravilnosti prijavljenih putem </w:t>
      </w:r>
      <w:r>
        <w:rPr>
          <w:lang w:val="sr-Latn-RS"/>
        </w:rPr>
        <w:t>IMS</w:t>
      </w:r>
      <w:r w:rsidRPr="005F369D">
        <w:t xml:space="preserve"> softvera", br. 12) "Broj anonimnih prijava, kao i izveštaja iz spoljnih izvora"</w:t>
      </w:r>
    </w:p>
  </w:footnote>
  <w:footnote w:id="7">
    <w:p w:rsidR="00B76EFF" w:rsidRPr="002E239F" w:rsidRDefault="00B76EFF" w:rsidP="000F471C">
      <w:pPr>
        <w:pStyle w:val="FootnoteText"/>
        <w:rPr>
          <w:rFonts w:ascii="Arial" w:hAnsi="Arial" w:cs="Arial"/>
          <w:sz w:val="16"/>
          <w:szCs w:val="16"/>
        </w:rPr>
      </w:pPr>
      <w:r>
        <w:rPr>
          <w:rStyle w:val="FootnoteReference"/>
        </w:rPr>
        <w:footnoteRef/>
      </w:r>
      <w:r>
        <w:t xml:space="preserve"> </w:t>
      </w:r>
      <w:r w:rsidRPr="002E239F">
        <w:rPr>
          <w:rFonts w:ascii="Arial" w:hAnsi="Arial" w:cs="Arial"/>
          <w:sz w:val="16"/>
          <w:szCs w:val="16"/>
        </w:rPr>
        <w:t>Detaljnije pogledajte "Analiza rizika od prevare sa statističkom analizom slučajeva nepravilnosti, u kontekstu sprovođenja projekata koji se finansiraju iz IPA fondova" iz jula 2024. godine, tabela br. 20 i od</w:t>
      </w:r>
      <w:r>
        <w:rPr>
          <w:rFonts w:ascii="Arial" w:hAnsi="Arial" w:cs="Arial"/>
          <w:sz w:val="16"/>
          <w:szCs w:val="16"/>
        </w:rPr>
        <w:t>j</w:t>
      </w:r>
      <w:r w:rsidRPr="002E239F">
        <w:rPr>
          <w:rFonts w:ascii="Arial" w:hAnsi="Arial" w:cs="Arial"/>
          <w:sz w:val="16"/>
          <w:szCs w:val="16"/>
        </w:rPr>
        <w:t>eljak II "STATISTIČKA ANALIZA SLUČAJEVA NEPRAVILNOSTI PRIJAVLJENIH PUTEM IMS SOFTVERA", br. 10) "Vremenski period između otkrivanja i prijavljivanja nepravilnosti</w:t>
      </w:r>
      <w:r>
        <w:rPr>
          <w:rFonts w:ascii="Arial" w:hAnsi="Arial" w:cs="Arial"/>
          <w:sz w:val="16"/>
          <w:szCs w:val="16"/>
        </w:rPr>
        <w:t>.</w:t>
      </w:r>
      <w:r w:rsidRPr="002E239F">
        <w:rPr>
          <w:rFonts w:ascii="Arial" w:hAnsi="Arial" w:cs="Arial"/>
          <w:sz w:val="16"/>
          <w:szCs w:val="16"/>
        </w:rPr>
        <w:t>"</w:t>
      </w:r>
    </w:p>
    <w:p w:rsidR="00B76EFF" w:rsidRDefault="00B76EFF" w:rsidP="000F471C">
      <w:pPr>
        <w:pStyle w:val="FootnoteText"/>
      </w:pPr>
    </w:p>
    <w:p w:rsidR="00B76EFF" w:rsidRDefault="00B76EFF" w:rsidP="000F471C">
      <w:pPr>
        <w:pStyle w:val="FootnoteText"/>
      </w:pPr>
    </w:p>
  </w:footnote>
  <w:footnote w:id="8">
    <w:p w:rsidR="00B76EFF" w:rsidRPr="00DA2797" w:rsidRDefault="00B76EFF" w:rsidP="000F471C">
      <w:pPr>
        <w:pStyle w:val="FootnoteText"/>
        <w:jc w:val="both"/>
        <w:rPr>
          <w:rFonts w:ascii="Arial" w:hAnsi="Arial" w:cs="Arial"/>
          <w:sz w:val="16"/>
          <w:szCs w:val="16"/>
        </w:rPr>
      </w:pPr>
      <w:r>
        <w:rPr>
          <w:rStyle w:val="FootnoteReference"/>
        </w:rPr>
        <w:footnoteRef/>
      </w:r>
      <w:r>
        <w:t xml:space="preserve"> </w:t>
      </w:r>
      <w:r w:rsidRPr="00DA2797">
        <w:rPr>
          <w:rFonts w:ascii="Arial" w:hAnsi="Arial" w:cs="Arial"/>
          <w:sz w:val="16"/>
          <w:szCs w:val="16"/>
        </w:rPr>
        <w:t>Odredbe FFA / FFPA / Sektorski sporazum</w:t>
      </w:r>
    </w:p>
  </w:footnote>
  <w:footnote w:id="9">
    <w:p w:rsidR="00B76EFF" w:rsidRPr="00DA2797" w:rsidRDefault="00B76EFF" w:rsidP="000F471C">
      <w:pPr>
        <w:pStyle w:val="FootnoteText"/>
        <w:jc w:val="both"/>
        <w:rPr>
          <w:rFonts w:ascii="Arial" w:hAnsi="Arial" w:cs="Arial"/>
          <w:sz w:val="16"/>
          <w:szCs w:val="16"/>
        </w:rPr>
      </w:pPr>
      <w:r w:rsidRPr="00DA2797">
        <w:rPr>
          <w:rStyle w:val="FootnoteReference"/>
          <w:rFonts w:cs="Arial"/>
          <w:sz w:val="16"/>
          <w:szCs w:val="16"/>
        </w:rPr>
        <w:footnoteRef/>
      </w:r>
      <w:r w:rsidRPr="00DA2797">
        <w:rPr>
          <w:rFonts w:ascii="Arial" w:hAnsi="Arial" w:cs="Arial"/>
          <w:sz w:val="16"/>
          <w:szCs w:val="16"/>
        </w:rPr>
        <w:t xml:space="preserve"> Okvirni sporazum precizira da svaka situacija, koja se može tretirati kao nepravilnost, prevara, greška itd., koja se dogodi u bilo kom trenutku tokom implementacije IPA pomoći ili je rezultat revizije, može dovesti do povrata sredstava Komisiji. NAO će povratiti dio sredstava EU Komisiji do roka koji je odredila Komisija, čak i ako IBFM nije uspio da povrati sva ili dio sredstava od izvođača radova/korisnika grantova. Tako će dio sredstava EU biti vraćen iz državnog budžeta.</w:t>
      </w:r>
    </w:p>
  </w:footnote>
  <w:footnote w:id="10">
    <w:p w:rsidR="00B76EFF" w:rsidRDefault="00B76EFF" w:rsidP="000F471C">
      <w:pPr>
        <w:pStyle w:val="FootnoteText"/>
        <w:jc w:val="both"/>
      </w:pPr>
      <w:r w:rsidRPr="00DA2797">
        <w:rPr>
          <w:rStyle w:val="FootnoteReference"/>
          <w:rFonts w:cs="Arial"/>
          <w:sz w:val="16"/>
          <w:szCs w:val="16"/>
        </w:rPr>
        <w:footnoteRef/>
      </w:r>
      <w:r w:rsidRPr="00DA2797">
        <w:rPr>
          <w:rFonts w:ascii="Arial" w:hAnsi="Arial" w:cs="Arial"/>
          <w:sz w:val="16"/>
          <w:szCs w:val="16"/>
        </w:rPr>
        <w:t xml:space="preserve"> U slučajevima kada izvođači/korisnici bespovratnih sredstava ne povrate sredstva, u Priručniku o procedurama, kao i u Ugovorima o implementaciji i operativnim sporazumima za IPA II/III je dalje definisano da je potrebna bliska</w:t>
      </w:r>
      <w:r w:rsidRPr="009D50F3">
        <w:t xml:space="preserve"> </w:t>
      </w:r>
      <w:r w:rsidRPr="00DA2797">
        <w:rPr>
          <w:rFonts w:ascii="Arial" w:hAnsi="Arial" w:cs="Arial"/>
          <w:sz w:val="16"/>
          <w:szCs w:val="16"/>
        </w:rPr>
        <w:t>saradnja i komunikacija između NAO/DMS, MA, IBFM i IBPM kako bi se donijele odluke na nivou IPA strukture u odnosu na koja specifična sredstva nacionalnog budžetskog programa treba da budu vraćena EK.</w:t>
      </w:r>
    </w:p>
  </w:footnote>
  <w:footnote w:id="11">
    <w:p w:rsidR="00B76EFF" w:rsidRPr="005908FF" w:rsidRDefault="00B76EFF" w:rsidP="000F471C">
      <w:pPr>
        <w:pStyle w:val="FootnoteText"/>
        <w:jc w:val="both"/>
        <w:rPr>
          <w:rFonts w:ascii="Arial" w:hAnsi="Arial" w:cs="Arial"/>
          <w:sz w:val="16"/>
          <w:szCs w:val="16"/>
        </w:rPr>
      </w:pPr>
      <w:r>
        <w:rPr>
          <w:rStyle w:val="FootnoteReference"/>
        </w:rPr>
        <w:footnoteRef/>
      </w:r>
      <w:r>
        <w:t xml:space="preserve"> </w:t>
      </w:r>
      <w:r w:rsidRPr="005908FF">
        <w:rPr>
          <w:rFonts w:ascii="Arial" w:hAnsi="Arial" w:cs="Arial"/>
          <w:sz w:val="16"/>
          <w:szCs w:val="16"/>
        </w:rPr>
        <w:t>"Analiza rizika od prevara sa statističkom analizom slučajeva nepravilnosti, u kontekstu sprovođenja projekata koji se finansiraju iz IPA fondova" iz jula 2024. godine, tabela br. 19 i odeljak II "STATISTIČKA ANALIZA SLUČAJEVA NEPRAVILNOSTI PRIJAVLJENIH PUTEM IMS SOFTVERA", br. 8) "Iznos povraćaja iz državnog budžeta"</w:t>
      </w:r>
    </w:p>
  </w:footnote>
  <w:footnote w:id="12">
    <w:p w:rsidR="00B76EFF" w:rsidRPr="005908FF" w:rsidRDefault="00B76EFF" w:rsidP="000F471C">
      <w:pPr>
        <w:pStyle w:val="FootnoteText"/>
        <w:jc w:val="both"/>
        <w:rPr>
          <w:rFonts w:ascii="Arial" w:hAnsi="Arial" w:cs="Arial"/>
          <w:sz w:val="16"/>
          <w:szCs w:val="16"/>
          <w:lang w:val="sr-Latn-ME"/>
        </w:rPr>
      </w:pPr>
      <w:r w:rsidRPr="005908FF">
        <w:rPr>
          <w:rStyle w:val="FootnoteReference"/>
          <w:rFonts w:cs="Arial"/>
          <w:sz w:val="16"/>
          <w:szCs w:val="16"/>
        </w:rPr>
        <w:footnoteRef/>
      </w:r>
      <w:r w:rsidRPr="005908FF">
        <w:rPr>
          <w:rFonts w:ascii="Arial" w:hAnsi="Arial" w:cs="Arial"/>
          <w:sz w:val="16"/>
          <w:szCs w:val="16"/>
        </w:rPr>
        <w:t xml:space="preserve"> Realizovana u okviru pripremne faze ove Strategije u okviru projekta Twinning Light "Dalje unapređenje funkcionisanja crnogorskog AFCOS sistema u cilju efikasne zaštite finansijskih interesa EU"</w:t>
      </w:r>
    </w:p>
  </w:footnote>
  <w:footnote w:id="13">
    <w:p w:rsidR="00B76EFF" w:rsidRPr="00497A32" w:rsidRDefault="00B76EFF">
      <w:pPr>
        <w:pStyle w:val="FootnoteText"/>
        <w:rPr>
          <w:lang w:val="sr-Latn-ME"/>
        </w:rPr>
      </w:pPr>
      <w:r>
        <w:rPr>
          <w:rStyle w:val="FootnoteReference"/>
        </w:rPr>
        <w:footnoteRef/>
      </w:r>
      <w:r>
        <w:t xml:space="preserve"> </w:t>
      </w:r>
      <w:r w:rsidRPr="00497A32">
        <w:rPr>
          <w:lang w:val="en-US"/>
        </w:rPr>
        <w:t>Sporazum</w:t>
      </w:r>
      <w:r w:rsidRPr="00497A32">
        <w:rPr>
          <w:lang w:val="sr-Latn-ME"/>
        </w:rPr>
        <w:t xml:space="preserve"> </w:t>
      </w:r>
      <w:r w:rsidRPr="00497A32">
        <w:rPr>
          <w:lang w:val="en-US"/>
        </w:rPr>
        <w:t>o</w:t>
      </w:r>
      <w:r w:rsidRPr="00497A32">
        <w:rPr>
          <w:lang w:val="sr-Latn-ME"/>
        </w:rPr>
        <w:t xml:space="preserve"> </w:t>
      </w:r>
      <w:r w:rsidRPr="00497A32">
        <w:rPr>
          <w:lang w:val="en-US"/>
        </w:rPr>
        <w:t>saradnji</w:t>
      </w:r>
      <w:r w:rsidRPr="00497A32">
        <w:rPr>
          <w:lang w:val="sr-Latn-ME"/>
        </w:rPr>
        <w:t xml:space="preserve"> </w:t>
      </w:r>
      <w:r w:rsidRPr="00497A32">
        <w:rPr>
          <w:lang w:val="en-US"/>
        </w:rPr>
        <w:t>izme</w:t>
      </w:r>
      <w:r w:rsidRPr="00497A32">
        <w:rPr>
          <w:lang w:val="sr-Latn-ME"/>
        </w:rPr>
        <w:t>đ</w:t>
      </w:r>
      <w:r w:rsidRPr="00497A32">
        <w:rPr>
          <w:lang w:val="en-US"/>
        </w:rPr>
        <w:t>u</w:t>
      </w:r>
      <w:r w:rsidRPr="00497A32">
        <w:rPr>
          <w:lang w:val="sr-Latn-ME"/>
        </w:rPr>
        <w:t xml:space="preserve"> </w:t>
      </w:r>
      <w:r w:rsidRPr="00497A32">
        <w:rPr>
          <w:lang w:val="en-US"/>
        </w:rPr>
        <w:t>Vrhovnog</w:t>
      </w:r>
      <w:r w:rsidRPr="00497A32">
        <w:rPr>
          <w:lang w:val="sr-Latn-ME"/>
        </w:rPr>
        <w:t xml:space="preserve"> </w:t>
      </w:r>
      <w:r w:rsidRPr="00497A32">
        <w:rPr>
          <w:lang w:val="en-US"/>
        </w:rPr>
        <w:t>dr</w:t>
      </w:r>
      <w:r w:rsidRPr="00497A32">
        <w:rPr>
          <w:lang w:val="sr-Latn-ME"/>
        </w:rPr>
        <w:t>ž</w:t>
      </w:r>
      <w:r w:rsidRPr="00497A32">
        <w:rPr>
          <w:lang w:val="en-US"/>
        </w:rPr>
        <w:t>avnog</w:t>
      </w:r>
      <w:r w:rsidRPr="00497A32">
        <w:rPr>
          <w:lang w:val="sr-Latn-ME"/>
        </w:rPr>
        <w:t xml:space="preserve"> </w:t>
      </w:r>
      <w:r w:rsidRPr="00497A32">
        <w:rPr>
          <w:lang w:val="en-US"/>
        </w:rPr>
        <w:t>tu</w:t>
      </w:r>
      <w:r w:rsidRPr="00497A32">
        <w:rPr>
          <w:lang w:val="sr-Latn-ME"/>
        </w:rPr>
        <w:t>ž</w:t>
      </w:r>
      <w:r w:rsidRPr="00497A32">
        <w:rPr>
          <w:lang w:val="en-US"/>
        </w:rPr>
        <w:t>ila</w:t>
      </w:r>
      <w:r w:rsidRPr="00497A32">
        <w:rPr>
          <w:lang w:val="sr-Latn-ME"/>
        </w:rPr>
        <w:t>š</w:t>
      </w:r>
      <w:r w:rsidRPr="00497A32">
        <w:rPr>
          <w:lang w:val="en-US"/>
        </w:rPr>
        <w:t>tva</w:t>
      </w:r>
      <w:r w:rsidRPr="00497A32">
        <w:rPr>
          <w:lang w:val="sr-Latn-ME"/>
        </w:rPr>
        <w:t xml:space="preserve"> </w:t>
      </w:r>
      <w:r w:rsidRPr="00497A32">
        <w:rPr>
          <w:lang w:val="en-US"/>
        </w:rPr>
        <w:t>Crne</w:t>
      </w:r>
      <w:r w:rsidRPr="00497A32">
        <w:rPr>
          <w:lang w:val="sr-Latn-ME"/>
        </w:rPr>
        <w:t xml:space="preserve"> </w:t>
      </w:r>
      <w:r w:rsidRPr="00497A32">
        <w:rPr>
          <w:lang w:val="en-US"/>
        </w:rPr>
        <w:t>Gore</w:t>
      </w:r>
      <w:r w:rsidRPr="00497A32">
        <w:rPr>
          <w:lang w:val="sr-Latn-ME"/>
        </w:rPr>
        <w:t xml:space="preserve"> </w:t>
      </w:r>
      <w:r w:rsidRPr="00497A32">
        <w:rPr>
          <w:lang w:val="en-US"/>
        </w:rPr>
        <w:t>i</w:t>
      </w:r>
      <w:r w:rsidRPr="00497A32">
        <w:rPr>
          <w:lang w:val="sr-Latn-ME"/>
        </w:rPr>
        <w:t xml:space="preserve"> </w:t>
      </w:r>
      <w:r w:rsidRPr="00497A32">
        <w:rPr>
          <w:lang w:val="en-US"/>
        </w:rPr>
        <w:t>Kancelarije</w:t>
      </w:r>
      <w:r w:rsidRPr="00497A32">
        <w:rPr>
          <w:lang w:val="sr-Latn-ME"/>
        </w:rPr>
        <w:t xml:space="preserve"> </w:t>
      </w:r>
      <w:r w:rsidRPr="00497A32">
        <w:rPr>
          <w:lang w:val="en-US"/>
        </w:rPr>
        <w:t>evropskog</w:t>
      </w:r>
      <w:r w:rsidRPr="00497A32">
        <w:rPr>
          <w:lang w:val="sr-Latn-ME"/>
        </w:rPr>
        <w:t xml:space="preserve"> </w:t>
      </w:r>
      <w:r w:rsidRPr="00497A32">
        <w:rPr>
          <w:lang w:val="en-US"/>
        </w:rPr>
        <w:t>javnog</w:t>
      </w:r>
      <w:r w:rsidRPr="00497A32">
        <w:rPr>
          <w:lang w:val="sr-Latn-ME"/>
        </w:rPr>
        <w:t xml:space="preserve"> </w:t>
      </w:r>
      <w:r w:rsidRPr="00497A32">
        <w:rPr>
          <w:lang w:val="en-US"/>
        </w:rPr>
        <w:t>tu</w:t>
      </w:r>
      <w:r w:rsidRPr="00497A32">
        <w:rPr>
          <w:lang w:val="sr-Latn-ME"/>
        </w:rPr>
        <w:t>ž</w:t>
      </w:r>
      <w:r w:rsidRPr="00497A32">
        <w:rPr>
          <w:lang w:val="en-US"/>
        </w:rPr>
        <w:t>ioca</w:t>
      </w:r>
      <w:r w:rsidRPr="00497A32">
        <w:rPr>
          <w:lang w:val="sr-Latn-ME"/>
        </w:rPr>
        <w:t xml:space="preserve"> (</w:t>
      </w:r>
      <w:r w:rsidRPr="00497A32">
        <w:rPr>
          <w:lang w:val="en-US"/>
        </w:rPr>
        <w:t>EPPO</w:t>
      </w:r>
      <w:r w:rsidRPr="00497A32">
        <w:rPr>
          <w:lang w:val="sr-Latn-ME"/>
        </w:rPr>
        <w:t>)</w:t>
      </w:r>
      <w:r>
        <w:rPr>
          <w:lang w:val="sr-Latn-ME"/>
        </w:rPr>
        <w:t>, potpisan je u septembru 2022.godine</w:t>
      </w:r>
    </w:p>
  </w:footnote>
  <w:footnote w:id="14">
    <w:p w:rsidR="00B76EFF" w:rsidRPr="00495F20" w:rsidRDefault="00B76EFF" w:rsidP="0033403A">
      <w:pPr>
        <w:pStyle w:val="FootnoteText"/>
        <w:rPr>
          <w:lang w:val="sr-Latn-ME"/>
        </w:rPr>
      </w:pPr>
      <w:r w:rsidRPr="00680204">
        <w:rPr>
          <w:rStyle w:val="FootnoteReference"/>
          <w:rFonts w:ascii="Arial" w:eastAsia="Calibri" w:hAnsi="Arial" w:cs="Arial"/>
        </w:rPr>
        <w:footnoteRef/>
      </w:r>
      <w:r w:rsidRPr="00680204">
        <w:rPr>
          <w:rFonts w:ascii="Arial" w:hAnsi="Arial" w:cs="Arial"/>
        </w:rPr>
        <w:t xml:space="preserve"> </w:t>
      </w:r>
      <w:r w:rsidRPr="00680204">
        <w:rPr>
          <w:rFonts w:ascii="Arial" w:hAnsi="Arial" w:cs="Arial"/>
          <w:lang w:val="sr-Latn-ME"/>
        </w:rPr>
        <w:t>Pogledati "Analizu rizika od prevara sa statističkom analizom slučajeva nepravilnosti, u kontekstu implementacije projekata finansiranih iz IPA fondova", usvojenu odlukom Vlade Crne Gore u julu 2024. godine, odjeljak II "STATISTIČKA ANALIZA SLUČAJEVA NEPRAVILNOSTI PRIJAVLJENIH KROZ IMS SOFTVER", tačka br. 2) "Finansijski uticaj prijavljenih nepravilnosti i stopa finansijskog uticaja</w:t>
      </w:r>
      <w:r w:rsidRPr="00680204">
        <w:rPr>
          <w:lang w:val="sr-Latn-ME"/>
        </w:rPr>
        <w:t>".</w:t>
      </w:r>
    </w:p>
  </w:footnote>
  <w:footnote w:id="15">
    <w:p w:rsidR="00B76EFF" w:rsidRPr="00F24989" w:rsidRDefault="00B76EFF" w:rsidP="00B76EFF">
      <w:pPr>
        <w:pStyle w:val="FootnoteText"/>
        <w:rPr>
          <w:lang w:val="sr-Latn-ME"/>
        </w:rPr>
      </w:pPr>
      <w:r>
        <w:rPr>
          <w:rStyle w:val="FootnoteReference"/>
          <w:rFonts w:eastAsia="Calibri"/>
        </w:rPr>
        <w:footnoteRef/>
      </w:r>
      <w:r>
        <w:t xml:space="preserve"> </w:t>
      </w:r>
      <w:r w:rsidRPr="00680204">
        <w:rPr>
          <w:rFonts w:ascii="Arial" w:hAnsi="Arial" w:cs="Arial"/>
          <w:lang w:val="sr-Latn-ME"/>
        </w:rPr>
        <w:t>U narednom periodu će se zvati AFCOS radno tijelo, a u prethodnom periodu je definisano kao AFCOS mreža</w:t>
      </w:r>
    </w:p>
  </w:footnote>
  <w:footnote w:id="16">
    <w:p w:rsidR="00B76EFF" w:rsidRPr="001168C1" w:rsidRDefault="00B76EFF" w:rsidP="00B76EFF">
      <w:pPr>
        <w:pStyle w:val="FootnoteText"/>
        <w:jc w:val="both"/>
        <w:rPr>
          <w:rFonts w:ascii="Calibri" w:hAnsi="Calibri" w:cs="Calibri"/>
          <w:lang w:val="sr-Latn-ME"/>
        </w:rPr>
      </w:pPr>
      <w:r w:rsidRPr="001168C1">
        <w:rPr>
          <w:rStyle w:val="FootnoteReference"/>
          <w:rFonts w:eastAsia="Calibri" w:cs="Calibri"/>
          <w:lang w:val="sr-Latn-ME"/>
        </w:rPr>
        <w:footnoteRef/>
      </w:r>
      <w:r w:rsidRPr="001168C1">
        <w:rPr>
          <w:rFonts w:ascii="Calibri" w:hAnsi="Calibri" w:cs="Calibri"/>
          <w:lang w:val="sr-Latn-ME"/>
        </w:rPr>
        <w:t xml:space="preserve"> </w:t>
      </w:r>
      <w:r w:rsidRPr="001168C1">
        <w:rPr>
          <w:rFonts w:ascii="Arial" w:hAnsi="Arial" w:cs="Arial"/>
          <w:lang w:val="sr-Latn-ME"/>
        </w:rPr>
        <w:t>Vidi „Analiza rizika od prevara uz statističku analizu slučajeva nepravilnosti, u kontekstu implementacije projekata finansiranih iz IPA fondova“, koju je usvojila Odluka Vlade Crne Gore u julu 2024. godine, Tabela br. 20. Zbog razloga prilagođavanja, vremenski okvir od 1 mjeseca prikazan u tabeli, postavljen je na period od 45 dana.</w:t>
      </w:r>
    </w:p>
  </w:footnote>
  <w:footnote w:id="17">
    <w:p w:rsidR="00B76EFF" w:rsidRPr="005E46B0" w:rsidRDefault="00B76EFF" w:rsidP="00B76EFF">
      <w:pPr>
        <w:pStyle w:val="FootnoteText"/>
        <w:jc w:val="both"/>
        <w:rPr>
          <w:rFonts w:ascii="Calibri" w:hAnsi="Calibri" w:cs="Calibri"/>
          <w:lang w:val="sr-Latn-ME"/>
        </w:rPr>
      </w:pPr>
      <w:r w:rsidRPr="005E46B0">
        <w:rPr>
          <w:rStyle w:val="FootnoteReference"/>
          <w:rFonts w:eastAsia="Calibri" w:cs="Calibri"/>
          <w:lang w:val="sr-Latn-ME"/>
        </w:rPr>
        <w:footnoteRef/>
      </w:r>
      <w:r w:rsidRPr="005E46B0">
        <w:rPr>
          <w:rFonts w:ascii="Calibri" w:hAnsi="Calibri" w:cs="Calibri"/>
          <w:lang w:val="sr-Latn-ME"/>
        </w:rPr>
        <w:t xml:space="preserve"> </w:t>
      </w:r>
      <w:r w:rsidRPr="005E46B0">
        <w:rPr>
          <w:rFonts w:ascii="Arial" w:hAnsi="Arial" w:cs="Arial"/>
          <w:lang w:val="sr-Latn-ME"/>
        </w:rPr>
        <w:t>Vidi „Analizu rizika od prevara uz statističku analizu slučajeva nepravilnosti, u kontekstu implementacije projekata finansiranih iz IPA fondova“, koju je usvojila Odluka Vlade Crne Gore u julu 2024. godine, sekcija II „STATISTIČKA ANALIZA SLUČAJEVA NEPRAVILNOSTI PRIJAVLJENIH KROZ IMS SOFTVER“, br. 13) „Ukupan broj prijavljenih prevara“.</w:t>
      </w:r>
    </w:p>
  </w:footnote>
  <w:footnote w:id="18">
    <w:p w:rsidR="00B76EFF" w:rsidRPr="00EE0C9F" w:rsidRDefault="00B76EFF" w:rsidP="00B76EFF">
      <w:pPr>
        <w:pStyle w:val="FootnoteText"/>
        <w:jc w:val="both"/>
        <w:rPr>
          <w:lang w:val="lv-LV"/>
        </w:rPr>
      </w:pPr>
      <w:r>
        <w:rPr>
          <w:rStyle w:val="FootnoteReference"/>
          <w:rFonts w:eastAsia="Calibri"/>
        </w:rPr>
        <w:footnoteRef/>
      </w:r>
      <w:r>
        <w:t xml:space="preserve"> </w:t>
      </w:r>
      <w:r w:rsidRPr="009848DB">
        <w:rPr>
          <w:rFonts w:ascii="Arial" w:hAnsi="Arial" w:cs="Arial"/>
          <w:lang w:val="sr-Latn-ME"/>
        </w:rPr>
        <w:t>Vidi „Analizu rizika od prevara uz statističku analizu slučajeva nepravilnosti, u kontekstu implementacije projekata finansiranih iz IPA fondova“, koju</w:t>
      </w:r>
      <w:r w:rsidRPr="00F86D91">
        <w:rPr>
          <w:rFonts w:ascii="Arial" w:hAnsi="Arial" w:cs="Arial"/>
        </w:rPr>
        <w:t xml:space="preserve"> </w:t>
      </w:r>
      <w:r w:rsidRPr="009848DB">
        <w:rPr>
          <w:rFonts w:ascii="Arial" w:hAnsi="Arial" w:cs="Arial"/>
          <w:lang w:val="sr-Latn-ME"/>
        </w:rPr>
        <w:t>je usvojila Vlada Crne Gore u julu 2024. godine, sekcija II „STATISTIČKA ANALIZA SLUČAJEVA NEPRAVILNOSTI PRIJAVLJENIH KROZ IMS SOFTVER“, br. 8) „Iznos povrata iz državnog budžeta“, Tabela br. 19.</w:t>
      </w:r>
    </w:p>
  </w:footnote>
  <w:footnote w:id="19">
    <w:p w:rsidR="00621357" w:rsidRDefault="00621357" w:rsidP="00621357">
      <w:pPr>
        <w:pStyle w:val="FootnoteText"/>
      </w:pPr>
      <w:r>
        <w:rPr>
          <w:rStyle w:val="FootnoteReference"/>
        </w:rPr>
        <w:footnoteRef/>
      </w:r>
      <w:r>
        <w:t xml:space="preserve"> Ranije je rok bio 30 dana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EFF" w:rsidRDefault="00B76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EFF" w:rsidRDefault="00B76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EFF" w:rsidRDefault="00B7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5374"/>
    <w:multiLevelType w:val="multilevel"/>
    <w:tmpl w:val="8878F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01CCA"/>
    <w:multiLevelType w:val="hybridMultilevel"/>
    <w:tmpl w:val="2CF86CD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F92013"/>
    <w:multiLevelType w:val="hybridMultilevel"/>
    <w:tmpl w:val="65666658"/>
    <w:lvl w:ilvl="0" w:tplc="0409000D">
      <w:start w:val="1"/>
      <w:numFmt w:val="bullet"/>
      <w:lvlText w:val=""/>
      <w:lvlJc w:val="left"/>
      <w:pPr>
        <w:ind w:left="1394" w:hanging="360"/>
      </w:pPr>
      <w:rPr>
        <w:rFonts w:ascii="Wingdings" w:hAnsi="Wingdings" w:hint="default"/>
        <w:color w:val="auto"/>
      </w:rPr>
    </w:lvl>
    <w:lvl w:ilvl="1" w:tplc="04090003" w:tentative="1">
      <w:start w:val="1"/>
      <w:numFmt w:val="bullet"/>
      <w:lvlText w:val="o"/>
      <w:lvlJc w:val="left"/>
      <w:pPr>
        <w:ind w:left="2114" w:hanging="360"/>
      </w:pPr>
      <w:rPr>
        <w:rFonts w:ascii="Courier New" w:hAnsi="Courier New" w:cs="Courier New" w:hint="default"/>
      </w:rPr>
    </w:lvl>
    <w:lvl w:ilvl="2" w:tplc="04090005" w:tentative="1">
      <w:start w:val="1"/>
      <w:numFmt w:val="bullet"/>
      <w:lvlText w:val=""/>
      <w:lvlJc w:val="left"/>
      <w:pPr>
        <w:ind w:left="2834" w:hanging="360"/>
      </w:pPr>
      <w:rPr>
        <w:rFonts w:ascii="Wingdings" w:hAnsi="Wingdings" w:hint="default"/>
      </w:rPr>
    </w:lvl>
    <w:lvl w:ilvl="3" w:tplc="04090001" w:tentative="1">
      <w:start w:val="1"/>
      <w:numFmt w:val="bullet"/>
      <w:lvlText w:val=""/>
      <w:lvlJc w:val="left"/>
      <w:pPr>
        <w:ind w:left="3554" w:hanging="360"/>
      </w:pPr>
      <w:rPr>
        <w:rFonts w:ascii="Symbol" w:hAnsi="Symbol" w:hint="default"/>
      </w:rPr>
    </w:lvl>
    <w:lvl w:ilvl="4" w:tplc="04090003" w:tentative="1">
      <w:start w:val="1"/>
      <w:numFmt w:val="bullet"/>
      <w:lvlText w:val="o"/>
      <w:lvlJc w:val="left"/>
      <w:pPr>
        <w:ind w:left="4274" w:hanging="360"/>
      </w:pPr>
      <w:rPr>
        <w:rFonts w:ascii="Courier New" w:hAnsi="Courier New" w:cs="Courier New" w:hint="default"/>
      </w:rPr>
    </w:lvl>
    <w:lvl w:ilvl="5" w:tplc="04090005" w:tentative="1">
      <w:start w:val="1"/>
      <w:numFmt w:val="bullet"/>
      <w:lvlText w:val=""/>
      <w:lvlJc w:val="left"/>
      <w:pPr>
        <w:ind w:left="4994" w:hanging="360"/>
      </w:pPr>
      <w:rPr>
        <w:rFonts w:ascii="Wingdings" w:hAnsi="Wingdings" w:hint="default"/>
      </w:rPr>
    </w:lvl>
    <w:lvl w:ilvl="6" w:tplc="04090001" w:tentative="1">
      <w:start w:val="1"/>
      <w:numFmt w:val="bullet"/>
      <w:lvlText w:val=""/>
      <w:lvlJc w:val="left"/>
      <w:pPr>
        <w:ind w:left="5714" w:hanging="360"/>
      </w:pPr>
      <w:rPr>
        <w:rFonts w:ascii="Symbol" w:hAnsi="Symbol" w:hint="default"/>
      </w:rPr>
    </w:lvl>
    <w:lvl w:ilvl="7" w:tplc="04090003" w:tentative="1">
      <w:start w:val="1"/>
      <w:numFmt w:val="bullet"/>
      <w:lvlText w:val="o"/>
      <w:lvlJc w:val="left"/>
      <w:pPr>
        <w:ind w:left="6434" w:hanging="360"/>
      </w:pPr>
      <w:rPr>
        <w:rFonts w:ascii="Courier New" w:hAnsi="Courier New" w:cs="Courier New" w:hint="default"/>
      </w:rPr>
    </w:lvl>
    <w:lvl w:ilvl="8" w:tplc="04090005" w:tentative="1">
      <w:start w:val="1"/>
      <w:numFmt w:val="bullet"/>
      <w:lvlText w:val=""/>
      <w:lvlJc w:val="left"/>
      <w:pPr>
        <w:ind w:left="7154" w:hanging="360"/>
      </w:pPr>
      <w:rPr>
        <w:rFonts w:ascii="Wingdings" w:hAnsi="Wingdings" w:hint="default"/>
      </w:rPr>
    </w:lvl>
  </w:abstractNum>
  <w:abstractNum w:abstractNumId="3" w15:restartNumberingAfterBreak="0">
    <w:nsid w:val="08E147A9"/>
    <w:multiLevelType w:val="multilevel"/>
    <w:tmpl w:val="0DACDFDC"/>
    <w:lvl w:ilvl="0">
      <w:start w:val="2"/>
      <w:numFmt w:val="decimal"/>
      <w:lvlText w:val="%1."/>
      <w:lvlJc w:val="left"/>
      <w:pPr>
        <w:ind w:left="720" w:hanging="360"/>
      </w:pPr>
      <w:rPr>
        <w:rFonts w:hint="default"/>
        <w:caps w:val="0"/>
        <w:strike w:val="0"/>
        <w:dstrike w:val="0"/>
        <w:vanish w:val="0"/>
        <w:color w:val="000000"/>
        <w:sz w:val="24"/>
        <w:vertAlign w:val="baseline"/>
      </w:rPr>
    </w:lvl>
    <w:lvl w:ilvl="1">
      <w:start w:val="1"/>
      <w:numFmt w:val="decimal"/>
      <w:isLgl/>
      <w:lvlText w:val="%1.%2."/>
      <w:lvlJc w:val="left"/>
      <w:pPr>
        <w:ind w:left="927"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9D13E61"/>
    <w:multiLevelType w:val="hybridMultilevel"/>
    <w:tmpl w:val="93046A32"/>
    <w:lvl w:ilvl="0" w:tplc="FFFFFFFF">
      <w:start w:val="1"/>
      <w:numFmt w:val="bullet"/>
      <w:lvlText w:val="–"/>
      <w:lvlJc w:val="left"/>
      <w:pPr>
        <w:ind w:left="360" w:hanging="360"/>
      </w:pPr>
      <w:rPr>
        <w:rFonts w:ascii="Times New Roman" w:hAnsi="Times New Roman" w:cs="Times New Roman" w:hint="default"/>
        <w:caps w:val="0"/>
        <w:strike w:val="0"/>
        <w:dstrike w:val="0"/>
        <w:vanish w:val="0"/>
        <w:color w:val="000000"/>
        <w:sz w:val="24"/>
        <w:vertAlign w:val="baseline"/>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 w15:restartNumberingAfterBreak="0">
    <w:nsid w:val="0D5B1095"/>
    <w:multiLevelType w:val="hybridMultilevel"/>
    <w:tmpl w:val="1A7EB802"/>
    <w:lvl w:ilvl="0" w:tplc="FFFFFFFF">
      <w:start w:val="1"/>
      <w:numFmt w:val="decimal"/>
      <w:lvlText w:val="%1."/>
      <w:lvlJc w:val="left"/>
      <w:pPr>
        <w:ind w:left="720" w:hanging="360"/>
      </w:pPr>
    </w:lvl>
    <w:lvl w:ilvl="1" w:tplc="ABAEAEA2">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2053E4"/>
    <w:multiLevelType w:val="hybridMultilevel"/>
    <w:tmpl w:val="043E1208"/>
    <w:lvl w:ilvl="0" w:tplc="B0842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D41DEC"/>
    <w:multiLevelType w:val="multilevel"/>
    <w:tmpl w:val="4D52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34368"/>
    <w:multiLevelType w:val="hybridMultilevel"/>
    <w:tmpl w:val="4BCE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56AE1"/>
    <w:multiLevelType w:val="hybridMultilevel"/>
    <w:tmpl w:val="466AE41C"/>
    <w:lvl w:ilvl="0" w:tplc="0426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0" w15:restartNumberingAfterBreak="0">
    <w:nsid w:val="209F18B0"/>
    <w:multiLevelType w:val="hybridMultilevel"/>
    <w:tmpl w:val="4A88A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C85BD8"/>
    <w:multiLevelType w:val="hybridMultilevel"/>
    <w:tmpl w:val="53928F70"/>
    <w:lvl w:ilvl="0" w:tplc="FFFFFFFF">
      <w:start w:val="1"/>
      <w:numFmt w:val="bullet"/>
      <w:lvlText w:val="–"/>
      <w:lvlJc w:val="left"/>
      <w:pPr>
        <w:ind w:left="720" w:hanging="360"/>
      </w:pPr>
      <w:rPr>
        <w:rFonts w:ascii="Times New Roman" w:hAnsi="Times New Roman" w:cs="Times New Roman" w:hint="default"/>
        <w:caps w:val="0"/>
        <w:strike w:val="0"/>
        <w:dstrike w:val="0"/>
        <w:vanish w:val="0"/>
        <w:color w:val="000000"/>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584817"/>
    <w:multiLevelType w:val="hybridMultilevel"/>
    <w:tmpl w:val="B18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F073F"/>
    <w:multiLevelType w:val="hybridMultilevel"/>
    <w:tmpl w:val="740C6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D06662"/>
    <w:multiLevelType w:val="hybridMultilevel"/>
    <w:tmpl w:val="F754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4113C"/>
    <w:multiLevelType w:val="multilevel"/>
    <w:tmpl w:val="065C335A"/>
    <w:lvl w:ilvl="0">
      <w:start w:val="1"/>
      <w:numFmt w:val="decimal"/>
      <w:lvlText w:val="%1."/>
      <w:lvlJc w:val="left"/>
      <w:pPr>
        <w:ind w:left="720" w:hanging="360"/>
      </w:pPr>
      <w:rPr>
        <w:rFonts w:hint="default"/>
      </w:rPr>
    </w:lvl>
    <w:lvl w:ilvl="1">
      <w:start w:val="6"/>
      <w:numFmt w:val="decimal"/>
      <w:isLgl/>
      <w:lvlText w:val="%1.%2."/>
      <w:lvlJc w:val="left"/>
      <w:pPr>
        <w:ind w:left="927"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2DCA5495"/>
    <w:multiLevelType w:val="hybridMultilevel"/>
    <w:tmpl w:val="36327A7E"/>
    <w:lvl w:ilvl="0" w:tplc="0409000F">
      <w:start w:val="1"/>
      <w:numFmt w:val="decimal"/>
      <w:lvlText w:val="%1."/>
      <w:lvlJc w:val="left"/>
      <w:pPr>
        <w:ind w:left="1080" w:hanging="360"/>
      </w:pPr>
      <w:rPr>
        <w:rFont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7" w15:restartNumberingAfterBreak="0">
    <w:nsid w:val="2E1F2296"/>
    <w:multiLevelType w:val="hybridMultilevel"/>
    <w:tmpl w:val="231C5A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B11AD9"/>
    <w:multiLevelType w:val="hybridMultilevel"/>
    <w:tmpl w:val="36F6FDAA"/>
    <w:lvl w:ilvl="0" w:tplc="0426000F">
      <w:start w:val="1"/>
      <w:numFmt w:val="decimal"/>
      <w:lvlText w:val="%1."/>
      <w:lvlJc w:val="left"/>
      <w:pPr>
        <w:ind w:left="643"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2813708"/>
    <w:multiLevelType w:val="hybridMultilevel"/>
    <w:tmpl w:val="C0E0F992"/>
    <w:lvl w:ilvl="0" w:tplc="0B7A95F6">
      <w:start w:val="1"/>
      <w:numFmt w:val="bullet"/>
      <w:lvlText w:val="-"/>
      <w:lvlJc w:val="left"/>
      <w:pPr>
        <w:ind w:left="360" w:hanging="360"/>
      </w:pPr>
      <w:rPr>
        <w:rFonts w:ascii="Bookman Old Style" w:eastAsia="Times New Roman" w:hAnsi="Bookman Old Style"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3F4949"/>
    <w:multiLevelType w:val="hybridMultilevel"/>
    <w:tmpl w:val="4DAE84BC"/>
    <w:lvl w:ilvl="0" w:tplc="0409000D">
      <w:start w:val="1"/>
      <w:numFmt w:val="bullet"/>
      <w:lvlText w:val=""/>
      <w:lvlJc w:val="left"/>
      <w:pPr>
        <w:ind w:left="2055" w:hanging="360"/>
      </w:pPr>
      <w:rPr>
        <w:rFonts w:ascii="Wingdings" w:hAnsi="Wingdings"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21" w15:restartNumberingAfterBreak="0">
    <w:nsid w:val="3C1C4E40"/>
    <w:multiLevelType w:val="multilevel"/>
    <w:tmpl w:val="5C62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9152D4"/>
    <w:multiLevelType w:val="hybridMultilevel"/>
    <w:tmpl w:val="BCC0C718"/>
    <w:lvl w:ilvl="0" w:tplc="0B7A95F6">
      <w:start w:val="1"/>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14B9D"/>
    <w:multiLevelType w:val="hybridMultilevel"/>
    <w:tmpl w:val="F4A27B00"/>
    <w:lvl w:ilvl="0" w:tplc="0B7A95F6">
      <w:start w:val="1"/>
      <w:numFmt w:val="bullet"/>
      <w:lvlText w:val="-"/>
      <w:lvlJc w:val="left"/>
      <w:pPr>
        <w:ind w:left="720" w:hanging="360"/>
      </w:pPr>
      <w:rPr>
        <w:rFonts w:ascii="Bookman Old Style" w:eastAsia="Times New Roman" w:hAnsi="Bookman Old Style"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413C6785"/>
    <w:multiLevelType w:val="multilevel"/>
    <w:tmpl w:val="0DACDFDC"/>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43001D58"/>
    <w:multiLevelType w:val="multilevel"/>
    <w:tmpl w:val="031A6B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EF0675"/>
    <w:multiLevelType w:val="hybridMultilevel"/>
    <w:tmpl w:val="C2A4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07B13"/>
    <w:multiLevelType w:val="multilevel"/>
    <w:tmpl w:val="B384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D70BB"/>
    <w:multiLevelType w:val="multilevel"/>
    <w:tmpl w:val="031A6B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9C0CE3"/>
    <w:multiLevelType w:val="hybridMultilevel"/>
    <w:tmpl w:val="27FA181C"/>
    <w:lvl w:ilvl="0" w:tplc="0409000D">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0" w15:restartNumberingAfterBreak="0">
    <w:nsid w:val="53AC2AF5"/>
    <w:multiLevelType w:val="multilevel"/>
    <w:tmpl w:val="6846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25EFE"/>
    <w:multiLevelType w:val="multilevel"/>
    <w:tmpl w:val="15A0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6E4F8F"/>
    <w:multiLevelType w:val="hybridMultilevel"/>
    <w:tmpl w:val="CA10448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92E76B4"/>
    <w:multiLevelType w:val="multilevel"/>
    <w:tmpl w:val="43B277A6"/>
    <w:lvl w:ilvl="0">
      <w:start w:val="1"/>
      <w:numFmt w:val="bullet"/>
      <w:lvlText w:val="-"/>
      <w:lvlJc w:val="left"/>
      <w:pPr>
        <w:tabs>
          <w:tab w:val="num" w:pos="360"/>
        </w:tabs>
        <w:ind w:left="360" w:hanging="360"/>
      </w:pPr>
      <w:rPr>
        <w:rFonts w:ascii="Bookman Old Style" w:eastAsia="Times New Roman" w:hAnsi="Bookman Old Style"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CF85B86"/>
    <w:multiLevelType w:val="multilevel"/>
    <w:tmpl w:val="9B98B690"/>
    <w:lvl w:ilvl="0">
      <w:start w:val="1"/>
      <w:numFmt w:val="decimal"/>
      <w:lvlText w:val="%1."/>
      <w:lvlJc w:val="left"/>
      <w:pPr>
        <w:ind w:left="720" w:hanging="360"/>
      </w:pPr>
      <w:rPr>
        <w:rFonts w:hint="default"/>
        <w:b w:val="0"/>
        <w:caps w:val="0"/>
        <w:strike w:val="0"/>
        <w:dstrike w:val="0"/>
        <w:vanish w:val="0"/>
        <w:color w:val="000000"/>
        <w:sz w:val="24"/>
        <w:vertAlign w:val="baseline"/>
      </w:rPr>
    </w:lvl>
    <w:lvl w:ilvl="1">
      <w:start w:val="1"/>
      <w:numFmt w:val="decimal"/>
      <w:isLgl/>
      <w:lvlText w:val="%1.%2."/>
      <w:lvlJc w:val="left"/>
      <w:pPr>
        <w:ind w:left="927"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5F742362"/>
    <w:multiLevelType w:val="multilevel"/>
    <w:tmpl w:val="1A86FA0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641B195A"/>
    <w:multiLevelType w:val="hybridMultilevel"/>
    <w:tmpl w:val="B38C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E4D4C"/>
    <w:multiLevelType w:val="hybridMultilevel"/>
    <w:tmpl w:val="54CC85C2"/>
    <w:lvl w:ilvl="0" w:tplc="0B7A95F6">
      <w:start w:val="1"/>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49633C"/>
    <w:multiLevelType w:val="hybridMultilevel"/>
    <w:tmpl w:val="CD3E44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65C3285"/>
    <w:multiLevelType w:val="hybridMultilevel"/>
    <w:tmpl w:val="642A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E1F71"/>
    <w:multiLevelType w:val="hybridMultilevel"/>
    <w:tmpl w:val="925C4C50"/>
    <w:lvl w:ilvl="0" w:tplc="0B7A95F6">
      <w:start w:val="1"/>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521B66"/>
    <w:multiLevelType w:val="multilevel"/>
    <w:tmpl w:val="B864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DE79C3"/>
    <w:multiLevelType w:val="multilevel"/>
    <w:tmpl w:val="2690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517803"/>
    <w:multiLevelType w:val="multilevel"/>
    <w:tmpl w:val="DC50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4265B1"/>
    <w:multiLevelType w:val="multilevel"/>
    <w:tmpl w:val="1ADA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A067F4"/>
    <w:multiLevelType w:val="hybridMultilevel"/>
    <w:tmpl w:val="97CE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882780"/>
    <w:multiLevelType w:val="hybridMultilevel"/>
    <w:tmpl w:val="1C3A5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5044D9"/>
    <w:multiLevelType w:val="hybridMultilevel"/>
    <w:tmpl w:val="D2C6A008"/>
    <w:lvl w:ilvl="0" w:tplc="0409000D">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8" w15:restartNumberingAfterBreak="0">
    <w:nsid w:val="7FAA7591"/>
    <w:multiLevelType w:val="hybridMultilevel"/>
    <w:tmpl w:val="511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11"/>
  </w:num>
  <w:num w:numId="4">
    <w:abstractNumId w:val="37"/>
  </w:num>
  <w:num w:numId="5">
    <w:abstractNumId w:val="5"/>
  </w:num>
  <w:num w:numId="6">
    <w:abstractNumId w:val="34"/>
  </w:num>
  <w:num w:numId="7">
    <w:abstractNumId w:val="18"/>
  </w:num>
  <w:num w:numId="8">
    <w:abstractNumId w:val="25"/>
  </w:num>
  <w:num w:numId="9">
    <w:abstractNumId w:val="28"/>
  </w:num>
  <w:num w:numId="10">
    <w:abstractNumId w:val="15"/>
  </w:num>
  <w:num w:numId="11">
    <w:abstractNumId w:val="9"/>
  </w:num>
  <w:num w:numId="12">
    <w:abstractNumId w:val="24"/>
  </w:num>
  <w:num w:numId="13">
    <w:abstractNumId w:val="3"/>
  </w:num>
  <w:num w:numId="14">
    <w:abstractNumId w:val="7"/>
  </w:num>
  <w:num w:numId="15">
    <w:abstractNumId w:val="27"/>
  </w:num>
  <w:num w:numId="16">
    <w:abstractNumId w:val="0"/>
  </w:num>
  <w:num w:numId="17">
    <w:abstractNumId w:val="41"/>
  </w:num>
  <w:num w:numId="18">
    <w:abstractNumId w:val="30"/>
  </w:num>
  <w:num w:numId="19">
    <w:abstractNumId w:val="42"/>
  </w:num>
  <w:num w:numId="20">
    <w:abstractNumId w:val="43"/>
  </w:num>
  <w:num w:numId="21">
    <w:abstractNumId w:val="10"/>
  </w:num>
  <w:num w:numId="22">
    <w:abstractNumId w:val="19"/>
  </w:num>
  <w:num w:numId="23">
    <w:abstractNumId w:val="33"/>
  </w:num>
  <w:num w:numId="24">
    <w:abstractNumId w:val="48"/>
  </w:num>
  <w:num w:numId="25">
    <w:abstractNumId w:val="13"/>
  </w:num>
  <w:num w:numId="26">
    <w:abstractNumId w:val="32"/>
  </w:num>
  <w:num w:numId="27">
    <w:abstractNumId w:val="47"/>
  </w:num>
  <w:num w:numId="28">
    <w:abstractNumId w:val="29"/>
  </w:num>
  <w:num w:numId="29">
    <w:abstractNumId w:val="20"/>
  </w:num>
  <w:num w:numId="30">
    <w:abstractNumId w:val="2"/>
  </w:num>
  <w:num w:numId="31">
    <w:abstractNumId w:val="1"/>
  </w:num>
  <w:num w:numId="32">
    <w:abstractNumId w:val="17"/>
  </w:num>
  <w:num w:numId="33">
    <w:abstractNumId w:val="39"/>
  </w:num>
  <w:num w:numId="34">
    <w:abstractNumId w:val="26"/>
  </w:num>
  <w:num w:numId="35">
    <w:abstractNumId w:val="36"/>
  </w:num>
  <w:num w:numId="36">
    <w:abstractNumId w:val="14"/>
  </w:num>
  <w:num w:numId="37">
    <w:abstractNumId w:val="12"/>
  </w:num>
  <w:num w:numId="38">
    <w:abstractNumId w:val="23"/>
  </w:num>
  <w:num w:numId="39">
    <w:abstractNumId w:val="22"/>
  </w:num>
  <w:num w:numId="40">
    <w:abstractNumId w:val="40"/>
  </w:num>
  <w:num w:numId="41">
    <w:abstractNumId w:val="4"/>
  </w:num>
  <w:num w:numId="42">
    <w:abstractNumId w:val="16"/>
  </w:num>
  <w:num w:numId="43">
    <w:abstractNumId w:val="46"/>
  </w:num>
  <w:num w:numId="44">
    <w:abstractNumId w:val="6"/>
  </w:num>
  <w:num w:numId="45">
    <w:abstractNumId w:val="44"/>
  </w:num>
  <w:num w:numId="46">
    <w:abstractNumId w:val="21"/>
  </w:num>
  <w:num w:numId="47">
    <w:abstractNumId w:val="31"/>
  </w:num>
  <w:num w:numId="48">
    <w:abstractNumId w:val="8"/>
  </w:num>
  <w:num w:numId="49">
    <w:abstractNumId w:val="4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25"/>
    <w:rsid w:val="000000CB"/>
    <w:rsid w:val="00000BAB"/>
    <w:rsid w:val="00002192"/>
    <w:rsid w:val="000023CC"/>
    <w:rsid w:val="00002644"/>
    <w:rsid w:val="000043AD"/>
    <w:rsid w:val="00004460"/>
    <w:rsid w:val="000049C8"/>
    <w:rsid w:val="00005128"/>
    <w:rsid w:val="00005661"/>
    <w:rsid w:val="00005851"/>
    <w:rsid w:val="000067A9"/>
    <w:rsid w:val="00007A9E"/>
    <w:rsid w:val="00007FA1"/>
    <w:rsid w:val="00010080"/>
    <w:rsid w:val="000101A5"/>
    <w:rsid w:val="00011365"/>
    <w:rsid w:val="00011564"/>
    <w:rsid w:val="00011D6A"/>
    <w:rsid w:val="00013FDA"/>
    <w:rsid w:val="00014486"/>
    <w:rsid w:val="000146DD"/>
    <w:rsid w:val="000151F8"/>
    <w:rsid w:val="0001659E"/>
    <w:rsid w:val="00016B35"/>
    <w:rsid w:val="00017036"/>
    <w:rsid w:val="000176A6"/>
    <w:rsid w:val="000177EB"/>
    <w:rsid w:val="00017C69"/>
    <w:rsid w:val="00017FEE"/>
    <w:rsid w:val="00020951"/>
    <w:rsid w:val="00021959"/>
    <w:rsid w:val="00022F93"/>
    <w:rsid w:val="0002411F"/>
    <w:rsid w:val="000248AB"/>
    <w:rsid w:val="00026F8A"/>
    <w:rsid w:val="00027DFE"/>
    <w:rsid w:val="00031B08"/>
    <w:rsid w:val="000323FB"/>
    <w:rsid w:val="00032D9C"/>
    <w:rsid w:val="00035AE5"/>
    <w:rsid w:val="00035BEC"/>
    <w:rsid w:val="00035CB4"/>
    <w:rsid w:val="000363C3"/>
    <w:rsid w:val="000369B3"/>
    <w:rsid w:val="00037894"/>
    <w:rsid w:val="00040DC6"/>
    <w:rsid w:val="00041271"/>
    <w:rsid w:val="00041997"/>
    <w:rsid w:val="00041A6E"/>
    <w:rsid w:val="00043073"/>
    <w:rsid w:val="00043237"/>
    <w:rsid w:val="00045D6C"/>
    <w:rsid w:val="00046A1D"/>
    <w:rsid w:val="00046F44"/>
    <w:rsid w:val="00047286"/>
    <w:rsid w:val="00050E67"/>
    <w:rsid w:val="000510F1"/>
    <w:rsid w:val="00053287"/>
    <w:rsid w:val="00053DB2"/>
    <w:rsid w:val="00054108"/>
    <w:rsid w:val="00054E75"/>
    <w:rsid w:val="000556FC"/>
    <w:rsid w:val="00056E36"/>
    <w:rsid w:val="00056FA6"/>
    <w:rsid w:val="00057672"/>
    <w:rsid w:val="0005768C"/>
    <w:rsid w:val="00060207"/>
    <w:rsid w:val="00060756"/>
    <w:rsid w:val="0006079F"/>
    <w:rsid w:val="00061417"/>
    <w:rsid w:val="0006174A"/>
    <w:rsid w:val="00061C22"/>
    <w:rsid w:val="00061EF9"/>
    <w:rsid w:val="000622EC"/>
    <w:rsid w:val="00063697"/>
    <w:rsid w:val="000636A8"/>
    <w:rsid w:val="00063E5B"/>
    <w:rsid w:val="00063EC6"/>
    <w:rsid w:val="00064936"/>
    <w:rsid w:val="0006515B"/>
    <w:rsid w:val="00065227"/>
    <w:rsid w:val="00066701"/>
    <w:rsid w:val="00066BC9"/>
    <w:rsid w:val="00066E07"/>
    <w:rsid w:val="00067B13"/>
    <w:rsid w:val="000700B5"/>
    <w:rsid w:val="000713BF"/>
    <w:rsid w:val="00071AA2"/>
    <w:rsid w:val="00071CE5"/>
    <w:rsid w:val="00073865"/>
    <w:rsid w:val="00073AB2"/>
    <w:rsid w:val="00074EDF"/>
    <w:rsid w:val="00074FF6"/>
    <w:rsid w:val="000753CD"/>
    <w:rsid w:val="00075D1E"/>
    <w:rsid w:val="000771F3"/>
    <w:rsid w:val="00077669"/>
    <w:rsid w:val="00077FAD"/>
    <w:rsid w:val="0008096E"/>
    <w:rsid w:val="00080A38"/>
    <w:rsid w:val="00080DD8"/>
    <w:rsid w:val="000813D5"/>
    <w:rsid w:val="00081A05"/>
    <w:rsid w:val="00081E2B"/>
    <w:rsid w:val="000829C9"/>
    <w:rsid w:val="000829EB"/>
    <w:rsid w:val="00082C2B"/>
    <w:rsid w:val="00084489"/>
    <w:rsid w:val="000844FC"/>
    <w:rsid w:val="000846C5"/>
    <w:rsid w:val="000853F5"/>
    <w:rsid w:val="00086FFF"/>
    <w:rsid w:val="0008727D"/>
    <w:rsid w:val="000904DD"/>
    <w:rsid w:val="0009121E"/>
    <w:rsid w:val="0009170A"/>
    <w:rsid w:val="00091E11"/>
    <w:rsid w:val="0009280B"/>
    <w:rsid w:val="00092CF3"/>
    <w:rsid w:val="0009338E"/>
    <w:rsid w:val="000936AC"/>
    <w:rsid w:val="0009383A"/>
    <w:rsid w:val="00093EF4"/>
    <w:rsid w:val="00094C5D"/>
    <w:rsid w:val="00094D0A"/>
    <w:rsid w:val="00094D0D"/>
    <w:rsid w:val="0009534F"/>
    <w:rsid w:val="00095E1C"/>
    <w:rsid w:val="0009610C"/>
    <w:rsid w:val="0009631F"/>
    <w:rsid w:val="00096817"/>
    <w:rsid w:val="00096EDF"/>
    <w:rsid w:val="00097145"/>
    <w:rsid w:val="000A0211"/>
    <w:rsid w:val="000A04F4"/>
    <w:rsid w:val="000A0858"/>
    <w:rsid w:val="000A140D"/>
    <w:rsid w:val="000A2A81"/>
    <w:rsid w:val="000A3BA9"/>
    <w:rsid w:val="000A5AF0"/>
    <w:rsid w:val="000A78B8"/>
    <w:rsid w:val="000A7B7A"/>
    <w:rsid w:val="000B051B"/>
    <w:rsid w:val="000B0B3A"/>
    <w:rsid w:val="000B1271"/>
    <w:rsid w:val="000B1B01"/>
    <w:rsid w:val="000B1B71"/>
    <w:rsid w:val="000B28DF"/>
    <w:rsid w:val="000B2C89"/>
    <w:rsid w:val="000B3350"/>
    <w:rsid w:val="000B37D4"/>
    <w:rsid w:val="000B4A3C"/>
    <w:rsid w:val="000B5936"/>
    <w:rsid w:val="000B5E23"/>
    <w:rsid w:val="000B6364"/>
    <w:rsid w:val="000B64E3"/>
    <w:rsid w:val="000B6582"/>
    <w:rsid w:val="000B6742"/>
    <w:rsid w:val="000B7F55"/>
    <w:rsid w:val="000C0280"/>
    <w:rsid w:val="000C02B0"/>
    <w:rsid w:val="000C0677"/>
    <w:rsid w:val="000C0A01"/>
    <w:rsid w:val="000C11DD"/>
    <w:rsid w:val="000C14A2"/>
    <w:rsid w:val="000C1860"/>
    <w:rsid w:val="000C31AC"/>
    <w:rsid w:val="000C344B"/>
    <w:rsid w:val="000C435E"/>
    <w:rsid w:val="000C5132"/>
    <w:rsid w:val="000C528F"/>
    <w:rsid w:val="000C5591"/>
    <w:rsid w:val="000C587D"/>
    <w:rsid w:val="000C5A6F"/>
    <w:rsid w:val="000C5CD9"/>
    <w:rsid w:val="000C6156"/>
    <w:rsid w:val="000C6435"/>
    <w:rsid w:val="000C7254"/>
    <w:rsid w:val="000D0330"/>
    <w:rsid w:val="000D13B7"/>
    <w:rsid w:val="000D3128"/>
    <w:rsid w:val="000D3797"/>
    <w:rsid w:val="000D4909"/>
    <w:rsid w:val="000D4D22"/>
    <w:rsid w:val="000D6385"/>
    <w:rsid w:val="000D699A"/>
    <w:rsid w:val="000D6BA1"/>
    <w:rsid w:val="000D738A"/>
    <w:rsid w:val="000E0BA7"/>
    <w:rsid w:val="000E16AA"/>
    <w:rsid w:val="000E2CE0"/>
    <w:rsid w:val="000E2D8E"/>
    <w:rsid w:val="000E2EA9"/>
    <w:rsid w:val="000E32E4"/>
    <w:rsid w:val="000E3938"/>
    <w:rsid w:val="000E3B26"/>
    <w:rsid w:val="000E3B3B"/>
    <w:rsid w:val="000E474E"/>
    <w:rsid w:val="000E4763"/>
    <w:rsid w:val="000E4817"/>
    <w:rsid w:val="000E49F7"/>
    <w:rsid w:val="000E4AF1"/>
    <w:rsid w:val="000E51F2"/>
    <w:rsid w:val="000E52E3"/>
    <w:rsid w:val="000E5B8B"/>
    <w:rsid w:val="000E6635"/>
    <w:rsid w:val="000E6B55"/>
    <w:rsid w:val="000E6E17"/>
    <w:rsid w:val="000E778B"/>
    <w:rsid w:val="000F01E1"/>
    <w:rsid w:val="000F03F9"/>
    <w:rsid w:val="000F0DFE"/>
    <w:rsid w:val="000F0E02"/>
    <w:rsid w:val="000F1F8E"/>
    <w:rsid w:val="000F2758"/>
    <w:rsid w:val="000F31D8"/>
    <w:rsid w:val="000F471C"/>
    <w:rsid w:val="000F520B"/>
    <w:rsid w:val="000F5563"/>
    <w:rsid w:val="000F5696"/>
    <w:rsid w:val="000F6A63"/>
    <w:rsid w:val="000F6BBA"/>
    <w:rsid w:val="000F7AC4"/>
    <w:rsid w:val="000F7EF0"/>
    <w:rsid w:val="0010031C"/>
    <w:rsid w:val="00100FF8"/>
    <w:rsid w:val="001017B2"/>
    <w:rsid w:val="001019A0"/>
    <w:rsid w:val="00102221"/>
    <w:rsid w:val="001025F0"/>
    <w:rsid w:val="001030DA"/>
    <w:rsid w:val="00103B3F"/>
    <w:rsid w:val="00104911"/>
    <w:rsid w:val="00106D55"/>
    <w:rsid w:val="00110C68"/>
    <w:rsid w:val="00110E74"/>
    <w:rsid w:val="00110FA2"/>
    <w:rsid w:val="00111198"/>
    <w:rsid w:val="00111E16"/>
    <w:rsid w:val="00111F5A"/>
    <w:rsid w:val="00112E84"/>
    <w:rsid w:val="00113633"/>
    <w:rsid w:val="00113A14"/>
    <w:rsid w:val="00113C00"/>
    <w:rsid w:val="001159B8"/>
    <w:rsid w:val="001162AE"/>
    <w:rsid w:val="001164DD"/>
    <w:rsid w:val="00116579"/>
    <w:rsid w:val="001168DC"/>
    <w:rsid w:val="00116FBB"/>
    <w:rsid w:val="001173B0"/>
    <w:rsid w:val="00117F99"/>
    <w:rsid w:val="001203C6"/>
    <w:rsid w:val="00120862"/>
    <w:rsid w:val="00121415"/>
    <w:rsid w:val="001216C9"/>
    <w:rsid w:val="00121C87"/>
    <w:rsid w:val="00121EAD"/>
    <w:rsid w:val="00123C82"/>
    <w:rsid w:val="00123F4A"/>
    <w:rsid w:val="00124932"/>
    <w:rsid w:val="00125171"/>
    <w:rsid w:val="00125404"/>
    <w:rsid w:val="00126701"/>
    <w:rsid w:val="0012707F"/>
    <w:rsid w:val="0012767E"/>
    <w:rsid w:val="00127BC5"/>
    <w:rsid w:val="001302F9"/>
    <w:rsid w:val="00131482"/>
    <w:rsid w:val="00132D68"/>
    <w:rsid w:val="00133DEE"/>
    <w:rsid w:val="0013426F"/>
    <w:rsid w:val="00134564"/>
    <w:rsid w:val="00134BA0"/>
    <w:rsid w:val="00134F63"/>
    <w:rsid w:val="00134F79"/>
    <w:rsid w:val="001371C3"/>
    <w:rsid w:val="0013774E"/>
    <w:rsid w:val="001379CE"/>
    <w:rsid w:val="00140D76"/>
    <w:rsid w:val="0014174A"/>
    <w:rsid w:val="00142106"/>
    <w:rsid w:val="00142194"/>
    <w:rsid w:val="00142E66"/>
    <w:rsid w:val="0014346E"/>
    <w:rsid w:val="00146429"/>
    <w:rsid w:val="0014673D"/>
    <w:rsid w:val="00146BCB"/>
    <w:rsid w:val="00147136"/>
    <w:rsid w:val="001473F8"/>
    <w:rsid w:val="00147408"/>
    <w:rsid w:val="0014793B"/>
    <w:rsid w:val="00147CB5"/>
    <w:rsid w:val="00147F02"/>
    <w:rsid w:val="00150006"/>
    <w:rsid w:val="0015087C"/>
    <w:rsid w:val="00151A58"/>
    <w:rsid w:val="00153219"/>
    <w:rsid w:val="00153ABD"/>
    <w:rsid w:val="00155380"/>
    <w:rsid w:val="0015585F"/>
    <w:rsid w:val="00155C84"/>
    <w:rsid w:val="00155F8D"/>
    <w:rsid w:val="00156DAB"/>
    <w:rsid w:val="001572CF"/>
    <w:rsid w:val="001606DD"/>
    <w:rsid w:val="00160C5F"/>
    <w:rsid w:val="00160D92"/>
    <w:rsid w:val="0016122A"/>
    <w:rsid w:val="001622A8"/>
    <w:rsid w:val="00162AC3"/>
    <w:rsid w:val="00162ADA"/>
    <w:rsid w:val="00164A04"/>
    <w:rsid w:val="00166D25"/>
    <w:rsid w:val="00167F20"/>
    <w:rsid w:val="00170922"/>
    <w:rsid w:val="00171B34"/>
    <w:rsid w:val="00171CB5"/>
    <w:rsid w:val="00171D4A"/>
    <w:rsid w:val="0017225E"/>
    <w:rsid w:val="00172D6B"/>
    <w:rsid w:val="00172F7E"/>
    <w:rsid w:val="001742A3"/>
    <w:rsid w:val="00174389"/>
    <w:rsid w:val="001750AE"/>
    <w:rsid w:val="0017510A"/>
    <w:rsid w:val="00175655"/>
    <w:rsid w:val="00177404"/>
    <w:rsid w:val="00177A06"/>
    <w:rsid w:val="00177A99"/>
    <w:rsid w:val="001807DB"/>
    <w:rsid w:val="00180A12"/>
    <w:rsid w:val="00180D21"/>
    <w:rsid w:val="00180E5D"/>
    <w:rsid w:val="0018122D"/>
    <w:rsid w:val="0018162D"/>
    <w:rsid w:val="00181664"/>
    <w:rsid w:val="00182B0E"/>
    <w:rsid w:val="00182D2F"/>
    <w:rsid w:val="00182D43"/>
    <w:rsid w:val="001831C7"/>
    <w:rsid w:val="00183A16"/>
    <w:rsid w:val="00183DCB"/>
    <w:rsid w:val="00183ED3"/>
    <w:rsid w:val="00183EE9"/>
    <w:rsid w:val="00186182"/>
    <w:rsid w:val="00186385"/>
    <w:rsid w:val="00186CF2"/>
    <w:rsid w:val="001908AC"/>
    <w:rsid w:val="00190DE2"/>
    <w:rsid w:val="001926A6"/>
    <w:rsid w:val="00194533"/>
    <w:rsid w:val="001945A1"/>
    <w:rsid w:val="00194A86"/>
    <w:rsid w:val="00194E4F"/>
    <w:rsid w:val="001A00A4"/>
    <w:rsid w:val="001A016A"/>
    <w:rsid w:val="001A08E1"/>
    <w:rsid w:val="001A0A1F"/>
    <w:rsid w:val="001A1BED"/>
    <w:rsid w:val="001A1CC4"/>
    <w:rsid w:val="001A3939"/>
    <w:rsid w:val="001A411A"/>
    <w:rsid w:val="001A4556"/>
    <w:rsid w:val="001A4626"/>
    <w:rsid w:val="001A55EA"/>
    <w:rsid w:val="001A63EA"/>
    <w:rsid w:val="001A6522"/>
    <w:rsid w:val="001A69DA"/>
    <w:rsid w:val="001A6D4E"/>
    <w:rsid w:val="001A75DF"/>
    <w:rsid w:val="001B0A05"/>
    <w:rsid w:val="001B117E"/>
    <w:rsid w:val="001B179E"/>
    <w:rsid w:val="001B1C08"/>
    <w:rsid w:val="001B2262"/>
    <w:rsid w:val="001B322D"/>
    <w:rsid w:val="001B4650"/>
    <w:rsid w:val="001B4A3F"/>
    <w:rsid w:val="001B5543"/>
    <w:rsid w:val="001B589E"/>
    <w:rsid w:val="001B62C7"/>
    <w:rsid w:val="001B62F0"/>
    <w:rsid w:val="001B6447"/>
    <w:rsid w:val="001B6BA7"/>
    <w:rsid w:val="001B7A95"/>
    <w:rsid w:val="001B7C0F"/>
    <w:rsid w:val="001C0405"/>
    <w:rsid w:val="001C0BD7"/>
    <w:rsid w:val="001C107E"/>
    <w:rsid w:val="001C1771"/>
    <w:rsid w:val="001C1AA2"/>
    <w:rsid w:val="001C29EF"/>
    <w:rsid w:val="001C2AC6"/>
    <w:rsid w:val="001C379B"/>
    <w:rsid w:val="001C3A01"/>
    <w:rsid w:val="001C3B64"/>
    <w:rsid w:val="001C3F4A"/>
    <w:rsid w:val="001C4BB0"/>
    <w:rsid w:val="001C5D08"/>
    <w:rsid w:val="001C64CD"/>
    <w:rsid w:val="001C76EC"/>
    <w:rsid w:val="001C77FA"/>
    <w:rsid w:val="001D0E46"/>
    <w:rsid w:val="001D19AB"/>
    <w:rsid w:val="001D28B9"/>
    <w:rsid w:val="001D30B6"/>
    <w:rsid w:val="001D3D22"/>
    <w:rsid w:val="001D445B"/>
    <w:rsid w:val="001D4854"/>
    <w:rsid w:val="001D6AE7"/>
    <w:rsid w:val="001D6D4F"/>
    <w:rsid w:val="001D70E0"/>
    <w:rsid w:val="001D7A7A"/>
    <w:rsid w:val="001E0A9E"/>
    <w:rsid w:val="001E1F0B"/>
    <w:rsid w:val="001E2324"/>
    <w:rsid w:val="001E24C3"/>
    <w:rsid w:val="001E3885"/>
    <w:rsid w:val="001E4B35"/>
    <w:rsid w:val="001E4D02"/>
    <w:rsid w:val="001E537F"/>
    <w:rsid w:val="001E54EA"/>
    <w:rsid w:val="001E5DE9"/>
    <w:rsid w:val="001E6D0A"/>
    <w:rsid w:val="001F199E"/>
    <w:rsid w:val="001F1A91"/>
    <w:rsid w:val="001F20CA"/>
    <w:rsid w:val="001F3484"/>
    <w:rsid w:val="001F3BBF"/>
    <w:rsid w:val="001F4240"/>
    <w:rsid w:val="001F4DC6"/>
    <w:rsid w:val="001F591A"/>
    <w:rsid w:val="001F5CF8"/>
    <w:rsid w:val="001F7DB2"/>
    <w:rsid w:val="00200A76"/>
    <w:rsid w:val="0020149F"/>
    <w:rsid w:val="00201516"/>
    <w:rsid w:val="002025A3"/>
    <w:rsid w:val="002031C8"/>
    <w:rsid w:val="00203A4B"/>
    <w:rsid w:val="00203BBB"/>
    <w:rsid w:val="0020436C"/>
    <w:rsid w:val="0020462F"/>
    <w:rsid w:val="0020477A"/>
    <w:rsid w:val="00204B98"/>
    <w:rsid w:val="00204C79"/>
    <w:rsid w:val="00204F37"/>
    <w:rsid w:val="00205591"/>
    <w:rsid w:val="002066D2"/>
    <w:rsid w:val="0020697A"/>
    <w:rsid w:val="0020709F"/>
    <w:rsid w:val="00207FE1"/>
    <w:rsid w:val="002117B5"/>
    <w:rsid w:val="00211831"/>
    <w:rsid w:val="002122C6"/>
    <w:rsid w:val="00212C26"/>
    <w:rsid w:val="00213965"/>
    <w:rsid w:val="00213B84"/>
    <w:rsid w:val="00213EC0"/>
    <w:rsid w:val="00214392"/>
    <w:rsid w:val="002154B7"/>
    <w:rsid w:val="00215529"/>
    <w:rsid w:val="002156CF"/>
    <w:rsid w:val="00215C97"/>
    <w:rsid w:val="00216B34"/>
    <w:rsid w:val="00216C69"/>
    <w:rsid w:val="0021738B"/>
    <w:rsid w:val="00217AFB"/>
    <w:rsid w:val="00220B1B"/>
    <w:rsid w:val="00220B72"/>
    <w:rsid w:val="00221034"/>
    <w:rsid w:val="00221075"/>
    <w:rsid w:val="002216FF"/>
    <w:rsid w:val="00221748"/>
    <w:rsid w:val="0022324D"/>
    <w:rsid w:val="00223DA3"/>
    <w:rsid w:val="00224D57"/>
    <w:rsid w:val="00225687"/>
    <w:rsid w:val="0022619E"/>
    <w:rsid w:val="00227AC8"/>
    <w:rsid w:val="00227CF8"/>
    <w:rsid w:val="00231135"/>
    <w:rsid w:val="00231724"/>
    <w:rsid w:val="00231BB1"/>
    <w:rsid w:val="00232619"/>
    <w:rsid w:val="0023274E"/>
    <w:rsid w:val="00232B74"/>
    <w:rsid w:val="00234348"/>
    <w:rsid w:val="002344FA"/>
    <w:rsid w:val="0023471A"/>
    <w:rsid w:val="00234CAD"/>
    <w:rsid w:val="0023543E"/>
    <w:rsid w:val="002368CA"/>
    <w:rsid w:val="00237E92"/>
    <w:rsid w:val="0024091C"/>
    <w:rsid w:val="00240A75"/>
    <w:rsid w:val="00240F38"/>
    <w:rsid w:val="002410FE"/>
    <w:rsid w:val="00241433"/>
    <w:rsid w:val="0024160F"/>
    <w:rsid w:val="00241C03"/>
    <w:rsid w:val="00241C54"/>
    <w:rsid w:val="002421F5"/>
    <w:rsid w:val="00243446"/>
    <w:rsid w:val="00243B86"/>
    <w:rsid w:val="002446CF"/>
    <w:rsid w:val="00245566"/>
    <w:rsid w:val="00245D1E"/>
    <w:rsid w:val="00245FB4"/>
    <w:rsid w:val="00246D15"/>
    <w:rsid w:val="00250096"/>
    <w:rsid w:val="0025062E"/>
    <w:rsid w:val="00251D43"/>
    <w:rsid w:val="00252B3A"/>
    <w:rsid w:val="00253F5F"/>
    <w:rsid w:val="0025471F"/>
    <w:rsid w:val="00254BA5"/>
    <w:rsid w:val="00254CFF"/>
    <w:rsid w:val="00255CCC"/>
    <w:rsid w:val="00257677"/>
    <w:rsid w:val="00257BD9"/>
    <w:rsid w:val="00261257"/>
    <w:rsid w:val="0026185B"/>
    <w:rsid w:val="00262300"/>
    <w:rsid w:val="0026254F"/>
    <w:rsid w:val="002633AF"/>
    <w:rsid w:val="002637BD"/>
    <w:rsid w:val="002646CE"/>
    <w:rsid w:val="002653FA"/>
    <w:rsid w:val="00265BEE"/>
    <w:rsid w:val="00265D07"/>
    <w:rsid w:val="00266AA2"/>
    <w:rsid w:val="00267100"/>
    <w:rsid w:val="00272D98"/>
    <w:rsid w:val="00273B0C"/>
    <w:rsid w:val="00273C35"/>
    <w:rsid w:val="00273E8B"/>
    <w:rsid w:val="0027422E"/>
    <w:rsid w:val="002754D9"/>
    <w:rsid w:val="002755B0"/>
    <w:rsid w:val="00275963"/>
    <w:rsid w:val="00275DEE"/>
    <w:rsid w:val="00275E2A"/>
    <w:rsid w:val="002766C5"/>
    <w:rsid w:val="00277198"/>
    <w:rsid w:val="00277EAE"/>
    <w:rsid w:val="0028085E"/>
    <w:rsid w:val="00280A10"/>
    <w:rsid w:val="00280ABE"/>
    <w:rsid w:val="002810B6"/>
    <w:rsid w:val="00281A7B"/>
    <w:rsid w:val="00281E6B"/>
    <w:rsid w:val="00281F6A"/>
    <w:rsid w:val="002820BE"/>
    <w:rsid w:val="00282109"/>
    <w:rsid w:val="002835D4"/>
    <w:rsid w:val="002841B9"/>
    <w:rsid w:val="00284565"/>
    <w:rsid w:val="00284C4B"/>
    <w:rsid w:val="002853E9"/>
    <w:rsid w:val="00286E35"/>
    <w:rsid w:val="00290023"/>
    <w:rsid w:val="002901D6"/>
    <w:rsid w:val="00291308"/>
    <w:rsid w:val="00291D64"/>
    <w:rsid w:val="002927DE"/>
    <w:rsid w:val="00292B65"/>
    <w:rsid w:val="00293042"/>
    <w:rsid w:val="00293249"/>
    <w:rsid w:val="00294080"/>
    <w:rsid w:val="00294620"/>
    <w:rsid w:val="00294F48"/>
    <w:rsid w:val="002954A0"/>
    <w:rsid w:val="00295B7F"/>
    <w:rsid w:val="00296852"/>
    <w:rsid w:val="00296EFE"/>
    <w:rsid w:val="0029728A"/>
    <w:rsid w:val="002A00DB"/>
    <w:rsid w:val="002A01E4"/>
    <w:rsid w:val="002A1433"/>
    <w:rsid w:val="002A1AC9"/>
    <w:rsid w:val="002A1CCD"/>
    <w:rsid w:val="002A48C4"/>
    <w:rsid w:val="002A51D2"/>
    <w:rsid w:val="002A5CD6"/>
    <w:rsid w:val="002A6AEB"/>
    <w:rsid w:val="002A6DA7"/>
    <w:rsid w:val="002A7F99"/>
    <w:rsid w:val="002B1A16"/>
    <w:rsid w:val="002B1E99"/>
    <w:rsid w:val="002B1EC3"/>
    <w:rsid w:val="002B4262"/>
    <w:rsid w:val="002B4757"/>
    <w:rsid w:val="002B4F40"/>
    <w:rsid w:val="002B5972"/>
    <w:rsid w:val="002B5D7F"/>
    <w:rsid w:val="002B5E17"/>
    <w:rsid w:val="002B5FD6"/>
    <w:rsid w:val="002B61FB"/>
    <w:rsid w:val="002B7237"/>
    <w:rsid w:val="002B740F"/>
    <w:rsid w:val="002B7C86"/>
    <w:rsid w:val="002C09FC"/>
    <w:rsid w:val="002C2C09"/>
    <w:rsid w:val="002C39E8"/>
    <w:rsid w:val="002C4257"/>
    <w:rsid w:val="002C46D6"/>
    <w:rsid w:val="002C54B6"/>
    <w:rsid w:val="002C602F"/>
    <w:rsid w:val="002C71CB"/>
    <w:rsid w:val="002C7237"/>
    <w:rsid w:val="002C7830"/>
    <w:rsid w:val="002D043D"/>
    <w:rsid w:val="002D058A"/>
    <w:rsid w:val="002D2005"/>
    <w:rsid w:val="002D25BB"/>
    <w:rsid w:val="002D2DDA"/>
    <w:rsid w:val="002D2EF6"/>
    <w:rsid w:val="002D3400"/>
    <w:rsid w:val="002D37A1"/>
    <w:rsid w:val="002D395A"/>
    <w:rsid w:val="002D39BF"/>
    <w:rsid w:val="002D3CCA"/>
    <w:rsid w:val="002D4B2A"/>
    <w:rsid w:val="002D5602"/>
    <w:rsid w:val="002D5C0F"/>
    <w:rsid w:val="002D5F0D"/>
    <w:rsid w:val="002D662C"/>
    <w:rsid w:val="002D77A1"/>
    <w:rsid w:val="002D7B30"/>
    <w:rsid w:val="002E109E"/>
    <w:rsid w:val="002E1461"/>
    <w:rsid w:val="002E2167"/>
    <w:rsid w:val="002E2351"/>
    <w:rsid w:val="002E24EA"/>
    <w:rsid w:val="002E2E41"/>
    <w:rsid w:val="002E33FD"/>
    <w:rsid w:val="002E3C65"/>
    <w:rsid w:val="002E49B9"/>
    <w:rsid w:val="002E5268"/>
    <w:rsid w:val="002E527A"/>
    <w:rsid w:val="002E536D"/>
    <w:rsid w:val="002E57A9"/>
    <w:rsid w:val="002E59E6"/>
    <w:rsid w:val="002E5D0C"/>
    <w:rsid w:val="002E6DBA"/>
    <w:rsid w:val="002F0AB6"/>
    <w:rsid w:val="002F169A"/>
    <w:rsid w:val="002F1AA5"/>
    <w:rsid w:val="002F1F7C"/>
    <w:rsid w:val="002F38FD"/>
    <w:rsid w:val="002F41B5"/>
    <w:rsid w:val="002F485B"/>
    <w:rsid w:val="002F522E"/>
    <w:rsid w:val="002F68AA"/>
    <w:rsid w:val="002F792A"/>
    <w:rsid w:val="002F7AC7"/>
    <w:rsid w:val="002F7C18"/>
    <w:rsid w:val="00300479"/>
    <w:rsid w:val="003006A8"/>
    <w:rsid w:val="003009CF"/>
    <w:rsid w:val="00300E49"/>
    <w:rsid w:val="0030149D"/>
    <w:rsid w:val="003016B6"/>
    <w:rsid w:val="00301951"/>
    <w:rsid w:val="0030203F"/>
    <w:rsid w:val="003023FF"/>
    <w:rsid w:val="0030283D"/>
    <w:rsid w:val="003035CA"/>
    <w:rsid w:val="0030377B"/>
    <w:rsid w:val="00303DA7"/>
    <w:rsid w:val="0030512C"/>
    <w:rsid w:val="003060D8"/>
    <w:rsid w:val="00307332"/>
    <w:rsid w:val="00307AE9"/>
    <w:rsid w:val="00311050"/>
    <w:rsid w:val="0031167B"/>
    <w:rsid w:val="0031235B"/>
    <w:rsid w:val="00313779"/>
    <w:rsid w:val="00313D31"/>
    <w:rsid w:val="00313D44"/>
    <w:rsid w:val="00313E0F"/>
    <w:rsid w:val="0031554D"/>
    <w:rsid w:val="003162CB"/>
    <w:rsid w:val="00317058"/>
    <w:rsid w:val="00317592"/>
    <w:rsid w:val="00317A58"/>
    <w:rsid w:val="00317D93"/>
    <w:rsid w:val="00321DDA"/>
    <w:rsid w:val="0032224B"/>
    <w:rsid w:val="00324B3E"/>
    <w:rsid w:val="00325D9B"/>
    <w:rsid w:val="00326419"/>
    <w:rsid w:val="00327161"/>
    <w:rsid w:val="003271B9"/>
    <w:rsid w:val="003305C1"/>
    <w:rsid w:val="00330E43"/>
    <w:rsid w:val="00331265"/>
    <w:rsid w:val="00331799"/>
    <w:rsid w:val="00331E02"/>
    <w:rsid w:val="003337FC"/>
    <w:rsid w:val="0033398D"/>
    <w:rsid w:val="0033403A"/>
    <w:rsid w:val="003341FD"/>
    <w:rsid w:val="00335706"/>
    <w:rsid w:val="00340453"/>
    <w:rsid w:val="00340A1A"/>
    <w:rsid w:val="00340A43"/>
    <w:rsid w:val="00340F74"/>
    <w:rsid w:val="003417BA"/>
    <w:rsid w:val="00341F72"/>
    <w:rsid w:val="003422A4"/>
    <w:rsid w:val="00342967"/>
    <w:rsid w:val="00342B96"/>
    <w:rsid w:val="00343287"/>
    <w:rsid w:val="00343372"/>
    <w:rsid w:val="0034487D"/>
    <w:rsid w:val="00345602"/>
    <w:rsid w:val="003461CD"/>
    <w:rsid w:val="00346609"/>
    <w:rsid w:val="00346C60"/>
    <w:rsid w:val="00347177"/>
    <w:rsid w:val="00347F4D"/>
    <w:rsid w:val="00347FA0"/>
    <w:rsid w:val="00350511"/>
    <w:rsid w:val="0035091E"/>
    <w:rsid w:val="00351805"/>
    <w:rsid w:val="00351C82"/>
    <w:rsid w:val="0035219D"/>
    <w:rsid w:val="0035241B"/>
    <w:rsid w:val="0035392D"/>
    <w:rsid w:val="00353B87"/>
    <w:rsid w:val="003545F8"/>
    <w:rsid w:val="00355B24"/>
    <w:rsid w:val="00355C97"/>
    <w:rsid w:val="00357181"/>
    <w:rsid w:val="00360244"/>
    <w:rsid w:val="00361CA8"/>
    <w:rsid w:val="00362648"/>
    <w:rsid w:val="00362727"/>
    <w:rsid w:val="0036344D"/>
    <w:rsid w:val="0036387A"/>
    <w:rsid w:val="00364E9F"/>
    <w:rsid w:val="00364FD5"/>
    <w:rsid w:val="00365509"/>
    <w:rsid w:val="00365778"/>
    <w:rsid w:val="00367EE7"/>
    <w:rsid w:val="00367EF1"/>
    <w:rsid w:val="003701A6"/>
    <w:rsid w:val="0037064F"/>
    <w:rsid w:val="003723D9"/>
    <w:rsid w:val="00373103"/>
    <w:rsid w:val="00373393"/>
    <w:rsid w:val="003747FE"/>
    <w:rsid w:val="0037485B"/>
    <w:rsid w:val="003749A7"/>
    <w:rsid w:val="003750DA"/>
    <w:rsid w:val="00375F6F"/>
    <w:rsid w:val="0038037C"/>
    <w:rsid w:val="00380743"/>
    <w:rsid w:val="00380B94"/>
    <w:rsid w:val="00381722"/>
    <w:rsid w:val="00381816"/>
    <w:rsid w:val="00381A3A"/>
    <w:rsid w:val="00381ED1"/>
    <w:rsid w:val="003821B7"/>
    <w:rsid w:val="00382C7B"/>
    <w:rsid w:val="003832B5"/>
    <w:rsid w:val="00383DFF"/>
    <w:rsid w:val="00384527"/>
    <w:rsid w:val="00384CBE"/>
    <w:rsid w:val="00385897"/>
    <w:rsid w:val="00387605"/>
    <w:rsid w:val="003879E8"/>
    <w:rsid w:val="00387D27"/>
    <w:rsid w:val="00390704"/>
    <w:rsid w:val="00391073"/>
    <w:rsid w:val="00391934"/>
    <w:rsid w:val="00391C42"/>
    <w:rsid w:val="00392209"/>
    <w:rsid w:val="00392911"/>
    <w:rsid w:val="003937FC"/>
    <w:rsid w:val="00393E91"/>
    <w:rsid w:val="00393F98"/>
    <w:rsid w:val="00394C75"/>
    <w:rsid w:val="00394E09"/>
    <w:rsid w:val="00395E5A"/>
    <w:rsid w:val="003969B7"/>
    <w:rsid w:val="0039708F"/>
    <w:rsid w:val="003A0155"/>
    <w:rsid w:val="003A0546"/>
    <w:rsid w:val="003A193D"/>
    <w:rsid w:val="003A3269"/>
    <w:rsid w:val="003A32D7"/>
    <w:rsid w:val="003A3561"/>
    <w:rsid w:val="003A3589"/>
    <w:rsid w:val="003A3EB9"/>
    <w:rsid w:val="003A6460"/>
    <w:rsid w:val="003A64DD"/>
    <w:rsid w:val="003A68B7"/>
    <w:rsid w:val="003A6CA4"/>
    <w:rsid w:val="003A72FC"/>
    <w:rsid w:val="003B028E"/>
    <w:rsid w:val="003B0B91"/>
    <w:rsid w:val="003B0CFE"/>
    <w:rsid w:val="003B0F3D"/>
    <w:rsid w:val="003B0FDE"/>
    <w:rsid w:val="003B203B"/>
    <w:rsid w:val="003B204B"/>
    <w:rsid w:val="003B3FCF"/>
    <w:rsid w:val="003B4350"/>
    <w:rsid w:val="003B61FD"/>
    <w:rsid w:val="003B6C6D"/>
    <w:rsid w:val="003B72FB"/>
    <w:rsid w:val="003C058F"/>
    <w:rsid w:val="003C0CE0"/>
    <w:rsid w:val="003C13A5"/>
    <w:rsid w:val="003C1F27"/>
    <w:rsid w:val="003C26C1"/>
    <w:rsid w:val="003C27A9"/>
    <w:rsid w:val="003C30C3"/>
    <w:rsid w:val="003C331E"/>
    <w:rsid w:val="003C36D6"/>
    <w:rsid w:val="003C37EC"/>
    <w:rsid w:val="003C37EE"/>
    <w:rsid w:val="003C4357"/>
    <w:rsid w:val="003C51C2"/>
    <w:rsid w:val="003C5FCB"/>
    <w:rsid w:val="003C79A6"/>
    <w:rsid w:val="003D0351"/>
    <w:rsid w:val="003D0BB6"/>
    <w:rsid w:val="003D0C8A"/>
    <w:rsid w:val="003D2547"/>
    <w:rsid w:val="003D259C"/>
    <w:rsid w:val="003D271A"/>
    <w:rsid w:val="003D55B2"/>
    <w:rsid w:val="003D60A0"/>
    <w:rsid w:val="003D66C6"/>
    <w:rsid w:val="003D68D4"/>
    <w:rsid w:val="003E03C8"/>
    <w:rsid w:val="003E0931"/>
    <w:rsid w:val="003E0EA7"/>
    <w:rsid w:val="003E17CD"/>
    <w:rsid w:val="003E1921"/>
    <w:rsid w:val="003E193F"/>
    <w:rsid w:val="003E30BB"/>
    <w:rsid w:val="003E39A8"/>
    <w:rsid w:val="003E46AF"/>
    <w:rsid w:val="003E47F5"/>
    <w:rsid w:val="003E485D"/>
    <w:rsid w:val="003E611C"/>
    <w:rsid w:val="003E68FF"/>
    <w:rsid w:val="003E6985"/>
    <w:rsid w:val="003E7A11"/>
    <w:rsid w:val="003F0085"/>
    <w:rsid w:val="003F1395"/>
    <w:rsid w:val="003F2603"/>
    <w:rsid w:val="003F278E"/>
    <w:rsid w:val="003F36E1"/>
    <w:rsid w:val="003F3FD1"/>
    <w:rsid w:val="003F4A87"/>
    <w:rsid w:val="003F51AA"/>
    <w:rsid w:val="003F5EDB"/>
    <w:rsid w:val="003F6520"/>
    <w:rsid w:val="003F7845"/>
    <w:rsid w:val="00400B83"/>
    <w:rsid w:val="00401157"/>
    <w:rsid w:val="0040157B"/>
    <w:rsid w:val="00402546"/>
    <w:rsid w:val="00402A4B"/>
    <w:rsid w:val="00402DD9"/>
    <w:rsid w:val="0040319C"/>
    <w:rsid w:val="0040385E"/>
    <w:rsid w:val="00403A7F"/>
    <w:rsid w:val="00404044"/>
    <w:rsid w:val="0040444C"/>
    <w:rsid w:val="00404860"/>
    <w:rsid w:val="00404B11"/>
    <w:rsid w:val="0040679B"/>
    <w:rsid w:val="004067B6"/>
    <w:rsid w:val="00406AB1"/>
    <w:rsid w:val="00406CB5"/>
    <w:rsid w:val="00407DDF"/>
    <w:rsid w:val="004111D2"/>
    <w:rsid w:val="00411484"/>
    <w:rsid w:val="004115E1"/>
    <w:rsid w:val="00412AC9"/>
    <w:rsid w:val="00412D4E"/>
    <w:rsid w:val="00413202"/>
    <w:rsid w:val="0041323E"/>
    <w:rsid w:val="00413854"/>
    <w:rsid w:val="0041407B"/>
    <w:rsid w:val="00414379"/>
    <w:rsid w:val="00414965"/>
    <w:rsid w:val="00415A29"/>
    <w:rsid w:val="004165F2"/>
    <w:rsid w:val="00416A5F"/>
    <w:rsid w:val="0041713B"/>
    <w:rsid w:val="00420AD2"/>
    <w:rsid w:val="0042100D"/>
    <w:rsid w:val="0042142F"/>
    <w:rsid w:val="00421D33"/>
    <w:rsid w:val="00422072"/>
    <w:rsid w:val="00422D19"/>
    <w:rsid w:val="00422D2A"/>
    <w:rsid w:val="004247BC"/>
    <w:rsid w:val="00424DB7"/>
    <w:rsid w:val="00425F77"/>
    <w:rsid w:val="0042656D"/>
    <w:rsid w:val="0042686B"/>
    <w:rsid w:val="004278A1"/>
    <w:rsid w:val="00427B21"/>
    <w:rsid w:val="00427B89"/>
    <w:rsid w:val="00430041"/>
    <w:rsid w:val="004304F4"/>
    <w:rsid w:val="004312CF"/>
    <w:rsid w:val="00431CCC"/>
    <w:rsid w:val="00431F88"/>
    <w:rsid w:val="00432B07"/>
    <w:rsid w:val="00432C7C"/>
    <w:rsid w:val="004330FC"/>
    <w:rsid w:val="00433B2D"/>
    <w:rsid w:val="00433D4C"/>
    <w:rsid w:val="00433F1D"/>
    <w:rsid w:val="00434789"/>
    <w:rsid w:val="0043597A"/>
    <w:rsid w:val="00435AFF"/>
    <w:rsid w:val="00435ECA"/>
    <w:rsid w:val="00435F98"/>
    <w:rsid w:val="00436623"/>
    <w:rsid w:val="00436789"/>
    <w:rsid w:val="00436B1A"/>
    <w:rsid w:val="00437B78"/>
    <w:rsid w:val="00440094"/>
    <w:rsid w:val="00440267"/>
    <w:rsid w:val="004404D8"/>
    <w:rsid w:val="00440507"/>
    <w:rsid w:val="00440884"/>
    <w:rsid w:val="004423A7"/>
    <w:rsid w:val="00443796"/>
    <w:rsid w:val="0044397E"/>
    <w:rsid w:val="00443C96"/>
    <w:rsid w:val="00444B45"/>
    <w:rsid w:val="00444FAE"/>
    <w:rsid w:val="00445638"/>
    <w:rsid w:val="004477D9"/>
    <w:rsid w:val="00447F4B"/>
    <w:rsid w:val="00450E17"/>
    <w:rsid w:val="0045119B"/>
    <w:rsid w:val="004512C3"/>
    <w:rsid w:val="00451521"/>
    <w:rsid w:val="004524E5"/>
    <w:rsid w:val="004525B2"/>
    <w:rsid w:val="00452A7F"/>
    <w:rsid w:val="004535F8"/>
    <w:rsid w:val="00455865"/>
    <w:rsid w:val="004559F6"/>
    <w:rsid w:val="00455E3F"/>
    <w:rsid w:val="004570D0"/>
    <w:rsid w:val="00457131"/>
    <w:rsid w:val="00457511"/>
    <w:rsid w:val="004576F5"/>
    <w:rsid w:val="004606FC"/>
    <w:rsid w:val="0046141A"/>
    <w:rsid w:val="004616E5"/>
    <w:rsid w:val="00462053"/>
    <w:rsid w:val="004636DD"/>
    <w:rsid w:val="004656DB"/>
    <w:rsid w:val="0046781D"/>
    <w:rsid w:val="00470300"/>
    <w:rsid w:val="00470302"/>
    <w:rsid w:val="00470536"/>
    <w:rsid w:val="004707C0"/>
    <w:rsid w:val="00470CDD"/>
    <w:rsid w:val="0047141C"/>
    <w:rsid w:val="004716A3"/>
    <w:rsid w:val="00471951"/>
    <w:rsid w:val="00471A02"/>
    <w:rsid w:val="00471F30"/>
    <w:rsid w:val="00472FAE"/>
    <w:rsid w:val="00473FAD"/>
    <w:rsid w:val="00474EF3"/>
    <w:rsid w:val="0047563C"/>
    <w:rsid w:val="00475644"/>
    <w:rsid w:val="00475DCC"/>
    <w:rsid w:val="0047620D"/>
    <w:rsid w:val="004766F9"/>
    <w:rsid w:val="00476A92"/>
    <w:rsid w:val="004779A8"/>
    <w:rsid w:val="00477A96"/>
    <w:rsid w:val="0048084A"/>
    <w:rsid w:val="00480A40"/>
    <w:rsid w:val="00481E94"/>
    <w:rsid w:val="0048225E"/>
    <w:rsid w:val="00482E40"/>
    <w:rsid w:val="00483884"/>
    <w:rsid w:val="004846D3"/>
    <w:rsid w:val="004859A8"/>
    <w:rsid w:val="004864FC"/>
    <w:rsid w:val="0048654D"/>
    <w:rsid w:val="004870F5"/>
    <w:rsid w:val="004905E3"/>
    <w:rsid w:val="0049192F"/>
    <w:rsid w:val="00492282"/>
    <w:rsid w:val="004929B3"/>
    <w:rsid w:val="00492FA9"/>
    <w:rsid w:val="004931F4"/>
    <w:rsid w:val="00493557"/>
    <w:rsid w:val="00493866"/>
    <w:rsid w:val="004941DE"/>
    <w:rsid w:val="00494791"/>
    <w:rsid w:val="00494A37"/>
    <w:rsid w:val="0049518E"/>
    <w:rsid w:val="00495FAC"/>
    <w:rsid w:val="004962BE"/>
    <w:rsid w:val="004969BC"/>
    <w:rsid w:val="004970F3"/>
    <w:rsid w:val="0049788F"/>
    <w:rsid w:val="00497A32"/>
    <w:rsid w:val="004A03F3"/>
    <w:rsid w:val="004A063A"/>
    <w:rsid w:val="004A0831"/>
    <w:rsid w:val="004A0FA6"/>
    <w:rsid w:val="004A1080"/>
    <w:rsid w:val="004A1CD0"/>
    <w:rsid w:val="004A2D21"/>
    <w:rsid w:val="004A2E1C"/>
    <w:rsid w:val="004A3617"/>
    <w:rsid w:val="004A3EE4"/>
    <w:rsid w:val="004A470E"/>
    <w:rsid w:val="004A571B"/>
    <w:rsid w:val="004A59D0"/>
    <w:rsid w:val="004A5CD8"/>
    <w:rsid w:val="004A5D8F"/>
    <w:rsid w:val="004A68EF"/>
    <w:rsid w:val="004A6B23"/>
    <w:rsid w:val="004A76CB"/>
    <w:rsid w:val="004B0212"/>
    <w:rsid w:val="004B231B"/>
    <w:rsid w:val="004B300C"/>
    <w:rsid w:val="004B4109"/>
    <w:rsid w:val="004B4620"/>
    <w:rsid w:val="004B470D"/>
    <w:rsid w:val="004B5504"/>
    <w:rsid w:val="004B6D3C"/>
    <w:rsid w:val="004B785B"/>
    <w:rsid w:val="004B7F88"/>
    <w:rsid w:val="004C005A"/>
    <w:rsid w:val="004C07B1"/>
    <w:rsid w:val="004C07F8"/>
    <w:rsid w:val="004C0B25"/>
    <w:rsid w:val="004C177B"/>
    <w:rsid w:val="004C3809"/>
    <w:rsid w:val="004C4528"/>
    <w:rsid w:val="004C4AC9"/>
    <w:rsid w:val="004C5C0D"/>
    <w:rsid w:val="004C769A"/>
    <w:rsid w:val="004D00FD"/>
    <w:rsid w:val="004D095E"/>
    <w:rsid w:val="004D09DD"/>
    <w:rsid w:val="004D142E"/>
    <w:rsid w:val="004D1562"/>
    <w:rsid w:val="004D1710"/>
    <w:rsid w:val="004D232B"/>
    <w:rsid w:val="004D44AC"/>
    <w:rsid w:val="004D4C37"/>
    <w:rsid w:val="004D6445"/>
    <w:rsid w:val="004D6A0E"/>
    <w:rsid w:val="004D734F"/>
    <w:rsid w:val="004D7960"/>
    <w:rsid w:val="004D79D4"/>
    <w:rsid w:val="004E1052"/>
    <w:rsid w:val="004E14E3"/>
    <w:rsid w:val="004E34DA"/>
    <w:rsid w:val="004E380A"/>
    <w:rsid w:val="004E38FE"/>
    <w:rsid w:val="004E51AE"/>
    <w:rsid w:val="004E6E80"/>
    <w:rsid w:val="004F0572"/>
    <w:rsid w:val="004F1399"/>
    <w:rsid w:val="004F1DD9"/>
    <w:rsid w:val="004F2326"/>
    <w:rsid w:val="004F2348"/>
    <w:rsid w:val="004F2935"/>
    <w:rsid w:val="004F2DFB"/>
    <w:rsid w:val="004F305A"/>
    <w:rsid w:val="004F339B"/>
    <w:rsid w:val="004F4B66"/>
    <w:rsid w:val="004F529F"/>
    <w:rsid w:val="004F5658"/>
    <w:rsid w:val="004F657E"/>
    <w:rsid w:val="004F71B0"/>
    <w:rsid w:val="004F765B"/>
    <w:rsid w:val="004F77B0"/>
    <w:rsid w:val="00500071"/>
    <w:rsid w:val="00501F8B"/>
    <w:rsid w:val="0050246B"/>
    <w:rsid w:val="00502D81"/>
    <w:rsid w:val="00503B80"/>
    <w:rsid w:val="00503BD8"/>
    <w:rsid w:val="00504EBC"/>
    <w:rsid w:val="00504F27"/>
    <w:rsid w:val="0050642E"/>
    <w:rsid w:val="005067AE"/>
    <w:rsid w:val="005069F9"/>
    <w:rsid w:val="00506E51"/>
    <w:rsid w:val="005076F3"/>
    <w:rsid w:val="0050775C"/>
    <w:rsid w:val="0051066E"/>
    <w:rsid w:val="00510B60"/>
    <w:rsid w:val="00511960"/>
    <w:rsid w:val="00511FFA"/>
    <w:rsid w:val="005121E9"/>
    <w:rsid w:val="00512EC7"/>
    <w:rsid w:val="00513054"/>
    <w:rsid w:val="005139EC"/>
    <w:rsid w:val="005140FE"/>
    <w:rsid w:val="00515401"/>
    <w:rsid w:val="00515DB9"/>
    <w:rsid w:val="0051607D"/>
    <w:rsid w:val="0051613E"/>
    <w:rsid w:val="005161CE"/>
    <w:rsid w:val="005163C7"/>
    <w:rsid w:val="0051669E"/>
    <w:rsid w:val="0051701B"/>
    <w:rsid w:val="0051799D"/>
    <w:rsid w:val="00517EE3"/>
    <w:rsid w:val="00520805"/>
    <w:rsid w:val="00522AEC"/>
    <w:rsid w:val="00524E78"/>
    <w:rsid w:val="00525177"/>
    <w:rsid w:val="00525FC5"/>
    <w:rsid w:val="005268FA"/>
    <w:rsid w:val="00526D51"/>
    <w:rsid w:val="005300CF"/>
    <w:rsid w:val="00530F7F"/>
    <w:rsid w:val="00531C62"/>
    <w:rsid w:val="00531E96"/>
    <w:rsid w:val="00534772"/>
    <w:rsid w:val="00535064"/>
    <w:rsid w:val="00536862"/>
    <w:rsid w:val="00537A27"/>
    <w:rsid w:val="00540355"/>
    <w:rsid w:val="0054068F"/>
    <w:rsid w:val="00540F74"/>
    <w:rsid w:val="00541005"/>
    <w:rsid w:val="00541BED"/>
    <w:rsid w:val="00543D6F"/>
    <w:rsid w:val="005447B6"/>
    <w:rsid w:val="00545B8F"/>
    <w:rsid w:val="00545E6C"/>
    <w:rsid w:val="005462C5"/>
    <w:rsid w:val="0054692A"/>
    <w:rsid w:val="00546C6A"/>
    <w:rsid w:val="0054728B"/>
    <w:rsid w:val="005501CF"/>
    <w:rsid w:val="00550465"/>
    <w:rsid w:val="00551DC4"/>
    <w:rsid w:val="00552EB0"/>
    <w:rsid w:val="005533EF"/>
    <w:rsid w:val="005542A3"/>
    <w:rsid w:val="00554D9C"/>
    <w:rsid w:val="00554F40"/>
    <w:rsid w:val="0055511F"/>
    <w:rsid w:val="005555C2"/>
    <w:rsid w:val="005560D1"/>
    <w:rsid w:val="0055672B"/>
    <w:rsid w:val="00556F0D"/>
    <w:rsid w:val="005577C4"/>
    <w:rsid w:val="00557B1B"/>
    <w:rsid w:val="00557FA6"/>
    <w:rsid w:val="00562214"/>
    <w:rsid w:val="005624FF"/>
    <w:rsid w:val="00562806"/>
    <w:rsid w:val="005634B0"/>
    <w:rsid w:val="00563CE2"/>
    <w:rsid w:val="0056407D"/>
    <w:rsid w:val="00564402"/>
    <w:rsid w:val="005644F1"/>
    <w:rsid w:val="00564B78"/>
    <w:rsid w:val="005651BC"/>
    <w:rsid w:val="00565596"/>
    <w:rsid w:val="005656D0"/>
    <w:rsid w:val="0056601D"/>
    <w:rsid w:val="0056623E"/>
    <w:rsid w:val="005662CC"/>
    <w:rsid w:val="005665E3"/>
    <w:rsid w:val="00566763"/>
    <w:rsid w:val="00567C92"/>
    <w:rsid w:val="00570507"/>
    <w:rsid w:val="005706DA"/>
    <w:rsid w:val="00570F9D"/>
    <w:rsid w:val="005727C1"/>
    <w:rsid w:val="00573BAF"/>
    <w:rsid w:val="00573FDB"/>
    <w:rsid w:val="00574328"/>
    <w:rsid w:val="00574B90"/>
    <w:rsid w:val="00574CE4"/>
    <w:rsid w:val="005773B1"/>
    <w:rsid w:val="005775CA"/>
    <w:rsid w:val="00577A70"/>
    <w:rsid w:val="005829D4"/>
    <w:rsid w:val="00584625"/>
    <w:rsid w:val="00584998"/>
    <w:rsid w:val="005856B5"/>
    <w:rsid w:val="00585C9C"/>
    <w:rsid w:val="00586138"/>
    <w:rsid w:val="005864F3"/>
    <w:rsid w:val="005868B9"/>
    <w:rsid w:val="005869C4"/>
    <w:rsid w:val="0058706A"/>
    <w:rsid w:val="00587C6E"/>
    <w:rsid w:val="0059040D"/>
    <w:rsid w:val="00590920"/>
    <w:rsid w:val="00591D1E"/>
    <w:rsid w:val="00591E20"/>
    <w:rsid w:val="00592BAD"/>
    <w:rsid w:val="00593707"/>
    <w:rsid w:val="005937FB"/>
    <w:rsid w:val="005940BB"/>
    <w:rsid w:val="00594C4E"/>
    <w:rsid w:val="00596157"/>
    <w:rsid w:val="00596279"/>
    <w:rsid w:val="005967C9"/>
    <w:rsid w:val="00596FC0"/>
    <w:rsid w:val="005A04AC"/>
    <w:rsid w:val="005A0E4E"/>
    <w:rsid w:val="005A15F6"/>
    <w:rsid w:val="005A26C8"/>
    <w:rsid w:val="005A2C8E"/>
    <w:rsid w:val="005A35EB"/>
    <w:rsid w:val="005A3611"/>
    <w:rsid w:val="005A4159"/>
    <w:rsid w:val="005A4181"/>
    <w:rsid w:val="005A4EEA"/>
    <w:rsid w:val="005A65E5"/>
    <w:rsid w:val="005A6745"/>
    <w:rsid w:val="005A6873"/>
    <w:rsid w:val="005A740C"/>
    <w:rsid w:val="005A7EED"/>
    <w:rsid w:val="005B026F"/>
    <w:rsid w:val="005B0325"/>
    <w:rsid w:val="005B0DA1"/>
    <w:rsid w:val="005B16B1"/>
    <w:rsid w:val="005B1FA8"/>
    <w:rsid w:val="005B2090"/>
    <w:rsid w:val="005B31EA"/>
    <w:rsid w:val="005B37C7"/>
    <w:rsid w:val="005B3E65"/>
    <w:rsid w:val="005B3F3D"/>
    <w:rsid w:val="005B415C"/>
    <w:rsid w:val="005B4362"/>
    <w:rsid w:val="005B54B7"/>
    <w:rsid w:val="005B5BD8"/>
    <w:rsid w:val="005B5C76"/>
    <w:rsid w:val="005B72A3"/>
    <w:rsid w:val="005B7A46"/>
    <w:rsid w:val="005C05C9"/>
    <w:rsid w:val="005C1169"/>
    <w:rsid w:val="005C2776"/>
    <w:rsid w:val="005C32E2"/>
    <w:rsid w:val="005C4998"/>
    <w:rsid w:val="005C5A2B"/>
    <w:rsid w:val="005C699A"/>
    <w:rsid w:val="005C774D"/>
    <w:rsid w:val="005D0820"/>
    <w:rsid w:val="005D3989"/>
    <w:rsid w:val="005D4073"/>
    <w:rsid w:val="005D4CB6"/>
    <w:rsid w:val="005D5EAB"/>
    <w:rsid w:val="005D6759"/>
    <w:rsid w:val="005D697E"/>
    <w:rsid w:val="005D6FCE"/>
    <w:rsid w:val="005D76B6"/>
    <w:rsid w:val="005D799C"/>
    <w:rsid w:val="005E011E"/>
    <w:rsid w:val="005E0986"/>
    <w:rsid w:val="005E0BAA"/>
    <w:rsid w:val="005E1E60"/>
    <w:rsid w:val="005E300F"/>
    <w:rsid w:val="005E3DC3"/>
    <w:rsid w:val="005E41C6"/>
    <w:rsid w:val="005E4240"/>
    <w:rsid w:val="005E43F3"/>
    <w:rsid w:val="005E4536"/>
    <w:rsid w:val="005E4736"/>
    <w:rsid w:val="005E4E6E"/>
    <w:rsid w:val="005E4E73"/>
    <w:rsid w:val="005E5752"/>
    <w:rsid w:val="005E6435"/>
    <w:rsid w:val="005E6934"/>
    <w:rsid w:val="005E7C5F"/>
    <w:rsid w:val="005F06C8"/>
    <w:rsid w:val="005F11A1"/>
    <w:rsid w:val="005F1995"/>
    <w:rsid w:val="005F5746"/>
    <w:rsid w:val="005F5834"/>
    <w:rsid w:val="005F59A8"/>
    <w:rsid w:val="005F6955"/>
    <w:rsid w:val="005F6A2C"/>
    <w:rsid w:val="005F71E8"/>
    <w:rsid w:val="005F7F0E"/>
    <w:rsid w:val="006000F7"/>
    <w:rsid w:val="0060091C"/>
    <w:rsid w:val="00600AD0"/>
    <w:rsid w:val="00600F25"/>
    <w:rsid w:val="00600F41"/>
    <w:rsid w:val="00600FFE"/>
    <w:rsid w:val="00601F29"/>
    <w:rsid w:val="00602678"/>
    <w:rsid w:val="0060293C"/>
    <w:rsid w:val="00603834"/>
    <w:rsid w:val="00603976"/>
    <w:rsid w:val="00604675"/>
    <w:rsid w:val="006048CD"/>
    <w:rsid w:val="0060556A"/>
    <w:rsid w:val="0060651F"/>
    <w:rsid w:val="00607314"/>
    <w:rsid w:val="00607467"/>
    <w:rsid w:val="00607B03"/>
    <w:rsid w:val="0061023E"/>
    <w:rsid w:val="00610E05"/>
    <w:rsid w:val="00611053"/>
    <w:rsid w:val="0061152A"/>
    <w:rsid w:val="006116BE"/>
    <w:rsid w:val="00611D93"/>
    <w:rsid w:val="006128F0"/>
    <w:rsid w:val="006131D9"/>
    <w:rsid w:val="00613586"/>
    <w:rsid w:val="00613A6B"/>
    <w:rsid w:val="0061518D"/>
    <w:rsid w:val="00615FCF"/>
    <w:rsid w:val="0061623D"/>
    <w:rsid w:val="0061793A"/>
    <w:rsid w:val="006209C4"/>
    <w:rsid w:val="00620A60"/>
    <w:rsid w:val="006210BE"/>
    <w:rsid w:val="00621357"/>
    <w:rsid w:val="00621DAE"/>
    <w:rsid w:val="00621EA3"/>
    <w:rsid w:val="00622BC6"/>
    <w:rsid w:val="00622C03"/>
    <w:rsid w:val="006233FA"/>
    <w:rsid w:val="006243DA"/>
    <w:rsid w:val="00624967"/>
    <w:rsid w:val="00624CEA"/>
    <w:rsid w:val="00625246"/>
    <w:rsid w:val="00625660"/>
    <w:rsid w:val="00626434"/>
    <w:rsid w:val="00626812"/>
    <w:rsid w:val="00626D25"/>
    <w:rsid w:val="00626F5B"/>
    <w:rsid w:val="00627CC6"/>
    <w:rsid w:val="00630A71"/>
    <w:rsid w:val="00630C31"/>
    <w:rsid w:val="00630CA3"/>
    <w:rsid w:val="0063110F"/>
    <w:rsid w:val="0063149B"/>
    <w:rsid w:val="006325C5"/>
    <w:rsid w:val="006327C6"/>
    <w:rsid w:val="00632CF9"/>
    <w:rsid w:val="00632F73"/>
    <w:rsid w:val="00633135"/>
    <w:rsid w:val="0063360F"/>
    <w:rsid w:val="00633C30"/>
    <w:rsid w:val="00633E10"/>
    <w:rsid w:val="0063411A"/>
    <w:rsid w:val="006347CC"/>
    <w:rsid w:val="00634F25"/>
    <w:rsid w:val="00635181"/>
    <w:rsid w:val="00636048"/>
    <w:rsid w:val="00636683"/>
    <w:rsid w:val="00637B8A"/>
    <w:rsid w:val="00637F41"/>
    <w:rsid w:val="00637FE2"/>
    <w:rsid w:val="00640243"/>
    <w:rsid w:val="006403AA"/>
    <w:rsid w:val="0064040A"/>
    <w:rsid w:val="0064092D"/>
    <w:rsid w:val="00641694"/>
    <w:rsid w:val="006423C7"/>
    <w:rsid w:val="006429DA"/>
    <w:rsid w:val="00643409"/>
    <w:rsid w:val="006446CA"/>
    <w:rsid w:val="00644D55"/>
    <w:rsid w:val="00645F16"/>
    <w:rsid w:val="006468AD"/>
    <w:rsid w:val="00646BB2"/>
    <w:rsid w:val="00647387"/>
    <w:rsid w:val="006477F1"/>
    <w:rsid w:val="006479A9"/>
    <w:rsid w:val="00650A23"/>
    <w:rsid w:val="006511F1"/>
    <w:rsid w:val="00652153"/>
    <w:rsid w:val="00652693"/>
    <w:rsid w:val="0065303B"/>
    <w:rsid w:val="00653B9D"/>
    <w:rsid w:val="00653F34"/>
    <w:rsid w:val="006543F9"/>
    <w:rsid w:val="00656F7C"/>
    <w:rsid w:val="00657155"/>
    <w:rsid w:val="00657236"/>
    <w:rsid w:val="0065780A"/>
    <w:rsid w:val="00661264"/>
    <w:rsid w:val="0066271F"/>
    <w:rsid w:val="00662FDB"/>
    <w:rsid w:val="00663F3E"/>
    <w:rsid w:val="00664481"/>
    <w:rsid w:val="00665D4D"/>
    <w:rsid w:val="006660D5"/>
    <w:rsid w:val="00667502"/>
    <w:rsid w:val="00667CFD"/>
    <w:rsid w:val="006709C5"/>
    <w:rsid w:val="006718C1"/>
    <w:rsid w:val="00671982"/>
    <w:rsid w:val="00672773"/>
    <w:rsid w:val="00672B21"/>
    <w:rsid w:val="00672E05"/>
    <w:rsid w:val="00673786"/>
    <w:rsid w:val="0067397E"/>
    <w:rsid w:val="00673B05"/>
    <w:rsid w:val="00673EAE"/>
    <w:rsid w:val="00674ACE"/>
    <w:rsid w:val="00675EE9"/>
    <w:rsid w:val="0067677D"/>
    <w:rsid w:val="00677350"/>
    <w:rsid w:val="00677E00"/>
    <w:rsid w:val="00677FDE"/>
    <w:rsid w:val="00681C82"/>
    <w:rsid w:val="00683C02"/>
    <w:rsid w:val="00683D04"/>
    <w:rsid w:val="0068404E"/>
    <w:rsid w:val="00686976"/>
    <w:rsid w:val="0068794D"/>
    <w:rsid w:val="00690356"/>
    <w:rsid w:val="00692DD3"/>
    <w:rsid w:val="00693CBA"/>
    <w:rsid w:val="00693FD8"/>
    <w:rsid w:val="006940BE"/>
    <w:rsid w:val="006941F9"/>
    <w:rsid w:val="00695CEE"/>
    <w:rsid w:val="00695DE6"/>
    <w:rsid w:val="00695FF1"/>
    <w:rsid w:val="00696910"/>
    <w:rsid w:val="006A06BA"/>
    <w:rsid w:val="006A0EBB"/>
    <w:rsid w:val="006A11DA"/>
    <w:rsid w:val="006A1A03"/>
    <w:rsid w:val="006A1E41"/>
    <w:rsid w:val="006A1EE3"/>
    <w:rsid w:val="006A2149"/>
    <w:rsid w:val="006A2307"/>
    <w:rsid w:val="006A389C"/>
    <w:rsid w:val="006A4E59"/>
    <w:rsid w:val="006A4F66"/>
    <w:rsid w:val="006A5CE3"/>
    <w:rsid w:val="006A5E1B"/>
    <w:rsid w:val="006A6CCC"/>
    <w:rsid w:val="006A6D5C"/>
    <w:rsid w:val="006A7429"/>
    <w:rsid w:val="006A7A4F"/>
    <w:rsid w:val="006A7C7B"/>
    <w:rsid w:val="006A7E14"/>
    <w:rsid w:val="006B181E"/>
    <w:rsid w:val="006B1C44"/>
    <w:rsid w:val="006B21AE"/>
    <w:rsid w:val="006B37FB"/>
    <w:rsid w:val="006B3B7B"/>
    <w:rsid w:val="006B3F8D"/>
    <w:rsid w:val="006B4110"/>
    <w:rsid w:val="006B4BCB"/>
    <w:rsid w:val="006B733C"/>
    <w:rsid w:val="006B7762"/>
    <w:rsid w:val="006B7F27"/>
    <w:rsid w:val="006C138A"/>
    <w:rsid w:val="006C1A8C"/>
    <w:rsid w:val="006C202C"/>
    <w:rsid w:val="006C2572"/>
    <w:rsid w:val="006C2AC3"/>
    <w:rsid w:val="006C2B71"/>
    <w:rsid w:val="006C3765"/>
    <w:rsid w:val="006C43DF"/>
    <w:rsid w:val="006C46DA"/>
    <w:rsid w:val="006C4AA7"/>
    <w:rsid w:val="006C4DDE"/>
    <w:rsid w:val="006C4FF2"/>
    <w:rsid w:val="006C547B"/>
    <w:rsid w:val="006C570E"/>
    <w:rsid w:val="006C5940"/>
    <w:rsid w:val="006C657E"/>
    <w:rsid w:val="006C681E"/>
    <w:rsid w:val="006C6B05"/>
    <w:rsid w:val="006C6B2A"/>
    <w:rsid w:val="006D02F2"/>
    <w:rsid w:val="006D04B6"/>
    <w:rsid w:val="006D0A8C"/>
    <w:rsid w:val="006D15B5"/>
    <w:rsid w:val="006D2015"/>
    <w:rsid w:val="006D219D"/>
    <w:rsid w:val="006D23CC"/>
    <w:rsid w:val="006D25F0"/>
    <w:rsid w:val="006D39A7"/>
    <w:rsid w:val="006D43F5"/>
    <w:rsid w:val="006D4A89"/>
    <w:rsid w:val="006D4D65"/>
    <w:rsid w:val="006D50DB"/>
    <w:rsid w:val="006D5372"/>
    <w:rsid w:val="006D55BF"/>
    <w:rsid w:val="006D602B"/>
    <w:rsid w:val="006D6C3E"/>
    <w:rsid w:val="006E0605"/>
    <w:rsid w:val="006E277A"/>
    <w:rsid w:val="006E3F68"/>
    <w:rsid w:val="006E43B4"/>
    <w:rsid w:val="006E4CED"/>
    <w:rsid w:val="006E4D55"/>
    <w:rsid w:val="006E5633"/>
    <w:rsid w:val="006E5868"/>
    <w:rsid w:val="006E5877"/>
    <w:rsid w:val="006E6149"/>
    <w:rsid w:val="006E623E"/>
    <w:rsid w:val="006E696C"/>
    <w:rsid w:val="006E6EC2"/>
    <w:rsid w:val="006E706B"/>
    <w:rsid w:val="006E75D5"/>
    <w:rsid w:val="006F104E"/>
    <w:rsid w:val="006F20C1"/>
    <w:rsid w:val="006F25E2"/>
    <w:rsid w:val="006F3036"/>
    <w:rsid w:val="006F5191"/>
    <w:rsid w:val="006F5625"/>
    <w:rsid w:val="006F6819"/>
    <w:rsid w:val="006F6E9E"/>
    <w:rsid w:val="006F7D38"/>
    <w:rsid w:val="006F7FE5"/>
    <w:rsid w:val="00700F16"/>
    <w:rsid w:val="00701221"/>
    <w:rsid w:val="00701F5C"/>
    <w:rsid w:val="00701F6A"/>
    <w:rsid w:val="007022AF"/>
    <w:rsid w:val="0070280D"/>
    <w:rsid w:val="00702951"/>
    <w:rsid w:val="00702B9E"/>
    <w:rsid w:val="00704792"/>
    <w:rsid w:val="00704FE4"/>
    <w:rsid w:val="0070501D"/>
    <w:rsid w:val="0070538E"/>
    <w:rsid w:val="00706DFB"/>
    <w:rsid w:val="0070747B"/>
    <w:rsid w:val="00707514"/>
    <w:rsid w:val="0071112C"/>
    <w:rsid w:val="00712AE2"/>
    <w:rsid w:val="00713887"/>
    <w:rsid w:val="007140A1"/>
    <w:rsid w:val="00714409"/>
    <w:rsid w:val="00714497"/>
    <w:rsid w:val="00714AC6"/>
    <w:rsid w:val="0071601A"/>
    <w:rsid w:val="00716ECF"/>
    <w:rsid w:val="0071777C"/>
    <w:rsid w:val="00717880"/>
    <w:rsid w:val="007200AC"/>
    <w:rsid w:val="00720C00"/>
    <w:rsid w:val="00721BD4"/>
    <w:rsid w:val="007226E2"/>
    <w:rsid w:val="0072283F"/>
    <w:rsid w:val="0072315A"/>
    <w:rsid w:val="00723627"/>
    <w:rsid w:val="007236AD"/>
    <w:rsid w:val="00724140"/>
    <w:rsid w:val="007241FD"/>
    <w:rsid w:val="00725810"/>
    <w:rsid w:val="00725951"/>
    <w:rsid w:val="00725B70"/>
    <w:rsid w:val="00727006"/>
    <w:rsid w:val="00730DB2"/>
    <w:rsid w:val="00730F1E"/>
    <w:rsid w:val="007311F5"/>
    <w:rsid w:val="00733751"/>
    <w:rsid w:val="0073398C"/>
    <w:rsid w:val="00734EE0"/>
    <w:rsid w:val="00734F70"/>
    <w:rsid w:val="00735B30"/>
    <w:rsid w:val="007360BE"/>
    <w:rsid w:val="007361E6"/>
    <w:rsid w:val="00736819"/>
    <w:rsid w:val="00736B28"/>
    <w:rsid w:val="00737652"/>
    <w:rsid w:val="007400CD"/>
    <w:rsid w:val="007406FC"/>
    <w:rsid w:val="0074170A"/>
    <w:rsid w:val="00741ADD"/>
    <w:rsid w:val="0074245C"/>
    <w:rsid w:val="007430BE"/>
    <w:rsid w:val="00743349"/>
    <w:rsid w:val="007434D0"/>
    <w:rsid w:val="007439D1"/>
    <w:rsid w:val="00744550"/>
    <w:rsid w:val="007449BF"/>
    <w:rsid w:val="00744BB0"/>
    <w:rsid w:val="0074555F"/>
    <w:rsid w:val="00745696"/>
    <w:rsid w:val="0074661E"/>
    <w:rsid w:val="00746E68"/>
    <w:rsid w:val="0074755C"/>
    <w:rsid w:val="00747C9A"/>
    <w:rsid w:val="007505EA"/>
    <w:rsid w:val="00750937"/>
    <w:rsid w:val="00750C73"/>
    <w:rsid w:val="00751504"/>
    <w:rsid w:val="0075171D"/>
    <w:rsid w:val="007525BC"/>
    <w:rsid w:val="007539F0"/>
    <w:rsid w:val="00753C8E"/>
    <w:rsid w:val="00754757"/>
    <w:rsid w:val="00754897"/>
    <w:rsid w:val="00754AEE"/>
    <w:rsid w:val="00756ED7"/>
    <w:rsid w:val="00757EA2"/>
    <w:rsid w:val="0076003B"/>
    <w:rsid w:val="0076096D"/>
    <w:rsid w:val="00760D28"/>
    <w:rsid w:val="00761152"/>
    <w:rsid w:val="00761193"/>
    <w:rsid w:val="00761B71"/>
    <w:rsid w:val="00761C5C"/>
    <w:rsid w:val="00761EF8"/>
    <w:rsid w:val="007629D9"/>
    <w:rsid w:val="00762C83"/>
    <w:rsid w:val="00763B9C"/>
    <w:rsid w:val="0076408D"/>
    <w:rsid w:val="007649F9"/>
    <w:rsid w:val="00765CE6"/>
    <w:rsid w:val="007669C9"/>
    <w:rsid w:val="00766EA1"/>
    <w:rsid w:val="0076750E"/>
    <w:rsid w:val="00767DFC"/>
    <w:rsid w:val="0077017A"/>
    <w:rsid w:val="00770B9D"/>
    <w:rsid w:val="007715D1"/>
    <w:rsid w:val="00772979"/>
    <w:rsid w:val="00772A68"/>
    <w:rsid w:val="00773AEA"/>
    <w:rsid w:val="00773B7B"/>
    <w:rsid w:val="00773F10"/>
    <w:rsid w:val="00773FEA"/>
    <w:rsid w:val="00774AD6"/>
    <w:rsid w:val="00774C59"/>
    <w:rsid w:val="00775860"/>
    <w:rsid w:val="00776231"/>
    <w:rsid w:val="0077731E"/>
    <w:rsid w:val="00777A6F"/>
    <w:rsid w:val="00781690"/>
    <w:rsid w:val="007821A4"/>
    <w:rsid w:val="007822EC"/>
    <w:rsid w:val="0078420E"/>
    <w:rsid w:val="00784438"/>
    <w:rsid w:val="007845CF"/>
    <w:rsid w:val="0078460A"/>
    <w:rsid w:val="00784734"/>
    <w:rsid w:val="007848D1"/>
    <w:rsid w:val="007853A4"/>
    <w:rsid w:val="00785EA1"/>
    <w:rsid w:val="007862DC"/>
    <w:rsid w:val="00786BC3"/>
    <w:rsid w:val="00786DB1"/>
    <w:rsid w:val="007906AA"/>
    <w:rsid w:val="007908EF"/>
    <w:rsid w:val="00791AC7"/>
    <w:rsid w:val="00792D11"/>
    <w:rsid w:val="007939EF"/>
    <w:rsid w:val="00793FA5"/>
    <w:rsid w:val="00794128"/>
    <w:rsid w:val="00794375"/>
    <w:rsid w:val="007948DE"/>
    <w:rsid w:val="00794FB6"/>
    <w:rsid w:val="007950FB"/>
    <w:rsid w:val="007958C6"/>
    <w:rsid w:val="00796246"/>
    <w:rsid w:val="0079654B"/>
    <w:rsid w:val="007A031E"/>
    <w:rsid w:val="007A0A4B"/>
    <w:rsid w:val="007A0EF8"/>
    <w:rsid w:val="007A1023"/>
    <w:rsid w:val="007A176E"/>
    <w:rsid w:val="007A177E"/>
    <w:rsid w:val="007A2836"/>
    <w:rsid w:val="007A2C55"/>
    <w:rsid w:val="007A3480"/>
    <w:rsid w:val="007A350E"/>
    <w:rsid w:val="007A36DF"/>
    <w:rsid w:val="007A46E6"/>
    <w:rsid w:val="007A4C95"/>
    <w:rsid w:val="007A54DC"/>
    <w:rsid w:val="007A57CC"/>
    <w:rsid w:val="007A6A87"/>
    <w:rsid w:val="007A710A"/>
    <w:rsid w:val="007A71C9"/>
    <w:rsid w:val="007A76F7"/>
    <w:rsid w:val="007B0E8C"/>
    <w:rsid w:val="007B194A"/>
    <w:rsid w:val="007B1A22"/>
    <w:rsid w:val="007B1B38"/>
    <w:rsid w:val="007B210D"/>
    <w:rsid w:val="007B27AC"/>
    <w:rsid w:val="007B2AAF"/>
    <w:rsid w:val="007B2DA4"/>
    <w:rsid w:val="007B3288"/>
    <w:rsid w:val="007B4055"/>
    <w:rsid w:val="007B4105"/>
    <w:rsid w:val="007B47F8"/>
    <w:rsid w:val="007B545B"/>
    <w:rsid w:val="007B5A55"/>
    <w:rsid w:val="007B66EA"/>
    <w:rsid w:val="007B676F"/>
    <w:rsid w:val="007B6A09"/>
    <w:rsid w:val="007B6AE9"/>
    <w:rsid w:val="007B773D"/>
    <w:rsid w:val="007C21D8"/>
    <w:rsid w:val="007C3330"/>
    <w:rsid w:val="007C55B6"/>
    <w:rsid w:val="007D08E6"/>
    <w:rsid w:val="007D1F37"/>
    <w:rsid w:val="007D2841"/>
    <w:rsid w:val="007D2CCE"/>
    <w:rsid w:val="007D310B"/>
    <w:rsid w:val="007D3367"/>
    <w:rsid w:val="007D33AF"/>
    <w:rsid w:val="007D355D"/>
    <w:rsid w:val="007D3E16"/>
    <w:rsid w:val="007D4E1A"/>
    <w:rsid w:val="007D57F4"/>
    <w:rsid w:val="007D5F88"/>
    <w:rsid w:val="007E0257"/>
    <w:rsid w:val="007E0998"/>
    <w:rsid w:val="007E1287"/>
    <w:rsid w:val="007E1A50"/>
    <w:rsid w:val="007E1E1B"/>
    <w:rsid w:val="007E3051"/>
    <w:rsid w:val="007E3882"/>
    <w:rsid w:val="007E3A8A"/>
    <w:rsid w:val="007E3D5D"/>
    <w:rsid w:val="007E4799"/>
    <w:rsid w:val="007E5A2E"/>
    <w:rsid w:val="007E5D00"/>
    <w:rsid w:val="007E69E0"/>
    <w:rsid w:val="007E7CC6"/>
    <w:rsid w:val="007F019F"/>
    <w:rsid w:val="007F0330"/>
    <w:rsid w:val="007F046D"/>
    <w:rsid w:val="007F0C22"/>
    <w:rsid w:val="007F1907"/>
    <w:rsid w:val="007F1F7E"/>
    <w:rsid w:val="007F238E"/>
    <w:rsid w:val="007F239D"/>
    <w:rsid w:val="007F23D3"/>
    <w:rsid w:val="007F3A69"/>
    <w:rsid w:val="007F3D2E"/>
    <w:rsid w:val="007F3D64"/>
    <w:rsid w:val="007F3FFF"/>
    <w:rsid w:val="007F41E6"/>
    <w:rsid w:val="007F4DFD"/>
    <w:rsid w:val="007F4F39"/>
    <w:rsid w:val="007F5678"/>
    <w:rsid w:val="007F5872"/>
    <w:rsid w:val="007F5B63"/>
    <w:rsid w:val="007F5F08"/>
    <w:rsid w:val="007F5F6F"/>
    <w:rsid w:val="007F780D"/>
    <w:rsid w:val="008004D6"/>
    <w:rsid w:val="0080066A"/>
    <w:rsid w:val="00800D7D"/>
    <w:rsid w:val="008010C5"/>
    <w:rsid w:val="00801561"/>
    <w:rsid w:val="0080307B"/>
    <w:rsid w:val="008031BB"/>
    <w:rsid w:val="008037A4"/>
    <w:rsid w:val="00803BA3"/>
    <w:rsid w:val="00803E20"/>
    <w:rsid w:val="008046F1"/>
    <w:rsid w:val="008048E0"/>
    <w:rsid w:val="00804CFB"/>
    <w:rsid w:val="00804F46"/>
    <w:rsid w:val="008054E4"/>
    <w:rsid w:val="008060A0"/>
    <w:rsid w:val="008068F3"/>
    <w:rsid w:val="0080799F"/>
    <w:rsid w:val="00810155"/>
    <w:rsid w:val="00810CB3"/>
    <w:rsid w:val="00811432"/>
    <w:rsid w:val="008117B1"/>
    <w:rsid w:val="00811D1D"/>
    <w:rsid w:val="0081436E"/>
    <w:rsid w:val="00814F25"/>
    <w:rsid w:val="008151CE"/>
    <w:rsid w:val="008157F0"/>
    <w:rsid w:val="00815E8E"/>
    <w:rsid w:val="00816631"/>
    <w:rsid w:val="00817487"/>
    <w:rsid w:val="00820581"/>
    <w:rsid w:val="008208BF"/>
    <w:rsid w:val="00820A49"/>
    <w:rsid w:val="008220AE"/>
    <w:rsid w:val="008224B6"/>
    <w:rsid w:val="00823439"/>
    <w:rsid w:val="00823F30"/>
    <w:rsid w:val="0082576C"/>
    <w:rsid w:val="00826DBD"/>
    <w:rsid w:val="008275D9"/>
    <w:rsid w:val="00827D18"/>
    <w:rsid w:val="008310EE"/>
    <w:rsid w:val="008317DC"/>
    <w:rsid w:val="008321B1"/>
    <w:rsid w:val="0083303A"/>
    <w:rsid w:val="008340EE"/>
    <w:rsid w:val="00834738"/>
    <w:rsid w:val="00835D6C"/>
    <w:rsid w:val="00835FB1"/>
    <w:rsid w:val="008374EE"/>
    <w:rsid w:val="00840047"/>
    <w:rsid w:val="008401BA"/>
    <w:rsid w:val="0084184A"/>
    <w:rsid w:val="00841B97"/>
    <w:rsid w:val="00841D13"/>
    <w:rsid w:val="0084212A"/>
    <w:rsid w:val="00843405"/>
    <w:rsid w:val="00843589"/>
    <w:rsid w:val="0084406C"/>
    <w:rsid w:val="00844D10"/>
    <w:rsid w:val="00844EC7"/>
    <w:rsid w:val="0084585C"/>
    <w:rsid w:val="008464B0"/>
    <w:rsid w:val="008468A5"/>
    <w:rsid w:val="0084691F"/>
    <w:rsid w:val="00846DC4"/>
    <w:rsid w:val="008472A8"/>
    <w:rsid w:val="0085064D"/>
    <w:rsid w:val="00851F1F"/>
    <w:rsid w:val="008521F4"/>
    <w:rsid w:val="00852521"/>
    <w:rsid w:val="008533CC"/>
    <w:rsid w:val="00853404"/>
    <w:rsid w:val="0085376D"/>
    <w:rsid w:val="008539D5"/>
    <w:rsid w:val="008547D7"/>
    <w:rsid w:val="00855972"/>
    <w:rsid w:val="008560B9"/>
    <w:rsid w:val="00856C21"/>
    <w:rsid w:val="00857A15"/>
    <w:rsid w:val="00857CE1"/>
    <w:rsid w:val="008602AD"/>
    <w:rsid w:val="00860D78"/>
    <w:rsid w:val="0086121E"/>
    <w:rsid w:val="00863600"/>
    <w:rsid w:val="00863E72"/>
    <w:rsid w:val="00864CB7"/>
    <w:rsid w:val="00864FA6"/>
    <w:rsid w:val="00865526"/>
    <w:rsid w:val="008662D5"/>
    <w:rsid w:val="008668ED"/>
    <w:rsid w:val="00867FE2"/>
    <w:rsid w:val="008703E5"/>
    <w:rsid w:val="00870C93"/>
    <w:rsid w:val="008725E0"/>
    <w:rsid w:val="0087260A"/>
    <w:rsid w:val="00872808"/>
    <w:rsid w:val="008731BC"/>
    <w:rsid w:val="00873418"/>
    <w:rsid w:val="00873C60"/>
    <w:rsid w:val="00873DF7"/>
    <w:rsid w:val="00876E36"/>
    <w:rsid w:val="0087721C"/>
    <w:rsid w:val="008773F3"/>
    <w:rsid w:val="00877882"/>
    <w:rsid w:val="00877B4C"/>
    <w:rsid w:val="00877D5E"/>
    <w:rsid w:val="00880581"/>
    <w:rsid w:val="00881828"/>
    <w:rsid w:val="00882CD6"/>
    <w:rsid w:val="00883730"/>
    <w:rsid w:val="00883799"/>
    <w:rsid w:val="00883D38"/>
    <w:rsid w:val="008845E5"/>
    <w:rsid w:val="00885BD8"/>
    <w:rsid w:val="00887771"/>
    <w:rsid w:val="0089080C"/>
    <w:rsid w:val="00890C2C"/>
    <w:rsid w:val="00890DD4"/>
    <w:rsid w:val="008911AB"/>
    <w:rsid w:val="00891BA7"/>
    <w:rsid w:val="00892106"/>
    <w:rsid w:val="00892791"/>
    <w:rsid w:val="00892CB7"/>
    <w:rsid w:val="00892E4C"/>
    <w:rsid w:val="00893A8E"/>
    <w:rsid w:val="00893C8A"/>
    <w:rsid w:val="00894BA6"/>
    <w:rsid w:val="0089527D"/>
    <w:rsid w:val="00895586"/>
    <w:rsid w:val="00895F4F"/>
    <w:rsid w:val="0089640E"/>
    <w:rsid w:val="008979B9"/>
    <w:rsid w:val="008A0287"/>
    <w:rsid w:val="008A1073"/>
    <w:rsid w:val="008A1E8E"/>
    <w:rsid w:val="008A341D"/>
    <w:rsid w:val="008A3CE6"/>
    <w:rsid w:val="008A4290"/>
    <w:rsid w:val="008A4906"/>
    <w:rsid w:val="008A57C0"/>
    <w:rsid w:val="008A6010"/>
    <w:rsid w:val="008A694E"/>
    <w:rsid w:val="008A6B71"/>
    <w:rsid w:val="008A6F51"/>
    <w:rsid w:val="008A7786"/>
    <w:rsid w:val="008B0CDB"/>
    <w:rsid w:val="008B0EE6"/>
    <w:rsid w:val="008B1C64"/>
    <w:rsid w:val="008B225D"/>
    <w:rsid w:val="008B259D"/>
    <w:rsid w:val="008B25C6"/>
    <w:rsid w:val="008B2A9A"/>
    <w:rsid w:val="008B30B4"/>
    <w:rsid w:val="008B3907"/>
    <w:rsid w:val="008B3EFE"/>
    <w:rsid w:val="008B4864"/>
    <w:rsid w:val="008B5790"/>
    <w:rsid w:val="008B6F22"/>
    <w:rsid w:val="008B7DF5"/>
    <w:rsid w:val="008B7F5E"/>
    <w:rsid w:val="008C0B72"/>
    <w:rsid w:val="008C0E3C"/>
    <w:rsid w:val="008C1A77"/>
    <w:rsid w:val="008C31DC"/>
    <w:rsid w:val="008C325F"/>
    <w:rsid w:val="008C3D3B"/>
    <w:rsid w:val="008C4A74"/>
    <w:rsid w:val="008C5374"/>
    <w:rsid w:val="008C55EB"/>
    <w:rsid w:val="008C58AC"/>
    <w:rsid w:val="008C620A"/>
    <w:rsid w:val="008C728E"/>
    <w:rsid w:val="008C760F"/>
    <w:rsid w:val="008D01C9"/>
    <w:rsid w:val="008D073F"/>
    <w:rsid w:val="008D0C9E"/>
    <w:rsid w:val="008D1A2B"/>
    <w:rsid w:val="008D25A3"/>
    <w:rsid w:val="008D3166"/>
    <w:rsid w:val="008D35CA"/>
    <w:rsid w:val="008D3949"/>
    <w:rsid w:val="008D4636"/>
    <w:rsid w:val="008D48FC"/>
    <w:rsid w:val="008D4B27"/>
    <w:rsid w:val="008D5187"/>
    <w:rsid w:val="008D554D"/>
    <w:rsid w:val="008D579B"/>
    <w:rsid w:val="008D5932"/>
    <w:rsid w:val="008D5FD1"/>
    <w:rsid w:val="008D61F7"/>
    <w:rsid w:val="008E1209"/>
    <w:rsid w:val="008E15BA"/>
    <w:rsid w:val="008E1B0B"/>
    <w:rsid w:val="008E2C76"/>
    <w:rsid w:val="008E3AFE"/>
    <w:rsid w:val="008E3FEB"/>
    <w:rsid w:val="008E4BC0"/>
    <w:rsid w:val="008E5AE2"/>
    <w:rsid w:val="008E5D04"/>
    <w:rsid w:val="008E67B7"/>
    <w:rsid w:val="008E6DE7"/>
    <w:rsid w:val="008F05F4"/>
    <w:rsid w:val="008F0971"/>
    <w:rsid w:val="008F0CAD"/>
    <w:rsid w:val="008F19F5"/>
    <w:rsid w:val="008F22FC"/>
    <w:rsid w:val="008F2A41"/>
    <w:rsid w:val="008F32E8"/>
    <w:rsid w:val="008F3F72"/>
    <w:rsid w:val="008F4153"/>
    <w:rsid w:val="008F50B6"/>
    <w:rsid w:val="008F5F60"/>
    <w:rsid w:val="008F6302"/>
    <w:rsid w:val="008F6C2B"/>
    <w:rsid w:val="00900842"/>
    <w:rsid w:val="00901B07"/>
    <w:rsid w:val="0090264D"/>
    <w:rsid w:val="0090299E"/>
    <w:rsid w:val="00902A9F"/>
    <w:rsid w:val="00902F73"/>
    <w:rsid w:val="0090577E"/>
    <w:rsid w:val="009059A9"/>
    <w:rsid w:val="00905AFC"/>
    <w:rsid w:val="00906521"/>
    <w:rsid w:val="00910315"/>
    <w:rsid w:val="009105C4"/>
    <w:rsid w:val="00910B90"/>
    <w:rsid w:val="00911CD9"/>
    <w:rsid w:val="009135D0"/>
    <w:rsid w:val="0091555E"/>
    <w:rsid w:val="00915807"/>
    <w:rsid w:val="00915D2D"/>
    <w:rsid w:val="00915F9F"/>
    <w:rsid w:val="00916295"/>
    <w:rsid w:val="009164AE"/>
    <w:rsid w:val="009164CB"/>
    <w:rsid w:val="00916B05"/>
    <w:rsid w:val="00916C6A"/>
    <w:rsid w:val="00917293"/>
    <w:rsid w:val="00917635"/>
    <w:rsid w:val="0092089E"/>
    <w:rsid w:val="00920AA8"/>
    <w:rsid w:val="00921D43"/>
    <w:rsid w:val="00921E83"/>
    <w:rsid w:val="00921F82"/>
    <w:rsid w:val="00921FEB"/>
    <w:rsid w:val="00922403"/>
    <w:rsid w:val="00922FBF"/>
    <w:rsid w:val="00922FE4"/>
    <w:rsid w:val="00923058"/>
    <w:rsid w:val="00923D7D"/>
    <w:rsid w:val="00926271"/>
    <w:rsid w:val="00926AAD"/>
    <w:rsid w:val="0092755B"/>
    <w:rsid w:val="00927793"/>
    <w:rsid w:val="00927AB1"/>
    <w:rsid w:val="00927C93"/>
    <w:rsid w:val="00930CDC"/>
    <w:rsid w:val="00930DB0"/>
    <w:rsid w:val="00932725"/>
    <w:rsid w:val="0093373C"/>
    <w:rsid w:val="009337BD"/>
    <w:rsid w:val="00934092"/>
    <w:rsid w:val="0093484A"/>
    <w:rsid w:val="00934CDE"/>
    <w:rsid w:val="00934D89"/>
    <w:rsid w:val="00935220"/>
    <w:rsid w:val="0093584A"/>
    <w:rsid w:val="009363D1"/>
    <w:rsid w:val="009366EF"/>
    <w:rsid w:val="00936841"/>
    <w:rsid w:val="00936858"/>
    <w:rsid w:val="00940F46"/>
    <w:rsid w:val="009412A0"/>
    <w:rsid w:val="009415EE"/>
    <w:rsid w:val="00942289"/>
    <w:rsid w:val="009424C1"/>
    <w:rsid w:val="00951B37"/>
    <w:rsid w:val="00952CE0"/>
    <w:rsid w:val="00953C4E"/>
    <w:rsid w:val="009540B4"/>
    <w:rsid w:val="00954C2D"/>
    <w:rsid w:val="00954E90"/>
    <w:rsid w:val="00955283"/>
    <w:rsid w:val="00955949"/>
    <w:rsid w:val="00955AB8"/>
    <w:rsid w:val="00955FFA"/>
    <w:rsid w:val="00957C53"/>
    <w:rsid w:val="009607B3"/>
    <w:rsid w:val="00960C85"/>
    <w:rsid w:val="009616E8"/>
    <w:rsid w:val="00961815"/>
    <w:rsid w:val="009618E8"/>
    <w:rsid w:val="00961DA8"/>
    <w:rsid w:val="00963D6C"/>
    <w:rsid w:val="009644A1"/>
    <w:rsid w:val="00964A91"/>
    <w:rsid w:val="00965084"/>
    <w:rsid w:val="0096512D"/>
    <w:rsid w:val="00965AA1"/>
    <w:rsid w:val="009707A1"/>
    <w:rsid w:val="00972709"/>
    <w:rsid w:val="0097322A"/>
    <w:rsid w:val="00980177"/>
    <w:rsid w:val="00980A7A"/>
    <w:rsid w:val="00981B47"/>
    <w:rsid w:val="00983226"/>
    <w:rsid w:val="00986190"/>
    <w:rsid w:val="00987003"/>
    <w:rsid w:val="00990209"/>
    <w:rsid w:val="00991A22"/>
    <w:rsid w:val="00992394"/>
    <w:rsid w:val="009924B2"/>
    <w:rsid w:val="00992762"/>
    <w:rsid w:val="0099286D"/>
    <w:rsid w:val="00992AF9"/>
    <w:rsid w:val="009933C1"/>
    <w:rsid w:val="00993A42"/>
    <w:rsid w:val="00994318"/>
    <w:rsid w:val="009949F9"/>
    <w:rsid w:val="00995047"/>
    <w:rsid w:val="00995290"/>
    <w:rsid w:val="009953B5"/>
    <w:rsid w:val="0099548D"/>
    <w:rsid w:val="00995629"/>
    <w:rsid w:val="00995F7D"/>
    <w:rsid w:val="009965C7"/>
    <w:rsid w:val="00996C8A"/>
    <w:rsid w:val="00997CF9"/>
    <w:rsid w:val="00997D61"/>
    <w:rsid w:val="00997E6F"/>
    <w:rsid w:val="009A2550"/>
    <w:rsid w:val="009A32DA"/>
    <w:rsid w:val="009A452B"/>
    <w:rsid w:val="009A471B"/>
    <w:rsid w:val="009A4C9B"/>
    <w:rsid w:val="009A5224"/>
    <w:rsid w:val="009A5914"/>
    <w:rsid w:val="009B0723"/>
    <w:rsid w:val="009B0C42"/>
    <w:rsid w:val="009B19D2"/>
    <w:rsid w:val="009B29A1"/>
    <w:rsid w:val="009B2CF4"/>
    <w:rsid w:val="009B2ECF"/>
    <w:rsid w:val="009B2EF6"/>
    <w:rsid w:val="009B4044"/>
    <w:rsid w:val="009B423B"/>
    <w:rsid w:val="009B458B"/>
    <w:rsid w:val="009B4A46"/>
    <w:rsid w:val="009B4B11"/>
    <w:rsid w:val="009B4C53"/>
    <w:rsid w:val="009B50E4"/>
    <w:rsid w:val="009B6409"/>
    <w:rsid w:val="009B6B3B"/>
    <w:rsid w:val="009B6BF6"/>
    <w:rsid w:val="009B7675"/>
    <w:rsid w:val="009B78CA"/>
    <w:rsid w:val="009C086E"/>
    <w:rsid w:val="009C0BB0"/>
    <w:rsid w:val="009C1B31"/>
    <w:rsid w:val="009C353C"/>
    <w:rsid w:val="009C430B"/>
    <w:rsid w:val="009C48B4"/>
    <w:rsid w:val="009C5380"/>
    <w:rsid w:val="009C54A6"/>
    <w:rsid w:val="009C5BEB"/>
    <w:rsid w:val="009C6146"/>
    <w:rsid w:val="009C6DD3"/>
    <w:rsid w:val="009C7335"/>
    <w:rsid w:val="009C73C2"/>
    <w:rsid w:val="009D01A9"/>
    <w:rsid w:val="009D01C5"/>
    <w:rsid w:val="009D061F"/>
    <w:rsid w:val="009D0A24"/>
    <w:rsid w:val="009D0F32"/>
    <w:rsid w:val="009D11CA"/>
    <w:rsid w:val="009D1386"/>
    <w:rsid w:val="009D1F60"/>
    <w:rsid w:val="009D2339"/>
    <w:rsid w:val="009D264F"/>
    <w:rsid w:val="009D3F62"/>
    <w:rsid w:val="009D51A5"/>
    <w:rsid w:val="009D5351"/>
    <w:rsid w:val="009D6200"/>
    <w:rsid w:val="009D62BA"/>
    <w:rsid w:val="009D6343"/>
    <w:rsid w:val="009D72BF"/>
    <w:rsid w:val="009D7B3A"/>
    <w:rsid w:val="009E0622"/>
    <w:rsid w:val="009E1D8D"/>
    <w:rsid w:val="009E2CE8"/>
    <w:rsid w:val="009E33DD"/>
    <w:rsid w:val="009E4127"/>
    <w:rsid w:val="009E4190"/>
    <w:rsid w:val="009E46E8"/>
    <w:rsid w:val="009E51E6"/>
    <w:rsid w:val="009E5F44"/>
    <w:rsid w:val="009E5F63"/>
    <w:rsid w:val="009E66E7"/>
    <w:rsid w:val="009F1220"/>
    <w:rsid w:val="009F1319"/>
    <w:rsid w:val="009F16E0"/>
    <w:rsid w:val="009F1850"/>
    <w:rsid w:val="009F221C"/>
    <w:rsid w:val="009F235C"/>
    <w:rsid w:val="009F331E"/>
    <w:rsid w:val="009F3958"/>
    <w:rsid w:val="009F5867"/>
    <w:rsid w:val="009F6173"/>
    <w:rsid w:val="009F76A6"/>
    <w:rsid w:val="00A007D4"/>
    <w:rsid w:val="00A01732"/>
    <w:rsid w:val="00A01C46"/>
    <w:rsid w:val="00A0244A"/>
    <w:rsid w:val="00A0321B"/>
    <w:rsid w:val="00A03507"/>
    <w:rsid w:val="00A03B8C"/>
    <w:rsid w:val="00A03FD7"/>
    <w:rsid w:val="00A04F40"/>
    <w:rsid w:val="00A055C3"/>
    <w:rsid w:val="00A05A5D"/>
    <w:rsid w:val="00A116C5"/>
    <w:rsid w:val="00A116CD"/>
    <w:rsid w:val="00A11D2D"/>
    <w:rsid w:val="00A11D5C"/>
    <w:rsid w:val="00A126AA"/>
    <w:rsid w:val="00A128AF"/>
    <w:rsid w:val="00A13224"/>
    <w:rsid w:val="00A13608"/>
    <w:rsid w:val="00A1364E"/>
    <w:rsid w:val="00A1426A"/>
    <w:rsid w:val="00A14524"/>
    <w:rsid w:val="00A14CB0"/>
    <w:rsid w:val="00A15A2B"/>
    <w:rsid w:val="00A15F34"/>
    <w:rsid w:val="00A208EE"/>
    <w:rsid w:val="00A20D85"/>
    <w:rsid w:val="00A2153D"/>
    <w:rsid w:val="00A22543"/>
    <w:rsid w:val="00A22D6E"/>
    <w:rsid w:val="00A2406E"/>
    <w:rsid w:val="00A24154"/>
    <w:rsid w:val="00A24759"/>
    <w:rsid w:val="00A2490F"/>
    <w:rsid w:val="00A25A98"/>
    <w:rsid w:val="00A26A9C"/>
    <w:rsid w:val="00A26CD8"/>
    <w:rsid w:val="00A27A88"/>
    <w:rsid w:val="00A30025"/>
    <w:rsid w:val="00A30075"/>
    <w:rsid w:val="00A30440"/>
    <w:rsid w:val="00A30F41"/>
    <w:rsid w:val="00A3108E"/>
    <w:rsid w:val="00A32345"/>
    <w:rsid w:val="00A330B0"/>
    <w:rsid w:val="00A3331A"/>
    <w:rsid w:val="00A33C3A"/>
    <w:rsid w:val="00A342AF"/>
    <w:rsid w:val="00A347AE"/>
    <w:rsid w:val="00A356C9"/>
    <w:rsid w:val="00A35BC3"/>
    <w:rsid w:val="00A37515"/>
    <w:rsid w:val="00A37890"/>
    <w:rsid w:val="00A37CCF"/>
    <w:rsid w:val="00A40963"/>
    <w:rsid w:val="00A41441"/>
    <w:rsid w:val="00A41617"/>
    <w:rsid w:val="00A41B8D"/>
    <w:rsid w:val="00A41C18"/>
    <w:rsid w:val="00A4215C"/>
    <w:rsid w:val="00A424FF"/>
    <w:rsid w:val="00A42534"/>
    <w:rsid w:val="00A42A56"/>
    <w:rsid w:val="00A4362D"/>
    <w:rsid w:val="00A44564"/>
    <w:rsid w:val="00A45BAA"/>
    <w:rsid w:val="00A46D48"/>
    <w:rsid w:val="00A50C33"/>
    <w:rsid w:val="00A50C6C"/>
    <w:rsid w:val="00A510DF"/>
    <w:rsid w:val="00A52552"/>
    <w:rsid w:val="00A52A98"/>
    <w:rsid w:val="00A53058"/>
    <w:rsid w:val="00A53587"/>
    <w:rsid w:val="00A5386C"/>
    <w:rsid w:val="00A5432F"/>
    <w:rsid w:val="00A55DE1"/>
    <w:rsid w:val="00A5634A"/>
    <w:rsid w:val="00A565D0"/>
    <w:rsid w:val="00A5663E"/>
    <w:rsid w:val="00A5699F"/>
    <w:rsid w:val="00A5794A"/>
    <w:rsid w:val="00A57B03"/>
    <w:rsid w:val="00A57B35"/>
    <w:rsid w:val="00A57E14"/>
    <w:rsid w:val="00A6032F"/>
    <w:rsid w:val="00A60647"/>
    <w:rsid w:val="00A606E7"/>
    <w:rsid w:val="00A60ED8"/>
    <w:rsid w:val="00A62691"/>
    <w:rsid w:val="00A64070"/>
    <w:rsid w:val="00A65F2A"/>
    <w:rsid w:val="00A660C1"/>
    <w:rsid w:val="00A660C7"/>
    <w:rsid w:val="00A6693A"/>
    <w:rsid w:val="00A66FD8"/>
    <w:rsid w:val="00A6702E"/>
    <w:rsid w:val="00A70B58"/>
    <w:rsid w:val="00A70E6D"/>
    <w:rsid w:val="00A710A6"/>
    <w:rsid w:val="00A711FD"/>
    <w:rsid w:val="00A71390"/>
    <w:rsid w:val="00A718D0"/>
    <w:rsid w:val="00A71ABA"/>
    <w:rsid w:val="00A71DCD"/>
    <w:rsid w:val="00A72006"/>
    <w:rsid w:val="00A721CF"/>
    <w:rsid w:val="00A72D57"/>
    <w:rsid w:val="00A73EE7"/>
    <w:rsid w:val="00A73F1E"/>
    <w:rsid w:val="00A747D7"/>
    <w:rsid w:val="00A74C81"/>
    <w:rsid w:val="00A756F8"/>
    <w:rsid w:val="00A75B7D"/>
    <w:rsid w:val="00A76A38"/>
    <w:rsid w:val="00A77724"/>
    <w:rsid w:val="00A7792C"/>
    <w:rsid w:val="00A801E1"/>
    <w:rsid w:val="00A8044D"/>
    <w:rsid w:val="00A805DE"/>
    <w:rsid w:val="00A80A8D"/>
    <w:rsid w:val="00A81EA1"/>
    <w:rsid w:val="00A823A9"/>
    <w:rsid w:val="00A82B93"/>
    <w:rsid w:val="00A83301"/>
    <w:rsid w:val="00A834A5"/>
    <w:rsid w:val="00A84AA6"/>
    <w:rsid w:val="00A86BBB"/>
    <w:rsid w:val="00A86C2E"/>
    <w:rsid w:val="00A87201"/>
    <w:rsid w:val="00A878B5"/>
    <w:rsid w:val="00A87DB2"/>
    <w:rsid w:val="00A87F47"/>
    <w:rsid w:val="00A90878"/>
    <w:rsid w:val="00A91072"/>
    <w:rsid w:val="00A91374"/>
    <w:rsid w:val="00A91EB0"/>
    <w:rsid w:val="00A925E0"/>
    <w:rsid w:val="00A92D0E"/>
    <w:rsid w:val="00A94983"/>
    <w:rsid w:val="00A95F33"/>
    <w:rsid w:val="00A96806"/>
    <w:rsid w:val="00A97249"/>
    <w:rsid w:val="00A974C0"/>
    <w:rsid w:val="00A97704"/>
    <w:rsid w:val="00A9776A"/>
    <w:rsid w:val="00AA1A52"/>
    <w:rsid w:val="00AA3047"/>
    <w:rsid w:val="00AA33EA"/>
    <w:rsid w:val="00AA3894"/>
    <w:rsid w:val="00AA4A71"/>
    <w:rsid w:val="00AA6054"/>
    <w:rsid w:val="00AA60C6"/>
    <w:rsid w:val="00AA6195"/>
    <w:rsid w:val="00AA68FA"/>
    <w:rsid w:val="00AA6F76"/>
    <w:rsid w:val="00AA70FC"/>
    <w:rsid w:val="00AA7816"/>
    <w:rsid w:val="00AB07CB"/>
    <w:rsid w:val="00AB0AD0"/>
    <w:rsid w:val="00AB1642"/>
    <w:rsid w:val="00AB1E7D"/>
    <w:rsid w:val="00AB272D"/>
    <w:rsid w:val="00AB2894"/>
    <w:rsid w:val="00AB2EA2"/>
    <w:rsid w:val="00AB3CED"/>
    <w:rsid w:val="00AB431D"/>
    <w:rsid w:val="00AB4523"/>
    <w:rsid w:val="00AB49CD"/>
    <w:rsid w:val="00AB4F3B"/>
    <w:rsid w:val="00AB5158"/>
    <w:rsid w:val="00AB6119"/>
    <w:rsid w:val="00AB65ED"/>
    <w:rsid w:val="00AB7575"/>
    <w:rsid w:val="00AC08CA"/>
    <w:rsid w:val="00AC0D20"/>
    <w:rsid w:val="00AC2010"/>
    <w:rsid w:val="00AC3C84"/>
    <w:rsid w:val="00AC414D"/>
    <w:rsid w:val="00AC4399"/>
    <w:rsid w:val="00AC483C"/>
    <w:rsid w:val="00AC491C"/>
    <w:rsid w:val="00AC4F68"/>
    <w:rsid w:val="00AC575C"/>
    <w:rsid w:val="00AC6122"/>
    <w:rsid w:val="00AC65F3"/>
    <w:rsid w:val="00AC6D6F"/>
    <w:rsid w:val="00AC6E54"/>
    <w:rsid w:val="00AC72F4"/>
    <w:rsid w:val="00AC7312"/>
    <w:rsid w:val="00AD0CBA"/>
    <w:rsid w:val="00AD0D2A"/>
    <w:rsid w:val="00AD236A"/>
    <w:rsid w:val="00AD238E"/>
    <w:rsid w:val="00AD27BB"/>
    <w:rsid w:val="00AD2BCD"/>
    <w:rsid w:val="00AD33A2"/>
    <w:rsid w:val="00AD4861"/>
    <w:rsid w:val="00AD496E"/>
    <w:rsid w:val="00AD4AA0"/>
    <w:rsid w:val="00AD4DDE"/>
    <w:rsid w:val="00AD560D"/>
    <w:rsid w:val="00AD7090"/>
    <w:rsid w:val="00AD72B2"/>
    <w:rsid w:val="00AD7608"/>
    <w:rsid w:val="00AE10A5"/>
    <w:rsid w:val="00AE1165"/>
    <w:rsid w:val="00AE1BF5"/>
    <w:rsid w:val="00AE22E2"/>
    <w:rsid w:val="00AE28C8"/>
    <w:rsid w:val="00AE2EE0"/>
    <w:rsid w:val="00AE3ABD"/>
    <w:rsid w:val="00AE3C57"/>
    <w:rsid w:val="00AE3C67"/>
    <w:rsid w:val="00AE5159"/>
    <w:rsid w:val="00AE5459"/>
    <w:rsid w:val="00AE5484"/>
    <w:rsid w:val="00AE56AF"/>
    <w:rsid w:val="00AE57BF"/>
    <w:rsid w:val="00AE5907"/>
    <w:rsid w:val="00AE5B6D"/>
    <w:rsid w:val="00AE62C7"/>
    <w:rsid w:val="00AE6451"/>
    <w:rsid w:val="00AE6A3E"/>
    <w:rsid w:val="00AE7D27"/>
    <w:rsid w:val="00AF0E28"/>
    <w:rsid w:val="00AF14E0"/>
    <w:rsid w:val="00AF24AF"/>
    <w:rsid w:val="00AF25D3"/>
    <w:rsid w:val="00AF282A"/>
    <w:rsid w:val="00AF2CD2"/>
    <w:rsid w:val="00AF32D7"/>
    <w:rsid w:val="00AF43E4"/>
    <w:rsid w:val="00AF4D63"/>
    <w:rsid w:val="00AF5643"/>
    <w:rsid w:val="00AF67D2"/>
    <w:rsid w:val="00AF6CD3"/>
    <w:rsid w:val="00AF71BD"/>
    <w:rsid w:val="00AF7308"/>
    <w:rsid w:val="00AF7728"/>
    <w:rsid w:val="00AF7AFE"/>
    <w:rsid w:val="00B001C5"/>
    <w:rsid w:val="00B0034C"/>
    <w:rsid w:val="00B00549"/>
    <w:rsid w:val="00B00961"/>
    <w:rsid w:val="00B013F8"/>
    <w:rsid w:val="00B028C6"/>
    <w:rsid w:val="00B04E35"/>
    <w:rsid w:val="00B066D2"/>
    <w:rsid w:val="00B07476"/>
    <w:rsid w:val="00B0789A"/>
    <w:rsid w:val="00B10074"/>
    <w:rsid w:val="00B102FD"/>
    <w:rsid w:val="00B1056D"/>
    <w:rsid w:val="00B10E7B"/>
    <w:rsid w:val="00B11626"/>
    <w:rsid w:val="00B117C5"/>
    <w:rsid w:val="00B11E0A"/>
    <w:rsid w:val="00B126D2"/>
    <w:rsid w:val="00B13BAD"/>
    <w:rsid w:val="00B14702"/>
    <w:rsid w:val="00B1473C"/>
    <w:rsid w:val="00B152C5"/>
    <w:rsid w:val="00B15612"/>
    <w:rsid w:val="00B20230"/>
    <w:rsid w:val="00B21ACB"/>
    <w:rsid w:val="00B21D9C"/>
    <w:rsid w:val="00B21E98"/>
    <w:rsid w:val="00B22027"/>
    <w:rsid w:val="00B22423"/>
    <w:rsid w:val="00B22D7C"/>
    <w:rsid w:val="00B238ED"/>
    <w:rsid w:val="00B26FC0"/>
    <w:rsid w:val="00B30290"/>
    <w:rsid w:val="00B30592"/>
    <w:rsid w:val="00B32288"/>
    <w:rsid w:val="00B32317"/>
    <w:rsid w:val="00B329BF"/>
    <w:rsid w:val="00B33DF6"/>
    <w:rsid w:val="00B35DDC"/>
    <w:rsid w:val="00B36368"/>
    <w:rsid w:val="00B36A7A"/>
    <w:rsid w:val="00B37666"/>
    <w:rsid w:val="00B400A7"/>
    <w:rsid w:val="00B407AA"/>
    <w:rsid w:val="00B40982"/>
    <w:rsid w:val="00B4137B"/>
    <w:rsid w:val="00B41D0D"/>
    <w:rsid w:val="00B42232"/>
    <w:rsid w:val="00B42EE9"/>
    <w:rsid w:val="00B433AD"/>
    <w:rsid w:val="00B43D50"/>
    <w:rsid w:val="00B441D2"/>
    <w:rsid w:val="00B44A67"/>
    <w:rsid w:val="00B44BFF"/>
    <w:rsid w:val="00B44FD8"/>
    <w:rsid w:val="00B45285"/>
    <w:rsid w:val="00B4554A"/>
    <w:rsid w:val="00B4766F"/>
    <w:rsid w:val="00B50637"/>
    <w:rsid w:val="00B51ECE"/>
    <w:rsid w:val="00B5224C"/>
    <w:rsid w:val="00B526B2"/>
    <w:rsid w:val="00B52A69"/>
    <w:rsid w:val="00B532CF"/>
    <w:rsid w:val="00B533F8"/>
    <w:rsid w:val="00B535A8"/>
    <w:rsid w:val="00B53BDF"/>
    <w:rsid w:val="00B546CD"/>
    <w:rsid w:val="00B548D5"/>
    <w:rsid w:val="00B55D35"/>
    <w:rsid w:val="00B56DE5"/>
    <w:rsid w:val="00B572FA"/>
    <w:rsid w:val="00B57988"/>
    <w:rsid w:val="00B57C75"/>
    <w:rsid w:val="00B60487"/>
    <w:rsid w:val="00B610E1"/>
    <w:rsid w:val="00B61679"/>
    <w:rsid w:val="00B62214"/>
    <w:rsid w:val="00B62439"/>
    <w:rsid w:val="00B625E2"/>
    <w:rsid w:val="00B63315"/>
    <w:rsid w:val="00B63E2D"/>
    <w:rsid w:val="00B645D6"/>
    <w:rsid w:val="00B64AC0"/>
    <w:rsid w:val="00B64B09"/>
    <w:rsid w:val="00B64E60"/>
    <w:rsid w:val="00B64F50"/>
    <w:rsid w:val="00B65259"/>
    <w:rsid w:val="00B65BDA"/>
    <w:rsid w:val="00B667EE"/>
    <w:rsid w:val="00B66AED"/>
    <w:rsid w:val="00B67039"/>
    <w:rsid w:val="00B67816"/>
    <w:rsid w:val="00B71018"/>
    <w:rsid w:val="00B72AD6"/>
    <w:rsid w:val="00B72F8C"/>
    <w:rsid w:val="00B73DEF"/>
    <w:rsid w:val="00B75363"/>
    <w:rsid w:val="00B76EFF"/>
    <w:rsid w:val="00B7738F"/>
    <w:rsid w:val="00B8055D"/>
    <w:rsid w:val="00B80949"/>
    <w:rsid w:val="00B81006"/>
    <w:rsid w:val="00B81945"/>
    <w:rsid w:val="00B81E91"/>
    <w:rsid w:val="00B81F99"/>
    <w:rsid w:val="00B83000"/>
    <w:rsid w:val="00B83202"/>
    <w:rsid w:val="00B83B76"/>
    <w:rsid w:val="00B850F8"/>
    <w:rsid w:val="00B851D7"/>
    <w:rsid w:val="00B8545A"/>
    <w:rsid w:val="00B8577D"/>
    <w:rsid w:val="00B85A6D"/>
    <w:rsid w:val="00B86171"/>
    <w:rsid w:val="00B862F3"/>
    <w:rsid w:val="00B86525"/>
    <w:rsid w:val="00B86586"/>
    <w:rsid w:val="00B874FC"/>
    <w:rsid w:val="00B87D06"/>
    <w:rsid w:val="00B91483"/>
    <w:rsid w:val="00B91772"/>
    <w:rsid w:val="00B921D3"/>
    <w:rsid w:val="00B9230C"/>
    <w:rsid w:val="00B92AA0"/>
    <w:rsid w:val="00B94F9F"/>
    <w:rsid w:val="00B95E30"/>
    <w:rsid w:val="00B9613B"/>
    <w:rsid w:val="00B9615E"/>
    <w:rsid w:val="00B962A7"/>
    <w:rsid w:val="00B96704"/>
    <w:rsid w:val="00B96EF0"/>
    <w:rsid w:val="00B97EF9"/>
    <w:rsid w:val="00BA08F4"/>
    <w:rsid w:val="00BA288F"/>
    <w:rsid w:val="00BA2A0B"/>
    <w:rsid w:val="00BA2C0D"/>
    <w:rsid w:val="00BA36B8"/>
    <w:rsid w:val="00BA37ED"/>
    <w:rsid w:val="00BA5651"/>
    <w:rsid w:val="00BA59DF"/>
    <w:rsid w:val="00BA6149"/>
    <w:rsid w:val="00BA6BCF"/>
    <w:rsid w:val="00BA799D"/>
    <w:rsid w:val="00BA7FFA"/>
    <w:rsid w:val="00BB0A40"/>
    <w:rsid w:val="00BB1E66"/>
    <w:rsid w:val="00BB2725"/>
    <w:rsid w:val="00BB3004"/>
    <w:rsid w:val="00BB3231"/>
    <w:rsid w:val="00BB3B2A"/>
    <w:rsid w:val="00BB3EFA"/>
    <w:rsid w:val="00BB4662"/>
    <w:rsid w:val="00BB4DB3"/>
    <w:rsid w:val="00BB69AD"/>
    <w:rsid w:val="00BB76D4"/>
    <w:rsid w:val="00BC073E"/>
    <w:rsid w:val="00BC0878"/>
    <w:rsid w:val="00BC100F"/>
    <w:rsid w:val="00BC1A2F"/>
    <w:rsid w:val="00BC2EFA"/>
    <w:rsid w:val="00BC3DAE"/>
    <w:rsid w:val="00BC3E0B"/>
    <w:rsid w:val="00BC4D52"/>
    <w:rsid w:val="00BC4D71"/>
    <w:rsid w:val="00BC4E49"/>
    <w:rsid w:val="00BC4E5C"/>
    <w:rsid w:val="00BC5955"/>
    <w:rsid w:val="00BC5D45"/>
    <w:rsid w:val="00BC69E7"/>
    <w:rsid w:val="00BC6B69"/>
    <w:rsid w:val="00BC74AE"/>
    <w:rsid w:val="00BD0168"/>
    <w:rsid w:val="00BD06E7"/>
    <w:rsid w:val="00BD0737"/>
    <w:rsid w:val="00BD0C7A"/>
    <w:rsid w:val="00BD0F66"/>
    <w:rsid w:val="00BD101B"/>
    <w:rsid w:val="00BD15E2"/>
    <w:rsid w:val="00BD165D"/>
    <w:rsid w:val="00BD166E"/>
    <w:rsid w:val="00BD16C2"/>
    <w:rsid w:val="00BD16DA"/>
    <w:rsid w:val="00BD1C58"/>
    <w:rsid w:val="00BD2ACF"/>
    <w:rsid w:val="00BD3414"/>
    <w:rsid w:val="00BD3975"/>
    <w:rsid w:val="00BD3CC3"/>
    <w:rsid w:val="00BD4F12"/>
    <w:rsid w:val="00BD5501"/>
    <w:rsid w:val="00BD5D4F"/>
    <w:rsid w:val="00BD5DBA"/>
    <w:rsid w:val="00BD73BD"/>
    <w:rsid w:val="00BD7A27"/>
    <w:rsid w:val="00BE07D4"/>
    <w:rsid w:val="00BE0FF3"/>
    <w:rsid w:val="00BE139B"/>
    <w:rsid w:val="00BE167E"/>
    <w:rsid w:val="00BE16BA"/>
    <w:rsid w:val="00BE26A5"/>
    <w:rsid w:val="00BE2D3A"/>
    <w:rsid w:val="00BE3109"/>
    <w:rsid w:val="00BE3E1C"/>
    <w:rsid w:val="00BE435F"/>
    <w:rsid w:val="00BE5449"/>
    <w:rsid w:val="00BE5A2F"/>
    <w:rsid w:val="00BE5A9F"/>
    <w:rsid w:val="00BE6958"/>
    <w:rsid w:val="00BE6F76"/>
    <w:rsid w:val="00BE79BD"/>
    <w:rsid w:val="00BF0452"/>
    <w:rsid w:val="00BF072D"/>
    <w:rsid w:val="00BF0D88"/>
    <w:rsid w:val="00BF2003"/>
    <w:rsid w:val="00BF2532"/>
    <w:rsid w:val="00BF5373"/>
    <w:rsid w:val="00BF567B"/>
    <w:rsid w:val="00BF6A2F"/>
    <w:rsid w:val="00BF7372"/>
    <w:rsid w:val="00BF7537"/>
    <w:rsid w:val="00BF795E"/>
    <w:rsid w:val="00C0040B"/>
    <w:rsid w:val="00C01022"/>
    <w:rsid w:val="00C01A72"/>
    <w:rsid w:val="00C02536"/>
    <w:rsid w:val="00C02D8B"/>
    <w:rsid w:val="00C032AF"/>
    <w:rsid w:val="00C03368"/>
    <w:rsid w:val="00C04540"/>
    <w:rsid w:val="00C04B79"/>
    <w:rsid w:val="00C04F98"/>
    <w:rsid w:val="00C06863"/>
    <w:rsid w:val="00C06B2A"/>
    <w:rsid w:val="00C06E7F"/>
    <w:rsid w:val="00C0729D"/>
    <w:rsid w:val="00C07A09"/>
    <w:rsid w:val="00C10A4D"/>
    <w:rsid w:val="00C118F6"/>
    <w:rsid w:val="00C12C92"/>
    <w:rsid w:val="00C12CC5"/>
    <w:rsid w:val="00C1315E"/>
    <w:rsid w:val="00C138F4"/>
    <w:rsid w:val="00C13E0F"/>
    <w:rsid w:val="00C14C11"/>
    <w:rsid w:val="00C1522C"/>
    <w:rsid w:val="00C15E1C"/>
    <w:rsid w:val="00C1614F"/>
    <w:rsid w:val="00C16905"/>
    <w:rsid w:val="00C17293"/>
    <w:rsid w:val="00C17404"/>
    <w:rsid w:val="00C21ED8"/>
    <w:rsid w:val="00C22044"/>
    <w:rsid w:val="00C22F41"/>
    <w:rsid w:val="00C2413F"/>
    <w:rsid w:val="00C2475E"/>
    <w:rsid w:val="00C24CFC"/>
    <w:rsid w:val="00C267A5"/>
    <w:rsid w:val="00C268E7"/>
    <w:rsid w:val="00C26AF6"/>
    <w:rsid w:val="00C26CC5"/>
    <w:rsid w:val="00C26CE5"/>
    <w:rsid w:val="00C27F54"/>
    <w:rsid w:val="00C32A3F"/>
    <w:rsid w:val="00C32BA0"/>
    <w:rsid w:val="00C333D5"/>
    <w:rsid w:val="00C355C1"/>
    <w:rsid w:val="00C3711D"/>
    <w:rsid w:val="00C3723B"/>
    <w:rsid w:val="00C37DA1"/>
    <w:rsid w:val="00C37FE9"/>
    <w:rsid w:val="00C40377"/>
    <w:rsid w:val="00C40D0A"/>
    <w:rsid w:val="00C41074"/>
    <w:rsid w:val="00C41631"/>
    <w:rsid w:val="00C42E32"/>
    <w:rsid w:val="00C44200"/>
    <w:rsid w:val="00C4473A"/>
    <w:rsid w:val="00C448F5"/>
    <w:rsid w:val="00C45E3F"/>
    <w:rsid w:val="00C46202"/>
    <w:rsid w:val="00C471B0"/>
    <w:rsid w:val="00C52B5B"/>
    <w:rsid w:val="00C53D20"/>
    <w:rsid w:val="00C5489E"/>
    <w:rsid w:val="00C5547B"/>
    <w:rsid w:val="00C555BF"/>
    <w:rsid w:val="00C56488"/>
    <w:rsid w:val="00C56C0B"/>
    <w:rsid w:val="00C6048C"/>
    <w:rsid w:val="00C612C2"/>
    <w:rsid w:val="00C61DD1"/>
    <w:rsid w:val="00C62480"/>
    <w:rsid w:val="00C634CD"/>
    <w:rsid w:val="00C63847"/>
    <w:rsid w:val="00C63BC2"/>
    <w:rsid w:val="00C644FF"/>
    <w:rsid w:val="00C65361"/>
    <w:rsid w:val="00C65551"/>
    <w:rsid w:val="00C670CF"/>
    <w:rsid w:val="00C67132"/>
    <w:rsid w:val="00C67D15"/>
    <w:rsid w:val="00C70E13"/>
    <w:rsid w:val="00C70E54"/>
    <w:rsid w:val="00C71BD9"/>
    <w:rsid w:val="00C71CCD"/>
    <w:rsid w:val="00C71E05"/>
    <w:rsid w:val="00C735CF"/>
    <w:rsid w:val="00C73E50"/>
    <w:rsid w:val="00C7457D"/>
    <w:rsid w:val="00C754BC"/>
    <w:rsid w:val="00C771C7"/>
    <w:rsid w:val="00C77DC5"/>
    <w:rsid w:val="00C80478"/>
    <w:rsid w:val="00C812E9"/>
    <w:rsid w:val="00C821F2"/>
    <w:rsid w:val="00C829D5"/>
    <w:rsid w:val="00C832B6"/>
    <w:rsid w:val="00C83790"/>
    <w:rsid w:val="00C84043"/>
    <w:rsid w:val="00C8410E"/>
    <w:rsid w:val="00C864F0"/>
    <w:rsid w:val="00C86913"/>
    <w:rsid w:val="00C86CBA"/>
    <w:rsid w:val="00C86D66"/>
    <w:rsid w:val="00C86F72"/>
    <w:rsid w:val="00C879D2"/>
    <w:rsid w:val="00C90186"/>
    <w:rsid w:val="00C90398"/>
    <w:rsid w:val="00C912F1"/>
    <w:rsid w:val="00C91833"/>
    <w:rsid w:val="00C91A21"/>
    <w:rsid w:val="00C91C83"/>
    <w:rsid w:val="00C91FCB"/>
    <w:rsid w:val="00C92B5D"/>
    <w:rsid w:val="00C92F2E"/>
    <w:rsid w:val="00C931AE"/>
    <w:rsid w:val="00C93511"/>
    <w:rsid w:val="00C93E07"/>
    <w:rsid w:val="00C94EB3"/>
    <w:rsid w:val="00C950D2"/>
    <w:rsid w:val="00C96FDC"/>
    <w:rsid w:val="00CA02C6"/>
    <w:rsid w:val="00CA1FCD"/>
    <w:rsid w:val="00CA218E"/>
    <w:rsid w:val="00CA2376"/>
    <w:rsid w:val="00CA325E"/>
    <w:rsid w:val="00CA33A6"/>
    <w:rsid w:val="00CA33AB"/>
    <w:rsid w:val="00CA4339"/>
    <w:rsid w:val="00CA4A5B"/>
    <w:rsid w:val="00CA4B6E"/>
    <w:rsid w:val="00CA4CCB"/>
    <w:rsid w:val="00CA5529"/>
    <w:rsid w:val="00CA6BC1"/>
    <w:rsid w:val="00CA7988"/>
    <w:rsid w:val="00CA7ABB"/>
    <w:rsid w:val="00CB00C2"/>
    <w:rsid w:val="00CB0AD1"/>
    <w:rsid w:val="00CB122D"/>
    <w:rsid w:val="00CB15E0"/>
    <w:rsid w:val="00CB17E0"/>
    <w:rsid w:val="00CB1FBA"/>
    <w:rsid w:val="00CB28FA"/>
    <w:rsid w:val="00CB3D0B"/>
    <w:rsid w:val="00CB4234"/>
    <w:rsid w:val="00CB42A1"/>
    <w:rsid w:val="00CB4FA0"/>
    <w:rsid w:val="00CB5925"/>
    <w:rsid w:val="00CB5EE5"/>
    <w:rsid w:val="00CB5F79"/>
    <w:rsid w:val="00CB614A"/>
    <w:rsid w:val="00CB6480"/>
    <w:rsid w:val="00CB69BD"/>
    <w:rsid w:val="00CB6FB1"/>
    <w:rsid w:val="00CB6FE0"/>
    <w:rsid w:val="00CB75E9"/>
    <w:rsid w:val="00CC1B2B"/>
    <w:rsid w:val="00CC4EC1"/>
    <w:rsid w:val="00CC5E5B"/>
    <w:rsid w:val="00CC6120"/>
    <w:rsid w:val="00CC750A"/>
    <w:rsid w:val="00CC7565"/>
    <w:rsid w:val="00CC7E3E"/>
    <w:rsid w:val="00CC7EF0"/>
    <w:rsid w:val="00CC7F1F"/>
    <w:rsid w:val="00CD1BD7"/>
    <w:rsid w:val="00CD1DE6"/>
    <w:rsid w:val="00CD20A0"/>
    <w:rsid w:val="00CD2A94"/>
    <w:rsid w:val="00CD2C5B"/>
    <w:rsid w:val="00CD3242"/>
    <w:rsid w:val="00CD45BA"/>
    <w:rsid w:val="00CD515D"/>
    <w:rsid w:val="00CD52AA"/>
    <w:rsid w:val="00CD52F4"/>
    <w:rsid w:val="00CD5370"/>
    <w:rsid w:val="00CD5B2C"/>
    <w:rsid w:val="00CD6894"/>
    <w:rsid w:val="00CD7B87"/>
    <w:rsid w:val="00CE03AE"/>
    <w:rsid w:val="00CE0B15"/>
    <w:rsid w:val="00CE1F44"/>
    <w:rsid w:val="00CE2FC1"/>
    <w:rsid w:val="00CE3481"/>
    <w:rsid w:val="00CE3528"/>
    <w:rsid w:val="00CE376C"/>
    <w:rsid w:val="00CE3872"/>
    <w:rsid w:val="00CE43B5"/>
    <w:rsid w:val="00CE44F2"/>
    <w:rsid w:val="00CE4608"/>
    <w:rsid w:val="00CE55E9"/>
    <w:rsid w:val="00CE571B"/>
    <w:rsid w:val="00CE5790"/>
    <w:rsid w:val="00CE5DA0"/>
    <w:rsid w:val="00CE6CDD"/>
    <w:rsid w:val="00CE6FBC"/>
    <w:rsid w:val="00CF026E"/>
    <w:rsid w:val="00CF0687"/>
    <w:rsid w:val="00CF1E47"/>
    <w:rsid w:val="00CF2438"/>
    <w:rsid w:val="00CF281B"/>
    <w:rsid w:val="00CF30E6"/>
    <w:rsid w:val="00CF368C"/>
    <w:rsid w:val="00CF3A98"/>
    <w:rsid w:val="00CF3C9F"/>
    <w:rsid w:val="00CF5175"/>
    <w:rsid w:val="00CF5FC0"/>
    <w:rsid w:val="00CF62D3"/>
    <w:rsid w:val="00CF66D4"/>
    <w:rsid w:val="00CF6F69"/>
    <w:rsid w:val="00CF7259"/>
    <w:rsid w:val="00CF7865"/>
    <w:rsid w:val="00CF7FC0"/>
    <w:rsid w:val="00D003B4"/>
    <w:rsid w:val="00D00969"/>
    <w:rsid w:val="00D00CB0"/>
    <w:rsid w:val="00D01249"/>
    <w:rsid w:val="00D0149B"/>
    <w:rsid w:val="00D02517"/>
    <w:rsid w:val="00D02701"/>
    <w:rsid w:val="00D02F61"/>
    <w:rsid w:val="00D03804"/>
    <w:rsid w:val="00D04C19"/>
    <w:rsid w:val="00D05577"/>
    <w:rsid w:val="00D062C3"/>
    <w:rsid w:val="00D06BC8"/>
    <w:rsid w:val="00D072E1"/>
    <w:rsid w:val="00D075B1"/>
    <w:rsid w:val="00D0791C"/>
    <w:rsid w:val="00D109C5"/>
    <w:rsid w:val="00D10B00"/>
    <w:rsid w:val="00D11003"/>
    <w:rsid w:val="00D11184"/>
    <w:rsid w:val="00D11A4A"/>
    <w:rsid w:val="00D122D6"/>
    <w:rsid w:val="00D134E8"/>
    <w:rsid w:val="00D1399D"/>
    <w:rsid w:val="00D14D1C"/>
    <w:rsid w:val="00D1589C"/>
    <w:rsid w:val="00D162FD"/>
    <w:rsid w:val="00D175C7"/>
    <w:rsid w:val="00D2035F"/>
    <w:rsid w:val="00D215DB"/>
    <w:rsid w:val="00D226E1"/>
    <w:rsid w:val="00D234AD"/>
    <w:rsid w:val="00D23779"/>
    <w:rsid w:val="00D23BC2"/>
    <w:rsid w:val="00D242A9"/>
    <w:rsid w:val="00D24F0F"/>
    <w:rsid w:val="00D25027"/>
    <w:rsid w:val="00D25447"/>
    <w:rsid w:val="00D25B23"/>
    <w:rsid w:val="00D25D27"/>
    <w:rsid w:val="00D27AEF"/>
    <w:rsid w:val="00D27D74"/>
    <w:rsid w:val="00D30033"/>
    <w:rsid w:val="00D3032F"/>
    <w:rsid w:val="00D30952"/>
    <w:rsid w:val="00D30E66"/>
    <w:rsid w:val="00D3250B"/>
    <w:rsid w:val="00D32D6A"/>
    <w:rsid w:val="00D33484"/>
    <w:rsid w:val="00D33E80"/>
    <w:rsid w:val="00D34261"/>
    <w:rsid w:val="00D3494B"/>
    <w:rsid w:val="00D34EBD"/>
    <w:rsid w:val="00D3508F"/>
    <w:rsid w:val="00D35AA0"/>
    <w:rsid w:val="00D37851"/>
    <w:rsid w:val="00D40964"/>
    <w:rsid w:val="00D410B9"/>
    <w:rsid w:val="00D421A3"/>
    <w:rsid w:val="00D42442"/>
    <w:rsid w:val="00D44F1D"/>
    <w:rsid w:val="00D4514B"/>
    <w:rsid w:val="00D453F5"/>
    <w:rsid w:val="00D45DEC"/>
    <w:rsid w:val="00D45FAC"/>
    <w:rsid w:val="00D46334"/>
    <w:rsid w:val="00D46BF5"/>
    <w:rsid w:val="00D47BDB"/>
    <w:rsid w:val="00D47E0D"/>
    <w:rsid w:val="00D5135F"/>
    <w:rsid w:val="00D516FE"/>
    <w:rsid w:val="00D51D96"/>
    <w:rsid w:val="00D52784"/>
    <w:rsid w:val="00D531C6"/>
    <w:rsid w:val="00D5390A"/>
    <w:rsid w:val="00D53D07"/>
    <w:rsid w:val="00D544A9"/>
    <w:rsid w:val="00D569D9"/>
    <w:rsid w:val="00D6007F"/>
    <w:rsid w:val="00D608CC"/>
    <w:rsid w:val="00D6095F"/>
    <w:rsid w:val="00D60A2A"/>
    <w:rsid w:val="00D61198"/>
    <w:rsid w:val="00D611A6"/>
    <w:rsid w:val="00D61BA1"/>
    <w:rsid w:val="00D62301"/>
    <w:rsid w:val="00D62564"/>
    <w:rsid w:val="00D62F66"/>
    <w:rsid w:val="00D63019"/>
    <w:rsid w:val="00D63392"/>
    <w:rsid w:val="00D6412B"/>
    <w:rsid w:val="00D64970"/>
    <w:rsid w:val="00D66209"/>
    <w:rsid w:val="00D700DE"/>
    <w:rsid w:val="00D70732"/>
    <w:rsid w:val="00D70DE8"/>
    <w:rsid w:val="00D72B19"/>
    <w:rsid w:val="00D75A41"/>
    <w:rsid w:val="00D75E9B"/>
    <w:rsid w:val="00D76C33"/>
    <w:rsid w:val="00D777E6"/>
    <w:rsid w:val="00D801C7"/>
    <w:rsid w:val="00D81A8F"/>
    <w:rsid w:val="00D81B76"/>
    <w:rsid w:val="00D82EA6"/>
    <w:rsid w:val="00D836FC"/>
    <w:rsid w:val="00D84405"/>
    <w:rsid w:val="00D84E61"/>
    <w:rsid w:val="00D85DBE"/>
    <w:rsid w:val="00D86283"/>
    <w:rsid w:val="00D87037"/>
    <w:rsid w:val="00D87AB9"/>
    <w:rsid w:val="00D90181"/>
    <w:rsid w:val="00D919D4"/>
    <w:rsid w:val="00D91E39"/>
    <w:rsid w:val="00D9244B"/>
    <w:rsid w:val="00D92E70"/>
    <w:rsid w:val="00D94095"/>
    <w:rsid w:val="00D942FE"/>
    <w:rsid w:val="00D95BBE"/>
    <w:rsid w:val="00D95CF4"/>
    <w:rsid w:val="00D960ED"/>
    <w:rsid w:val="00D964B9"/>
    <w:rsid w:val="00D96ED8"/>
    <w:rsid w:val="00DA0A36"/>
    <w:rsid w:val="00DA0B97"/>
    <w:rsid w:val="00DA0F78"/>
    <w:rsid w:val="00DA11DF"/>
    <w:rsid w:val="00DA235A"/>
    <w:rsid w:val="00DA395B"/>
    <w:rsid w:val="00DA3BA8"/>
    <w:rsid w:val="00DA4B72"/>
    <w:rsid w:val="00DA7970"/>
    <w:rsid w:val="00DA7AC9"/>
    <w:rsid w:val="00DB152E"/>
    <w:rsid w:val="00DB1ACA"/>
    <w:rsid w:val="00DB2E45"/>
    <w:rsid w:val="00DB3ECF"/>
    <w:rsid w:val="00DB3F60"/>
    <w:rsid w:val="00DB3FBD"/>
    <w:rsid w:val="00DB49F2"/>
    <w:rsid w:val="00DB5177"/>
    <w:rsid w:val="00DB542D"/>
    <w:rsid w:val="00DB56A0"/>
    <w:rsid w:val="00DB59B3"/>
    <w:rsid w:val="00DB5D37"/>
    <w:rsid w:val="00DB61AC"/>
    <w:rsid w:val="00DC1BFD"/>
    <w:rsid w:val="00DC2D77"/>
    <w:rsid w:val="00DC3EF7"/>
    <w:rsid w:val="00DC57D9"/>
    <w:rsid w:val="00DC6145"/>
    <w:rsid w:val="00DC61F3"/>
    <w:rsid w:val="00DC63EC"/>
    <w:rsid w:val="00DC6944"/>
    <w:rsid w:val="00DC7895"/>
    <w:rsid w:val="00DC7B3B"/>
    <w:rsid w:val="00DC7DE7"/>
    <w:rsid w:val="00DD062C"/>
    <w:rsid w:val="00DD0FD3"/>
    <w:rsid w:val="00DD2BEE"/>
    <w:rsid w:val="00DD3225"/>
    <w:rsid w:val="00DD358C"/>
    <w:rsid w:val="00DD37CF"/>
    <w:rsid w:val="00DD3CDB"/>
    <w:rsid w:val="00DD3F40"/>
    <w:rsid w:val="00DD560D"/>
    <w:rsid w:val="00DD5DE7"/>
    <w:rsid w:val="00DD6C1E"/>
    <w:rsid w:val="00DD7B03"/>
    <w:rsid w:val="00DE02CD"/>
    <w:rsid w:val="00DE0966"/>
    <w:rsid w:val="00DE17A8"/>
    <w:rsid w:val="00DE1BDE"/>
    <w:rsid w:val="00DE2AEA"/>
    <w:rsid w:val="00DE3A22"/>
    <w:rsid w:val="00DE3D73"/>
    <w:rsid w:val="00DE47F5"/>
    <w:rsid w:val="00DE5D24"/>
    <w:rsid w:val="00DE6D83"/>
    <w:rsid w:val="00DF0283"/>
    <w:rsid w:val="00DF0692"/>
    <w:rsid w:val="00DF0887"/>
    <w:rsid w:val="00DF1CB2"/>
    <w:rsid w:val="00DF2187"/>
    <w:rsid w:val="00DF2853"/>
    <w:rsid w:val="00DF2B84"/>
    <w:rsid w:val="00DF30C9"/>
    <w:rsid w:val="00DF506A"/>
    <w:rsid w:val="00DF57A5"/>
    <w:rsid w:val="00DF5FEC"/>
    <w:rsid w:val="00DF64B1"/>
    <w:rsid w:val="00DF684B"/>
    <w:rsid w:val="00DF6E7A"/>
    <w:rsid w:val="00DF7232"/>
    <w:rsid w:val="00DF7CC3"/>
    <w:rsid w:val="00E007AD"/>
    <w:rsid w:val="00E01ABE"/>
    <w:rsid w:val="00E02373"/>
    <w:rsid w:val="00E02DF3"/>
    <w:rsid w:val="00E02E3F"/>
    <w:rsid w:val="00E0349C"/>
    <w:rsid w:val="00E03640"/>
    <w:rsid w:val="00E03C57"/>
    <w:rsid w:val="00E04CB0"/>
    <w:rsid w:val="00E059EC"/>
    <w:rsid w:val="00E071D8"/>
    <w:rsid w:val="00E0760D"/>
    <w:rsid w:val="00E07D4E"/>
    <w:rsid w:val="00E105B2"/>
    <w:rsid w:val="00E109D1"/>
    <w:rsid w:val="00E10EC8"/>
    <w:rsid w:val="00E1187C"/>
    <w:rsid w:val="00E12768"/>
    <w:rsid w:val="00E12986"/>
    <w:rsid w:val="00E12C30"/>
    <w:rsid w:val="00E141CA"/>
    <w:rsid w:val="00E14B19"/>
    <w:rsid w:val="00E1553A"/>
    <w:rsid w:val="00E1585E"/>
    <w:rsid w:val="00E159F1"/>
    <w:rsid w:val="00E15EEA"/>
    <w:rsid w:val="00E16B24"/>
    <w:rsid w:val="00E17EB6"/>
    <w:rsid w:val="00E21CA2"/>
    <w:rsid w:val="00E220AB"/>
    <w:rsid w:val="00E22D70"/>
    <w:rsid w:val="00E23E38"/>
    <w:rsid w:val="00E242AC"/>
    <w:rsid w:val="00E24F72"/>
    <w:rsid w:val="00E253A7"/>
    <w:rsid w:val="00E25FA3"/>
    <w:rsid w:val="00E26302"/>
    <w:rsid w:val="00E26402"/>
    <w:rsid w:val="00E273C6"/>
    <w:rsid w:val="00E27504"/>
    <w:rsid w:val="00E27881"/>
    <w:rsid w:val="00E27B4F"/>
    <w:rsid w:val="00E30B7A"/>
    <w:rsid w:val="00E3183C"/>
    <w:rsid w:val="00E31B88"/>
    <w:rsid w:val="00E3208D"/>
    <w:rsid w:val="00E320E8"/>
    <w:rsid w:val="00E3288E"/>
    <w:rsid w:val="00E33652"/>
    <w:rsid w:val="00E337AC"/>
    <w:rsid w:val="00E3481F"/>
    <w:rsid w:val="00E34B41"/>
    <w:rsid w:val="00E34BA8"/>
    <w:rsid w:val="00E35C21"/>
    <w:rsid w:val="00E35C56"/>
    <w:rsid w:val="00E36172"/>
    <w:rsid w:val="00E363C1"/>
    <w:rsid w:val="00E3669E"/>
    <w:rsid w:val="00E37B50"/>
    <w:rsid w:val="00E417FF"/>
    <w:rsid w:val="00E41AD0"/>
    <w:rsid w:val="00E422E7"/>
    <w:rsid w:val="00E42945"/>
    <w:rsid w:val="00E42BF5"/>
    <w:rsid w:val="00E42E24"/>
    <w:rsid w:val="00E434AE"/>
    <w:rsid w:val="00E43F36"/>
    <w:rsid w:val="00E43F88"/>
    <w:rsid w:val="00E44A4B"/>
    <w:rsid w:val="00E44D3E"/>
    <w:rsid w:val="00E45413"/>
    <w:rsid w:val="00E45AD5"/>
    <w:rsid w:val="00E46CBB"/>
    <w:rsid w:val="00E46CD1"/>
    <w:rsid w:val="00E5045D"/>
    <w:rsid w:val="00E50D14"/>
    <w:rsid w:val="00E51874"/>
    <w:rsid w:val="00E51D67"/>
    <w:rsid w:val="00E52121"/>
    <w:rsid w:val="00E533A4"/>
    <w:rsid w:val="00E53601"/>
    <w:rsid w:val="00E53A22"/>
    <w:rsid w:val="00E53C2A"/>
    <w:rsid w:val="00E5555C"/>
    <w:rsid w:val="00E5633C"/>
    <w:rsid w:val="00E56A39"/>
    <w:rsid w:val="00E57A4A"/>
    <w:rsid w:val="00E61A34"/>
    <w:rsid w:val="00E61C69"/>
    <w:rsid w:val="00E62B11"/>
    <w:rsid w:val="00E632D0"/>
    <w:rsid w:val="00E65C67"/>
    <w:rsid w:val="00E660A0"/>
    <w:rsid w:val="00E6643B"/>
    <w:rsid w:val="00E6687D"/>
    <w:rsid w:val="00E70226"/>
    <w:rsid w:val="00E70763"/>
    <w:rsid w:val="00E707E9"/>
    <w:rsid w:val="00E7274F"/>
    <w:rsid w:val="00E73300"/>
    <w:rsid w:val="00E733B9"/>
    <w:rsid w:val="00E737ED"/>
    <w:rsid w:val="00E73C6C"/>
    <w:rsid w:val="00E753AB"/>
    <w:rsid w:val="00E75F85"/>
    <w:rsid w:val="00E76000"/>
    <w:rsid w:val="00E7646D"/>
    <w:rsid w:val="00E77FA8"/>
    <w:rsid w:val="00E80C26"/>
    <w:rsid w:val="00E8111B"/>
    <w:rsid w:val="00E824A0"/>
    <w:rsid w:val="00E82880"/>
    <w:rsid w:val="00E82C9E"/>
    <w:rsid w:val="00E83D63"/>
    <w:rsid w:val="00E83DC5"/>
    <w:rsid w:val="00E83F47"/>
    <w:rsid w:val="00E84185"/>
    <w:rsid w:val="00E843BC"/>
    <w:rsid w:val="00E84D47"/>
    <w:rsid w:val="00E8594F"/>
    <w:rsid w:val="00E85A78"/>
    <w:rsid w:val="00E87573"/>
    <w:rsid w:val="00E8782F"/>
    <w:rsid w:val="00E907FC"/>
    <w:rsid w:val="00E91CD1"/>
    <w:rsid w:val="00E91E6B"/>
    <w:rsid w:val="00E922C6"/>
    <w:rsid w:val="00E92569"/>
    <w:rsid w:val="00E92D87"/>
    <w:rsid w:val="00E93299"/>
    <w:rsid w:val="00E94402"/>
    <w:rsid w:val="00E95F2F"/>
    <w:rsid w:val="00E963F3"/>
    <w:rsid w:val="00E96A68"/>
    <w:rsid w:val="00E96B48"/>
    <w:rsid w:val="00E9761A"/>
    <w:rsid w:val="00E9773C"/>
    <w:rsid w:val="00EA06C8"/>
    <w:rsid w:val="00EA0C7A"/>
    <w:rsid w:val="00EA17D6"/>
    <w:rsid w:val="00EA180A"/>
    <w:rsid w:val="00EA2489"/>
    <w:rsid w:val="00EA528E"/>
    <w:rsid w:val="00EA55EA"/>
    <w:rsid w:val="00EA5B48"/>
    <w:rsid w:val="00EA6E8E"/>
    <w:rsid w:val="00EA75F8"/>
    <w:rsid w:val="00EA7680"/>
    <w:rsid w:val="00EA79C8"/>
    <w:rsid w:val="00EB05FE"/>
    <w:rsid w:val="00EB073E"/>
    <w:rsid w:val="00EB1116"/>
    <w:rsid w:val="00EB157A"/>
    <w:rsid w:val="00EB15AB"/>
    <w:rsid w:val="00EB1749"/>
    <w:rsid w:val="00EB300B"/>
    <w:rsid w:val="00EB3067"/>
    <w:rsid w:val="00EB36C6"/>
    <w:rsid w:val="00EB3DE2"/>
    <w:rsid w:val="00EB688B"/>
    <w:rsid w:val="00EB6EA9"/>
    <w:rsid w:val="00EB6FCE"/>
    <w:rsid w:val="00EC158F"/>
    <w:rsid w:val="00EC191F"/>
    <w:rsid w:val="00EC1E69"/>
    <w:rsid w:val="00EC25EF"/>
    <w:rsid w:val="00EC2706"/>
    <w:rsid w:val="00EC2757"/>
    <w:rsid w:val="00EC3B92"/>
    <w:rsid w:val="00EC3BCF"/>
    <w:rsid w:val="00EC4B4E"/>
    <w:rsid w:val="00EC5959"/>
    <w:rsid w:val="00EC655A"/>
    <w:rsid w:val="00EC74DC"/>
    <w:rsid w:val="00EC7C61"/>
    <w:rsid w:val="00EC7D13"/>
    <w:rsid w:val="00EC7D98"/>
    <w:rsid w:val="00ED03E9"/>
    <w:rsid w:val="00ED0D81"/>
    <w:rsid w:val="00ED2C2C"/>
    <w:rsid w:val="00ED3909"/>
    <w:rsid w:val="00ED3DC5"/>
    <w:rsid w:val="00ED49D4"/>
    <w:rsid w:val="00ED5C52"/>
    <w:rsid w:val="00ED6FE9"/>
    <w:rsid w:val="00ED7CBA"/>
    <w:rsid w:val="00EE0BB8"/>
    <w:rsid w:val="00EE0CCC"/>
    <w:rsid w:val="00EE0F44"/>
    <w:rsid w:val="00EE1690"/>
    <w:rsid w:val="00EE1E09"/>
    <w:rsid w:val="00EE2D53"/>
    <w:rsid w:val="00EE35AE"/>
    <w:rsid w:val="00EE361B"/>
    <w:rsid w:val="00EE3C11"/>
    <w:rsid w:val="00EE415B"/>
    <w:rsid w:val="00EE4534"/>
    <w:rsid w:val="00EE5865"/>
    <w:rsid w:val="00EE5945"/>
    <w:rsid w:val="00EE5B3D"/>
    <w:rsid w:val="00EE65EF"/>
    <w:rsid w:val="00EE7545"/>
    <w:rsid w:val="00EE7930"/>
    <w:rsid w:val="00EE7958"/>
    <w:rsid w:val="00EF0024"/>
    <w:rsid w:val="00EF03DE"/>
    <w:rsid w:val="00EF0D3D"/>
    <w:rsid w:val="00EF1507"/>
    <w:rsid w:val="00EF1AA7"/>
    <w:rsid w:val="00EF1AEB"/>
    <w:rsid w:val="00EF21F4"/>
    <w:rsid w:val="00EF3CB2"/>
    <w:rsid w:val="00EF3DE8"/>
    <w:rsid w:val="00EF43E5"/>
    <w:rsid w:val="00EF5BA1"/>
    <w:rsid w:val="00EF609E"/>
    <w:rsid w:val="00EF67BE"/>
    <w:rsid w:val="00EF742B"/>
    <w:rsid w:val="00F0015E"/>
    <w:rsid w:val="00F0195A"/>
    <w:rsid w:val="00F0240F"/>
    <w:rsid w:val="00F024E6"/>
    <w:rsid w:val="00F02890"/>
    <w:rsid w:val="00F02A2C"/>
    <w:rsid w:val="00F02F62"/>
    <w:rsid w:val="00F03F4F"/>
    <w:rsid w:val="00F04AC6"/>
    <w:rsid w:val="00F04D93"/>
    <w:rsid w:val="00F06CE0"/>
    <w:rsid w:val="00F073EC"/>
    <w:rsid w:val="00F07591"/>
    <w:rsid w:val="00F07BF2"/>
    <w:rsid w:val="00F10094"/>
    <w:rsid w:val="00F100B1"/>
    <w:rsid w:val="00F105C3"/>
    <w:rsid w:val="00F1070B"/>
    <w:rsid w:val="00F11440"/>
    <w:rsid w:val="00F12106"/>
    <w:rsid w:val="00F1457B"/>
    <w:rsid w:val="00F14AC8"/>
    <w:rsid w:val="00F175C1"/>
    <w:rsid w:val="00F201BB"/>
    <w:rsid w:val="00F20970"/>
    <w:rsid w:val="00F21B66"/>
    <w:rsid w:val="00F23529"/>
    <w:rsid w:val="00F23D60"/>
    <w:rsid w:val="00F242D0"/>
    <w:rsid w:val="00F243B3"/>
    <w:rsid w:val="00F24C0B"/>
    <w:rsid w:val="00F25A4C"/>
    <w:rsid w:val="00F25DF4"/>
    <w:rsid w:val="00F25E1D"/>
    <w:rsid w:val="00F260E0"/>
    <w:rsid w:val="00F26153"/>
    <w:rsid w:val="00F26C30"/>
    <w:rsid w:val="00F273E0"/>
    <w:rsid w:val="00F27739"/>
    <w:rsid w:val="00F2773C"/>
    <w:rsid w:val="00F27830"/>
    <w:rsid w:val="00F278F0"/>
    <w:rsid w:val="00F27C34"/>
    <w:rsid w:val="00F3024B"/>
    <w:rsid w:val="00F304E6"/>
    <w:rsid w:val="00F308F2"/>
    <w:rsid w:val="00F31502"/>
    <w:rsid w:val="00F318BF"/>
    <w:rsid w:val="00F31D66"/>
    <w:rsid w:val="00F322D6"/>
    <w:rsid w:val="00F33325"/>
    <w:rsid w:val="00F3375E"/>
    <w:rsid w:val="00F33F3E"/>
    <w:rsid w:val="00F345EF"/>
    <w:rsid w:val="00F34F0A"/>
    <w:rsid w:val="00F353C6"/>
    <w:rsid w:val="00F35E26"/>
    <w:rsid w:val="00F36B55"/>
    <w:rsid w:val="00F37798"/>
    <w:rsid w:val="00F37C31"/>
    <w:rsid w:val="00F37DE8"/>
    <w:rsid w:val="00F37E3D"/>
    <w:rsid w:val="00F40085"/>
    <w:rsid w:val="00F41411"/>
    <w:rsid w:val="00F426B1"/>
    <w:rsid w:val="00F42DEC"/>
    <w:rsid w:val="00F42E92"/>
    <w:rsid w:val="00F43043"/>
    <w:rsid w:val="00F43354"/>
    <w:rsid w:val="00F437DB"/>
    <w:rsid w:val="00F4526C"/>
    <w:rsid w:val="00F46F0D"/>
    <w:rsid w:val="00F5052E"/>
    <w:rsid w:val="00F5110A"/>
    <w:rsid w:val="00F51620"/>
    <w:rsid w:val="00F518C5"/>
    <w:rsid w:val="00F51E72"/>
    <w:rsid w:val="00F52712"/>
    <w:rsid w:val="00F5382C"/>
    <w:rsid w:val="00F53895"/>
    <w:rsid w:val="00F5390F"/>
    <w:rsid w:val="00F54965"/>
    <w:rsid w:val="00F55A3C"/>
    <w:rsid w:val="00F55CB0"/>
    <w:rsid w:val="00F572A0"/>
    <w:rsid w:val="00F574BA"/>
    <w:rsid w:val="00F574F0"/>
    <w:rsid w:val="00F606AC"/>
    <w:rsid w:val="00F618E0"/>
    <w:rsid w:val="00F629DE"/>
    <w:rsid w:val="00F62B10"/>
    <w:rsid w:val="00F64D16"/>
    <w:rsid w:val="00F6509E"/>
    <w:rsid w:val="00F65CA4"/>
    <w:rsid w:val="00F67418"/>
    <w:rsid w:val="00F6749A"/>
    <w:rsid w:val="00F67762"/>
    <w:rsid w:val="00F678F8"/>
    <w:rsid w:val="00F67E33"/>
    <w:rsid w:val="00F7528C"/>
    <w:rsid w:val="00F75CD0"/>
    <w:rsid w:val="00F768E8"/>
    <w:rsid w:val="00F8023A"/>
    <w:rsid w:val="00F808A6"/>
    <w:rsid w:val="00F80ACE"/>
    <w:rsid w:val="00F8153B"/>
    <w:rsid w:val="00F8158E"/>
    <w:rsid w:val="00F82B13"/>
    <w:rsid w:val="00F82E88"/>
    <w:rsid w:val="00F8373A"/>
    <w:rsid w:val="00F83905"/>
    <w:rsid w:val="00F84AE9"/>
    <w:rsid w:val="00F84BF4"/>
    <w:rsid w:val="00F8574A"/>
    <w:rsid w:val="00F860B4"/>
    <w:rsid w:val="00F86578"/>
    <w:rsid w:val="00F86BB5"/>
    <w:rsid w:val="00F87F26"/>
    <w:rsid w:val="00F90267"/>
    <w:rsid w:val="00F92207"/>
    <w:rsid w:val="00F93977"/>
    <w:rsid w:val="00F94DA2"/>
    <w:rsid w:val="00F94DBB"/>
    <w:rsid w:val="00F960DB"/>
    <w:rsid w:val="00FA1F13"/>
    <w:rsid w:val="00FA1F38"/>
    <w:rsid w:val="00FA20C1"/>
    <w:rsid w:val="00FA28E8"/>
    <w:rsid w:val="00FA3391"/>
    <w:rsid w:val="00FA3582"/>
    <w:rsid w:val="00FA35BF"/>
    <w:rsid w:val="00FA3A32"/>
    <w:rsid w:val="00FA3F03"/>
    <w:rsid w:val="00FA4312"/>
    <w:rsid w:val="00FA5D52"/>
    <w:rsid w:val="00FA68FF"/>
    <w:rsid w:val="00FA6A30"/>
    <w:rsid w:val="00FA6F09"/>
    <w:rsid w:val="00FA6FAA"/>
    <w:rsid w:val="00FA7774"/>
    <w:rsid w:val="00FA7FB3"/>
    <w:rsid w:val="00FB0523"/>
    <w:rsid w:val="00FB14F3"/>
    <w:rsid w:val="00FB226F"/>
    <w:rsid w:val="00FB2534"/>
    <w:rsid w:val="00FB27E3"/>
    <w:rsid w:val="00FB30C6"/>
    <w:rsid w:val="00FB41D6"/>
    <w:rsid w:val="00FB4771"/>
    <w:rsid w:val="00FB4973"/>
    <w:rsid w:val="00FB4B09"/>
    <w:rsid w:val="00FB5D36"/>
    <w:rsid w:val="00FB6D42"/>
    <w:rsid w:val="00FB6F7D"/>
    <w:rsid w:val="00FB7DBA"/>
    <w:rsid w:val="00FC0957"/>
    <w:rsid w:val="00FC09A0"/>
    <w:rsid w:val="00FC0F8F"/>
    <w:rsid w:val="00FC1277"/>
    <w:rsid w:val="00FC1BEF"/>
    <w:rsid w:val="00FC20BC"/>
    <w:rsid w:val="00FC2AB7"/>
    <w:rsid w:val="00FC3117"/>
    <w:rsid w:val="00FC4C5C"/>
    <w:rsid w:val="00FC5DFF"/>
    <w:rsid w:val="00FC65F6"/>
    <w:rsid w:val="00FC692C"/>
    <w:rsid w:val="00FC69F0"/>
    <w:rsid w:val="00FC74E2"/>
    <w:rsid w:val="00FC74E6"/>
    <w:rsid w:val="00FC7512"/>
    <w:rsid w:val="00FC7DF5"/>
    <w:rsid w:val="00FD0334"/>
    <w:rsid w:val="00FD0826"/>
    <w:rsid w:val="00FD0FB5"/>
    <w:rsid w:val="00FD18FD"/>
    <w:rsid w:val="00FD292B"/>
    <w:rsid w:val="00FD36B2"/>
    <w:rsid w:val="00FD445D"/>
    <w:rsid w:val="00FD49DD"/>
    <w:rsid w:val="00FD4BC9"/>
    <w:rsid w:val="00FD52D5"/>
    <w:rsid w:val="00FD5AFB"/>
    <w:rsid w:val="00FD5B16"/>
    <w:rsid w:val="00FD60A2"/>
    <w:rsid w:val="00FD6593"/>
    <w:rsid w:val="00FD6961"/>
    <w:rsid w:val="00FD7C55"/>
    <w:rsid w:val="00FE0486"/>
    <w:rsid w:val="00FE0CB5"/>
    <w:rsid w:val="00FE1025"/>
    <w:rsid w:val="00FE1437"/>
    <w:rsid w:val="00FE1CA1"/>
    <w:rsid w:val="00FE214C"/>
    <w:rsid w:val="00FE22E7"/>
    <w:rsid w:val="00FE271F"/>
    <w:rsid w:val="00FE2930"/>
    <w:rsid w:val="00FE30F4"/>
    <w:rsid w:val="00FE4320"/>
    <w:rsid w:val="00FE45CF"/>
    <w:rsid w:val="00FE4F8E"/>
    <w:rsid w:val="00FE5D8E"/>
    <w:rsid w:val="00FE6BFE"/>
    <w:rsid w:val="00FE70E6"/>
    <w:rsid w:val="00FE7CD3"/>
    <w:rsid w:val="00FF1272"/>
    <w:rsid w:val="00FF193C"/>
    <w:rsid w:val="00FF1EB2"/>
    <w:rsid w:val="00FF21FE"/>
    <w:rsid w:val="00FF22D0"/>
    <w:rsid w:val="00FF34FC"/>
    <w:rsid w:val="00FF36F4"/>
    <w:rsid w:val="00FF399E"/>
    <w:rsid w:val="00FF40EF"/>
    <w:rsid w:val="00FF44E3"/>
    <w:rsid w:val="00FF4A02"/>
    <w:rsid w:val="00FF727D"/>
    <w:rsid w:val="00FF7771"/>
    <w:rsid w:val="00FF79F6"/>
    <w:rsid w:val="00FF7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625B0"/>
  <w15:docId w15:val="{ECF6706C-FFE2-4311-9A48-23049373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2C6"/>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8533CC"/>
    <w:pPr>
      <w:keepNext/>
      <w:keepLines/>
      <w:spacing w:before="480" w:after="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uiPriority w:val="9"/>
    <w:unhideWhenUsed/>
    <w:qFormat/>
    <w:rsid w:val="008533CC"/>
    <w:pPr>
      <w:keepNext/>
      <w:spacing w:before="240" w:after="60"/>
      <w:outlineLvl w:val="1"/>
    </w:pPr>
    <w:rPr>
      <w:rFonts w:ascii="Times New Roman" w:eastAsia="Times New Roman" w:hAnsi="Times New Roman"/>
      <w:b/>
      <w:bCs/>
      <w:i/>
      <w:iCs/>
      <w:sz w:val="28"/>
      <w:szCs w:val="28"/>
      <w:lang w:val="x-none" w:eastAsia="x-none"/>
    </w:rPr>
  </w:style>
  <w:style w:type="paragraph" w:styleId="Heading3">
    <w:name w:val="heading 3"/>
    <w:basedOn w:val="Normal"/>
    <w:next w:val="Normal"/>
    <w:link w:val="Heading3Char"/>
    <w:qFormat/>
    <w:rsid w:val="008533CC"/>
    <w:pPr>
      <w:keepNext/>
      <w:spacing w:before="240" w:after="60" w:line="240" w:lineRule="auto"/>
      <w:outlineLvl w:val="2"/>
    </w:pPr>
    <w:rPr>
      <w:rFonts w:ascii="Times New Roman" w:eastAsia="Times New Roman" w:hAnsi="Times New Roman"/>
      <w:b/>
      <w:bCs/>
      <w:color w:val="000000"/>
      <w:sz w:val="26"/>
      <w:szCs w:val="26"/>
      <w:lang w:val="x-none" w:eastAsia="x-none"/>
    </w:rPr>
  </w:style>
  <w:style w:type="paragraph" w:styleId="Heading4">
    <w:name w:val="heading 4"/>
    <w:basedOn w:val="Normal"/>
    <w:next w:val="Normal"/>
    <w:link w:val="Heading4Char"/>
    <w:uiPriority w:val="9"/>
    <w:unhideWhenUsed/>
    <w:qFormat/>
    <w:rsid w:val="008533CC"/>
    <w:pPr>
      <w:keepNext/>
      <w:spacing w:before="240" w:after="60"/>
      <w:outlineLvl w:val="3"/>
    </w:pPr>
    <w:rPr>
      <w:rFonts w:eastAsia="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46F1"/>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046F1"/>
    <w:rPr>
      <w:b/>
      <w:bCs/>
    </w:rPr>
  </w:style>
  <w:style w:type="paragraph" w:styleId="Footer">
    <w:name w:val="footer"/>
    <w:basedOn w:val="Normal"/>
    <w:link w:val="FooterChar"/>
    <w:uiPriority w:val="99"/>
    <w:unhideWhenUsed/>
    <w:rsid w:val="008533CC"/>
    <w:pPr>
      <w:tabs>
        <w:tab w:val="center" w:pos="4703"/>
        <w:tab w:val="right" w:pos="9406"/>
      </w:tabs>
      <w:spacing w:after="0" w:line="240" w:lineRule="auto"/>
    </w:pPr>
  </w:style>
  <w:style w:type="character" w:customStyle="1" w:styleId="FooterChar">
    <w:name w:val="Footer Char"/>
    <w:basedOn w:val="DefaultParagraphFont"/>
    <w:link w:val="Footer"/>
    <w:uiPriority w:val="99"/>
    <w:rsid w:val="008533CC"/>
    <w:rPr>
      <w:rFonts w:ascii="Calibri" w:eastAsia="Calibri" w:hAnsi="Calibri" w:cs="Times New Roman"/>
      <w:lang w:val="en-US"/>
    </w:rPr>
  </w:style>
  <w:style w:type="character" w:customStyle="1" w:styleId="Heading1Char">
    <w:name w:val="Heading 1 Char"/>
    <w:basedOn w:val="DefaultParagraphFont"/>
    <w:link w:val="Heading1"/>
    <w:uiPriority w:val="9"/>
    <w:rsid w:val="008533CC"/>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uiPriority w:val="9"/>
    <w:rsid w:val="008533CC"/>
    <w:rPr>
      <w:rFonts w:ascii="Times New Roman" w:eastAsia="Times New Roman" w:hAnsi="Times New Roman" w:cs="Times New Roman"/>
      <w:b/>
      <w:bCs/>
      <w:i/>
      <w:iCs/>
      <w:sz w:val="28"/>
      <w:szCs w:val="28"/>
      <w:lang w:val="x-none" w:eastAsia="x-none"/>
    </w:rPr>
  </w:style>
  <w:style w:type="character" w:customStyle="1" w:styleId="Heading3Char">
    <w:name w:val="Heading 3 Char"/>
    <w:basedOn w:val="DefaultParagraphFont"/>
    <w:link w:val="Heading3"/>
    <w:rsid w:val="008533CC"/>
    <w:rPr>
      <w:rFonts w:ascii="Times New Roman" w:eastAsia="Times New Roman" w:hAnsi="Times New Roman" w:cs="Times New Roman"/>
      <w:b/>
      <w:bCs/>
      <w:color w:val="000000"/>
      <w:sz w:val="26"/>
      <w:szCs w:val="26"/>
      <w:lang w:val="x-none" w:eastAsia="x-none"/>
    </w:rPr>
  </w:style>
  <w:style w:type="character" w:customStyle="1" w:styleId="Heading4Char">
    <w:name w:val="Heading 4 Char"/>
    <w:basedOn w:val="DefaultParagraphFont"/>
    <w:link w:val="Heading4"/>
    <w:uiPriority w:val="9"/>
    <w:rsid w:val="008533CC"/>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8533CC"/>
  </w:style>
  <w:style w:type="paragraph" w:styleId="ListParagraph">
    <w:name w:val="List Paragraph"/>
    <w:basedOn w:val="Normal"/>
    <w:link w:val="ListParagraphChar"/>
    <w:uiPriority w:val="34"/>
    <w:qFormat/>
    <w:rsid w:val="008533CC"/>
    <w:pPr>
      <w:shd w:val="clear" w:color="auto" w:fill="FFFFFF"/>
      <w:ind w:left="720"/>
      <w:contextualSpacing/>
      <w:jc w:val="both"/>
    </w:pPr>
    <w:rPr>
      <w:rFonts w:ascii="Arial" w:eastAsia="Times New Roman" w:hAnsi="Arial"/>
      <w:color w:val="000000"/>
      <w:sz w:val="24"/>
      <w:szCs w:val="24"/>
      <w:lang w:val="x-none" w:eastAsia="x-none"/>
    </w:rPr>
  </w:style>
  <w:style w:type="character" w:customStyle="1" w:styleId="ListParagraphChar">
    <w:name w:val="List Paragraph Char"/>
    <w:link w:val="ListParagraph"/>
    <w:uiPriority w:val="34"/>
    <w:locked/>
    <w:rsid w:val="008533CC"/>
    <w:rPr>
      <w:rFonts w:ascii="Arial" w:eastAsia="Times New Roman" w:hAnsi="Arial" w:cs="Times New Roman"/>
      <w:color w:val="000000"/>
      <w:sz w:val="24"/>
      <w:szCs w:val="24"/>
      <w:shd w:val="clear" w:color="auto" w:fill="FFFFFF"/>
      <w:lang w:val="x-none" w:eastAsia="x-none"/>
    </w:rPr>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Fußnot,Char"/>
    <w:basedOn w:val="Normal"/>
    <w:link w:val="FootnoteTextChar"/>
    <w:uiPriority w:val="99"/>
    <w:rsid w:val="008533CC"/>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Fußnot Char"/>
    <w:basedOn w:val="DefaultParagraphFont"/>
    <w:link w:val="FootnoteText"/>
    <w:uiPriority w:val="99"/>
    <w:rsid w:val="008533CC"/>
    <w:rPr>
      <w:rFonts w:ascii="Times New Roman" w:eastAsia="Times New Roman" w:hAnsi="Times New Roman" w:cs="Times New Roman"/>
      <w:sz w:val="20"/>
      <w:szCs w:val="20"/>
      <w:lang w:val="x-none" w:eastAsia="x-none"/>
    </w:rPr>
  </w:style>
  <w:style w:type="character" w:styleId="FootnoteReference">
    <w:name w:val="footnote reference"/>
    <w:aliases w:val="BVI fnr,Footnote symbol,BVI fnr Char Char Char Char Char,BVI fnr Car Car Char Char Char Char Char,BVI fnr Car Char Char Char Char Char,BVI fnr Car Car Car Car Char Char Char1 Char Char Char,BVI fnr Car C,ftref,16 Point,fr,Ref"/>
    <w:link w:val="FootnoteReferenceLVL6"/>
    <w:uiPriority w:val="99"/>
    <w:qFormat/>
    <w:rsid w:val="008533CC"/>
    <w:rPr>
      <w:vertAlign w:val="superscript"/>
    </w:rPr>
  </w:style>
  <w:style w:type="character" w:styleId="CommentReference">
    <w:name w:val="annotation reference"/>
    <w:uiPriority w:val="99"/>
    <w:semiHidden/>
    <w:unhideWhenUsed/>
    <w:rsid w:val="008533CC"/>
    <w:rPr>
      <w:sz w:val="16"/>
      <w:szCs w:val="16"/>
    </w:rPr>
  </w:style>
  <w:style w:type="paragraph" w:styleId="CommentText">
    <w:name w:val="annotation text"/>
    <w:basedOn w:val="Normal"/>
    <w:link w:val="CommentTextChar"/>
    <w:uiPriority w:val="99"/>
    <w:unhideWhenUsed/>
    <w:rsid w:val="008533C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8533CC"/>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8533C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533CC"/>
    <w:rPr>
      <w:rFonts w:ascii="Tahoma" w:eastAsia="Calibri" w:hAnsi="Tahoma" w:cs="Times New Roman"/>
      <w:sz w:val="16"/>
      <w:szCs w:val="16"/>
      <w:lang w:val="x-none" w:eastAsia="x-none"/>
    </w:rPr>
  </w:style>
  <w:style w:type="paragraph" w:styleId="NoSpacing">
    <w:name w:val="No Spacing"/>
    <w:uiPriority w:val="1"/>
    <w:qFormat/>
    <w:rsid w:val="008533CC"/>
    <w:pPr>
      <w:spacing w:after="0" w:line="240" w:lineRule="auto"/>
    </w:pPr>
    <w:rPr>
      <w:rFonts w:ascii="Calibri" w:eastAsia="Times New Roman" w:hAnsi="Calibri" w:cs="Times New Roman"/>
      <w:lang w:val="en-US"/>
    </w:rPr>
  </w:style>
  <w:style w:type="paragraph" w:customStyle="1" w:styleId="t-9-8">
    <w:name w:val="t-9-8"/>
    <w:basedOn w:val="Normal"/>
    <w:rsid w:val="008533CC"/>
    <w:pPr>
      <w:spacing w:before="100" w:beforeAutospacing="1" w:after="100" w:afterAutospacing="1" w:line="240" w:lineRule="auto"/>
    </w:pPr>
    <w:rPr>
      <w:rFonts w:ascii="Times New Roman" w:eastAsia="Times New Roman" w:hAnsi="Times New Roman"/>
      <w:sz w:val="24"/>
      <w:szCs w:val="24"/>
      <w:lang w:val="hr-HR" w:eastAsia="hr-HR"/>
    </w:rPr>
  </w:style>
  <w:style w:type="paragraph" w:customStyle="1" w:styleId="t-11-9-sred">
    <w:name w:val="t-11-9-sred"/>
    <w:basedOn w:val="Normal"/>
    <w:rsid w:val="008533CC"/>
    <w:pPr>
      <w:spacing w:before="100" w:beforeAutospacing="1" w:after="100" w:afterAutospacing="1" w:line="240" w:lineRule="auto"/>
      <w:jc w:val="center"/>
    </w:pPr>
    <w:rPr>
      <w:rFonts w:ascii="Times New Roman" w:eastAsia="Times New Roman" w:hAnsi="Times New Roman"/>
      <w:sz w:val="28"/>
      <w:szCs w:val="28"/>
      <w:lang w:val="hr-HR" w:eastAsia="hr-HR"/>
    </w:rPr>
  </w:style>
  <w:style w:type="paragraph" w:customStyle="1" w:styleId="Default">
    <w:name w:val="Default"/>
    <w:rsid w:val="008533C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uiPriority w:val="99"/>
    <w:rsid w:val="008533CC"/>
    <w:rPr>
      <w:color w:val="000080"/>
      <w:u w:val="single"/>
    </w:rPr>
  </w:style>
  <w:style w:type="paragraph" w:customStyle="1" w:styleId="ColorfulList-Accent11">
    <w:name w:val="Colorful List - Accent 11"/>
    <w:basedOn w:val="Normal"/>
    <w:qFormat/>
    <w:rsid w:val="008533CC"/>
    <w:pPr>
      <w:spacing w:after="0" w:line="240" w:lineRule="auto"/>
      <w:ind w:left="708"/>
    </w:pPr>
    <w:rPr>
      <w:rFonts w:ascii="Times New Roman" w:eastAsia="Times New Roman" w:hAnsi="Times New Roman"/>
      <w:sz w:val="24"/>
      <w:szCs w:val="24"/>
      <w:lang w:val="en-GB" w:eastAsia="hr-HR"/>
    </w:rPr>
  </w:style>
  <w:style w:type="paragraph" w:customStyle="1" w:styleId="ListNumberLevel2">
    <w:name w:val="List Number (Level 2)"/>
    <w:basedOn w:val="Normal"/>
    <w:qFormat/>
    <w:rsid w:val="008533CC"/>
    <w:pPr>
      <w:spacing w:after="120"/>
      <w:jc w:val="both"/>
    </w:pPr>
    <w:rPr>
      <w:rFonts w:ascii="Arial" w:eastAsia="MS Gothic" w:hAnsi="Arial"/>
    </w:rPr>
  </w:style>
  <w:style w:type="paragraph" w:styleId="ListNumber">
    <w:name w:val="List Number"/>
    <w:basedOn w:val="Normal"/>
    <w:uiPriority w:val="99"/>
    <w:semiHidden/>
    <w:unhideWhenUsed/>
    <w:rsid w:val="008533CC"/>
    <w:pPr>
      <w:ind w:left="786" w:hanging="360"/>
      <w:contextualSpacing/>
    </w:pPr>
  </w:style>
  <w:style w:type="paragraph" w:customStyle="1" w:styleId="ListNumberLevel4">
    <w:name w:val="List Number (Level 4)"/>
    <w:basedOn w:val="Normal"/>
    <w:autoRedefine/>
    <w:qFormat/>
    <w:rsid w:val="008533CC"/>
    <w:pPr>
      <w:tabs>
        <w:tab w:val="left" w:pos="630"/>
      </w:tabs>
      <w:suppressAutoHyphens/>
      <w:autoSpaceDN w:val="0"/>
      <w:spacing w:after="0" w:line="240" w:lineRule="auto"/>
      <w:jc w:val="both"/>
      <w:textAlignment w:val="baseline"/>
    </w:pPr>
    <w:rPr>
      <w:rFonts w:ascii="Times New Roman" w:eastAsia="MS Gothic" w:hAnsi="Times New Roman"/>
    </w:rPr>
  </w:style>
  <w:style w:type="table" w:styleId="TableGrid">
    <w:name w:val="Table Grid"/>
    <w:basedOn w:val="TableNormal"/>
    <w:uiPriority w:val="39"/>
    <w:rsid w:val="008533C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33CC"/>
    <w:pPr>
      <w:tabs>
        <w:tab w:val="center" w:pos="4703"/>
        <w:tab w:val="right" w:pos="9406"/>
      </w:tabs>
      <w:spacing w:after="0" w:line="240" w:lineRule="auto"/>
    </w:pPr>
  </w:style>
  <w:style w:type="character" w:customStyle="1" w:styleId="HeaderChar">
    <w:name w:val="Header Char"/>
    <w:basedOn w:val="DefaultParagraphFont"/>
    <w:link w:val="Header"/>
    <w:uiPriority w:val="99"/>
    <w:rsid w:val="008533CC"/>
    <w:rPr>
      <w:rFonts w:ascii="Calibri" w:eastAsia="Calibri" w:hAnsi="Calibri" w:cs="Times New Roman"/>
      <w:lang w:val="en-US"/>
    </w:rPr>
  </w:style>
  <w:style w:type="paragraph" w:styleId="CommentSubject">
    <w:name w:val="annotation subject"/>
    <w:basedOn w:val="CommentText"/>
    <w:next w:val="CommentText"/>
    <w:link w:val="CommentSubjectChar"/>
    <w:uiPriority w:val="99"/>
    <w:semiHidden/>
    <w:unhideWhenUsed/>
    <w:rsid w:val="008533CC"/>
    <w:rPr>
      <w:b/>
      <w:bCs/>
    </w:rPr>
  </w:style>
  <w:style w:type="character" w:customStyle="1" w:styleId="CommentSubjectChar">
    <w:name w:val="Comment Subject Char"/>
    <w:basedOn w:val="CommentTextChar"/>
    <w:link w:val="CommentSubject"/>
    <w:uiPriority w:val="99"/>
    <w:semiHidden/>
    <w:rsid w:val="008533CC"/>
    <w:rPr>
      <w:rFonts w:ascii="Calibri" w:eastAsia="Calibri" w:hAnsi="Calibri" w:cs="Times New Roman"/>
      <w:b/>
      <w:bCs/>
      <w:sz w:val="20"/>
      <w:szCs w:val="20"/>
      <w:lang w:val="x-none" w:eastAsia="x-none"/>
    </w:rPr>
  </w:style>
  <w:style w:type="paragraph" w:styleId="TOCHeading">
    <w:name w:val="TOC Heading"/>
    <w:basedOn w:val="Heading1"/>
    <w:next w:val="Normal"/>
    <w:uiPriority w:val="39"/>
    <w:unhideWhenUsed/>
    <w:qFormat/>
    <w:rsid w:val="008533CC"/>
    <w:pPr>
      <w:outlineLvl w:val="9"/>
    </w:pPr>
  </w:style>
  <w:style w:type="paragraph" w:styleId="TOC2">
    <w:name w:val="toc 2"/>
    <w:basedOn w:val="Normal"/>
    <w:next w:val="Normal"/>
    <w:autoRedefine/>
    <w:uiPriority w:val="39"/>
    <w:unhideWhenUsed/>
    <w:qFormat/>
    <w:rsid w:val="008533CC"/>
    <w:pPr>
      <w:spacing w:after="100"/>
      <w:ind w:left="220"/>
    </w:pPr>
    <w:rPr>
      <w:rFonts w:eastAsia="Times New Roman"/>
    </w:rPr>
  </w:style>
  <w:style w:type="paragraph" w:styleId="TOC1">
    <w:name w:val="toc 1"/>
    <w:basedOn w:val="Normal"/>
    <w:next w:val="Normal"/>
    <w:autoRedefine/>
    <w:uiPriority w:val="39"/>
    <w:unhideWhenUsed/>
    <w:qFormat/>
    <w:rsid w:val="008533CC"/>
    <w:pPr>
      <w:spacing w:after="100"/>
    </w:pPr>
    <w:rPr>
      <w:rFonts w:eastAsia="Times New Roman"/>
    </w:rPr>
  </w:style>
  <w:style w:type="paragraph" w:styleId="TOC3">
    <w:name w:val="toc 3"/>
    <w:basedOn w:val="Normal"/>
    <w:next w:val="Normal"/>
    <w:autoRedefine/>
    <w:uiPriority w:val="39"/>
    <w:unhideWhenUsed/>
    <w:qFormat/>
    <w:rsid w:val="008533CC"/>
    <w:pPr>
      <w:spacing w:after="100"/>
      <w:ind w:left="440"/>
    </w:pPr>
    <w:rPr>
      <w:rFonts w:eastAsia="Times New Roman"/>
    </w:rPr>
  </w:style>
  <w:style w:type="paragraph" w:styleId="Title">
    <w:name w:val="Title"/>
    <w:basedOn w:val="Normal"/>
    <w:next w:val="Normal"/>
    <w:link w:val="TitleChar"/>
    <w:uiPriority w:val="10"/>
    <w:qFormat/>
    <w:rsid w:val="008731BC"/>
    <w:pPr>
      <w:spacing w:before="120" w:after="80" w:line="192" w:lineRule="auto"/>
      <w:ind w:left="1134"/>
    </w:pPr>
    <w:rPr>
      <w:rFonts w:eastAsia="Times New Roman"/>
      <w:noProof/>
      <w:spacing w:val="-10"/>
      <w:kern w:val="28"/>
      <w:sz w:val="28"/>
      <w:szCs w:val="40"/>
    </w:rPr>
  </w:style>
  <w:style w:type="character" w:customStyle="1" w:styleId="TitleChar">
    <w:name w:val="Title Char"/>
    <w:basedOn w:val="DefaultParagraphFont"/>
    <w:link w:val="Title"/>
    <w:uiPriority w:val="10"/>
    <w:rsid w:val="008731BC"/>
    <w:rPr>
      <w:rFonts w:ascii="Calibri" w:eastAsia="Times New Roman" w:hAnsi="Calibri" w:cs="Times New Roman"/>
      <w:noProof/>
      <w:spacing w:val="-10"/>
      <w:kern w:val="28"/>
      <w:sz w:val="28"/>
      <w:szCs w:val="40"/>
      <w:lang w:val="en-US"/>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D61BA1"/>
    <w:pPr>
      <w:spacing w:before="120" w:after="160" w:line="240" w:lineRule="exact"/>
      <w:jc w:val="both"/>
    </w:pPr>
    <w:rPr>
      <w:rFonts w:asciiTheme="minorHAnsi" w:eastAsiaTheme="minorHAnsi" w:hAnsiTheme="minorHAnsi" w:cstheme="minorBidi"/>
      <w:vertAlign w:val="superscript"/>
      <w:lang w:val="en-GB"/>
    </w:rPr>
  </w:style>
  <w:style w:type="paragraph" w:customStyle="1" w:styleId="oj-normal">
    <w:name w:val="oj-normal"/>
    <w:basedOn w:val="Normal"/>
    <w:rsid w:val="000A140D"/>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4F1DD9"/>
    <w:pPr>
      <w:spacing w:after="0" w:line="240" w:lineRule="auto"/>
    </w:pPr>
    <w:rPr>
      <w:rFonts w:ascii="Calibri" w:eastAsia="Calibri" w:hAnsi="Calibri" w:cs="Times New Roman"/>
      <w:lang w:val="en-US"/>
    </w:rPr>
  </w:style>
  <w:style w:type="paragraph" w:customStyle="1" w:styleId="BVIfnrChar1CharCharChar">
    <w:name w:val="BVI fnr Char1 Char Char Char"/>
    <w:aliases w:val="BVI fnr Car Car Char1 Char Char Char,BVI fnr Car Char1 Char Char Char,BVI fnr Car Car Car Car Char Char1 Char Char"/>
    <w:basedOn w:val="Normal"/>
    <w:uiPriority w:val="99"/>
    <w:rsid w:val="00DE17A8"/>
    <w:pPr>
      <w:spacing w:before="120" w:after="160" w:line="240" w:lineRule="exact"/>
      <w:jc w:val="both"/>
    </w:pPr>
    <w:rPr>
      <w:sz w:val="20"/>
      <w:szCs w:val="20"/>
      <w:vertAlign w:val="superscript"/>
      <w:lang w:val="hr-HR" w:eastAsia="hr-HR"/>
    </w:rPr>
  </w:style>
  <w:style w:type="table" w:styleId="GridTable2-Accent5">
    <w:name w:val="Grid Table 2 Accent 5"/>
    <w:basedOn w:val="TableNormal"/>
    <w:uiPriority w:val="47"/>
    <w:rsid w:val="00151A5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151A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E7274F"/>
    <w:rPr>
      <w:color w:val="605E5C"/>
      <w:shd w:val="clear" w:color="auto" w:fill="E1DFDD"/>
    </w:rPr>
  </w:style>
  <w:style w:type="table" w:styleId="GridTable6Colorful-Accent5">
    <w:name w:val="Grid Table 6 Colorful Accent 5"/>
    <w:basedOn w:val="TableNormal"/>
    <w:uiPriority w:val="51"/>
    <w:rsid w:val="00600F4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4">
    <w:name w:val="List Table 3 Accent 4"/>
    <w:basedOn w:val="TableNormal"/>
    <w:uiPriority w:val="48"/>
    <w:rsid w:val="001C2AC6"/>
    <w:pPr>
      <w:spacing w:after="0" w:line="240" w:lineRule="auto"/>
    </w:pPr>
    <w:rPr>
      <w:kern w:val="2"/>
      <w:lang w:val="en-US"/>
      <w14:ligatures w14:val="standardContextual"/>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1893">
      <w:bodyDiv w:val="1"/>
      <w:marLeft w:val="0"/>
      <w:marRight w:val="0"/>
      <w:marTop w:val="0"/>
      <w:marBottom w:val="0"/>
      <w:divBdr>
        <w:top w:val="none" w:sz="0" w:space="0" w:color="auto"/>
        <w:left w:val="none" w:sz="0" w:space="0" w:color="auto"/>
        <w:bottom w:val="none" w:sz="0" w:space="0" w:color="auto"/>
        <w:right w:val="none" w:sz="0" w:space="0" w:color="auto"/>
      </w:divBdr>
    </w:div>
    <w:div w:id="17119443">
      <w:bodyDiv w:val="1"/>
      <w:marLeft w:val="0"/>
      <w:marRight w:val="0"/>
      <w:marTop w:val="0"/>
      <w:marBottom w:val="0"/>
      <w:divBdr>
        <w:top w:val="none" w:sz="0" w:space="0" w:color="auto"/>
        <w:left w:val="none" w:sz="0" w:space="0" w:color="auto"/>
        <w:bottom w:val="none" w:sz="0" w:space="0" w:color="auto"/>
        <w:right w:val="none" w:sz="0" w:space="0" w:color="auto"/>
      </w:divBdr>
    </w:div>
    <w:div w:id="129904043">
      <w:bodyDiv w:val="1"/>
      <w:marLeft w:val="0"/>
      <w:marRight w:val="0"/>
      <w:marTop w:val="0"/>
      <w:marBottom w:val="0"/>
      <w:divBdr>
        <w:top w:val="none" w:sz="0" w:space="0" w:color="auto"/>
        <w:left w:val="none" w:sz="0" w:space="0" w:color="auto"/>
        <w:bottom w:val="none" w:sz="0" w:space="0" w:color="auto"/>
        <w:right w:val="none" w:sz="0" w:space="0" w:color="auto"/>
      </w:divBdr>
    </w:div>
    <w:div w:id="143282451">
      <w:bodyDiv w:val="1"/>
      <w:marLeft w:val="0"/>
      <w:marRight w:val="0"/>
      <w:marTop w:val="0"/>
      <w:marBottom w:val="0"/>
      <w:divBdr>
        <w:top w:val="none" w:sz="0" w:space="0" w:color="auto"/>
        <w:left w:val="none" w:sz="0" w:space="0" w:color="auto"/>
        <w:bottom w:val="none" w:sz="0" w:space="0" w:color="auto"/>
        <w:right w:val="none" w:sz="0" w:space="0" w:color="auto"/>
      </w:divBdr>
    </w:div>
    <w:div w:id="161631595">
      <w:bodyDiv w:val="1"/>
      <w:marLeft w:val="0"/>
      <w:marRight w:val="0"/>
      <w:marTop w:val="0"/>
      <w:marBottom w:val="0"/>
      <w:divBdr>
        <w:top w:val="none" w:sz="0" w:space="0" w:color="auto"/>
        <w:left w:val="none" w:sz="0" w:space="0" w:color="auto"/>
        <w:bottom w:val="none" w:sz="0" w:space="0" w:color="auto"/>
        <w:right w:val="none" w:sz="0" w:space="0" w:color="auto"/>
      </w:divBdr>
    </w:div>
    <w:div w:id="184516462">
      <w:bodyDiv w:val="1"/>
      <w:marLeft w:val="0"/>
      <w:marRight w:val="0"/>
      <w:marTop w:val="0"/>
      <w:marBottom w:val="0"/>
      <w:divBdr>
        <w:top w:val="none" w:sz="0" w:space="0" w:color="auto"/>
        <w:left w:val="none" w:sz="0" w:space="0" w:color="auto"/>
        <w:bottom w:val="none" w:sz="0" w:space="0" w:color="auto"/>
        <w:right w:val="none" w:sz="0" w:space="0" w:color="auto"/>
      </w:divBdr>
    </w:div>
    <w:div w:id="202057267">
      <w:bodyDiv w:val="1"/>
      <w:marLeft w:val="0"/>
      <w:marRight w:val="0"/>
      <w:marTop w:val="0"/>
      <w:marBottom w:val="0"/>
      <w:divBdr>
        <w:top w:val="none" w:sz="0" w:space="0" w:color="auto"/>
        <w:left w:val="none" w:sz="0" w:space="0" w:color="auto"/>
        <w:bottom w:val="none" w:sz="0" w:space="0" w:color="auto"/>
        <w:right w:val="none" w:sz="0" w:space="0" w:color="auto"/>
      </w:divBdr>
    </w:div>
    <w:div w:id="233666109">
      <w:bodyDiv w:val="1"/>
      <w:marLeft w:val="0"/>
      <w:marRight w:val="0"/>
      <w:marTop w:val="0"/>
      <w:marBottom w:val="0"/>
      <w:divBdr>
        <w:top w:val="none" w:sz="0" w:space="0" w:color="auto"/>
        <w:left w:val="none" w:sz="0" w:space="0" w:color="auto"/>
        <w:bottom w:val="none" w:sz="0" w:space="0" w:color="auto"/>
        <w:right w:val="none" w:sz="0" w:space="0" w:color="auto"/>
      </w:divBdr>
    </w:div>
    <w:div w:id="252250551">
      <w:bodyDiv w:val="1"/>
      <w:marLeft w:val="0"/>
      <w:marRight w:val="0"/>
      <w:marTop w:val="0"/>
      <w:marBottom w:val="0"/>
      <w:divBdr>
        <w:top w:val="none" w:sz="0" w:space="0" w:color="auto"/>
        <w:left w:val="none" w:sz="0" w:space="0" w:color="auto"/>
        <w:bottom w:val="none" w:sz="0" w:space="0" w:color="auto"/>
        <w:right w:val="none" w:sz="0" w:space="0" w:color="auto"/>
      </w:divBdr>
    </w:div>
    <w:div w:id="262612175">
      <w:bodyDiv w:val="1"/>
      <w:marLeft w:val="0"/>
      <w:marRight w:val="0"/>
      <w:marTop w:val="0"/>
      <w:marBottom w:val="0"/>
      <w:divBdr>
        <w:top w:val="none" w:sz="0" w:space="0" w:color="auto"/>
        <w:left w:val="none" w:sz="0" w:space="0" w:color="auto"/>
        <w:bottom w:val="none" w:sz="0" w:space="0" w:color="auto"/>
        <w:right w:val="none" w:sz="0" w:space="0" w:color="auto"/>
      </w:divBdr>
    </w:div>
    <w:div w:id="287514061">
      <w:bodyDiv w:val="1"/>
      <w:marLeft w:val="0"/>
      <w:marRight w:val="0"/>
      <w:marTop w:val="0"/>
      <w:marBottom w:val="0"/>
      <w:divBdr>
        <w:top w:val="none" w:sz="0" w:space="0" w:color="auto"/>
        <w:left w:val="none" w:sz="0" w:space="0" w:color="auto"/>
        <w:bottom w:val="none" w:sz="0" w:space="0" w:color="auto"/>
        <w:right w:val="none" w:sz="0" w:space="0" w:color="auto"/>
      </w:divBdr>
    </w:div>
    <w:div w:id="299960789">
      <w:bodyDiv w:val="1"/>
      <w:marLeft w:val="0"/>
      <w:marRight w:val="0"/>
      <w:marTop w:val="0"/>
      <w:marBottom w:val="0"/>
      <w:divBdr>
        <w:top w:val="none" w:sz="0" w:space="0" w:color="auto"/>
        <w:left w:val="none" w:sz="0" w:space="0" w:color="auto"/>
        <w:bottom w:val="none" w:sz="0" w:space="0" w:color="auto"/>
        <w:right w:val="none" w:sz="0" w:space="0" w:color="auto"/>
      </w:divBdr>
    </w:div>
    <w:div w:id="313602377">
      <w:bodyDiv w:val="1"/>
      <w:marLeft w:val="0"/>
      <w:marRight w:val="0"/>
      <w:marTop w:val="0"/>
      <w:marBottom w:val="0"/>
      <w:divBdr>
        <w:top w:val="none" w:sz="0" w:space="0" w:color="auto"/>
        <w:left w:val="none" w:sz="0" w:space="0" w:color="auto"/>
        <w:bottom w:val="none" w:sz="0" w:space="0" w:color="auto"/>
        <w:right w:val="none" w:sz="0" w:space="0" w:color="auto"/>
      </w:divBdr>
    </w:div>
    <w:div w:id="360204803">
      <w:bodyDiv w:val="1"/>
      <w:marLeft w:val="0"/>
      <w:marRight w:val="0"/>
      <w:marTop w:val="0"/>
      <w:marBottom w:val="0"/>
      <w:divBdr>
        <w:top w:val="none" w:sz="0" w:space="0" w:color="auto"/>
        <w:left w:val="none" w:sz="0" w:space="0" w:color="auto"/>
        <w:bottom w:val="none" w:sz="0" w:space="0" w:color="auto"/>
        <w:right w:val="none" w:sz="0" w:space="0" w:color="auto"/>
      </w:divBdr>
    </w:div>
    <w:div w:id="361133398">
      <w:bodyDiv w:val="1"/>
      <w:marLeft w:val="0"/>
      <w:marRight w:val="0"/>
      <w:marTop w:val="0"/>
      <w:marBottom w:val="0"/>
      <w:divBdr>
        <w:top w:val="none" w:sz="0" w:space="0" w:color="auto"/>
        <w:left w:val="none" w:sz="0" w:space="0" w:color="auto"/>
        <w:bottom w:val="none" w:sz="0" w:space="0" w:color="auto"/>
        <w:right w:val="none" w:sz="0" w:space="0" w:color="auto"/>
      </w:divBdr>
    </w:div>
    <w:div w:id="383868566">
      <w:bodyDiv w:val="1"/>
      <w:marLeft w:val="0"/>
      <w:marRight w:val="0"/>
      <w:marTop w:val="0"/>
      <w:marBottom w:val="0"/>
      <w:divBdr>
        <w:top w:val="none" w:sz="0" w:space="0" w:color="auto"/>
        <w:left w:val="none" w:sz="0" w:space="0" w:color="auto"/>
        <w:bottom w:val="none" w:sz="0" w:space="0" w:color="auto"/>
        <w:right w:val="none" w:sz="0" w:space="0" w:color="auto"/>
      </w:divBdr>
    </w:div>
    <w:div w:id="384958963">
      <w:bodyDiv w:val="1"/>
      <w:marLeft w:val="0"/>
      <w:marRight w:val="0"/>
      <w:marTop w:val="0"/>
      <w:marBottom w:val="0"/>
      <w:divBdr>
        <w:top w:val="none" w:sz="0" w:space="0" w:color="auto"/>
        <w:left w:val="none" w:sz="0" w:space="0" w:color="auto"/>
        <w:bottom w:val="none" w:sz="0" w:space="0" w:color="auto"/>
        <w:right w:val="none" w:sz="0" w:space="0" w:color="auto"/>
      </w:divBdr>
    </w:div>
    <w:div w:id="386953651">
      <w:bodyDiv w:val="1"/>
      <w:marLeft w:val="0"/>
      <w:marRight w:val="0"/>
      <w:marTop w:val="0"/>
      <w:marBottom w:val="0"/>
      <w:divBdr>
        <w:top w:val="none" w:sz="0" w:space="0" w:color="auto"/>
        <w:left w:val="none" w:sz="0" w:space="0" w:color="auto"/>
        <w:bottom w:val="none" w:sz="0" w:space="0" w:color="auto"/>
        <w:right w:val="none" w:sz="0" w:space="0" w:color="auto"/>
      </w:divBdr>
    </w:div>
    <w:div w:id="390661291">
      <w:bodyDiv w:val="1"/>
      <w:marLeft w:val="0"/>
      <w:marRight w:val="0"/>
      <w:marTop w:val="0"/>
      <w:marBottom w:val="0"/>
      <w:divBdr>
        <w:top w:val="none" w:sz="0" w:space="0" w:color="auto"/>
        <w:left w:val="none" w:sz="0" w:space="0" w:color="auto"/>
        <w:bottom w:val="none" w:sz="0" w:space="0" w:color="auto"/>
        <w:right w:val="none" w:sz="0" w:space="0" w:color="auto"/>
      </w:divBdr>
      <w:divsChild>
        <w:div w:id="1837067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419133">
      <w:bodyDiv w:val="1"/>
      <w:marLeft w:val="0"/>
      <w:marRight w:val="0"/>
      <w:marTop w:val="0"/>
      <w:marBottom w:val="0"/>
      <w:divBdr>
        <w:top w:val="none" w:sz="0" w:space="0" w:color="auto"/>
        <w:left w:val="none" w:sz="0" w:space="0" w:color="auto"/>
        <w:bottom w:val="none" w:sz="0" w:space="0" w:color="auto"/>
        <w:right w:val="none" w:sz="0" w:space="0" w:color="auto"/>
      </w:divBdr>
    </w:div>
    <w:div w:id="424426720">
      <w:bodyDiv w:val="1"/>
      <w:marLeft w:val="0"/>
      <w:marRight w:val="0"/>
      <w:marTop w:val="0"/>
      <w:marBottom w:val="0"/>
      <w:divBdr>
        <w:top w:val="none" w:sz="0" w:space="0" w:color="auto"/>
        <w:left w:val="none" w:sz="0" w:space="0" w:color="auto"/>
        <w:bottom w:val="none" w:sz="0" w:space="0" w:color="auto"/>
        <w:right w:val="none" w:sz="0" w:space="0" w:color="auto"/>
      </w:divBdr>
    </w:div>
    <w:div w:id="430200214">
      <w:bodyDiv w:val="1"/>
      <w:marLeft w:val="0"/>
      <w:marRight w:val="0"/>
      <w:marTop w:val="0"/>
      <w:marBottom w:val="0"/>
      <w:divBdr>
        <w:top w:val="none" w:sz="0" w:space="0" w:color="auto"/>
        <w:left w:val="none" w:sz="0" w:space="0" w:color="auto"/>
        <w:bottom w:val="none" w:sz="0" w:space="0" w:color="auto"/>
        <w:right w:val="none" w:sz="0" w:space="0" w:color="auto"/>
      </w:divBdr>
    </w:div>
    <w:div w:id="431171042">
      <w:bodyDiv w:val="1"/>
      <w:marLeft w:val="0"/>
      <w:marRight w:val="0"/>
      <w:marTop w:val="0"/>
      <w:marBottom w:val="0"/>
      <w:divBdr>
        <w:top w:val="none" w:sz="0" w:space="0" w:color="auto"/>
        <w:left w:val="none" w:sz="0" w:space="0" w:color="auto"/>
        <w:bottom w:val="none" w:sz="0" w:space="0" w:color="auto"/>
        <w:right w:val="none" w:sz="0" w:space="0" w:color="auto"/>
      </w:divBdr>
    </w:div>
    <w:div w:id="432559230">
      <w:bodyDiv w:val="1"/>
      <w:marLeft w:val="0"/>
      <w:marRight w:val="0"/>
      <w:marTop w:val="0"/>
      <w:marBottom w:val="0"/>
      <w:divBdr>
        <w:top w:val="none" w:sz="0" w:space="0" w:color="auto"/>
        <w:left w:val="none" w:sz="0" w:space="0" w:color="auto"/>
        <w:bottom w:val="none" w:sz="0" w:space="0" w:color="auto"/>
        <w:right w:val="none" w:sz="0" w:space="0" w:color="auto"/>
      </w:divBdr>
    </w:div>
    <w:div w:id="460851731">
      <w:bodyDiv w:val="1"/>
      <w:marLeft w:val="0"/>
      <w:marRight w:val="0"/>
      <w:marTop w:val="0"/>
      <w:marBottom w:val="0"/>
      <w:divBdr>
        <w:top w:val="none" w:sz="0" w:space="0" w:color="auto"/>
        <w:left w:val="none" w:sz="0" w:space="0" w:color="auto"/>
        <w:bottom w:val="none" w:sz="0" w:space="0" w:color="auto"/>
        <w:right w:val="none" w:sz="0" w:space="0" w:color="auto"/>
      </w:divBdr>
    </w:div>
    <w:div w:id="492572962">
      <w:bodyDiv w:val="1"/>
      <w:marLeft w:val="0"/>
      <w:marRight w:val="0"/>
      <w:marTop w:val="0"/>
      <w:marBottom w:val="0"/>
      <w:divBdr>
        <w:top w:val="none" w:sz="0" w:space="0" w:color="auto"/>
        <w:left w:val="none" w:sz="0" w:space="0" w:color="auto"/>
        <w:bottom w:val="none" w:sz="0" w:space="0" w:color="auto"/>
        <w:right w:val="none" w:sz="0" w:space="0" w:color="auto"/>
      </w:divBdr>
    </w:div>
    <w:div w:id="495654684">
      <w:bodyDiv w:val="1"/>
      <w:marLeft w:val="0"/>
      <w:marRight w:val="0"/>
      <w:marTop w:val="0"/>
      <w:marBottom w:val="0"/>
      <w:divBdr>
        <w:top w:val="none" w:sz="0" w:space="0" w:color="auto"/>
        <w:left w:val="none" w:sz="0" w:space="0" w:color="auto"/>
        <w:bottom w:val="none" w:sz="0" w:space="0" w:color="auto"/>
        <w:right w:val="none" w:sz="0" w:space="0" w:color="auto"/>
      </w:divBdr>
    </w:div>
    <w:div w:id="527567993">
      <w:bodyDiv w:val="1"/>
      <w:marLeft w:val="0"/>
      <w:marRight w:val="0"/>
      <w:marTop w:val="0"/>
      <w:marBottom w:val="0"/>
      <w:divBdr>
        <w:top w:val="none" w:sz="0" w:space="0" w:color="auto"/>
        <w:left w:val="none" w:sz="0" w:space="0" w:color="auto"/>
        <w:bottom w:val="none" w:sz="0" w:space="0" w:color="auto"/>
        <w:right w:val="none" w:sz="0" w:space="0" w:color="auto"/>
      </w:divBdr>
    </w:div>
    <w:div w:id="538591948">
      <w:bodyDiv w:val="1"/>
      <w:marLeft w:val="0"/>
      <w:marRight w:val="0"/>
      <w:marTop w:val="0"/>
      <w:marBottom w:val="0"/>
      <w:divBdr>
        <w:top w:val="none" w:sz="0" w:space="0" w:color="auto"/>
        <w:left w:val="none" w:sz="0" w:space="0" w:color="auto"/>
        <w:bottom w:val="none" w:sz="0" w:space="0" w:color="auto"/>
        <w:right w:val="none" w:sz="0" w:space="0" w:color="auto"/>
      </w:divBdr>
    </w:div>
    <w:div w:id="622736103">
      <w:bodyDiv w:val="1"/>
      <w:marLeft w:val="0"/>
      <w:marRight w:val="0"/>
      <w:marTop w:val="0"/>
      <w:marBottom w:val="0"/>
      <w:divBdr>
        <w:top w:val="none" w:sz="0" w:space="0" w:color="auto"/>
        <w:left w:val="none" w:sz="0" w:space="0" w:color="auto"/>
        <w:bottom w:val="none" w:sz="0" w:space="0" w:color="auto"/>
        <w:right w:val="none" w:sz="0" w:space="0" w:color="auto"/>
      </w:divBdr>
    </w:div>
    <w:div w:id="671102578">
      <w:bodyDiv w:val="1"/>
      <w:marLeft w:val="0"/>
      <w:marRight w:val="0"/>
      <w:marTop w:val="0"/>
      <w:marBottom w:val="0"/>
      <w:divBdr>
        <w:top w:val="none" w:sz="0" w:space="0" w:color="auto"/>
        <w:left w:val="none" w:sz="0" w:space="0" w:color="auto"/>
        <w:bottom w:val="none" w:sz="0" w:space="0" w:color="auto"/>
        <w:right w:val="none" w:sz="0" w:space="0" w:color="auto"/>
      </w:divBdr>
    </w:div>
    <w:div w:id="690493055">
      <w:bodyDiv w:val="1"/>
      <w:marLeft w:val="0"/>
      <w:marRight w:val="0"/>
      <w:marTop w:val="0"/>
      <w:marBottom w:val="0"/>
      <w:divBdr>
        <w:top w:val="none" w:sz="0" w:space="0" w:color="auto"/>
        <w:left w:val="none" w:sz="0" w:space="0" w:color="auto"/>
        <w:bottom w:val="none" w:sz="0" w:space="0" w:color="auto"/>
        <w:right w:val="none" w:sz="0" w:space="0" w:color="auto"/>
      </w:divBdr>
    </w:div>
    <w:div w:id="714624308">
      <w:bodyDiv w:val="1"/>
      <w:marLeft w:val="0"/>
      <w:marRight w:val="0"/>
      <w:marTop w:val="0"/>
      <w:marBottom w:val="0"/>
      <w:divBdr>
        <w:top w:val="none" w:sz="0" w:space="0" w:color="auto"/>
        <w:left w:val="none" w:sz="0" w:space="0" w:color="auto"/>
        <w:bottom w:val="none" w:sz="0" w:space="0" w:color="auto"/>
        <w:right w:val="none" w:sz="0" w:space="0" w:color="auto"/>
      </w:divBdr>
      <w:divsChild>
        <w:div w:id="566495080">
          <w:marLeft w:val="0"/>
          <w:marRight w:val="0"/>
          <w:marTop w:val="0"/>
          <w:marBottom w:val="0"/>
          <w:divBdr>
            <w:top w:val="none" w:sz="0" w:space="0" w:color="auto"/>
            <w:left w:val="none" w:sz="0" w:space="0" w:color="auto"/>
            <w:bottom w:val="none" w:sz="0" w:space="0" w:color="auto"/>
            <w:right w:val="none" w:sz="0" w:space="0" w:color="auto"/>
          </w:divBdr>
          <w:divsChild>
            <w:div w:id="1516503815">
              <w:marLeft w:val="0"/>
              <w:marRight w:val="0"/>
              <w:marTop w:val="0"/>
              <w:marBottom w:val="0"/>
              <w:divBdr>
                <w:top w:val="none" w:sz="0" w:space="0" w:color="auto"/>
                <w:left w:val="none" w:sz="0" w:space="0" w:color="auto"/>
                <w:bottom w:val="none" w:sz="0" w:space="0" w:color="auto"/>
                <w:right w:val="none" w:sz="0" w:space="0" w:color="auto"/>
              </w:divBdr>
              <w:divsChild>
                <w:div w:id="919485290">
                  <w:marLeft w:val="0"/>
                  <w:marRight w:val="0"/>
                  <w:marTop w:val="0"/>
                  <w:marBottom w:val="0"/>
                  <w:divBdr>
                    <w:top w:val="none" w:sz="0" w:space="0" w:color="auto"/>
                    <w:left w:val="none" w:sz="0" w:space="0" w:color="auto"/>
                    <w:bottom w:val="none" w:sz="0" w:space="0" w:color="auto"/>
                    <w:right w:val="none" w:sz="0" w:space="0" w:color="auto"/>
                  </w:divBdr>
                  <w:divsChild>
                    <w:div w:id="800461109">
                      <w:marLeft w:val="0"/>
                      <w:marRight w:val="0"/>
                      <w:marTop w:val="0"/>
                      <w:marBottom w:val="0"/>
                      <w:divBdr>
                        <w:top w:val="none" w:sz="0" w:space="0" w:color="auto"/>
                        <w:left w:val="none" w:sz="0" w:space="0" w:color="auto"/>
                        <w:bottom w:val="none" w:sz="0" w:space="0" w:color="auto"/>
                        <w:right w:val="none" w:sz="0" w:space="0" w:color="auto"/>
                      </w:divBdr>
                      <w:divsChild>
                        <w:div w:id="1337926703">
                          <w:marLeft w:val="0"/>
                          <w:marRight w:val="0"/>
                          <w:marTop w:val="0"/>
                          <w:marBottom w:val="0"/>
                          <w:divBdr>
                            <w:top w:val="none" w:sz="0" w:space="0" w:color="auto"/>
                            <w:left w:val="none" w:sz="0" w:space="0" w:color="auto"/>
                            <w:bottom w:val="none" w:sz="0" w:space="0" w:color="auto"/>
                            <w:right w:val="none" w:sz="0" w:space="0" w:color="auto"/>
                          </w:divBdr>
                          <w:divsChild>
                            <w:div w:id="410396598">
                              <w:marLeft w:val="0"/>
                              <w:marRight w:val="0"/>
                              <w:marTop w:val="0"/>
                              <w:marBottom w:val="0"/>
                              <w:divBdr>
                                <w:top w:val="none" w:sz="0" w:space="0" w:color="auto"/>
                                <w:left w:val="none" w:sz="0" w:space="0" w:color="auto"/>
                                <w:bottom w:val="none" w:sz="0" w:space="0" w:color="auto"/>
                                <w:right w:val="none" w:sz="0" w:space="0" w:color="auto"/>
                              </w:divBdr>
                            </w:div>
                            <w:div w:id="2113434467">
                              <w:marLeft w:val="0"/>
                              <w:marRight w:val="0"/>
                              <w:marTop w:val="0"/>
                              <w:marBottom w:val="0"/>
                              <w:divBdr>
                                <w:top w:val="none" w:sz="0" w:space="0" w:color="auto"/>
                                <w:left w:val="none" w:sz="0" w:space="0" w:color="auto"/>
                                <w:bottom w:val="none" w:sz="0" w:space="0" w:color="auto"/>
                                <w:right w:val="none" w:sz="0" w:space="0" w:color="auto"/>
                              </w:divBdr>
                              <w:divsChild>
                                <w:div w:id="1653408655">
                                  <w:marLeft w:val="0"/>
                                  <w:marRight w:val="0"/>
                                  <w:marTop w:val="0"/>
                                  <w:marBottom w:val="0"/>
                                  <w:divBdr>
                                    <w:top w:val="none" w:sz="0" w:space="0" w:color="auto"/>
                                    <w:left w:val="none" w:sz="0" w:space="0" w:color="auto"/>
                                    <w:bottom w:val="none" w:sz="0" w:space="0" w:color="auto"/>
                                    <w:right w:val="none" w:sz="0" w:space="0" w:color="auto"/>
                                  </w:divBdr>
                                  <w:divsChild>
                                    <w:div w:id="1793085538">
                                      <w:marLeft w:val="0"/>
                                      <w:marRight w:val="0"/>
                                      <w:marTop w:val="0"/>
                                      <w:marBottom w:val="0"/>
                                      <w:divBdr>
                                        <w:top w:val="none" w:sz="0" w:space="0" w:color="auto"/>
                                        <w:left w:val="none" w:sz="0" w:space="0" w:color="auto"/>
                                        <w:bottom w:val="none" w:sz="0" w:space="0" w:color="auto"/>
                                        <w:right w:val="none" w:sz="0" w:space="0" w:color="auto"/>
                                      </w:divBdr>
                                      <w:divsChild>
                                        <w:div w:id="1736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942208">
      <w:bodyDiv w:val="1"/>
      <w:marLeft w:val="0"/>
      <w:marRight w:val="0"/>
      <w:marTop w:val="0"/>
      <w:marBottom w:val="0"/>
      <w:divBdr>
        <w:top w:val="none" w:sz="0" w:space="0" w:color="auto"/>
        <w:left w:val="none" w:sz="0" w:space="0" w:color="auto"/>
        <w:bottom w:val="none" w:sz="0" w:space="0" w:color="auto"/>
        <w:right w:val="none" w:sz="0" w:space="0" w:color="auto"/>
      </w:divBdr>
    </w:div>
    <w:div w:id="729231392">
      <w:bodyDiv w:val="1"/>
      <w:marLeft w:val="0"/>
      <w:marRight w:val="0"/>
      <w:marTop w:val="0"/>
      <w:marBottom w:val="0"/>
      <w:divBdr>
        <w:top w:val="none" w:sz="0" w:space="0" w:color="auto"/>
        <w:left w:val="none" w:sz="0" w:space="0" w:color="auto"/>
        <w:bottom w:val="none" w:sz="0" w:space="0" w:color="auto"/>
        <w:right w:val="none" w:sz="0" w:space="0" w:color="auto"/>
      </w:divBdr>
    </w:div>
    <w:div w:id="731272488">
      <w:bodyDiv w:val="1"/>
      <w:marLeft w:val="0"/>
      <w:marRight w:val="0"/>
      <w:marTop w:val="0"/>
      <w:marBottom w:val="0"/>
      <w:divBdr>
        <w:top w:val="none" w:sz="0" w:space="0" w:color="auto"/>
        <w:left w:val="none" w:sz="0" w:space="0" w:color="auto"/>
        <w:bottom w:val="none" w:sz="0" w:space="0" w:color="auto"/>
        <w:right w:val="none" w:sz="0" w:space="0" w:color="auto"/>
      </w:divBdr>
    </w:div>
    <w:div w:id="782845095">
      <w:bodyDiv w:val="1"/>
      <w:marLeft w:val="0"/>
      <w:marRight w:val="0"/>
      <w:marTop w:val="0"/>
      <w:marBottom w:val="0"/>
      <w:divBdr>
        <w:top w:val="none" w:sz="0" w:space="0" w:color="auto"/>
        <w:left w:val="none" w:sz="0" w:space="0" w:color="auto"/>
        <w:bottom w:val="none" w:sz="0" w:space="0" w:color="auto"/>
        <w:right w:val="none" w:sz="0" w:space="0" w:color="auto"/>
      </w:divBdr>
    </w:div>
    <w:div w:id="793132635">
      <w:bodyDiv w:val="1"/>
      <w:marLeft w:val="0"/>
      <w:marRight w:val="0"/>
      <w:marTop w:val="0"/>
      <w:marBottom w:val="0"/>
      <w:divBdr>
        <w:top w:val="none" w:sz="0" w:space="0" w:color="auto"/>
        <w:left w:val="none" w:sz="0" w:space="0" w:color="auto"/>
        <w:bottom w:val="none" w:sz="0" w:space="0" w:color="auto"/>
        <w:right w:val="none" w:sz="0" w:space="0" w:color="auto"/>
      </w:divBdr>
    </w:div>
    <w:div w:id="799883480">
      <w:bodyDiv w:val="1"/>
      <w:marLeft w:val="0"/>
      <w:marRight w:val="0"/>
      <w:marTop w:val="0"/>
      <w:marBottom w:val="0"/>
      <w:divBdr>
        <w:top w:val="none" w:sz="0" w:space="0" w:color="auto"/>
        <w:left w:val="none" w:sz="0" w:space="0" w:color="auto"/>
        <w:bottom w:val="none" w:sz="0" w:space="0" w:color="auto"/>
        <w:right w:val="none" w:sz="0" w:space="0" w:color="auto"/>
      </w:divBdr>
    </w:div>
    <w:div w:id="812598598">
      <w:bodyDiv w:val="1"/>
      <w:marLeft w:val="0"/>
      <w:marRight w:val="0"/>
      <w:marTop w:val="0"/>
      <w:marBottom w:val="0"/>
      <w:divBdr>
        <w:top w:val="none" w:sz="0" w:space="0" w:color="auto"/>
        <w:left w:val="none" w:sz="0" w:space="0" w:color="auto"/>
        <w:bottom w:val="none" w:sz="0" w:space="0" w:color="auto"/>
        <w:right w:val="none" w:sz="0" w:space="0" w:color="auto"/>
      </w:divBdr>
    </w:div>
    <w:div w:id="826822414">
      <w:bodyDiv w:val="1"/>
      <w:marLeft w:val="0"/>
      <w:marRight w:val="0"/>
      <w:marTop w:val="0"/>
      <w:marBottom w:val="0"/>
      <w:divBdr>
        <w:top w:val="none" w:sz="0" w:space="0" w:color="auto"/>
        <w:left w:val="none" w:sz="0" w:space="0" w:color="auto"/>
        <w:bottom w:val="none" w:sz="0" w:space="0" w:color="auto"/>
        <w:right w:val="none" w:sz="0" w:space="0" w:color="auto"/>
      </w:divBdr>
    </w:div>
    <w:div w:id="869225836">
      <w:bodyDiv w:val="1"/>
      <w:marLeft w:val="0"/>
      <w:marRight w:val="0"/>
      <w:marTop w:val="0"/>
      <w:marBottom w:val="0"/>
      <w:divBdr>
        <w:top w:val="none" w:sz="0" w:space="0" w:color="auto"/>
        <w:left w:val="none" w:sz="0" w:space="0" w:color="auto"/>
        <w:bottom w:val="none" w:sz="0" w:space="0" w:color="auto"/>
        <w:right w:val="none" w:sz="0" w:space="0" w:color="auto"/>
      </w:divBdr>
    </w:div>
    <w:div w:id="882012249">
      <w:bodyDiv w:val="1"/>
      <w:marLeft w:val="0"/>
      <w:marRight w:val="0"/>
      <w:marTop w:val="0"/>
      <w:marBottom w:val="0"/>
      <w:divBdr>
        <w:top w:val="none" w:sz="0" w:space="0" w:color="auto"/>
        <w:left w:val="none" w:sz="0" w:space="0" w:color="auto"/>
        <w:bottom w:val="none" w:sz="0" w:space="0" w:color="auto"/>
        <w:right w:val="none" w:sz="0" w:space="0" w:color="auto"/>
      </w:divBdr>
    </w:div>
    <w:div w:id="901713171">
      <w:bodyDiv w:val="1"/>
      <w:marLeft w:val="0"/>
      <w:marRight w:val="0"/>
      <w:marTop w:val="0"/>
      <w:marBottom w:val="0"/>
      <w:divBdr>
        <w:top w:val="none" w:sz="0" w:space="0" w:color="auto"/>
        <w:left w:val="none" w:sz="0" w:space="0" w:color="auto"/>
        <w:bottom w:val="none" w:sz="0" w:space="0" w:color="auto"/>
        <w:right w:val="none" w:sz="0" w:space="0" w:color="auto"/>
      </w:divBdr>
    </w:div>
    <w:div w:id="931206322">
      <w:bodyDiv w:val="1"/>
      <w:marLeft w:val="0"/>
      <w:marRight w:val="0"/>
      <w:marTop w:val="0"/>
      <w:marBottom w:val="0"/>
      <w:divBdr>
        <w:top w:val="none" w:sz="0" w:space="0" w:color="auto"/>
        <w:left w:val="none" w:sz="0" w:space="0" w:color="auto"/>
        <w:bottom w:val="none" w:sz="0" w:space="0" w:color="auto"/>
        <w:right w:val="none" w:sz="0" w:space="0" w:color="auto"/>
      </w:divBdr>
    </w:div>
    <w:div w:id="931863730">
      <w:bodyDiv w:val="1"/>
      <w:marLeft w:val="0"/>
      <w:marRight w:val="0"/>
      <w:marTop w:val="0"/>
      <w:marBottom w:val="0"/>
      <w:divBdr>
        <w:top w:val="none" w:sz="0" w:space="0" w:color="auto"/>
        <w:left w:val="none" w:sz="0" w:space="0" w:color="auto"/>
        <w:bottom w:val="none" w:sz="0" w:space="0" w:color="auto"/>
        <w:right w:val="none" w:sz="0" w:space="0" w:color="auto"/>
      </w:divBdr>
    </w:div>
    <w:div w:id="957838597">
      <w:bodyDiv w:val="1"/>
      <w:marLeft w:val="0"/>
      <w:marRight w:val="0"/>
      <w:marTop w:val="0"/>
      <w:marBottom w:val="0"/>
      <w:divBdr>
        <w:top w:val="none" w:sz="0" w:space="0" w:color="auto"/>
        <w:left w:val="none" w:sz="0" w:space="0" w:color="auto"/>
        <w:bottom w:val="none" w:sz="0" w:space="0" w:color="auto"/>
        <w:right w:val="none" w:sz="0" w:space="0" w:color="auto"/>
      </w:divBdr>
    </w:div>
    <w:div w:id="961420903">
      <w:bodyDiv w:val="1"/>
      <w:marLeft w:val="0"/>
      <w:marRight w:val="0"/>
      <w:marTop w:val="0"/>
      <w:marBottom w:val="0"/>
      <w:divBdr>
        <w:top w:val="none" w:sz="0" w:space="0" w:color="auto"/>
        <w:left w:val="none" w:sz="0" w:space="0" w:color="auto"/>
        <w:bottom w:val="none" w:sz="0" w:space="0" w:color="auto"/>
        <w:right w:val="none" w:sz="0" w:space="0" w:color="auto"/>
      </w:divBdr>
    </w:div>
    <w:div w:id="969898183">
      <w:bodyDiv w:val="1"/>
      <w:marLeft w:val="0"/>
      <w:marRight w:val="0"/>
      <w:marTop w:val="0"/>
      <w:marBottom w:val="0"/>
      <w:divBdr>
        <w:top w:val="none" w:sz="0" w:space="0" w:color="auto"/>
        <w:left w:val="none" w:sz="0" w:space="0" w:color="auto"/>
        <w:bottom w:val="none" w:sz="0" w:space="0" w:color="auto"/>
        <w:right w:val="none" w:sz="0" w:space="0" w:color="auto"/>
      </w:divBdr>
    </w:div>
    <w:div w:id="993145160">
      <w:bodyDiv w:val="1"/>
      <w:marLeft w:val="0"/>
      <w:marRight w:val="0"/>
      <w:marTop w:val="0"/>
      <w:marBottom w:val="0"/>
      <w:divBdr>
        <w:top w:val="none" w:sz="0" w:space="0" w:color="auto"/>
        <w:left w:val="none" w:sz="0" w:space="0" w:color="auto"/>
        <w:bottom w:val="none" w:sz="0" w:space="0" w:color="auto"/>
        <w:right w:val="none" w:sz="0" w:space="0" w:color="auto"/>
      </w:divBdr>
    </w:div>
    <w:div w:id="1044867687">
      <w:bodyDiv w:val="1"/>
      <w:marLeft w:val="0"/>
      <w:marRight w:val="0"/>
      <w:marTop w:val="0"/>
      <w:marBottom w:val="0"/>
      <w:divBdr>
        <w:top w:val="none" w:sz="0" w:space="0" w:color="auto"/>
        <w:left w:val="none" w:sz="0" w:space="0" w:color="auto"/>
        <w:bottom w:val="none" w:sz="0" w:space="0" w:color="auto"/>
        <w:right w:val="none" w:sz="0" w:space="0" w:color="auto"/>
      </w:divBdr>
    </w:div>
    <w:div w:id="1048265025">
      <w:bodyDiv w:val="1"/>
      <w:marLeft w:val="0"/>
      <w:marRight w:val="0"/>
      <w:marTop w:val="0"/>
      <w:marBottom w:val="0"/>
      <w:divBdr>
        <w:top w:val="none" w:sz="0" w:space="0" w:color="auto"/>
        <w:left w:val="none" w:sz="0" w:space="0" w:color="auto"/>
        <w:bottom w:val="none" w:sz="0" w:space="0" w:color="auto"/>
        <w:right w:val="none" w:sz="0" w:space="0" w:color="auto"/>
      </w:divBdr>
    </w:div>
    <w:div w:id="1093936826">
      <w:bodyDiv w:val="1"/>
      <w:marLeft w:val="0"/>
      <w:marRight w:val="0"/>
      <w:marTop w:val="0"/>
      <w:marBottom w:val="0"/>
      <w:divBdr>
        <w:top w:val="none" w:sz="0" w:space="0" w:color="auto"/>
        <w:left w:val="none" w:sz="0" w:space="0" w:color="auto"/>
        <w:bottom w:val="none" w:sz="0" w:space="0" w:color="auto"/>
        <w:right w:val="none" w:sz="0" w:space="0" w:color="auto"/>
      </w:divBdr>
    </w:div>
    <w:div w:id="1106852333">
      <w:bodyDiv w:val="1"/>
      <w:marLeft w:val="0"/>
      <w:marRight w:val="0"/>
      <w:marTop w:val="0"/>
      <w:marBottom w:val="0"/>
      <w:divBdr>
        <w:top w:val="none" w:sz="0" w:space="0" w:color="auto"/>
        <w:left w:val="none" w:sz="0" w:space="0" w:color="auto"/>
        <w:bottom w:val="none" w:sz="0" w:space="0" w:color="auto"/>
        <w:right w:val="none" w:sz="0" w:space="0" w:color="auto"/>
      </w:divBdr>
    </w:div>
    <w:div w:id="1111778925">
      <w:bodyDiv w:val="1"/>
      <w:marLeft w:val="0"/>
      <w:marRight w:val="0"/>
      <w:marTop w:val="0"/>
      <w:marBottom w:val="0"/>
      <w:divBdr>
        <w:top w:val="none" w:sz="0" w:space="0" w:color="auto"/>
        <w:left w:val="none" w:sz="0" w:space="0" w:color="auto"/>
        <w:bottom w:val="none" w:sz="0" w:space="0" w:color="auto"/>
        <w:right w:val="none" w:sz="0" w:space="0" w:color="auto"/>
      </w:divBdr>
    </w:div>
    <w:div w:id="1142623149">
      <w:bodyDiv w:val="1"/>
      <w:marLeft w:val="0"/>
      <w:marRight w:val="0"/>
      <w:marTop w:val="0"/>
      <w:marBottom w:val="0"/>
      <w:divBdr>
        <w:top w:val="none" w:sz="0" w:space="0" w:color="auto"/>
        <w:left w:val="none" w:sz="0" w:space="0" w:color="auto"/>
        <w:bottom w:val="none" w:sz="0" w:space="0" w:color="auto"/>
        <w:right w:val="none" w:sz="0" w:space="0" w:color="auto"/>
      </w:divBdr>
    </w:div>
    <w:div w:id="1212574366">
      <w:bodyDiv w:val="1"/>
      <w:marLeft w:val="0"/>
      <w:marRight w:val="0"/>
      <w:marTop w:val="0"/>
      <w:marBottom w:val="0"/>
      <w:divBdr>
        <w:top w:val="none" w:sz="0" w:space="0" w:color="auto"/>
        <w:left w:val="none" w:sz="0" w:space="0" w:color="auto"/>
        <w:bottom w:val="none" w:sz="0" w:space="0" w:color="auto"/>
        <w:right w:val="none" w:sz="0" w:space="0" w:color="auto"/>
      </w:divBdr>
    </w:div>
    <w:div w:id="1226795486">
      <w:bodyDiv w:val="1"/>
      <w:marLeft w:val="0"/>
      <w:marRight w:val="0"/>
      <w:marTop w:val="0"/>
      <w:marBottom w:val="0"/>
      <w:divBdr>
        <w:top w:val="none" w:sz="0" w:space="0" w:color="auto"/>
        <w:left w:val="none" w:sz="0" w:space="0" w:color="auto"/>
        <w:bottom w:val="none" w:sz="0" w:space="0" w:color="auto"/>
        <w:right w:val="none" w:sz="0" w:space="0" w:color="auto"/>
      </w:divBdr>
    </w:div>
    <w:div w:id="1232083647">
      <w:bodyDiv w:val="1"/>
      <w:marLeft w:val="0"/>
      <w:marRight w:val="0"/>
      <w:marTop w:val="0"/>
      <w:marBottom w:val="0"/>
      <w:divBdr>
        <w:top w:val="none" w:sz="0" w:space="0" w:color="auto"/>
        <w:left w:val="none" w:sz="0" w:space="0" w:color="auto"/>
        <w:bottom w:val="none" w:sz="0" w:space="0" w:color="auto"/>
        <w:right w:val="none" w:sz="0" w:space="0" w:color="auto"/>
      </w:divBdr>
    </w:div>
    <w:div w:id="1266038083">
      <w:bodyDiv w:val="1"/>
      <w:marLeft w:val="0"/>
      <w:marRight w:val="0"/>
      <w:marTop w:val="0"/>
      <w:marBottom w:val="0"/>
      <w:divBdr>
        <w:top w:val="none" w:sz="0" w:space="0" w:color="auto"/>
        <w:left w:val="none" w:sz="0" w:space="0" w:color="auto"/>
        <w:bottom w:val="none" w:sz="0" w:space="0" w:color="auto"/>
        <w:right w:val="none" w:sz="0" w:space="0" w:color="auto"/>
      </w:divBdr>
    </w:div>
    <w:div w:id="1341853933">
      <w:bodyDiv w:val="1"/>
      <w:marLeft w:val="0"/>
      <w:marRight w:val="0"/>
      <w:marTop w:val="0"/>
      <w:marBottom w:val="0"/>
      <w:divBdr>
        <w:top w:val="none" w:sz="0" w:space="0" w:color="auto"/>
        <w:left w:val="none" w:sz="0" w:space="0" w:color="auto"/>
        <w:bottom w:val="none" w:sz="0" w:space="0" w:color="auto"/>
        <w:right w:val="none" w:sz="0" w:space="0" w:color="auto"/>
      </w:divBdr>
    </w:div>
    <w:div w:id="1366710800">
      <w:bodyDiv w:val="1"/>
      <w:marLeft w:val="0"/>
      <w:marRight w:val="0"/>
      <w:marTop w:val="0"/>
      <w:marBottom w:val="0"/>
      <w:divBdr>
        <w:top w:val="none" w:sz="0" w:space="0" w:color="auto"/>
        <w:left w:val="none" w:sz="0" w:space="0" w:color="auto"/>
        <w:bottom w:val="none" w:sz="0" w:space="0" w:color="auto"/>
        <w:right w:val="none" w:sz="0" w:space="0" w:color="auto"/>
      </w:divBdr>
    </w:div>
    <w:div w:id="1398557164">
      <w:bodyDiv w:val="1"/>
      <w:marLeft w:val="0"/>
      <w:marRight w:val="0"/>
      <w:marTop w:val="0"/>
      <w:marBottom w:val="0"/>
      <w:divBdr>
        <w:top w:val="none" w:sz="0" w:space="0" w:color="auto"/>
        <w:left w:val="none" w:sz="0" w:space="0" w:color="auto"/>
        <w:bottom w:val="none" w:sz="0" w:space="0" w:color="auto"/>
        <w:right w:val="none" w:sz="0" w:space="0" w:color="auto"/>
      </w:divBdr>
    </w:div>
    <w:div w:id="1415661024">
      <w:bodyDiv w:val="1"/>
      <w:marLeft w:val="0"/>
      <w:marRight w:val="0"/>
      <w:marTop w:val="0"/>
      <w:marBottom w:val="0"/>
      <w:divBdr>
        <w:top w:val="none" w:sz="0" w:space="0" w:color="auto"/>
        <w:left w:val="none" w:sz="0" w:space="0" w:color="auto"/>
        <w:bottom w:val="none" w:sz="0" w:space="0" w:color="auto"/>
        <w:right w:val="none" w:sz="0" w:space="0" w:color="auto"/>
      </w:divBdr>
    </w:div>
    <w:div w:id="1419138766">
      <w:bodyDiv w:val="1"/>
      <w:marLeft w:val="0"/>
      <w:marRight w:val="0"/>
      <w:marTop w:val="0"/>
      <w:marBottom w:val="0"/>
      <w:divBdr>
        <w:top w:val="none" w:sz="0" w:space="0" w:color="auto"/>
        <w:left w:val="none" w:sz="0" w:space="0" w:color="auto"/>
        <w:bottom w:val="none" w:sz="0" w:space="0" w:color="auto"/>
        <w:right w:val="none" w:sz="0" w:space="0" w:color="auto"/>
      </w:divBdr>
    </w:div>
    <w:div w:id="1441338640">
      <w:bodyDiv w:val="1"/>
      <w:marLeft w:val="0"/>
      <w:marRight w:val="0"/>
      <w:marTop w:val="0"/>
      <w:marBottom w:val="0"/>
      <w:divBdr>
        <w:top w:val="none" w:sz="0" w:space="0" w:color="auto"/>
        <w:left w:val="none" w:sz="0" w:space="0" w:color="auto"/>
        <w:bottom w:val="none" w:sz="0" w:space="0" w:color="auto"/>
        <w:right w:val="none" w:sz="0" w:space="0" w:color="auto"/>
      </w:divBdr>
    </w:div>
    <w:div w:id="1497375321">
      <w:bodyDiv w:val="1"/>
      <w:marLeft w:val="0"/>
      <w:marRight w:val="0"/>
      <w:marTop w:val="0"/>
      <w:marBottom w:val="0"/>
      <w:divBdr>
        <w:top w:val="none" w:sz="0" w:space="0" w:color="auto"/>
        <w:left w:val="none" w:sz="0" w:space="0" w:color="auto"/>
        <w:bottom w:val="none" w:sz="0" w:space="0" w:color="auto"/>
        <w:right w:val="none" w:sz="0" w:space="0" w:color="auto"/>
      </w:divBdr>
    </w:div>
    <w:div w:id="1529678892">
      <w:bodyDiv w:val="1"/>
      <w:marLeft w:val="0"/>
      <w:marRight w:val="0"/>
      <w:marTop w:val="0"/>
      <w:marBottom w:val="0"/>
      <w:divBdr>
        <w:top w:val="none" w:sz="0" w:space="0" w:color="auto"/>
        <w:left w:val="none" w:sz="0" w:space="0" w:color="auto"/>
        <w:bottom w:val="none" w:sz="0" w:space="0" w:color="auto"/>
        <w:right w:val="none" w:sz="0" w:space="0" w:color="auto"/>
      </w:divBdr>
    </w:div>
    <w:div w:id="1545213402">
      <w:bodyDiv w:val="1"/>
      <w:marLeft w:val="0"/>
      <w:marRight w:val="0"/>
      <w:marTop w:val="0"/>
      <w:marBottom w:val="0"/>
      <w:divBdr>
        <w:top w:val="none" w:sz="0" w:space="0" w:color="auto"/>
        <w:left w:val="none" w:sz="0" w:space="0" w:color="auto"/>
        <w:bottom w:val="none" w:sz="0" w:space="0" w:color="auto"/>
        <w:right w:val="none" w:sz="0" w:space="0" w:color="auto"/>
      </w:divBdr>
    </w:div>
    <w:div w:id="1560239408">
      <w:bodyDiv w:val="1"/>
      <w:marLeft w:val="0"/>
      <w:marRight w:val="0"/>
      <w:marTop w:val="0"/>
      <w:marBottom w:val="0"/>
      <w:divBdr>
        <w:top w:val="none" w:sz="0" w:space="0" w:color="auto"/>
        <w:left w:val="none" w:sz="0" w:space="0" w:color="auto"/>
        <w:bottom w:val="none" w:sz="0" w:space="0" w:color="auto"/>
        <w:right w:val="none" w:sz="0" w:space="0" w:color="auto"/>
      </w:divBdr>
      <w:divsChild>
        <w:div w:id="1004894807">
          <w:marLeft w:val="0"/>
          <w:marRight w:val="0"/>
          <w:marTop w:val="0"/>
          <w:marBottom w:val="0"/>
          <w:divBdr>
            <w:top w:val="none" w:sz="0" w:space="0" w:color="auto"/>
            <w:left w:val="none" w:sz="0" w:space="0" w:color="auto"/>
            <w:bottom w:val="none" w:sz="0" w:space="0" w:color="auto"/>
            <w:right w:val="none" w:sz="0" w:space="0" w:color="auto"/>
          </w:divBdr>
          <w:divsChild>
            <w:div w:id="1037317746">
              <w:marLeft w:val="0"/>
              <w:marRight w:val="0"/>
              <w:marTop w:val="0"/>
              <w:marBottom w:val="0"/>
              <w:divBdr>
                <w:top w:val="none" w:sz="0" w:space="0" w:color="auto"/>
                <w:left w:val="none" w:sz="0" w:space="0" w:color="auto"/>
                <w:bottom w:val="none" w:sz="0" w:space="0" w:color="auto"/>
                <w:right w:val="none" w:sz="0" w:space="0" w:color="auto"/>
              </w:divBdr>
              <w:divsChild>
                <w:div w:id="893271776">
                  <w:marLeft w:val="0"/>
                  <w:marRight w:val="0"/>
                  <w:marTop w:val="0"/>
                  <w:marBottom w:val="0"/>
                  <w:divBdr>
                    <w:top w:val="none" w:sz="0" w:space="0" w:color="auto"/>
                    <w:left w:val="none" w:sz="0" w:space="0" w:color="auto"/>
                    <w:bottom w:val="none" w:sz="0" w:space="0" w:color="auto"/>
                    <w:right w:val="none" w:sz="0" w:space="0" w:color="auto"/>
                  </w:divBdr>
                  <w:divsChild>
                    <w:div w:id="1213346511">
                      <w:marLeft w:val="0"/>
                      <w:marRight w:val="0"/>
                      <w:marTop w:val="0"/>
                      <w:marBottom w:val="0"/>
                      <w:divBdr>
                        <w:top w:val="none" w:sz="0" w:space="0" w:color="auto"/>
                        <w:left w:val="none" w:sz="0" w:space="0" w:color="auto"/>
                        <w:bottom w:val="none" w:sz="0" w:space="0" w:color="auto"/>
                        <w:right w:val="none" w:sz="0" w:space="0" w:color="auto"/>
                      </w:divBdr>
                      <w:divsChild>
                        <w:div w:id="1232932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44157435">
          <w:marLeft w:val="0"/>
          <w:marRight w:val="0"/>
          <w:marTop w:val="0"/>
          <w:marBottom w:val="0"/>
          <w:divBdr>
            <w:top w:val="none" w:sz="0" w:space="0" w:color="auto"/>
            <w:left w:val="none" w:sz="0" w:space="0" w:color="auto"/>
            <w:bottom w:val="none" w:sz="0" w:space="0" w:color="auto"/>
            <w:right w:val="none" w:sz="0" w:space="0" w:color="auto"/>
          </w:divBdr>
          <w:divsChild>
            <w:div w:id="1073813094">
              <w:marLeft w:val="0"/>
              <w:marRight w:val="0"/>
              <w:marTop w:val="0"/>
              <w:marBottom w:val="0"/>
              <w:divBdr>
                <w:top w:val="none" w:sz="0" w:space="0" w:color="auto"/>
                <w:left w:val="none" w:sz="0" w:space="0" w:color="auto"/>
                <w:bottom w:val="none" w:sz="0" w:space="0" w:color="auto"/>
                <w:right w:val="none" w:sz="0" w:space="0" w:color="auto"/>
              </w:divBdr>
              <w:divsChild>
                <w:div w:id="444620912">
                  <w:marLeft w:val="0"/>
                  <w:marRight w:val="0"/>
                  <w:marTop w:val="0"/>
                  <w:marBottom w:val="0"/>
                  <w:divBdr>
                    <w:top w:val="none" w:sz="0" w:space="0" w:color="auto"/>
                    <w:left w:val="none" w:sz="0" w:space="0" w:color="auto"/>
                    <w:bottom w:val="none" w:sz="0" w:space="0" w:color="auto"/>
                    <w:right w:val="none" w:sz="0" w:space="0" w:color="auto"/>
                  </w:divBdr>
                  <w:divsChild>
                    <w:div w:id="1460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197221">
      <w:bodyDiv w:val="1"/>
      <w:marLeft w:val="0"/>
      <w:marRight w:val="0"/>
      <w:marTop w:val="0"/>
      <w:marBottom w:val="0"/>
      <w:divBdr>
        <w:top w:val="none" w:sz="0" w:space="0" w:color="auto"/>
        <w:left w:val="none" w:sz="0" w:space="0" w:color="auto"/>
        <w:bottom w:val="none" w:sz="0" w:space="0" w:color="auto"/>
        <w:right w:val="none" w:sz="0" w:space="0" w:color="auto"/>
      </w:divBdr>
    </w:div>
    <w:div w:id="1603415298">
      <w:bodyDiv w:val="1"/>
      <w:marLeft w:val="0"/>
      <w:marRight w:val="0"/>
      <w:marTop w:val="0"/>
      <w:marBottom w:val="0"/>
      <w:divBdr>
        <w:top w:val="none" w:sz="0" w:space="0" w:color="auto"/>
        <w:left w:val="none" w:sz="0" w:space="0" w:color="auto"/>
        <w:bottom w:val="none" w:sz="0" w:space="0" w:color="auto"/>
        <w:right w:val="none" w:sz="0" w:space="0" w:color="auto"/>
      </w:divBdr>
    </w:div>
    <w:div w:id="1686007603">
      <w:bodyDiv w:val="1"/>
      <w:marLeft w:val="0"/>
      <w:marRight w:val="0"/>
      <w:marTop w:val="0"/>
      <w:marBottom w:val="0"/>
      <w:divBdr>
        <w:top w:val="none" w:sz="0" w:space="0" w:color="auto"/>
        <w:left w:val="none" w:sz="0" w:space="0" w:color="auto"/>
        <w:bottom w:val="none" w:sz="0" w:space="0" w:color="auto"/>
        <w:right w:val="none" w:sz="0" w:space="0" w:color="auto"/>
      </w:divBdr>
    </w:div>
    <w:div w:id="1708600498">
      <w:bodyDiv w:val="1"/>
      <w:marLeft w:val="0"/>
      <w:marRight w:val="0"/>
      <w:marTop w:val="0"/>
      <w:marBottom w:val="0"/>
      <w:divBdr>
        <w:top w:val="none" w:sz="0" w:space="0" w:color="auto"/>
        <w:left w:val="none" w:sz="0" w:space="0" w:color="auto"/>
        <w:bottom w:val="none" w:sz="0" w:space="0" w:color="auto"/>
        <w:right w:val="none" w:sz="0" w:space="0" w:color="auto"/>
      </w:divBdr>
    </w:div>
    <w:div w:id="1769734641">
      <w:bodyDiv w:val="1"/>
      <w:marLeft w:val="0"/>
      <w:marRight w:val="0"/>
      <w:marTop w:val="0"/>
      <w:marBottom w:val="0"/>
      <w:divBdr>
        <w:top w:val="none" w:sz="0" w:space="0" w:color="auto"/>
        <w:left w:val="none" w:sz="0" w:space="0" w:color="auto"/>
        <w:bottom w:val="none" w:sz="0" w:space="0" w:color="auto"/>
        <w:right w:val="none" w:sz="0" w:space="0" w:color="auto"/>
      </w:divBdr>
    </w:div>
    <w:div w:id="1775859004">
      <w:bodyDiv w:val="1"/>
      <w:marLeft w:val="0"/>
      <w:marRight w:val="0"/>
      <w:marTop w:val="0"/>
      <w:marBottom w:val="0"/>
      <w:divBdr>
        <w:top w:val="none" w:sz="0" w:space="0" w:color="auto"/>
        <w:left w:val="none" w:sz="0" w:space="0" w:color="auto"/>
        <w:bottom w:val="none" w:sz="0" w:space="0" w:color="auto"/>
        <w:right w:val="none" w:sz="0" w:space="0" w:color="auto"/>
      </w:divBdr>
    </w:div>
    <w:div w:id="1847472781">
      <w:bodyDiv w:val="1"/>
      <w:marLeft w:val="0"/>
      <w:marRight w:val="0"/>
      <w:marTop w:val="0"/>
      <w:marBottom w:val="0"/>
      <w:divBdr>
        <w:top w:val="none" w:sz="0" w:space="0" w:color="auto"/>
        <w:left w:val="none" w:sz="0" w:space="0" w:color="auto"/>
        <w:bottom w:val="none" w:sz="0" w:space="0" w:color="auto"/>
        <w:right w:val="none" w:sz="0" w:space="0" w:color="auto"/>
      </w:divBdr>
    </w:div>
    <w:div w:id="1857882772">
      <w:bodyDiv w:val="1"/>
      <w:marLeft w:val="0"/>
      <w:marRight w:val="0"/>
      <w:marTop w:val="0"/>
      <w:marBottom w:val="0"/>
      <w:divBdr>
        <w:top w:val="none" w:sz="0" w:space="0" w:color="auto"/>
        <w:left w:val="none" w:sz="0" w:space="0" w:color="auto"/>
        <w:bottom w:val="none" w:sz="0" w:space="0" w:color="auto"/>
        <w:right w:val="none" w:sz="0" w:space="0" w:color="auto"/>
      </w:divBdr>
    </w:div>
    <w:div w:id="1858881415">
      <w:bodyDiv w:val="1"/>
      <w:marLeft w:val="0"/>
      <w:marRight w:val="0"/>
      <w:marTop w:val="0"/>
      <w:marBottom w:val="0"/>
      <w:divBdr>
        <w:top w:val="none" w:sz="0" w:space="0" w:color="auto"/>
        <w:left w:val="none" w:sz="0" w:space="0" w:color="auto"/>
        <w:bottom w:val="none" w:sz="0" w:space="0" w:color="auto"/>
        <w:right w:val="none" w:sz="0" w:space="0" w:color="auto"/>
      </w:divBdr>
    </w:div>
    <w:div w:id="1903248577">
      <w:bodyDiv w:val="1"/>
      <w:marLeft w:val="0"/>
      <w:marRight w:val="0"/>
      <w:marTop w:val="0"/>
      <w:marBottom w:val="0"/>
      <w:divBdr>
        <w:top w:val="none" w:sz="0" w:space="0" w:color="auto"/>
        <w:left w:val="none" w:sz="0" w:space="0" w:color="auto"/>
        <w:bottom w:val="none" w:sz="0" w:space="0" w:color="auto"/>
        <w:right w:val="none" w:sz="0" w:space="0" w:color="auto"/>
      </w:divBdr>
    </w:div>
    <w:div w:id="1980107886">
      <w:bodyDiv w:val="1"/>
      <w:marLeft w:val="0"/>
      <w:marRight w:val="0"/>
      <w:marTop w:val="0"/>
      <w:marBottom w:val="0"/>
      <w:divBdr>
        <w:top w:val="none" w:sz="0" w:space="0" w:color="auto"/>
        <w:left w:val="none" w:sz="0" w:space="0" w:color="auto"/>
        <w:bottom w:val="none" w:sz="0" w:space="0" w:color="auto"/>
        <w:right w:val="none" w:sz="0" w:space="0" w:color="auto"/>
      </w:divBdr>
    </w:div>
    <w:div w:id="2007634085">
      <w:bodyDiv w:val="1"/>
      <w:marLeft w:val="0"/>
      <w:marRight w:val="0"/>
      <w:marTop w:val="0"/>
      <w:marBottom w:val="0"/>
      <w:divBdr>
        <w:top w:val="none" w:sz="0" w:space="0" w:color="auto"/>
        <w:left w:val="none" w:sz="0" w:space="0" w:color="auto"/>
        <w:bottom w:val="none" w:sz="0" w:space="0" w:color="auto"/>
        <w:right w:val="none" w:sz="0" w:space="0" w:color="auto"/>
      </w:divBdr>
    </w:div>
    <w:div w:id="2050766205">
      <w:bodyDiv w:val="1"/>
      <w:marLeft w:val="0"/>
      <w:marRight w:val="0"/>
      <w:marTop w:val="0"/>
      <w:marBottom w:val="0"/>
      <w:divBdr>
        <w:top w:val="none" w:sz="0" w:space="0" w:color="auto"/>
        <w:left w:val="none" w:sz="0" w:space="0" w:color="auto"/>
        <w:bottom w:val="none" w:sz="0" w:space="0" w:color="auto"/>
        <w:right w:val="none" w:sz="0" w:space="0" w:color="auto"/>
      </w:divBdr>
    </w:div>
    <w:div w:id="2113041488">
      <w:bodyDiv w:val="1"/>
      <w:marLeft w:val="0"/>
      <w:marRight w:val="0"/>
      <w:marTop w:val="0"/>
      <w:marBottom w:val="0"/>
      <w:divBdr>
        <w:top w:val="none" w:sz="0" w:space="0" w:color="auto"/>
        <w:left w:val="none" w:sz="0" w:space="0" w:color="auto"/>
        <w:bottom w:val="none" w:sz="0" w:space="0" w:color="auto"/>
        <w:right w:val="none" w:sz="0" w:space="0" w:color="auto"/>
      </w:divBdr>
      <w:divsChild>
        <w:div w:id="176894493">
          <w:marLeft w:val="0"/>
          <w:marRight w:val="0"/>
          <w:marTop w:val="0"/>
          <w:marBottom w:val="0"/>
          <w:divBdr>
            <w:top w:val="none" w:sz="0" w:space="0" w:color="auto"/>
            <w:left w:val="none" w:sz="0" w:space="0" w:color="auto"/>
            <w:bottom w:val="none" w:sz="0" w:space="0" w:color="auto"/>
            <w:right w:val="none" w:sz="0" w:space="0" w:color="auto"/>
          </w:divBdr>
          <w:divsChild>
            <w:div w:id="1101099039">
              <w:marLeft w:val="0"/>
              <w:marRight w:val="0"/>
              <w:marTop w:val="0"/>
              <w:marBottom w:val="0"/>
              <w:divBdr>
                <w:top w:val="none" w:sz="0" w:space="0" w:color="auto"/>
                <w:left w:val="none" w:sz="0" w:space="0" w:color="auto"/>
                <w:bottom w:val="none" w:sz="0" w:space="0" w:color="auto"/>
                <w:right w:val="none" w:sz="0" w:space="0" w:color="auto"/>
              </w:divBdr>
              <w:divsChild>
                <w:div w:id="1663776970">
                  <w:marLeft w:val="0"/>
                  <w:marRight w:val="0"/>
                  <w:marTop w:val="0"/>
                  <w:marBottom w:val="0"/>
                  <w:divBdr>
                    <w:top w:val="none" w:sz="0" w:space="0" w:color="auto"/>
                    <w:left w:val="none" w:sz="0" w:space="0" w:color="auto"/>
                    <w:bottom w:val="none" w:sz="0" w:space="0" w:color="auto"/>
                    <w:right w:val="none" w:sz="0" w:space="0" w:color="auto"/>
                  </w:divBdr>
                  <w:divsChild>
                    <w:div w:id="278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05455">
          <w:marLeft w:val="0"/>
          <w:marRight w:val="0"/>
          <w:marTop w:val="0"/>
          <w:marBottom w:val="0"/>
          <w:divBdr>
            <w:top w:val="none" w:sz="0" w:space="0" w:color="auto"/>
            <w:left w:val="none" w:sz="0" w:space="0" w:color="auto"/>
            <w:bottom w:val="none" w:sz="0" w:space="0" w:color="auto"/>
            <w:right w:val="none" w:sz="0" w:space="0" w:color="auto"/>
          </w:divBdr>
          <w:divsChild>
            <w:div w:id="496699486">
              <w:marLeft w:val="0"/>
              <w:marRight w:val="0"/>
              <w:marTop w:val="0"/>
              <w:marBottom w:val="0"/>
              <w:divBdr>
                <w:top w:val="none" w:sz="0" w:space="0" w:color="auto"/>
                <w:left w:val="none" w:sz="0" w:space="0" w:color="auto"/>
                <w:bottom w:val="none" w:sz="0" w:space="0" w:color="auto"/>
                <w:right w:val="none" w:sz="0" w:space="0" w:color="auto"/>
              </w:divBdr>
              <w:divsChild>
                <w:div w:id="478613392">
                  <w:marLeft w:val="0"/>
                  <w:marRight w:val="0"/>
                  <w:marTop w:val="0"/>
                  <w:marBottom w:val="0"/>
                  <w:divBdr>
                    <w:top w:val="none" w:sz="0" w:space="0" w:color="auto"/>
                    <w:left w:val="none" w:sz="0" w:space="0" w:color="auto"/>
                    <w:bottom w:val="none" w:sz="0" w:space="0" w:color="auto"/>
                    <w:right w:val="none" w:sz="0" w:space="0" w:color="auto"/>
                  </w:divBdr>
                  <w:divsChild>
                    <w:div w:id="4732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4357">
      <w:bodyDiv w:val="1"/>
      <w:marLeft w:val="0"/>
      <w:marRight w:val="0"/>
      <w:marTop w:val="0"/>
      <w:marBottom w:val="0"/>
      <w:divBdr>
        <w:top w:val="none" w:sz="0" w:space="0" w:color="auto"/>
        <w:left w:val="none" w:sz="0" w:space="0" w:color="auto"/>
        <w:bottom w:val="none" w:sz="0" w:space="0" w:color="auto"/>
        <w:right w:val="none" w:sz="0" w:space="0" w:color="auto"/>
      </w:divBdr>
    </w:div>
    <w:div w:id="2121803375">
      <w:bodyDiv w:val="1"/>
      <w:marLeft w:val="0"/>
      <w:marRight w:val="0"/>
      <w:marTop w:val="0"/>
      <w:marBottom w:val="0"/>
      <w:divBdr>
        <w:top w:val="none" w:sz="0" w:space="0" w:color="auto"/>
        <w:left w:val="none" w:sz="0" w:space="0" w:color="auto"/>
        <w:bottom w:val="none" w:sz="0" w:space="0" w:color="auto"/>
        <w:right w:val="none" w:sz="0" w:space="0" w:color="auto"/>
      </w:divBdr>
    </w:div>
    <w:div w:id="2122022584">
      <w:bodyDiv w:val="1"/>
      <w:marLeft w:val="0"/>
      <w:marRight w:val="0"/>
      <w:marTop w:val="0"/>
      <w:marBottom w:val="0"/>
      <w:divBdr>
        <w:top w:val="none" w:sz="0" w:space="0" w:color="auto"/>
        <w:left w:val="none" w:sz="0" w:space="0" w:color="auto"/>
        <w:bottom w:val="none" w:sz="0" w:space="0" w:color="auto"/>
        <w:right w:val="none" w:sz="0" w:space="0" w:color="auto"/>
      </w:divBdr>
      <w:divsChild>
        <w:div w:id="1744527011">
          <w:marLeft w:val="0"/>
          <w:marRight w:val="0"/>
          <w:marTop w:val="0"/>
          <w:marBottom w:val="0"/>
          <w:divBdr>
            <w:top w:val="none" w:sz="0" w:space="0" w:color="auto"/>
            <w:left w:val="none" w:sz="0" w:space="0" w:color="auto"/>
            <w:bottom w:val="none" w:sz="0" w:space="0" w:color="auto"/>
            <w:right w:val="none" w:sz="0" w:space="0" w:color="auto"/>
          </w:divBdr>
        </w:div>
      </w:divsChild>
    </w:div>
    <w:div w:id="2134514490">
      <w:bodyDiv w:val="1"/>
      <w:marLeft w:val="0"/>
      <w:marRight w:val="0"/>
      <w:marTop w:val="0"/>
      <w:marBottom w:val="0"/>
      <w:divBdr>
        <w:top w:val="none" w:sz="0" w:space="0" w:color="auto"/>
        <w:left w:val="none" w:sz="0" w:space="0" w:color="auto"/>
        <w:bottom w:val="none" w:sz="0" w:space="0" w:color="auto"/>
        <w:right w:val="none" w:sz="0" w:space="0" w:color="auto"/>
      </w:divBdr>
    </w:div>
    <w:div w:id="2140830522">
      <w:bodyDiv w:val="1"/>
      <w:marLeft w:val="0"/>
      <w:marRight w:val="0"/>
      <w:marTop w:val="0"/>
      <w:marBottom w:val="0"/>
      <w:divBdr>
        <w:top w:val="none" w:sz="0" w:space="0" w:color="auto"/>
        <w:left w:val="none" w:sz="0" w:space="0" w:color="auto"/>
        <w:bottom w:val="none" w:sz="0" w:space="0" w:color="auto"/>
        <w:right w:val="none" w:sz="0" w:space="0" w:color="auto"/>
      </w:divBdr>
    </w:div>
    <w:div w:id="214083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https://anti-fraud.ec.europa.eu/about-us/reports/annual-reports-protection-eus-financial-interests-pif-report_en"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260343-93EA-48D6-880A-58EAF0FD672A}" type="doc">
      <dgm:prSet loTypeId="urn:microsoft.com/office/officeart/2005/8/layout/vList3" loCatId="list" qsTypeId="urn:microsoft.com/office/officeart/2005/8/quickstyle/simple1" qsCatId="simple" csTypeId="urn:microsoft.com/office/officeart/2005/8/colors/accent1_1" csCatId="accent1" phldr="1"/>
      <dgm:spPr/>
    </dgm:pt>
    <dgm:pt modelId="{694057D3-B948-49F6-992F-526F0E5C69E6}">
      <dgm:prSet phldrT="[Text]" custT="1"/>
      <dgm:spPr/>
      <dgm:t>
        <a:bodyPr/>
        <a:lstStyle/>
        <a:p>
          <a:pPr algn="just"/>
          <a:r>
            <a:rPr lang="lv-LV" sz="1200"/>
            <a:t>1) </a:t>
          </a:r>
          <a:r>
            <a:rPr lang="sr-Latn-ME" sz="1200" b="0" i="0"/>
            <a:t>Unaprijeđenje funkcionisanja AFCOS sistema u Crnoj Gori kroz uspostavljanje adekvatnog zakonskog okvira i međuinstitucionalne saradnje organa AFCOS sistema</a:t>
          </a:r>
          <a:endParaRPr lang="en-US" sz="1200"/>
        </a:p>
      </dgm:t>
    </dgm:pt>
    <dgm:pt modelId="{7DA6562B-A60E-438B-B996-33DE22D48476}" type="parTrans" cxnId="{FB7D0DCA-B5EF-47A2-A20C-F7CEBB689167}">
      <dgm:prSet/>
      <dgm:spPr/>
      <dgm:t>
        <a:bodyPr/>
        <a:lstStyle/>
        <a:p>
          <a:endParaRPr lang="en-US"/>
        </a:p>
      </dgm:t>
    </dgm:pt>
    <dgm:pt modelId="{5523C7C6-A001-4775-A24F-A269927835A3}" type="sibTrans" cxnId="{FB7D0DCA-B5EF-47A2-A20C-F7CEBB689167}">
      <dgm:prSet/>
      <dgm:spPr/>
      <dgm:t>
        <a:bodyPr/>
        <a:lstStyle/>
        <a:p>
          <a:endParaRPr lang="en-US"/>
        </a:p>
      </dgm:t>
    </dgm:pt>
    <dgm:pt modelId="{2DE946E8-97F6-4867-B5D7-42AFF0DE2226}">
      <dgm:prSet phldrT="[Text]" custT="1"/>
      <dgm:spPr/>
      <dgm:t>
        <a:bodyPr/>
        <a:lstStyle/>
        <a:p>
          <a:pPr algn="just">
            <a:buFont typeface="Symbol" panose="05050102010706020507" pitchFamily="18" charset="2"/>
            <a:buChar char=""/>
          </a:pPr>
          <a:r>
            <a:rPr lang="lv-LV" sz="1200"/>
            <a:t>2) </a:t>
          </a:r>
          <a:r>
            <a:rPr lang="sr-Latn-ME" sz="1200" b="0" i="0"/>
            <a:t>Unaprijeđenje rada organa tijela za izvještavanje o nepravilnostima u oblasti upravljanja nepravilnostima (prevencija, otkrivanje, tretman i prijavljivanje nepravilnosti)</a:t>
          </a:r>
          <a:endParaRPr lang="en-US" sz="1200"/>
        </a:p>
      </dgm:t>
    </dgm:pt>
    <dgm:pt modelId="{52A7B04C-D142-4BC9-B2AC-6F69D4EEE762}" type="parTrans" cxnId="{EACD1585-2F69-4013-BA53-B64827072852}">
      <dgm:prSet/>
      <dgm:spPr/>
      <dgm:t>
        <a:bodyPr/>
        <a:lstStyle/>
        <a:p>
          <a:endParaRPr lang="en-US"/>
        </a:p>
      </dgm:t>
    </dgm:pt>
    <dgm:pt modelId="{EAC70BC4-D717-47FE-B7CB-DD88FA5F1464}" type="sibTrans" cxnId="{EACD1585-2F69-4013-BA53-B64827072852}">
      <dgm:prSet/>
      <dgm:spPr/>
      <dgm:t>
        <a:bodyPr/>
        <a:lstStyle/>
        <a:p>
          <a:endParaRPr lang="en-US"/>
        </a:p>
      </dgm:t>
    </dgm:pt>
    <dgm:pt modelId="{D2EE336C-7BE9-48FE-A998-E9E2A3CC0AA7}">
      <dgm:prSet phldrT="[Text]" custT="1"/>
      <dgm:spPr/>
      <dgm:t>
        <a:bodyPr/>
        <a:lstStyle/>
        <a:p>
          <a:pPr algn="just">
            <a:buFont typeface="Symbol" panose="05050102010706020507" pitchFamily="18" charset="2"/>
            <a:buNone/>
          </a:pPr>
          <a:r>
            <a:rPr lang="lv-LV" sz="1200"/>
            <a:t>3) </a:t>
          </a:r>
          <a:r>
            <a:rPr lang="sr-Latn-ME" sz="1200" b="0" i="0"/>
            <a:t>Jačanje administrativnih kapaciteta AFCOS sistema</a:t>
          </a:r>
          <a:endParaRPr lang="en-US" sz="1200"/>
        </a:p>
      </dgm:t>
    </dgm:pt>
    <dgm:pt modelId="{9E0BFDB0-1145-4233-9971-808EA69E2779}" type="parTrans" cxnId="{5158A990-E509-43C9-AF48-040B285C1A3D}">
      <dgm:prSet/>
      <dgm:spPr/>
      <dgm:t>
        <a:bodyPr/>
        <a:lstStyle/>
        <a:p>
          <a:endParaRPr lang="en-US"/>
        </a:p>
      </dgm:t>
    </dgm:pt>
    <dgm:pt modelId="{B3F1C63E-E2F9-4F75-B703-D84A83F04E79}" type="sibTrans" cxnId="{5158A990-E509-43C9-AF48-040B285C1A3D}">
      <dgm:prSet/>
      <dgm:spPr/>
      <dgm:t>
        <a:bodyPr/>
        <a:lstStyle/>
        <a:p>
          <a:endParaRPr lang="en-US"/>
        </a:p>
      </dgm:t>
    </dgm:pt>
    <dgm:pt modelId="{EFB2BBE4-F25C-4913-BF38-634061E2C622}" type="pres">
      <dgm:prSet presAssocID="{9D260343-93EA-48D6-880A-58EAF0FD672A}" presName="linearFlow" presStyleCnt="0">
        <dgm:presLayoutVars>
          <dgm:dir/>
          <dgm:resizeHandles val="exact"/>
        </dgm:presLayoutVars>
      </dgm:prSet>
      <dgm:spPr/>
    </dgm:pt>
    <dgm:pt modelId="{8151E1B2-77BB-403E-916B-2854DF679B36}" type="pres">
      <dgm:prSet presAssocID="{694057D3-B948-49F6-992F-526F0E5C69E6}" presName="composite" presStyleCnt="0"/>
      <dgm:spPr/>
    </dgm:pt>
    <dgm:pt modelId="{DE297D97-0272-401D-AFE2-A92F3274CAD7}" type="pres">
      <dgm:prSet presAssocID="{694057D3-B948-49F6-992F-526F0E5C69E6}" presName="imgShp" presStyleLbl="fgImgPlace1" presStyleIdx="0" presStyleCnt="3" custLinFactNeighborX="-51765" custLinFactNeighborY="-37"/>
      <dgm:spPr>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ourt outline"/>
        </a:ext>
      </dgm:extLst>
    </dgm:pt>
    <dgm:pt modelId="{877ACD3C-B8C9-4100-8217-F9FDA87559D6}" type="pres">
      <dgm:prSet presAssocID="{694057D3-B948-49F6-992F-526F0E5C69E6}" presName="txShp" presStyleLbl="node1" presStyleIdx="0" presStyleCnt="3">
        <dgm:presLayoutVars>
          <dgm:bulletEnabled val="1"/>
        </dgm:presLayoutVars>
      </dgm:prSet>
      <dgm:spPr/>
    </dgm:pt>
    <dgm:pt modelId="{3D16D288-83D4-4BAD-A6C8-FC01B8FD6429}" type="pres">
      <dgm:prSet presAssocID="{5523C7C6-A001-4775-A24F-A269927835A3}" presName="spacing" presStyleCnt="0"/>
      <dgm:spPr/>
    </dgm:pt>
    <dgm:pt modelId="{F7B46FCE-C561-4832-9CF8-383AE476BD59}" type="pres">
      <dgm:prSet presAssocID="{2DE946E8-97F6-4867-B5D7-42AFF0DE2226}" presName="composite" presStyleCnt="0"/>
      <dgm:spPr/>
    </dgm:pt>
    <dgm:pt modelId="{44740837-1263-45E5-898F-915BA638E615}" type="pres">
      <dgm:prSet presAssocID="{2DE946E8-97F6-4867-B5D7-42AFF0DE2226}" presName="imgShp" presStyleLbl="fgImgPlace1" presStyleIdx="1" presStyleCnt="3" custLinFactNeighborX="-51088" custLinFactNeighborY="-720"/>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Bar chart outline"/>
        </a:ext>
      </dgm:extLst>
    </dgm:pt>
    <dgm:pt modelId="{DDFAFC18-4954-40D3-9174-E4C0597BE30A}" type="pres">
      <dgm:prSet presAssocID="{2DE946E8-97F6-4867-B5D7-42AFF0DE2226}" presName="txShp" presStyleLbl="node1" presStyleIdx="1" presStyleCnt="3">
        <dgm:presLayoutVars>
          <dgm:bulletEnabled val="1"/>
        </dgm:presLayoutVars>
      </dgm:prSet>
      <dgm:spPr/>
    </dgm:pt>
    <dgm:pt modelId="{CEC3E15B-04D0-42A8-A9DA-A1DB6B00837A}" type="pres">
      <dgm:prSet presAssocID="{EAC70BC4-D717-47FE-B7CB-DD88FA5F1464}" presName="spacing" presStyleCnt="0"/>
      <dgm:spPr/>
    </dgm:pt>
    <dgm:pt modelId="{62849487-AEB2-4976-9B98-DD4C2D12D210}" type="pres">
      <dgm:prSet presAssocID="{D2EE336C-7BE9-48FE-A998-E9E2A3CC0AA7}" presName="composite" presStyleCnt="0"/>
      <dgm:spPr/>
    </dgm:pt>
    <dgm:pt modelId="{77C3C824-3DB0-4E62-B51D-83C2961DBD25}" type="pres">
      <dgm:prSet presAssocID="{D2EE336C-7BE9-48FE-A998-E9E2A3CC0AA7}" presName="imgShp" presStyleLbl="fgImgPlace1" presStyleIdx="2" presStyleCnt="3" custLinFactNeighborX="-51088" custLinFactNeighborY="37"/>
      <dgm:spPr>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Cycle with people outline"/>
        </a:ext>
      </dgm:extLst>
    </dgm:pt>
    <dgm:pt modelId="{DA1BDC7D-1FC0-4EBF-8DAD-533CD7C74D46}" type="pres">
      <dgm:prSet presAssocID="{D2EE336C-7BE9-48FE-A998-E9E2A3CC0AA7}" presName="txShp" presStyleLbl="node1" presStyleIdx="2" presStyleCnt="3">
        <dgm:presLayoutVars>
          <dgm:bulletEnabled val="1"/>
        </dgm:presLayoutVars>
      </dgm:prSet>
      <dgm:spPr/>
    </dgm:pt>
  </dgm:ptLst>
  <dgm:cxnLst>
    <dgm:cxn modelId="{D4E23937-5656-46B6-9FAA-64B8F5D4759C}" type="presOf" srcId="{D2EE336C-7BE9-48FE-A998-E9E2A3CC0AA7}" destId="{DA1BDC7D-1FC0-4EBF-8DAD-533CD7C74D46}" srcOrd="0" destOrd="0" presId="urn:microsoft.com/office/officeart/2005/8/layout/vList3"/>
    <dgm:cxn modelId="{C755FA84-9A54-4B41-AEF3-C31C21B18A92}" type="presOf" srcId="{9D260343-93EA-48D6-880A-58EAF0FD672A}" destId="{EFB2BBE4-F25C-4913-BF38-634061E2C622}" srcOrd="0" destOrd="0" presId="urn:microsoft.com/office/officeart/2005/8/layout/vList3"/>
    <dgm:cxn modelId="{EACD1585-2F69-4013-BA53-B64827072852}" srcId="{9D260343-93EA-48D6-880A-58EAF0FD672A}" destId="{2DE946E8-97F6-4867-B5D7-42AFF0DE2226}" srcOrd="1" destOrd="0" parTransId="{52A7B04C-D142-4BC9-B2AC-6F69D4EEE762}" sibTransId="{EAC70BC4-D717-47FE-B7CB-DD88FA5F1464}"/>
    <dgm:cxn modelId="{018DF68C-93CB-494C-9F86-80DD87B847ED}" type="presOf" srcId="{694057D3-B948-49F6-992F-526F0E5C69E6}" destId="{877ACD3C-B8C9-4100-8217-F9FDA87559D6}" srcOrd="0" destOrd="0" presId="urn:microsoft.com/office/officeart/2005/8/layout/vList3"/>
    <dgm:cxn modelId="{5158A990-E509-43C9-AF48-040B285C1A3D}" srcId="{9D260343-93EA-48D6-880A-58EAF0FD672A}" destId="{D2EE336C-7BE9-48FE-A998-E9E2A3CC0AA7}" srcOrd="2" destOrd="0" parTransId="{9E0BFDB0-1145-4233-9971-808EA69E2779}" sibTransId="{B3F1C63E-E2F9-4F75-B703-D84A83F04E79}"/>
    <dgm:cxn modelId="{FB7D0DCA-B5EF-47A2-A20C-F7CEBB689167}" srcId="{9D260343-93EA-48D6-880A-58EAF0FD672A}" destId="{694057D3-B948-49F6-992F-526F0E5C69E6}" srcOrd="0" destOrd="0" parTransId="{7DA6562B-A60E-438B-B996-33DE22D48476}" sibTransId="{5523C7C6-A001-4775-A24F-A269927835A3}"/>
    <dgm:cxn modelId="{2C4D47EB-C6C2-4944-8CF8-247B7865FF5A}" type="presOf" srcId="{2DE946E8-97F6-4867-B5D7-42AFF0DE2226}" destId="{DDFAFC18-4954-40D3-9174-E4C0597BE30A}" srcOrd="0" destOrd="0" presId="urn:microsoft.com/office/officeart/2005/8/layout/vList3"/>
    <dgm:cxn modelId="{C9044CE3-FA66-4679-8505-B8083ACEA86E}" type="presParOf" srcId="{EFB2BBE4-F25C-4913-BF38-634061E2C622}" destId="{8151E1B2-77BB-403E-916B-2854DF679B36}" srcOrd="0" destOrd="0" presId="urn:microsoft.com/office/officeart/2005/8/layout/vList3"/>
    <dgm:cxn modelId="{A54A28A0-E977-49D1-AE24-EC869323B1AE}" type="presParOf" srcId="{8151E1B2-77BB-403E-916B-2854DF679B36}" destId="{DE297D97-0272-401D-AFE2-A92F3274CAD7}" srcOrd="0" destOrd="0" presId="urn:microsoft.com/office/officeart/2005/8/layout/vList3"/>
    <dgm:cxn modelId="{C421EEC6-17F7-4197-B06B-C192FAF1C37F}" type="presParOf" srcId="{8151E1B2-77BB-403E-916B-2854DF679B36}" destId="{877ACD3C-B8C9-4100-8217-F9FDA87559D6}" srcOrd="1" destOrd="0" presId="urn:microsoft.com/office/officeart/2005/8/layout/vList3"/>
    <dgm:cxn modelId="{A9A77155-9E16-4FA2-9F73-B20D56E90867}" type="presParOf" srcId="{EFB2BBE4-F25C-4913-BF38-634061E2C622}" destId="{3D16D288-83D4-4BAD-A6C8-FC01B8FD6429}" srcOrd="1" destOrd="0" presId="urn:microsoft.com/office/officeart/2005/8/layout/vList3"/>
    <dgm:cxn modelId="{F6CB70B9-E3DB-4DB5-82D4-73EE83381556}" type="presParOf" srcId="{EFB2BBE4-F25C-4913-BF38-634061E2C622}" destId="{F7B46FCE-C561-4832-9CF8-383AE476BD59}" srcOrd="2" destOrd="0" presId="urn:microsoft.com/office/officeart/2005/8/layout/vList3"/>
    <dgm:cxn modelId="{7CE23B0E-8998-4D3D-8CFB-D10C44BC242B}" type="presParOf" srcId="{F7B46FCE-C561-4832-9CF8-383AE476BD59}" destId="{44740837-1263-45E5-898F-915BA638E615}" srcOrd="0" destOrd="0" presId="urn:microsoft.com/office/officeart/2005/8/layout/vList3"/>
    <dgm:cxn modelId="{C8BA14D6-482B-40D6-B9E7-FCD819CD6016}" type="presParOf" srcId="{F7B46FCE-C561-4832-9CF8-383AE476BD59}" destId="{DDFAFC18-4954-40D3-9174-E4C0597BE30A}" srcOrd="1" destOrd="0" presId="urn:microsoft.com/office/officeart/2005/8/layout/vList3"/>
    <dgm:cxn modelId="{ED5241C9-CC23-4605-89C3-E48D64744A42}" type="presParOf" srcId="{EFB2BBE4-F25C-4913-BF38-634061E2C622}" destId="{CEC3E15B-04D0-42A8-A9DA-A1DB6B00837A}" srcOrd="3" destOrd="0" presId="urn:microsoft.com/office/officeart/2005/8/layout/vList3"/>
    <dgm:cxn modelId="{94007930-C32C-456A-9B82-D023411D72E1}" type="presParOf" srcId="{EFB2BBE4-F25C-4913-BF38-634061E2C622}" destId="{62849487-AEB2-4976-9B98-DD4C2D12D210}" srcOrd="4" destOrd="0" presId="urn:microsoft.com/office/officeart/2005/8/layout/vList3"/>
    <dgm:cxn modelId="{CE757E76-CBF8-459D-B672-7898BAEB8653}" type="presParOf" srcId="{62849487-AEB2-4976-9B98-DD4C2D12D210}" destId="{77C3C824-3DB0-4E62-B51D-83C2961DBD25}" srcOrd="0" destOrd="0" presId="urn:microsoft.com/office/officeart/2005/8/layout/vList3"/>
    <dgm:cxn modelId="{731235A7-BBBA-485D-967C-9C5002B4A5E5}" type="presParOf" srcId="{62849487-AEB2-4976-9B98-DD4C2D12D210}" destId="{DA1BDC7D-1FC0-4EBF-8DAD-533CD7C74D46}" srcOrd="1" destOrd="0" presId="urn:microsoft.com/office/officeart/2005/8/layout/vList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7ACD3C-B8C9-4100-8217-F9FDA87559D6}">
      <dsp:nvSpPr>
        <dsp:cNvPr id="0" name=""/>
        <dsp:cNvSpPr/>
      </dsp:nvSpPr>
      <dsp:spPr>
        <a:xfrm rot="10800000">
          <a:off x="1249500" y="304"/>
          <a:ext cx="4141673" cy="825190"/>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3886" tIns="45720" rIns="85344" bIns="45720" numCol="1" spcCol="1270" anchor="ctr" anchorCtr="0">
          <a:noAutofit/>
        </a:bodyPr>
        <a:lstStyle/>
        <a:p>
          <a:pPr marL="0" lvl="0" indent="0" algn="just" defTabSz="533400">
            <a:lnSpc>
              <a:spcPct val="90000"/>
            </a:lnSpc>
            <a:spcBef>
              <a:spcPct val="0"/>
            </a:spcBef>
            <a:spcAft>
              <a:spcPct val="35000"/>
            </a:spcAft>
            <a:buNone/>
          </a:pPr>
          <a:r>
            <a:rPr lang="lv-LV" sz="1200" kern="1200"/>
            <a:t>1) </a:t>
          </a:r>
          <a:r>
            <a:rPr lang="sr-Latn-ME" sz="1200" b="0" i="0" kern="1200"/>
            <a:t>Unaprijeđenje funkcionisanja AFCOS sistema u Crnoj Gori kroz uspostavljanje adekvatnog zakonskog okvira i međuinstitucionalne saradnje organa AFCOS sistema</a:t>
          </a:r>
          <a:endParaRPr lang="en-US" sz="1200" kern="1200"/>
        </a:p>
      </dsp:txBody>
      <dsp:txXfrm rot="10800000">
        <a:off x="1455797" y="304"/>
        <a:ext cx="3935376" cy="825190"/>
      </dsp:txXfrm>
    </dsp:sp>
    <dsp:sp modelId="{DE297D97-0272-401D-AFE2-A92F3274CAD7}">
      <dsp:nvSpPr>
        <dsp:cNvPr id="0" name=""/>
        <dsp:cNvSpPr/>
      </dsp:nvSpPr>
      <dsp:spPr>
        <a:xfrm>
          <a:off x="409746" y="0"/>
          <a:ext cx="825190" cy="825190"/>
        </a:xfrm>
        <a:prstGeom prst="ellipse">
          <a:avLst/>
        </a:prstGeom>
        <a:blipFill>
          <a:blip xmlns:r="http://schemas.openxmlformats.org/officeDocument/2006/relationships" r:embed="rId1">
            <a:extLst>
              <a:ext uri="{96DAC541-7B7A-43D3-8B79-37D633B846F1}">
                <asvg:svgBlip xmlns:asvg="http://schemas.microsoft.com/office/drawing/2016/SVG/main" r:embed="rId2"/>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DFAFC18-4954-40D3-9174-E4C0597BE30A}">
      <dsp:nvSpPr>
        <dsp:cNvPr id="0" name=""/>
        <dsp:cNvSpPr/>
      </dsp:nvSpPr>
      <dsp:spPr>
        <a:xfrm rot="10800000">
          <a:off x="1249500" y="1071820"/>
          <a:ext cx="4141673" cy="825190"/>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3886" tIns="45720" rIns="85344" bIns="45720" numCol="1" spcCol="1270" anchor="ctr" anchorCtr="0">
          <a:noAutofit/>
        </a:bodyPr>
        <a:lstStyle/>
        <a:p>
          <a:pPr marL="0" lvl="0" indent="0" algn="just" defTabSz="533400">
            <a:lnSpc>
              <a:spcPct val="90000"/>
            </a:lnSpc>
            <a:spcBef>
              <a:spcPct val="0"/>
            </a:spcBef>
            <a:spcAft>
              <a:spcPct val="35000"/>
            </a:spcAft>
            <a:buFont typeface="Symbol" panose="05050102010706020507" pitchFamily="18" charset="2"/>
            <a:buNone/>
          </a:pPr>
          <a:r>
            <a:rPr lang="lv-LV" sz="1200" kern="1200"/>
            <a:t>2) </a:t>
          </a:r>
          <a:r>
            <a:rPr lang="sr-Latn-ME" sz="1200" b="0" i="0" kern="1200"/>
            <a:t>Unaprijeđenje rada organa tijela za izvještavanje o nepravilnostima u oblasti upravljanja nepravilnostima (prevencija, otkrivanje, tretman i prijavljivanje nepravilnosti)</a:t>
          </a:r>
          <a:endParaRPr lang="en-US" sz="1200" kern="1200"/>
        </a:p>
      </dsp:txBody>
      <dsp:txXfrm rot="10800000">
        <a:off x="1455797" y="1071820"/>
        <a:ext cx="3935376" cy="825190"/>
      </dsp:txXfrm>
    </dsp:sp>
    <dsp:sp modelId="{44740837-1263-45E5-898F-915BA638E615}">
      <dsp:nvSpPr>
        <dsp:cNvPr id="0" name=""/>
        <dsp:cNvSpPr/>
      </dsp:nvSpPr>
      <dsp:spPr>
        <a:xfrm>
          <a:off x="415332" y="1065879"/>
          <a:ext cx="825190" cy="825190"/>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A1BDC7D-1FC0-4EBF-8DAD-533CD7C74D46}">
      <dsp:nvSpPr>
        <dsp:cNvPr id="0" name=""/>
        <dsp:cNvSpPr/>
      </dsp:nvSpPr>
      <dsp:spPr>
        <a:xfrm rot="10800000">
          <a:off x="1249500" y="2143336"/>
          <a:ext cx="4141673" cy="825190"/>
        </a:xfrm>
        <a:prstGeom prst="homePlat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3886" tIns="45720" rIns="85344" bIns="45720" numCol="1" spcCol="1270" anchor="ctr" anchorCtr="0">
          <a:noAutofit/>
        </a:bodyPr>
        <a:lstStyle/>
        <a:p>
          <a:pPr marL="0" lvl="0" indent="0" algn="just" defTabSz="533400">
            <a:lnSpc>
              <a:spcPct val="90000"/>
            </a:lnSpc>
            <a:spcBef>
              <a:spcPct val="0"/>
            </a:spcBef>
            <a:spcAft>
              <a:spcPct val="35000"/>
            </a:spcAft>
            <a:buFont typeface="Symbol" panose="05050102010706020507" pitchFamily="18" charset="2"/>
            <a:buNone/>
          </a:pPr>
          <a:r>
            <a:rPr lang="lv-LV" sz="1200" kern="1200"/>
            <a:t>3) </a:t>
          </a:r>
          <a:r>
            <a:rPr lang="sr-Latn-ME" sz="1200" b="0" i="0" kern="1200"/>
            <a:t>Jačanje administrativnih kapaciteta AFCOS sistema</a:t>
          </a:r>
          <a:endParaRPr lang="en-US" sz="1200" kern="1200"/>
        </a:p>
      </dsp:txBody>
      <dsp:txXfrm rot="10800000">
        <a:off x="1455797" y="2143336"/>
        <a:ext cx="3935376" cy="825190"/>
      </dsp:txXfrm>
    </dsp:sp>
    <dsp:sp modelId="{77C3C824-3DB0-4E62-B51D-83C2961DBD25}">
      <dsp:nvSpPr>
        <dsp:cNvPr id="0" name=""/>
        <dsp:cNvSpPr/>
      </dsp:nvSpPr>
      <dsp:spPr>
        <a:xfrm>
          <a:off x="415332" y="2143640"/>
          <a:ext cx="825190" cy="825190"/>
        </a:xfrm>
        <a:prstGeom prst="ellipse">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a:stretch>
        </a:blip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5179C-3193-4C76-A54A-1A3B4A47FD6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23628</Words>
  <Characters>134686</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Carapic</dc:creator>
  <cp:lastModifiedBy>Anja Carapic</cp:lastModifiedBy>
  <cp:revision>5</cp:revision>
  <cp:lastPrinted>2025-01-27T07:02:00Z</cp:lastPrinted>
  <dcterms:created xsi:type="dcterms:W3CDTF">2025-05-14T12:34:00Z</dcterms:created>
  <dcterms:modified xsi:type="dcterms:W3CDTF">2025-05-15T09:07:00Z</dcterms:modified>
</cp:coreProperties>
</file>