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Ministarstvo _____________________</w:t>
            </w:r>
          </w:p>
        </w:tc>
      </w:tr>
    </w:tbl>
    <w:p w:rsidR="00AE65B1" w:rsidRDefault="00AE65B1" w:rsidP="00AE65B1">
      <w:r>
        <w:t>Broj: ___________________________</w:t>
      </w:r>
      <w:r>
        <w:br/>
        <w:t>_____________, ______. godine</w:t>
      </w:r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od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Pr="00AE65B1">
        <w:rPr>
          <w:rFonts w:ascii="Calibri" w:hAnsi="Calibri"/>
          <w:b/>
        </w:rPr>
        <w:t xml:space="preserve"> u _____.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9D0A5B" w:rsidP="009D0A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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9D0A5B" w:rsidP="009D0A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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  ______________________</w:t>
            </w:r>
            <w:r w:rsidR="00F517FE">
              <w:rPr>
                <w:rFonts w:ascii="Calibri" w:hAnsi="Calibri" w:cs="Arial"/>
                <w:sz w:val="16"/>
                <w:szCs w:val="16"/>
              </w:rPr>
              <w:t>_____________________________________________________________________________</w:t>
            </w:r>
            <w:r w:rsidRPr="00035B3D">
              <w:rPr>
                <w:rFonts w:ascii="Calibri" w:hAnsi="Calibri" w:cs="Arial"/>
                <w:sz w:val="16"/>
                <w:szCs w:val="16"/>
              </w:rPr>
              <w:t>_________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POTREBE KOJE TREBA RIJEŠITI U _____. 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510F3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1B37EA" w:rsidRDefault="001B37EA" w:rsidP="00DE3358">
            <w:pPr>
              <w:spacing w:after="0"/>
              <w:rPr>
                <w:rFonts w:ascii="Calibri" w:hAnsi="Calibri"/>
              </w:rPr>
            </w:pPr>
          </w:p>
          <w:p w:rsidR="001B37EA" w:rsidRDefault="001B37EA" w:rsidP="001B37EA">
            <w:pPr>
              <w:spacing w:after="0"/>
              <w:rPr>
                <w:rFonts w:ascii="Calibri" w:hAnsi="Calibri"/>
              </w:rPr>
            </w:pPr>
            <w:r w:rsidRPr="001B37EA">
              <w:rPr>
                <w:rFonts w:ascii="Calibri" w:hAnsi="Calibri"/>
              </w:rPr>
              <w:t xml:space="preserve">Teritorija Crne Gore odlikuje se izvanrednim genetskim, specijskim i ekosistemskim diverzitetom koji je svrstava u jedan od najznačajnijih centara biološke raznovrsnosti. Imajući u vidu nivo postojećih informacija o vrstama i staništima od značaja, treba raditi na unaprijeđenju tih znanja sa dodatnim informacijama vezanim za procjenu stanja, ugroženosti </w:t>
            </w:r>
            <w:proofErr w:type="gramStart"/>
            <w:r w:rsidRPr="001B37EA">
              <w:rPr>
                <w:rFonts w:ascii="Calibri" w:hAnsi="Calibri"/>
              </w:rPr>
              <w:t>i  rasprostranjenja</w:t>
            </w:r>
            <w:proofErr w:type="gramEnd"/>
            <w:r w:rsidRPr="001B37EA">
              <w:rPr>
                <w:rFonts w:ascii="Calibri" w:hAnsi="Calibri"/>
              </w:rPr>
              <w:t>. Treba odrediti Akcione planove najugrozenijih vrsta koji moraju biti razvijeni u okviru EU Direktive o habitatima i pticama. Ovim ciljem prvenstveno se podstiče obezbjeđenje informacija o vrstama od značaja za zaštitu na nacionalnom i međunarodnom nivou.</w:t>
            </w:r>
          </w:p>
          <w:p w:rsidR="001B37EA" w:rsidRPr="001B37EA" w:rsidRDefault="001B37EA" w:rsidP="001B37EA">
            <w:pPr>
              <w:spacing w:after="0"/>
              <w:rPr>
                <w:rFonts w:ascii="Calibri" w:hAnsi="Calibri"/>
              </w:rPr>
            </w:pPr>
            <w:bookmarkStart w:id="0" w:name="_GoBack"/>
            <w:bookmarkEnd w:id="0"/>
          </w:p>
          <w:p w:rsidR="00DE3358" w:rsidRPr="00510F37" w:rsidRDefault="001B37EA" w:rsidP="001B37EA">
            <w:pPr>
              <w:spacing w:after="0"/>
              <w:rPr>
                <w:rFonts w:ascii="Calibri" w:hAnsi="Calibri"/>
              </w:rPr>
            </w:pPr>
            <w:r w:rsidRPr="001B37EA">
              <w:rPr>
                <w:rFonts w:ascii="Calibri" w:hAnsi="Calibri"/>
              </w:rPr>
              <w:t xml:space="preserve">Rezultat ovih aktivnosti, </w:t>
            </w:r>
            <w:proofErr w:type="gramStart"/>
            <w:r w:rsidRPr="001B37EA">
              <w:rPr>
                <w:rFonts w:ascii="Calibri" w:hAnsi="Calibri"/>
              </w:rPr>
              <w:t>do  kraja</w:t>
            </w:r>
            <w:proofErr w:type="gramEnd"/>
            <w:r w:rsidRPr="001B37EA">
              <w:rPr>
                <w:rFonts w:ascii="Calibri" w:hAnsi="Calibri"/>
              </w:rPr>
              <w:t xml:space="preserve"> planskog perioda u skladu sa Nacionalnom strategijom, treba da bude definisan i sproveden određeni broj akcionih planova za zaštitu najugroženijih vrsta. Implementacije ovih planova, treba da doprinesu zaštiti pojedinačnih vrsta koje su ocijenjene kao najugroženije.</w:t>
            </w:r>
          </w:p>
        </w:tc>
      </w:tr>
      <w:tr w:rsidR="00510F3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510F37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510F37" w:rsidRDefault="009D0A5B" w:rsidP="009D0A5B">
            <w:pPr>
              <w:spacing w:after="0"/>
              <w:rPr>
                <w:rFonts w:ascii="Calibri" w:hAnsi="Calibri"/>
              </w:rPr>
            </w:pPr>
            <w:r w:rsidRPr="009D0A5B">
              <w:rPr>
                <w:rFonts w:ascii="Calibri" w:hAnsi="Calibri"/>
              </w:rPr>
              <w:t xml:space="preserve">U kontekstu EU </w:t>
            </w:r>
            <w:r>
              <w:rPr>
                <w:rFonts w:ascii="Calibri" w:hAnsi="Calibri"/>
              </w:rPr>
              <w:t>tekovine</w:t>
            </w:r>
            <w:r w:rsidRPr="009D0A5B">
              <w:rPr>
                <w:rFonts w:ascii="Calibri" w:hAnsi="Calibri"/>
              </w:rPr>
              <w:t xml:space="preserve"> je potreb</w:t>
            </w:r>
            <w:r w:rsidR="00E2394D">
              <w:rPr>
                <w:rFonts w:ascii="Calibri" w:hAnsi="Calibri"/>
              </w:rPr>
              <w:t>no razviti posebne mjere zaštite</w:t>
            </w:r>
            <w:r w:rsidRPr="009D0A5B">
              <w:rPr>
                <w:rFonts w:ascii="Calibri" w:hAnsi="Calibri"/>
              </w:rPr>
              <w:t xml:space="preserve"> za prioritetne vrste unutar i izvan zaštićenih područja. Ovo se obično </w:t>
            </w:r>
            <w:r>
              <w:rPr>
                <w:rFonts w:ascii="Calibri" w:hAnsi="Calibri"/>
              </w:rPr>
              <w:t>vrši sa akcionim planovima vrsta</w:t>
            </w:r>
            <w:r w:rsidR="00E2394D">
              <w:rPr>
                <w:rFonts w:ascii="Calibri" w:hAnsi="Calibri"/>
              </w:rPr>
              <w:t xml:space="preserve"> i monitoringom istih.</w:t>
            </w:r>
          </w:p>
          <w:p w:rsidR="00DE3358" w:rsidRPr="00510F37" w:rsidRDefault="00DE3358" w:rsidP="009D0A5B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9D0A5B" w:rsidRPr="009D0A5B" w:rsidRDefault="009D0A5B" w:rsidP="009D0A5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Direk</w:t>
            </w:r>
            <w:r w:rsidRPr="009D0A5B">
              <w:rPr>
                <w:rFonts w:ascii="Calibri" w:hAnsi="Calibri"/>
              </w:rPr>
              <w:t>tive 2009/147/EC (</w:t>
            </w:r>
            <w:r>
              <w:rPr>
                <w:rFonts w:ascii="Calibri" w:hAnsi="Calibri"/>
              </w:rPr>
              <w:t>divlje ptice</w:t>
            </w:r>
            <w:r w:rsidRPr="009D0A5B">
              <w:rPr>
                <w:rFonts w:ascii="Calibri" w:hAnsi="Calibri"/>
              </w:rPr>
              <w:t>)</w:t>
            </w:r>
          </w:p>
          <w:p w:rsidR="00510F37" w:rsidRPr="00510F37" w:rsidRDefault="009D0A5B" w:rsidP="009D0A5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Direktive 92/43/EEC (staništa</w:t>
            </w:r>
            <w:r w:rsidRPr="009D0A5B">
              <w:rPr>
                <w:rFonts w:ascii="Calibri" w:hAnsi="Calibri"/>
              </w:rPr>
              <w:t>)</w:t>
            </w: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Default="00E2394D" w:rsidP="00C907F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 w:rsidRPr="00C907F7">
              <w:rPr>
                <w:rFonts w:ascii="Calibri" w:hAnsi="Calibri"/>
              </w:rPr>
              <w:t xml:space="preserve">Nacionalna strategija za transpoziciju, implementaciju i primjenu pravne tekovine EU u </w:t>
            </w:r>
            <w:proofErr w:type="gramStart"/>
            <w:r w:rsidRPr="00C907F7">
              <w:rPr>
                <w:rFonts w:ascii="Calibri" w:hAnsi="Calibri"/>
              </w:rPr>
              <w:t>oblasti  životne</w:t>
            </w:r>
            <w:proofErr w:type="gramEnd"/>
            <w:r w:rsidRPr="00C907F7">
              <w:rPr>
                <w:rFonts w:ascii="Calibri" w:hAnsi="Calibri"/>
              </w:rPr>
              <w:t xml:space="preserve"> sredine i </w:t>
            </w:r>
            <w:r w:rsidRPr="00C907F7">
              <w:rPr>
                <w:rFonts w:ascii="Calibri" w:hAnsi="Calibri"/>
              </w:rPr>
              <w:lastRenderedPageBreak/>
              <w:t>klimatskih promjena sa akcionim planom za period 2016-2020.</w:t>
            </w:r>
          </w:p>
          <w:p w:rsidR="00C907F7" w:rsidRDefault="00C907F7" w:rsidP="00C907F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Nacionalna strategija biodiverziteta sa akcionim planom za period od 2016-2020. godine.</w:t>
            </w:r>
          </w:p>
          <w:p w:rsidR="00C907F7" w:rsidRPr="00DE3358" w:rsidRDefault="00C907F7" w:rsidP="00DE3358">
            <w:pPr>
              <w:spacing w:after="0"/>
              <w:ind w:left="36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95284" w:rsidRDefault="00E2394D" w:rsidP="00C907F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 w:rsidRPr="00C907F7">
              <w:rPr>
                <w:rFonts w:ascii="Calibri" w:hAnsi="Calibri"/>
              </w:rPr>
              <w:lastRenderedPageBreak/>
              <w:t xml:space="preserve">Table XXXIX: </w:t>
            </w:r>
            <w:proofErr w:type="gramStart"/>
            <w:r w:rsidRPr="00C907F7">
              <w:rPr>
                <w:rFonts w:ascii="Calibri" w:hAnsi="Calibri"/>
              </w:rPr>
              <w:t>Akcioni  –</w:t>
            </w:r>
            <w:proofErr w:type="gramEnd"/>
            <w:r w:rsidRPr="00C907F7">
              <w:rPr>
                <w:rFonts w:ascii="Calibri" w:hAnsi="Calibri"/>
              </w:rPr>
              <w:t xml:space="preserve"> Zaštita prirode. Tačka 1 i 2.</w:t>
            </w:r>
          </w:p>
          <w:p w:rsidR="00C907F7" w:rsidRDefault="00C907F7" w:rsidP="00C907F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hAnsi="Calibri"/>
              </w:rPr>
            </w:pPr>
            <w:r w:rsidRPr="00C907F7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trateški cilj:</w:t>
            </w:r>
            <w:r w:rsidRPr="00C907F7">
              <w:rPr>
                <w:rFonts w:ascii="Calibri" w:hAnsi="Calibri"/>
              </w:rPr>
              <w:t xml:space="preserve"> D</w:t>
            </w:r>
            <w:r>
              <w:rPr>
                <w:rFonts w:ascii="Calibri" w:hAnsi="Calibri"/>
              </w:rPr>
              <w:t>o</w:t>
            </w:r>
            <w:r w:rsidRPr="00C907F7">
              <w:rPr>
                <w:rFonts w:ascii="Calibri" w:hAnsi="Calibri"/>
              </w:rPr>
              <w:t xml:space="preserve"> 2020. </w:t>
            </w:r>
            <w:r w:rsidR="00360BA7">
              <w:rPr>
                <w:rFonts w:ascii="Calibri" w:hAnsi="Calibri"/>
              </w:rPr>
              <w:t>g</w:t>
            </w:r>
            <w:r>
              <w:rPr>
                <w:rFonts w:ascii="Calibri" w:hAnsi="Calibri"/>
              </w:rPr>
              <w:t xml:space="preserve">odine stvoreni su preduslovi </w:t>
            </w:r>
            <w:r w:rsidR="00360BA7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 </w:t>
            </w:r>
            <w:r w:rsidR="00360BA7">
              <w:rPr>
                <w:rFonts w:ascii="Calibri" w:hAnsi="Calibri"/>
              </w:rPr>
              <w:lastRenderedPageBreak/>
              <w:t>sprovode se cilj</w:t>
            </w:r>
            <w:r>
              <w:rPr>
                <w:rFonts w:ascii="Calibri" w:hAnsi="Calibri"/>
              </w:rPr>
              <w:t>ane mjere za zaštitu biodiverziteta</w:t>
            </w:r>
            <w:r w:rsidR="00360BA7">
              <w:rPr>
                <w:rFonts w:ascii="Calibri" w:hAnsi="Calibri"/>
              </w:rPr>
              <w:t>;</w:t>
            </w:r>
          </w:p>
          <w:p w:rsidR="00360BA7" w:rsidRDefault="00360BA7" w:rsidP="00360BA7">
            <w:pPr>
              <w:pStyle w:val="ListParagraph"/>
              <w:spacing w:after="0"/>
              <w:rPr>
                <w:rFonts w:ascii="Calibri" w:hAnsi="Calibri"/>
              </w:rPr>
            </w:pPr>
            <w:r w:rsidRPr="00360BA7">
              <w:rPr>
                <w:rFonts w:ascii="Calibri" w:hAnsi="Calibri"/>
              </w:rPr>
              <w:t>E2. Procjena stanja, urgoženosti i   rasprostranjenja  zakonom</w:t>
            </w:r>
          </w:p>
          <w:p w:rsidR="00360BA7" w:rsidRPr="00C907F7" w:rsidRDefault="00360BA7" w:rsidP="00360BA7">
            <w:pPr>
              <w:pStyle w:val="ListParagraph"/>
              <w:spacing w:after="0"/>
              <w:rPr>
                <w:rFonts w:ascii="Calibri" w:hAnsi="Calibri"/>
              </w:rPr>
            </w:pPr>
            <w:r w:rsidRPr="00360BA7">
              <w:rPr>
                <w:rFonts w:ascii="Calibri" w:hAnsi="Calibri"/>
              </w:rPr>
              <w:t>E3. Izrada i sprovodjenje akcionih planova za najugroženije vrste</w:t>
            </w:r>
          </w:p>
          <w:p w:rsidR="00C907F7" w:rsidRPr="00510F37" w:rsidRDefault="00C907F7" w:rsidP="00E2394D">
            <w:pPr>
              <w:spacing w:after="0"/>
              <w:rPr>
                <w:rFonts w:ascii="Calibri" w:hAnsi="Calibri"/>
              </w:rPr>
            </w:pPr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Obrazložiiti na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BF7161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Pr="00510F37" w:rsidRDefault="00E2394D" w:rsidP="00CE1182">
            <w:pPr>
              <w:spacing w:after="0"/>
              <w:rPr>
                <w:rFonts w:ascii="Calibri" w:hAnsi="Calibri"/>
              </w:rPr>
            </w:pPr>
            <w:r w:rsidRPr="00E2394D">
              <w:rPr>
                <w:rFonts w:ascii="Calibri" w:hAnsi="Calibri"/>
              </w:rPr>
              <w:t xml:space="preserve">Stručnjaci koji rade u nevladinim organizacijama mogu pomoći u sastavljanju </w:t>
            </w:r>
            <w:r>
              <w:rPr>
                <w:rFonts w:ascii="Calibri" w:hAnsi="Calibri"/>
              </w:rPr>
              <w:t xml:space="preserve">akcionih </w:t>
            </w:r>
            <w:r w:rsidRPr="00E2394D">
              <w:rPr>
                <w:rFonts w:ascii="Calibri" w:hAnsi="Calibri"/>
              </w:rPr>
              <w:t>planova</w:t>
            </w:r>
            <w:r>
              <w:rPr>
                <w:rFonts w:ascii="Calibri" w:hAnsi="Calibri"/>
              </w:rPr>
              <w:t xml:space="preserve"> </w:t>
            </w:r>
            <w:r w:rsidR="00360BA7">
              <w:rPr>
                <w:rFonts w:ascii="Calibri" w:hAnsi="Calibri"/>
              </w:rPr>
              <w:t xml:space="preserve">za tri </w:t>
            </w:r>
            <w:r w:rsidR="00810894">
              <w:rPr>
                <w:rFonts w:ascii="Calibri" w:hAnsi="Calibri"/>
              </w:rPr>
              <w:t xml:space="preserve">ključne </w:t>
            </w:r>
            <w:r>
              <w:rPr>
                <w:rFonts w:ascii="Calibri" w:hAnsi="Calibri"/>
              </w:rPr>
              <w:t xml:space="preserve">vrsta </w:t>
            </w:r>
            <w:r w:rsidR="00810894">
              <w:rPr>
                <w:rFonts w:ascii="Calibri" w:hAnsi="Calibri"/>
              </w:rPr>
              <w:t>koje su zaštićene u EU Naturi 2000</w:t>
            </w:r>
            <w:r>
              <w:rPr>
                <w:rFonts w:ascii="Calibri" w:hAnsi="Calibri"/>
              </w:rPr>
              <w:t xml:space="preserve"> I vršenju monitoringa</w:t>
            </w:r>
            <w:r w:rsidR="00810894">
              <w:rPr>
                <w:rFonts w:ascii="Calibri" w:hAnsi="Calibri"/>
              </w:rPr>
              <w:t xml:space="preserve"> npr. Mrki medvjed</w:t>
            </w:r>
            <w:r w:rsidRPr="00E2394D">
              <w:rPr>
                <w:rFonts w:ascii="Calibri" w:hAnsi="Calibri"/>
              </w:rPr>
              <w:t xml:space="preserve"> (Ursus arctos), sivi</w:t>
            </w:r>
            <w:r w:rsidR="001C1B8D">
              <w:rPr>
                <w:rFonts w:ascii="Calibri" w:hAnsi="Calibri"/>
              </w:rPr>
              <w:t xml:space="preserve"> vuk (Canis lupus), Veliki tetrjeb</w:t>
            </w:r>
            <w:r w:rsidRPr="00E2394D">
              <w:rPr>
                <w:rFonts w:ascii="Calibri" w:hAnsi="Calibri"/>
              </w:rPr>
              <w:t xml:space="preserve"> (Tetrao urogallus) </w:t>
            </w:r>
            <w:r w:rsidR="00CE1182">
              <w:rPr>
                <w:rFonts w:ascii="Calibri" w:hAnsi="Calibri"/>
              </w:rPr>
              <w:t xml:space="preserve">i </w:t>
            </w:r>
            <w:r w:rsidRPr="00E2394D">
              <w:rPr>
                <w:rFonts w:ascii="Calibri" w:hAnsi="Calibri"/>
              </w:rPr>
              <w:br/>
            </w:r>
            <w:r w:rsidR="001C1B8D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idra</w:t>
            </w:r>
            <w:r w:rsidR="001C1B8D">
              <w:rPr>
                <w:rFonts w:ascii="Calibri" w:hAnsi="Calibri"/>
              </w:rPr>
              <w:t xml:space="preserve"> (Lutra lutra), </w:t>
            </w:r>
            <w:r w:rsidR="00CE1182" w:rsidRPr="00CE1182">
              <w:rPr>
                <w:rFonts w:ascii="Calibri" w:hAnsi="Calibri"/>
              </w:rPr>
              <w:t>i / ili otrovne zmije (Vipera ursinii, Telescopus fallax). Ov</w:t>
            </w:r>
            <w:r w:rsidR="00CE1182">
              <w:rPr>
                <w:rFonts w:ascii="Calibri" w:hAnsi="Calibri"/>
              </w:rPr>
              <w:t>e</w:t>
            </w:r>
            <w:r w:rsidR="00CE1182" w:rsidRPr="00CE1182">
              <w:rPr>
                <w:rFonts w:ascii="Calibri" w:hAnsi="Calibri"/>
              </w:rPr>
              <w:t xml:space="preserve"> vrst</w:t>
            </w:r>
            <w:r w:rsidR="00CE1182">
              <w:rPr>
                <w:rFonts w:ascii="Calibri" w:hAnsi="Calibri"/>
              </w:rPr>
              <w:t>e su od velike značaja</w:t>
            </w:r>
            <w:r w:rsidR="00CE1182" w:rsidRPr="00CE1182">
              <w:rPr>
                <w:rFonts w:ascii="Calibri" w:hAnsi="Calibri"/>
              </w:rPr>
              <w:t xml:space="preserve"> i potrebni su posebni akcioni planovi koji pokrivaju c</w:t>
            </w:r>
            <w:r w:rsidR="00CE1182">
              <w:rPr>
                <w:rFonts w:ascii="Calibri" w:hAnsi="Calibri"/>
              </w:rPr>
              <w:t>ij</w:t>
            </w:r>
            <w:r w:rsidR="00CE1182" w:rsidRPr="00CE1182">
              <w:rPr>
                <w:rFonts w:ascii="Calibri" w:hAnsi="Calibri"/>
              </w:rPr>
              <w:t xml:space="preserve">elu zemlju, uključujući </w:t>
            </w:r>
            <w:r w:rsidR="00CE1182">
              <w:rPr>
                <w:rFonts w:ascii="Calibri" w:hAnsi="Calibri"/>
              </w:rPr>
              <w:t xml:space="preserve">i </w:t>
            </w:r>
            <w:r w:rsidR="00CE1182" w:rsidRPr="00CE1182">
              <w:rPr>
                <w:rFonts w:ascii="Calibri" w:hAnsi="Calibri"/>
              </w:rPr>
              <w:t>mrežu Natura 2000.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31E9" w:rsidRDefault="001C1B8D" w:rsidP="001C1B8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Akcioni planovi</w:t>
            </w:r>
            <w:r w:rsidRPr="001C1B8D">
              <w:rPr>
                <w:rFonts w:ascii="Calibri" w:hAnsi="Calibri"/>
              </w:rPr>
              <w:t xml:space="preserve"> za </w:t>
            </w:r>
            <w:r w:rsidR="00810894">
              <w:rPr>
                <w:rFonts w:ascii="Calibri" w:hAnsi="Calibri"/>
              </w:rPr>
              <w:t>tri</w:t>
            </w:r>
            <w:r w:rsidRPr="001C1B8D">
              <w:rPr>
                <w:rFonts w:ascii="Calibri" w:hAnsi="Calibri"/>
              </w:rPr>
              <w:t xml:space="preserve"> navedenih vrst</w:t>
            </w:r>
            <w:r w:rsidR="00810894">
              <w:rPr>
                <w:rFonts w:ascii="Calibri" w:hAnsi="Calibri"/>
              </w:rPr>
              <w:t>e</w:t>
            </w:r>
            <w:r w:rsidRPr="001C1B8D">
              <w:rPr>
                <w:rFonts w:ascii="Calibri" w:hAnsi="Calibri"/>
              </w:rPr>
              <w:t xml:space="preserve"> ili grupe vrsta.</w:t>
            </w:r>
          </w:p>
          <w:p w:rsidR="001C1B8D" w:rsidRPr="00510F37" w:rsidRDefault="001C1B8D" w:rsidP="001C1B8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Rezultati podataka prikupljeni monitoringom navedenih vrsta.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231E9" w:rsidRPr="00510F37" w:rsidRDefault="001C1B8D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Akcioni plan vrsta.</w:t>
            </w:r>
          </w:p>
        </w:tc>
      </w:tr>
    </w:tbl>
    <w:p w:rsidR="00B231E9" w:rsidRDefault="00B231E9" w:rsidP="00B231E9">
      <w:pPr>
        <w:ind w:left="792"/>
      </w:pPr>
    </w:p>
    <w:p w:rsidR="00F517FE" w:rsidRDefault="00F517FE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nadležnosti čijem će ostvarenju u 201</w:t>
      </w:r>
      <w:r w:rsidR="00ED5324">
        <w:t>9</w:t>
      </w:r>
      <w:r w:rsidRPr="00F517FE"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lastRenderedPageBreak/>
              <w:t xml:space="preserve">Strateški cilj(evi)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u _____.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4B45C9" w:rsidRPr="00510F37" w:rsidRDefault="001C1B8D" w:rsidP="004B45C9">
            <w:pPr>
              <w:spacing w:after="0"/>
              <w:rPr>
                <w:rFonts w:ascii="Calibri" w:hAnsi="Calibri"/>
              </w:rPr>
            </w:pPr>
            <w:r w:rsidRPr="001C1B8D">
              <w:rPr>
                <w:rFonts w:ascii="Calibri" w:hAnsi="Calibri"/>
              </w:rPr>
              <w:t xml:space="preserve">NVO mogu doprinijeti uspostavljanju akcionih planova za </w:t>
            </w:r>
            <w:r w:rsidR="00810894">
              <w:rPr>
                <w:rFonts w:ascii="Calibri" w:hAnsi="Calibri"/>
              </w:rPr>
              <w:t xml:space="preserve">tri </w:t>
            </w:r>
            <w:r w:rsidRPr="001C1B8D">
              <w:rPr>
                <w:rFonts w:ascii="Calibri" w:hAnsi="Calibri"/>
              </w:rPr>
              <w:t>vrste i pomoći u njihovoj implem</w:t>
            </w:r>
            <w:r>
              <w:rPr>
                <w:rFonts w:ascii="Calibri" w:hAnsi="Calibri"/>
              </w:rPr>
              <w:t xml:space="preserve">entaciji na duži rok, takođe mogu vršiti monitoring. </w:t>
            </w:r>
            <w:r w:rsidRPr="001C1B8D">
              <w:rPr>
                <w:rFonts w:ascii="Calibri" w:hAnsi="Calibri"/>
              </w:rPr>
              <w:t>Ovo je važan doprinos javnom interesu za zaštitu biodiverziteta Crne Gore.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B45C9" w:rsidRPr="00510F37" w:rsidRDefault="004B45C9" w:rsidP="004B45C9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>Navesti javne konkurse koji se predlažu za objavljivanje u _____.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F470AB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7D1455" w:rsidP="0081089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Uspostavljanje </w:t>
            </w:r>
            <w:r w:rsidRPr="005F46BF">
              <w:rPr>
                <w:rFonts w:ascii="Calibri" w:hAnsi="Calibri"/>
              </w:rPr>
              <w:t xml:space="preserve">akcionih planova </w:t>
            </w:r>
            <w:r w:rsidR="00810894">
              <w:rPr>
                <w:rFonts w:ascii="Calibri" w:hAnsi="Calibri"/>
              </w:rPr>
              <w:t>sa monitoringom 3</w:t>
            </w:r>
            <w:r w:rsidR="00B77204">
              <w:rPr>
                <w:rFonts w:ascii="Calibri" w:hAnsi="Calibri"/>
              </w:rPr>
              <w:t xml:space="preserve"> značajnije</w:t>
            </w:r>
            <w:r>
              <w:rPr>
                <w:rFonts w:ascii="Calibri" w:hAnsi="Calibri"/>
              </w:rPr>
              <w:t xml:space="preserve"> vrst</w:t>
            </w:r>
            <w:r w:rsidR="00810894">
              <w:rPr>
                <w:rFonts w:ascii="Calibri" w:hAnsi="Calibri"/>
              </w:rPr>
              <w:t>e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810894" w:rsidP="005F46BF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F46BF" w:rsidRPr="005F46BF">
              <w:rPr>
                <w:rFonts w:ascii="Calibri" w:hAnsi="Calibri"/>
              </w:rPr>
              <w:t xml:space="preserve">0.000 evra 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5F46BF" w:rsidP="002F1960">
            <w:pPr>
              <w:spacing w:after="0"/>
              <w:rPr>
                <w:rFonts w:ascii="Calibri" w:hAnsi="Calibri"/>
              </w:rPr>
            </w:pPr>
            <w:r w:rsidRPr="005F46BF">
              <w:rPr>
                <w:rFonts w:ascii="Calibri" w:hAnsi="Calibri"/>
              </w:rPr>
              <w:t>Nema drugih donatora za 2019</w:t>
            </w: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F470AB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>Navesti ko su predviđeni glavni korisnici projekata i programa koji će se finansirati putem javnog konkursa. Ukratko nav</w:t>
      </w:r>
      <w:r w:rsidR="006B441C">
        <w:t xml:space="preserve">esti </w:t>
      </w:r>
      <w:r>
        <w:t>glavna obilježja svake grupe korisnika, njihov broj i njihove potrebe na koje projekti i programi treba da odgovore u ____.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 glavnih grupa korisnika, njihov broj i potrebe</w:t>
            </w:r>
          </w:p>
        </w:tc>
      </w:tr>
      <w:tr w:rsidR="00F470AB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D170E4" w:rsidRDefault="00D170E4" w:rsidP="00D170E4">
      <w:pPr>
        <w:pStyle w:val="ListParagraph"/>
        <w:ind w:left="792"/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lastRenderedPageBreak/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F470AB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</w:p>
        </w:tc>
      </w:tr>
      <w:tr w:rsidR="005F46BF" w:rsidTr="00B215A4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46BF" w:rsidRPr="00C95284" w:rsidRDefault="007D1455" w:rsidP="0081089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Uspostavljanje </w:t>
            </w:r>
            <w:r w:rsidR="005F46BF" w:rsidRPr="005F46BF">
              <w:rPr>
                <w:rFonts w:ascii="Calibri" w:hAnsi="Calibri"/>
              </w:rPr>
              <w:t xml:space="preserve">akcionih planova </w:t>
            </w:r>
            <w:r w:rsidR="005F46BF">
              <w:rPr>
                <w:rFonts w:ascii="Calibri" w:hAnsi="Calibri"/>
              </w:rPr>
              <w:t>sa monitoringom</w:t>
            </w:r>
            <w:r w:rsidR="00810894">
              <w:rPr>
                <w:rFonts w:ascii="Calibri" w:hAnsi="Calibri"/>
              </w:rPr>
              <w:t xml:space="preserve"> 3 značajne</w:t>
            </w:r>
            <w:r>
              <w:rPr>
                <w:rFonts w:ascii="Calibri" w:hAnsi="Calibri"/>
              </w:rPr>
              <w:t xml:space="preserve"> vrst</w:t>
            </w:r>
            <w:r w:rsidR="00810894">
              <w:rPr>
                <w:rFonts w:ascii="Calibri" w:hAnsi="Calibri"/>
              </w:rPr>
              <w:t>e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46BF" w:rsidRPr="007C2569" w:rsidRDefault="00810894" w:rsidP="005F46B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lang w:val="de-DE"/>
              </w:rPr>
              <w:t>1-3</w:t>
            </w:r>
            <w:r w:rsidR="005F46BF">
              <w:rPr>
                <w:rFonts w:ascii="Calibri" w:hAnsi="Calibri"/>
                <w:lang w:val="de-DE"/>
              </w:rPr>
              <w:t>.</w:t>
            </w:r>
          </w:p>
        </w:tc>
      </w:tr>
      <w:tr w:rsidR="005F46BF" w:rsidTr="00F470AB">
        <w:tc>
          <w:tcPr>
            <w:tcW w:w="6884" w:type="dxa"/>
            <w:tcMar>
              <w:top w:w="57" w:type="dxa"/>
              <w:bottom w:w="57" w:type="dxa"/>
            </w:tcMar>
          </w:tcPr>
          <w:p w:rsidR="005F46BF" w:rsidRPr="00510F37" w:rsidRDefault="005F46BF" w:rsidP="005F46BF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F46BF" w:rsidRPr="00510F37" w:rsidRDefault="005F46BF" w:rsidP="005F46BF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>
              <w:rPr>
                <w:rFonts w:ascii="Calibri" w:hAnsi="Calibri"/>
              </w:rPr>
              <w:t>: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>Najniži iznos finansijske podrške koju će biti moguće ostvariti na osnovu javnog konkursa:  ____________</w:t>
            </w:r>
            <w:r w:rsidR="00B77204">
              <w:t>20.</w:t>
            </w:r>
            <w:r w:rsidR="005F46BF">
              <w:t>000</w:t>
            </w:r>
            <w:r>
              <w:t>____________ 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  <w:r>
              <w:t>Najviši iznos finansijske podrške koju će biti moguće ostvariti na osnovu javnog konkursa:  ____________________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na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D170E4" w:rsidRDefault="00D170E4" w:rsidP="00FF5B24"/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5F46BF" w:rsidP="005F46B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Uspostavljanje </w:t>
            </w:r>
            <w:r w:rsidRPr="005F46BF">
              <w:rPr>
                <w:rFonts w:ascii="Calibri" w:hAnsi="Calibri"/>
              </w:rPr>
              <w:t xml:space="preserve">akcionih planova </w:t>
            </w:r>
            <w:r>
              <w:rPr>
                <w:rFonts w:ascii="Calibri" w:hAnsi="Calibri"/>
              </w:rPr>
              <w:t>sa monitoringom 6 značajnih vrsta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5F46BF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10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52" w:rsidRDefault="00DB3C52" w:rsidP="00893B03">
      <w:pPr>
        <w:spacing w:after="0"/>
      </w:pPr>
      <w:r>
        <w:separator/>
      </w:r>
    </w:p>
  </w:endnote>
  <w:endnote w:type="continuationSeparator" w:id="0">
    <w:p w:rsidR="00DB3C52" w:rsidRDefault="00DB3C52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52" w:rsidRDefault="00DB3C52" w:rsidP="00893B03">
      <w:pPr>
        <w:spacing w:after="0"/>
      </w:pPr>
      <w:r>
        <w:separator/>
      </w:r>
    </w:p>
  </w:footnote>
  <w:footnote w:type="continuationSeparator" w:id="0">
    <w:p w:rsidR="00DB3C52" w:rsidRDefault="00DB3C52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051E13"/>
    <w:multiLevelType w:val="hybridMultilevel"/>
    <w:tmpl w:val="C58877CA"/>
    <w:lvl w:ilvl="0" w:tplc="D0806B1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D475E"/>
    <w:multiLevelType w:val="hybridMultilevel"/>
    <w:tmpl w:val="682A903A"/>
    <w:lvl w:ilvl="0" w:tplc="6464CA02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31932"/>
    <w:rsid w:val="00035B3D"/>
    <w:rsid w:val="00041FCD"/>
    <w:rsid w:val="00056D8B"/>
    <w:rsid w:val="000572A1"/>
    <w:rsid w:val="000650E4"/>
    <w:rsid w:val="00085B89"/>
    <w:rsid w:val="000A27E9"/>
    <w:rsid w:val="000C517D"/>
    <w:rsid w:val="000C7C08"/>
    <w:rsid w:val="000E649C"/>
    <w:rsid w:val="00114B5E"/>
    <w:rsid w:val="001157CF"/>
    <w:rsid w:val="00152265"/>
    <w:rsid w:val="0015454A"/>
    <w:rsid w:val="001715D6"/>
    <w:rsid w:val="001742F3"/>
    <w:rsid w:val="00192DDA"/>
    <w:rsid w:val="0019681C"/>
    <w:rsid w:val="001B2A55"/>
    <w:rsid w:val="001B37EA"/>
    <w:rsid w:val="001C1B8D"/>
    <w:rsid w:val="001E03BD"/>
    <w:rsid w:val="001E36C7"/>
    <w:rsid w:val="001E3871"/>
    <w:rsid w:val="001E5E62"/>
    <w:rsid w:val="00234A90"/>
    <w:rsid w:val="002357C4"/>
    <w:rsid w:val="00241CD7"/>
    <w:rsid w:val="002450A0"/>
    <w:rsid w:val="0026502A"/>
    <w:rsid w:val="00266490"/>
    <w:rsid w:val="00266734"/>
    <w:rsid w:val="002A110A"/>
    <w:rsid w:val="002A52FE"/>
    <w:rsid w:val="002C2C9C"/>
    <w:rsid w:val="002D10E5"/>
    <w:rsid w:val="002E0BB3"/>
    <w:rsid w:val="002E68C7"/>
    <w:rsid w:val="002F1960"/>
    <w:rsid w:val="00301306"/>
    <w:rsid w:val="0030296C"/>
    <w:rsid w:val="00303E71"/>
    <w:rsid w:val="00326A9D"/>
    <w:rsid w:val="00345BD0"/>
    <w:rsid w:val="00360BA7"/>
    <w:rsid w:val="00366EA9"/>
    <w:rsid w:val="00367DE2"/>
    <w:rsid w:val="00377CA2"/>
    <w:rsid w:val="003864BC"/>
    <w:rsid w:val="00391A6A"/>
    <w:rsid w:val="003B4204"/>
    <w:rsid w:val="003C222F"/>
    <w:rsid w:val="003C24D8"/>
    <w:rsid w:val="003D6752"/>
    <w:rsid w:val="003E6367"/>
    <w:rsid w:val="003E6605"/>
    <w:rsid w:val="004500B0"/>
    <w:rsid w:val="00465741"/>
    <w:rsid w:val="004757CE"/>
    <w:rsid w:val="004775FA"/>
    <w:rsid w:val="004864F1"/>
    <w:rsid w:val="00496590"/>
    <w:rsid w:val="004B45C9"/>
    <w:rsid w:val="004F2421"/>
    <w:rsid w:val="00502869"/>
    <w:rsid w:val="00504165"/>
    <w:rsid w:val="00510F37"/>
    <w:rsid w:val="00516ED3"/>
    <w:rsid w:val="00541704"/>
    <w:rsid w:val="00545714"/>
    <w:rsid w:val="00564218"/>
    <w:rsid w:val="005754F2"/>
    <w:rsid w:val="00596A50"/>
    <w:rsid w:val="005B1C23"/>
    <w:rsid w:val="005C0065"/>
    <w:rsid w:val="005E04CE"/>
    <w:rsid w:val="005E1CB4"/>
    <w:rsid w:val="005E37F9"/>
    <w:rsid w:val="005F0375"/>
    <w:rsid w:val="005F46BF"/>
    <w:rsid w:val="006062EB"/>
    <w:rsid w:val="00622E6D"/>
    <w:rsid w:val="00631376"/>
    <w:rsid w:val="00652635"/>
    <w:rsid w:val="00685B8E"/>
    <w:rsid w:val="0069330B"/>
    <w:rsid w:val="00695A8E"/>
    <w:rsid w:val="006B441C"/>
    <w:rsid w:val="006C6504"/>
    <w:rsid w:val="006E763B"/>
    <w:rsid w:val="006F6C11"/>
    <w:rsid w:val="007077EE"/>
    <w:rsid w:val="00736968"/>
    <w:rsid w:val="00744B81"/>
    <w:rsid w:val="007508D1"/>
    <w:rsid w:val="00773572"/>
    <w:rsid w:val="007849C3"/>
    <w:rsid w:val="007A587F"/>
    <w:rsid w:val="007D1455"/>
    <w:rsid w:val="007D51D8"/>
    <w:rsid w:val="007E3C51"/>
    <w:rsid w:val="007E50A4"/>
    <w:rsid w:val="007E77A8"/>
    <w:rsid w:val="007F5587"/>
    <w:rsid w:val="007F6C61"/>
    <w:rsid w:val="008058E1"/>
    <w:rsid w:val="00806934"/>
    <w:rsid w:val="00810894"/>
    <w:rsid w:val="00851390"/>
    <w:rsid w:val="0085188D"/>
    <w:rsid w:val="00872035"/>
    <w:rsid w:val="0087654A"/>
    <w:rsid w:val="00893B03"/>
    <w:rsid w:val="00893D37"/>
    <w:rsid w:val="008A075D"/>
    <w:rsid w:val="008C51C2"/>
    <w:rsid w:val="009068E4"/>
    <w:rsid w:val="00906EDE"/>
    <w:rsid w:val="00915ACC"/>
    <w:rsid w:val="009600C7"/>
    <w:rsid w:val="00963B9D"/>
    <w:rsid w:val="00966ED1"/>
    <w:rsid w:val="00967A13"/>
    <w:rsid w:val="0098003E"/>
    <w:rsid w:val="0098708B"/>
    <w:rsid w:val="00997797"/>
    <w:rsid w:val="009A2079"/>
    <w:rsid w:val="009A6DBC"/>
    <w:rsid w:val="009A743C"/>
    <w:rsid w:val="009B1B14"/>
    <w:rsid w:val="009D0A5B"/>
    <w:rsid w:val="009E4559"/>
    <w:rsid w:val="00A1234C"/>
    <w:rsid w:val="00A33786"/>
    <w:rsid w:val="00A37134"/>
    <w:rsid w:val="00A5092D"/>
    <w:rsid w:val="00A756BD"/>
    <w:rsid w:val="00A97800"/>
    <w:rsid w:val="00AA16B7"/>
    <w:rsid w:val="00AA607B"/>
    <w:rsid w:val="00AB6D92"/>
    <w:rsid w:val="00AC3BB3"/>
    <w:rsid w:val="00AD6294"/>
    <w:rsid w:val="00AE3BBD"/>
    <w:rsid w:val="00AE65B1"/>
    <w:rsid w:val="00B215A4"/>
    <w:rsid w:val="00B231E9"/>
    <w:rsid w:val="00B36C88"/>
    <w:rsid w:val="00B4123A"/>
    <w:rsid w:val="00B556FC"/>
    <w:rsid w:val="00B64E29"/>
    <w:rsid w:val="00B77204"/>
    <w:rsid w:val="00B82707"/>
    <w:rsid w:val="00B83AE0"/>
    <w:rsid w:val="00B84AF3"/>
    <w:rsid w:val="00BA608E"/>
    <w:rsid w:val="00BB12A2"/>
    <w:rsid w:val="00BF7161"/>
    <w:rsid w:val="00C04A93"/>
    <w:rsid w:val="00C22F75"/>
    <w:rsid w:val="00C51F68"/>
    <w:rsid w:val="00C54064"/>
    <w:rsid w:val="00C63484"/>
    <w:rsid w:val="00C907F7"/>
    <w:rsid w:val="00C95284"/>
    <w:rsid w:val="00C970FB"/>
    <w:rsid w:val="00CC6F83"/>
    <w:rsid w:val="00CD6658"/>
    <w:rsid w:val="00CE1182"/>
    <w:rsid w:val="00D1232A"/>
    <w:rsid w:val="00D1426E"/>
    <w:rsid w:val="00D14758"/>
    <w:rsid w:val="00D170E4"/>
    <w:rsid w:val="00D30B2D"/>
    <w:rsid w:val="00D34C60"/>
    <w:rsid w:val="00D45CD4"/>
    <w:rsid w:val="00D71441"/>
    <w:rsid w:val="00DB3C52"/>
    <w:rsid w:val="00DD6599"/>
    <w:rsid w:val="00DE3358"/>
    <w:rsid w:val="00E2394D"/>
    <w:rsid w:val="00E24648"/>
    <w:rsid w:val="00E25512"/>
    <w:rsid w:val="00E270F9"/>
    <w:rsid w:val="00E34F32"/>
    <w:rsid w:val="00E47DA5"/>
    <w:rsid w:val="00E77F93"/>
    <w:rsid w:val="00EA19DC"/>
    <w:rsid w:val="00EA3EBA"/>
    <w:rsid w:val="00EC2EB9"/>
    <w:rsid w:val="00ED5324"/>
    <w:rsid w:val="00EE3ADD"/>
    <w:rsid w:val="00EF0197"/>
    <w:rsid w:val="00F02BD6"/>
    <w:rsid w:val="00F11066"/>
    <w:rsid w:val="00F14CFA"/>
    <w:rsid w:val="00F17416"/>
    <w:rsid w:val="00F22620"/>
    <w:rsid w:val="00F25BC9"/>
    <w:rsid w:val="00F406E0"/>
    <w:rsid w:val="00F42D89"/>
    <w:rsid w:val="00F470AB"/>
    <w:rsid w:val="00F47631"/>
    <w:rsid w:val="00F517FE"/>
    <w:rsid w:val="00F7162D"/>
    <w:rsid w:val="00F71F33"/>
    <w:rsid w:val="00F86F8B"/>
    <w:rsid w:val="00F935E9"/>
    <w:rsid w:val="00FB0F76"/>
    <w:rsid w:val="00FC7A8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7BEE8A-EFA9-4963-BBC9-0FAB32A9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10305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Dragana Raonic</cp:lastModifiedBy>
  <cp:revision>4</cp:revision>
  <cp:lastPrinted>2018-07-25T06:26:00Z</cp:lastPrinted>
  <dcterms:created xsi:type="dcterms:W3CDTF">2018-07-25T06:18:00Z</dcterms:created>
  <dcterms:modified xsi:type="dcterms:W3CDTF">2018-07-25T06:26:00Z</dcterms:modified>
</cp:coreProperties>
</file>