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5E" w:rsidRDefault="00A532C6">
      <w:pPr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  <w:noProof/>
          <w:lang w:val="sr-Latn-ME"/>
        </w:rPr>
        <w:drawing>
          <wp:inline distT="114300" distB="114300" distL="114300" distR="114300">
            <wp:extent cx="950213" cy="115177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213" cy="1151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r-Latn-ME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4838700</wp:posOffset>
            </wp:positionH>
            <wp:positionV relativeFrom="paragraph">
              <wp:posOffset>0</wp:posOffset>
            </wp:positionV>
            <wp:extent cx="1609725" cy="1137285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2B5E" w:rsidRDefault="008B2B5E">
      <w:pPr>
        <w:jc w:val="center"/>
        <w:rPr>
          <w:rFonts w:ascii="Trebuchet MS" w:eastAsia="Trebuchet MS" w:hAnsi="Trebuchet MS" w:cs="Trebuchet MS"/>
          <w:i/>
        </w:rPr>
      </w:pPr>
    </w:p>
    <w:p w:rsidR="008B2B5E" w:rsidRDefault="008B2B5E">
      <w:pPr>
        <w:jc w:val="center"/>
        <w:rPr>
          <w:rFonts w:ascii="Trebuchet MS" w:eastAsia="Trebuchet MS" w:hAnsi="Trebuchet MS" w:cs="Trebuchet MS"/>
          <w:i/>
        </w:rPr>
      </w:pPr>
    </w:p>
    <w:p w:rsidR="008B2B5E" w:rsidRDefault="008B2B5E">
      <w:pPr>
        <w:jc w:val="center"/>
        <w:rPr>
          <w:rFonts w:ascii="Trebuchet MS" w:eastAsia="Trebuchet MS" w:hAnsi="Trebuchet MS" w:cs="Trebuchet MS"/>
          <w:i/>
        </w:rPr>
      </w:pPr>
    </w:p>
    <w:p w:rsidR="008B2B5E" w:rsidRDefault="00A532C6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  </w:t>
      </w:r>
    </w:p>
    <w:p w:rsidR="008B2B5E" w:rsidRDefault="00A532C6">
      <w:pPr>
        <w:pBdr>
          <w:top w:val="single" w:sz="4" w:space="1" w:color="000000"/>
        </w:pBdr>
        <w:shd w:val="clear" w:color="auto" w:fill="D9D9D9"/>
        <w:spacing w:after="0" w:line="240" w:lineRule="auto"/>
        <w:jc w:val="center"/>
        <w:rPr>
          <w:rFonts w:ascii="Trebuchet MS" w:eastAsia="Trebuchet MS" w:hAnsi="Trebuchet MS" w:cs="Trebuchet MS"/>
          <w:b/>
          <w:sz w:val="56"/>
          <w:szCs w:val="56"/>
        </w:rPr>
      </w:pPr>
      <w:r>
        <w:rPr>
          <w:rFonts w:ascii="Trebuchet MS" w:eastAsia="Trebuchet MS" w:hAnsi="Trebuchet MS" w:cs="Trebuchet MS"/>
          <w:b/>
          <w:sz w:val="56"/>
          <w:szCs w:val="56"/>
        </w:rPr>
        <w:t>GODIŠNJI PLAN OBRAZOVANJA ODRASLIH</w:t>
      </w:r>
    </w:p>
    <w:p w:rsidR="008B2B5E" w:rsidRDefault="00A532C6">
      <w:pPr>
        <w:pBdr>
          <w:bottom w:val="single" w:sz="4" w:space="1" w:color="000000"/>
        </w:pBdr>
        <w:shd w:val="clear" w:color="auto" w:fill="D9D9D9"/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56"/>
          <w:szCs w:val="56"/>
        </w:rPr>
        <w:t>ZA 2024. GODINU</w:t>
      </w:r>
    </w:p>
    <w:p w:rsidR="008B2B5E" w:rsidRDefault="008B2B5E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PRIPREMA PRIJEDLOGA GODIŠNJEG PLANA OBRAZOVANJA ODRASLIH ZA 2024. GODINU:</w:t>
      </w:r>
    </w:p>
    <w:p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JU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Centar za stručno obrazovanje - Odjeljenje za obrazovanje odraslih i cjeloživotno učenje</w:t>
      </w:r>
    </w:p>
    <w:p w:rsidR="008B2B5E" w:rsidRDefault="008B2B5E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Podgorica</w:t>
      </w:r>
    </w:p>
    <w:p w:rsidR="008B2B5E" w:rsidRDefault="00A532C6">
      <w:pPr>
        <w:spacing w:after="0" w:line="240" w:lineRule="auto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Januar 2024. godine</w:t>
      </w:r>
      <w:r>
        <w:br w:type="page"/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Na osnovu strateških dokumenata iz oblasti obrazovanja odraslih i shodno Zakonu o obrazovanju odraslih, donosi se Godišnji plan. Godišnjim planom se po prioritetnim oblastima razrađuju aktivnosti i programi. Godišnji plan obrazovanja o</w:t>
      </w:r>
      <w:r>
        <w:rPr>
          <w:rFonts w:ascii="Trebuchet MS" w:eastAsia="Trebuchet MS" w:hAnsi="Trebuchet MS" w:cs="Trebuchet MS"/>
        </w:rPr>
        <w:t>draslih je operativni dokument koji pored aktivnosti/programa sadrži nosioce aktivnosti, indikatore za praćenje i finansijska sredstva potrebna za njegovu realizaciju.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Poseban akcenat i u 2024. godini biće stavljen na jačanje obrazovne ponude za odrasle, p</w:t>
      </w:r>
      <w:r>
        <w:rPr>
          <w:rFonts w:ascii="Trebuchet MS" w:eastAsia="Trebuchet MS" w:hAnsi="Trebuchet MS" w:cs="Trebuchet MS"/>
        </w:rPr>
        <w:t>romociju cjeloživotnog učenja, unapređenje profesionalnih kompetencija zaposlenih, stvaranje novih prilika za učenje posebno nezaposlenih i ranjivih kategorija, medijsku pismenost, lični razvoj i usavršavanje kroz učenje, promociju e-učenja, transverzalnih</w:t>
      </w:r>
      <w:r>
        <w:rPr>
          <w:rFonts w:ascii="Trebuchet MS" w:eastAsia="Trebuchet MS" w:hAnsi="Trebuchet MS" w:cs="Trebuchet MS"/>
        </w:rPr>
        <w:t xml:space="preserve"> kompetencija, digitalne i zelene transformacije i EPALE elektronske platforme za učenje odraslih u Evropi. 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 </w:t>
      </w:r>
    </w:p>
    <w:p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color w:val="FF0000"/>
        </w:rPr>
      </w:pPr>
      <w:r>
        <w:br w:type="page"/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>I UVODNI REZIME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Centar za stručno obrazovanje je u januaru 2024. godine sa ministarstvima i institucijama socijalnog partnerstva pripremio predlog Godišnjeg plana obrazovanja odraslih za 2024. godinu u skladu sa Zakonom o obrazovanju odraslih. 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U skladu sa prethodnim Planom obrazovanja odraslih i Strategijom obrazovanja odraslih (2015 – 2025), prioritetne oblasti obrazovanja odraslih za 2024. godinu su: 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Programi i aktivnosti cjeloživotnog obrazovanja i učenja;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Unapređenje znanja, vještina i komp</w:t>
      </w:r>
      <w:r>
        <w:rPr>
          <w:rFonts w:ascii="Trebuchet MS" w:eastAsia="Trebuchet MS" w:hAnsi="Trebuchet MS" w:cs="Trebuchet MS"/>
          <w:sz w:val="20"/>
          <w:szCs w:val="20"/>
        </w:rPr>
        <w:t>etencija nezaposlenih lica;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Unapređenje kompetencija zaposlenih;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Osiguranje kvaliteta u obrazovanju odraslih;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Obezbjeđenje fleksibilnog i održivog sistema obrazovanja odraslih.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Strateški ciljevi Godišnjeg plana obrazovanja odraslih za 2024. godinu su: 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</w:t>
      </w:r>
      <w:r>
        <w:rPr>
          <w:rFonts w:ascii="Trebuchet MS" w:eastAsia="Trebuchet MS" w:hAnsi="Trebuchet MS" w:cs="Trebuchet MS"/>
          <w:sz w:val="20"/>
          <w:szCs w:val="20"/>
        </w:rPr>
        <w:t>ećati socijalnu uključenost odraslih građana kroz aktivnosti cjeloživotnog učenja i obrazovanja;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Unapređivati znanja, vještine i kompetencije odraslih za zapošljivost, mobilnost na tržištu rada i konkurentnost;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kompetencije zaposlenih u cilju post</w:t>
      </w:r>
      <w:r>
        <w:rPr>
          <w:rFonts w:ascii="Trebuchet MS" w:eastAsia="Trebuchet MS" w:hAnsi="Trebuchet MS" w:cs="Trebuchet MS"/>
          <w:sz w:val="20"/>
          <w:szCs w:val="20"/>
        </w:rPr>
        <w:t>izanja bržeg privrednog rasta;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Uspostaviti sistem osiguranja kvaliteta u obrazovanju odraslih;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Obezbijediti fleksibilan i održiv sistem obrazovanja odraslih. 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Operativni ciljevi Godišnjeg plana obrazovanja odraslih za 2024. godinu su: 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Unaprijediti obrazov</w:t>
      </w:r>
      <w:r>
        <w:rPr>
          <w:rFonts w:ascii="Trebuchet MS" w:eastAsia="Trebuchet MS" w:hAnsi="Trebuchet MS" w:cs="Trebuchet MS"/>
          <w:sz w:val="20"/>
          <w:szCs w:val="20"/>
        </w:rPr>
        <w:t>nu ponudu za odrasle sa programima koji su namijenjeni različitim ciljnim grupama;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Povećati broj programa za sticanje stručnih kvalifikacija koje nedostaju na tržištu rada i programa za unapređenje ključnih kompetencija;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Povećati broj programa obrazovanja </w:t>
      </w:r>
      <w:r>
        <w:rPr>
          <w:rFonts w:ascii="Trebuchet MS" w:eastAsia="Trebuchet MS" w:hAnsi="Trebuchet MS" w:cs="Trebuchet MS"/>
          <w:sz w:val="20"/>
          <w:szCs w:val="20"/>
        </w:rPr>
        <w:t>i aktivnosti na stručnom usavršavanju i specijalizaciji zaposlenih;</w:t>
      </w:r>
    </w:p>
    <w:p w:rsidR="008B2B5E" w:rsidRDefault="00A532C6">
      <w:pPr>
        <w:numPr>
          <w:ilvl w:val="0"/>
          <w:numId w:val="8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Organizovati aktivnosti na utvrđivanju kvaliteta rada što većeg broja licenciranih organizatora obrazovanja odraslih sa jasnim preporukama za unapređenje oblasti obrazovanja odraslih;</w:t>
      </w:r>
    </w:p>
    <w:p w:rsidR="008B2B5E" w:rsidRDefault="00A532C6">
      <w:pPr>
        <w:numPr>
          <w:ilvl w:val="0"/>
          <w:numId w:val="8"/>
        </w:numPr>
        <w:spacing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Razm</w:t>
      </w:r>
      <w:r>
        <w:rPr>
          <w:rFonts w:ascii="Trebuchet MS" w:eastAsia="Trebuchet MS" w:hAnsi="Trebuchet MS" w:cs="Trebuchet MS"/>
          <w:sz w:val="20"/>
          <w:szCs w:val="20"/>
        </w:rPr>
        <w:t>otriti mogućnosti za stvaranje održivog sistema finansiranja obrazovanja odraslih kroz uključivanja svih aktera/zainteresovanih strana.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 nastavku dat je prikaz kratke analize iz izvještaja o realizaciji Godišnjeg plana obrazovanja odraslih za 2023. godinu</w:t>
      </w:r>
      <w:r>
        <w:rPr>
          <w:rFonts w:ascii="Trebuchet MS" w:eastAsia="Trebuchet MS" w:hAnsi="Trebuchet MS" w:cs="Trebuchet MS"/>
          <w:sz w:val="20"/>
          <w:szCs w:val="20"/>
        </w:rPr>
        <w:t>, koji će služiti kao referentni podaci za analizu podataka iz Plana obrazovanja odraslih za 2024. godinu.</w:t>
      </w:r>
    </w:p>
    <w:p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sz w:val="20"/>
          <w:szCs w:val="20"/>
        </w:rPr>
      </w:pPr>
      <w:r>
        <w:br w:type="page"/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>II INFORMACIJA O STATUSU INDIKATORA USPJEHA (NAPREDAK U POSTIZANJU STRATEŠKIH I OPERATIVNIH CILJEVA)</w:t>
      </w:r>
    </w:p>
    <w:p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I</w:t>
      </w:r>
    </w:p>
    <w:p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sz w:val="20"/>
          <w:szCs w:val="20"/>
          <w:highlight w:val="yellow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U toku 2023. godine na osnovu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dostavljenih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podataka iz MEIS baze i podataka institucija koje su bile uključene u realizaciju Godišnjeg plana obrazovanja odraslih za 2023. godinu, u različite oblike edukativnih aktivnosti bilo je uključeno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21890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polaznika/polaznica</w:t>
      </w:r>
      <w:r>
        <w:rPr>
          <w:rFonts w:ascii="Trebuchet MS" w:eastAsia="Trebuchet MS" w:hAnsi="Trebuchet MS" w:cs="Trebuchet MS"/>
          <w:sz w:val="20"/>
          <w:szCs w:val="20"/>
        </w:rPr>
        <w:t xml:space="preserve"> dok je tokom 2022. godine različi</w:t>
      </w:r>
      <w:r>
        <w:rPr>
          <w:rFonts w:ascii="Trebuchet MS" w:eastAsia="Trebuchet MS" w:hAnsi="Trebuchet MS" w:cs="Trebuchet MS"/>
          <w:sz w:val="20"/>
          <w:szCs w:val="20"/>
        </w:rPr>
        <w:t xml:space="preserve">te oblike edukacije pohađalo znatno manje polaznika, tačnije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14378</w:t>
      </w:r>
      <w:r>
        <w:rPr>
          <w:rFonts w:ascii="Trebuchet MS" w:eastAsia="Trebuchet MS" w:hAnsi="Trebuchet MS" w:cs="Trebuchet MS"/>
          <w:sz w:val="20"/>
          <w:szCs w:val="20"/>
        </w:rPr>
        <w:t xml:space="preserve"> lica. Od ukupnog broja polaznika, prema podacima iz MEIS baze,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57 lica</w:t>
      </w:r>
      <w:r>
        <w:rPr>
          <w:rFonts w:ascii="Trebuchet MS" w:eastAsia="Trebuchet MS" w:hAnsi="Trebuchet MS" w:cs="Trebuchet MS"/>
          <w:sz w:val="20"/>
          <w:szCs w:val="20"/>
        </w:rPr>
        <w:t xml:space="preserve"> je pohađalo prilagođeni program osnovnog obrazovanja odraslih,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1188 lica</w:t>
      </w:r>
      <w:r>
        <w:rPr>
          <w:rFonts w:ascii="Trebuchet MS" w:eastAsia="Trebuchet MS" w:hAnsi="Trebuchet MS" w:cs="Trebuchet MS"/>
          <w:sz w:val="20"/>
          <w:szCs w:val="20"/>
        </w:rPr>
        <w:t xml:space="preserve"> su pohađala programe obrazovanja za sticanje </w:t>
      </w:r>
      <w:r>
        <w:rPr>
          <w:rFonts w:ascii="Trebuchet MS" w:eastAsia="Trebuchet MS" w:hAnsi="Trebuchet MS" w:cs="Trebuchet MS"/>
          <w:sz w:val="20"/>
          <w:szCs w:val="20"/>
        </w:rPr>
        <w:t xml:space="preserve">stručnih kvalifikacija,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812 lica</w:t>
      </w:r>
      <w:r>
        <w:rPr>
          <w:rFonts w:ascii="Trebuchet MS" w:eastAsia="Trebuchet MS" w:hAnsi="Trebuchet MS" w:cs="Trebuchet MS"/>
          <w:sz w:val="20"/>
          <w:szCs w:val="20"/>
        </w:rPr>
        <w:t xml:space="preserve"> je pohađalo programe obrazovanja za sticanje ključnih kompetencija, a programe obrazovanja za unapređenje ključnih vještina pohađala su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32 lica, </w:t>
      </w:r>
      <w:r>
        <w:rPr>
          <w:rFonts w:ascii="Trebuchet MS" w:eastAsia="Trebuchet MS" w:hAnsi="Trebuchet MS" w:cs="Trebuchet MS"/>
          <w:sz w:val="20"/>
          <w:szCs w:val="20"/>
        </w:rPr>
        <w:t xml:space="preserve">a programe za stručno usavršavanje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43 lica</w:t>
      </w:r>
      <w:r>
        <w:rPr>
          <w:rFonts w:ascii="Trebuchet MS" w:eastAsia="Trebuchet MS" w:hAnsi="Trebuchet MS" w:cs="Trebuchet MS"/>
          <w:sz w:val="20"/>
          <w:szCs w:val="20"/>
        </w:rPr>
        <w:t>. Ostali polaznici pohađali su razli</w:t>
      </w:r>
      <w:r>
        <w:rPr>
          <w:rFonts w:ascii="Trebuchet MS" w:eastAsia="Trebuchet MS" w:hAnsi="Trebuchet MS" w:cs="Trebuchet MS"/>
          <w:sz w:val="20"/>
          <w:szCs w:val="20"/>
        </w:rPr>
        <w:t xml:space="preserve">čite programe stručnog usavršavanja, motivacione programe, obuke na radu i sl. </w:t>
      </w:r>
    </w:p>
    <w:p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Uzimajući u obzir ukupan broj odraslih lica u Crnoj Gori, koji prema oficijelnom podatku dobijenom sa popisa sprovedenog od strane MONSTAT-a 2011. godine iznosi</w:t>
      </w:r>
      <w:r>
        <w:rPr>
          <w:b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</w:rPr>
        <w:t>260 277</w:t>
      </w:r>
      <w:r>
        <w:rPr>
          <w:rFonts w:ascii="Trebuchet MS" w:eastAsia="Trebuchet MS" w:hAnsi="Trebuchet MS" w:cs="Trebuchet MS"/>
          <w:b/>
          <w:sz w:val="20"/>
          <w:szCs w:val="20"/>
          <w:vertAlign w:val="superscript"/>
        </w:rPr>
        <w:footnoteReference w:id="1"/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procen</w:t>
      </w:r>
      <w:r>
        <w:rPr>
          <w:rFonts w:ascii="Trebuchet MS" w:eastAsia="Trebuchet MS" w:hAnsi="Trebuchet MS" w:cs="Trebuchet MS"/>
          <w:b/>
          <w:sz w:val="20"/>
          <w:szCs w:val="20"/>
        </w:rPr>
        <w:t>at učešća odraslih u aktivnostim</w:t>
      </w:r>
      <w:r w:rsidR="008C07EF">
        <w:rPr>
          <w:rFonts w:ascii="Trebuchet MS" w:eastAsia="Trebuchet MS" w:hAnsi="Trebuchet MS" w:cs="Trebuchet MS"/>
          <w:b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cjeloživotnog učenja u 2020. godini iznosio je 9,48%, dok je 2021. godine taj procenat 7,35%, a u 2022. godinu nastavljen je pad te je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procenat učešća odraslih u CŽU svega 5.5%, ali u 2023. godini dolazi do porasta učešća o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draslih 8,41%.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Važno je istaći da izvještajni podaci nijesu uključili sve planirane aktere jer nijesu sve institucije dostavile tražene podatke. Crna Gora je sa svojih skoro dostignutih oko 10% ostvarenog učešća u programima cjeloživotnog učenja u 2020. go</w:t>
      </w:r>
      <w:r>
        <w:rPr>
          <w:rFonts w:ascii="Trebuchet MS" w:eastAsia="Trebuchet MS" w:hAnsi="Trebuchet MS" w:cs="Trebuchet MS"/>
          <w:b/>
          <w:sz w:val="20"/>
          <w:szCs w:val="20"/>
        </w:rPr>
        <w:t>dini, za dvije godine pala čak na 5.5% u 2022. godini te je predaleko od predviđenih 50 % do 2025. i 60% do 2030. godine. Na godišnjem nivou prema strateškim i planskim ciljevima, Crna Gora je trebala da napreduje od 1 do 2 do procenta što je postignuto sa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učešćem od 8,41% u 2023. godini. 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Cilj je dalje raditi na promociji cjeloživotnog učenja i kreiranju opsežnije obrazovne ponude za sve kategorije građana shodno uzrastu, kao i obrazovnom profilu. U 2019. godini više od petine (20,3 %) stanovnika EU-27 ima</w:t>
      </w:r>
      <w:r>
        <w:rPr>
          <w:rFonts w:ascii="Trebuchet MS" w:eastAsia="Trebuchet MS" w:hAnsi="Trebuchet MS" w:cs="Trebuchet MS"/>
          <w:b/>
          <w:sz w:val="20"/>
          <w:szCs w:val="20"/>
        </w:rPr>
        <w:t>lo je 65 ili više godina. Predviđa se da će se udio osoba u dobi od 80 ili više godina u stanovništvu EU-27 u razdoblju od 2019. do 2100. povećati za dva i</w:t>
      </w:r>
      <w:r w:rsidR="00B47490"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</w:rPr>
        <w:t>po puta i to sa 5,8 % na 14,6 %. U Crnoj Gori taj procenat biće mnogo veći, jer je u 2011. bilo 12,8%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lica starosti iznad 65 godina! Težnja je da se fokus obrazovne politike stavi upravo ono što je nacionalni i evropski izazov.</w:t>
      </w:r>
    </w:p>
    <w:p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II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 okviru II prioritetnog cilja koji se odnosi na unapređenje znanja, vještina i kompetencija odraslih za zapošljivost, mobilno</w:t>
      </w:r>
      <w:r>
        <w:rPr>
          <w:rFonts w:ascii="Trebuchet MS" w:eastAsia="Trebuchet MS" w:hAnsi="Trebuchet MS" w:cs="Trebuchet MS"/>
          <w:sz w:val="20"/>
          <w:szCs w:val="20"/>
        </w:rPr>
        <w:t>st na tržištu rada i konkurentnost, indikator uspjeha se mjeri unapređenjem znanja, vještina i kompetencija odraslih za zapošljivost, mobilnost na tržištu rada i konkurentnost kroz razvoj minimum pet stručnih kvalifikacija na nivou godine i povećanje broja</w:t>
      </w:r>
      <w:r>
        <w:rPr>
          <w:rFonts w:ascii="Trebuchet MS" w:eastAsia="Trebuchet MS" w:hAnsi="Trebuchet MS" w:cs="Trebuchet MS"/>
          <w:sz w:val="20"/>
          <w:szCs w:val="20"/>
        </w:rPr>
        <w:t xml:space="preserve"> zaposlenih uključenih u programe stručnog usavršavanja za minimum 1% na godišnjem nivou.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Prema ovom Izvještaju o realizaciji Godišnjeg plana obrazovanja odraslih za </w:t>
      </w:r>
      <w:r>
        <w:rPr>
          <w:rFonts w:ascii="Trebuchet MS" w:eastAsia="Trebuchet MS" w:hAnsi="Trebuchet MS" w:cs="Trebuchet MS"/>
          <w:sz w:val="20"/>
          <w:szCs w:val="20"/>
          <w:u w:val="single"/>
        </w:rPr>
        <w:t>2023</w:t>
      </w:r>
      <w:r>
        <w:rPr>
          <w:rFonts w:ascii="Trebuchet MS" w:eastAsia="Trebuchet MS" w:hAnsi="Trebuchet MS" w:cs="Trebuchet MS"/>
          <w:sz w:val="20"/>
          <w:szCs w:val="20"/>
        </w:rPr>
        <w:t xml:space="preserve">. godinu, za drugu prioritetnu oblast podaci skoro i da nijesu dostupni, jer veoma slično kao i u prethodnoj godini, ključni nosilac aktivnosti u ovoj prioritetnoj oblasti Zavod za zapošljavanje Crne Gore nije dostavio većinu traženih 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>podataka, te je stoga</w:t>
      </w:r>
      <w:r>
        <w:rPr>
          <w:rFonts w:ascii="Trebuchet MS" w:eastAsia="Trebuchet MS" w:hAnsi="Trebuchet MS" w:cs="Trebuchet MS"/>
          <w:sz w:val="20"/>
          <w:szCs w:val="20"/>
        </w:rPr>
        <w:t xml:space="preserve"> veoma teško uraditi analizu i komparaciju podataka sa prethodnom godinom. Prema dostavljenim podacima uključeno je </w:t>
      </w:r>
      <w:r>
        <w:rPr>
          <w:rFonts w:ascii="Trebuchet MS" w:eastAsia="Trebuchet MS" w:hAnsi="Trebuchet MS" w:cs="Trebuchet MS"/>
          <w:sz w:val="20"/>
          <w:szCs w:val="20"/>
          <w:u w:val="single"/>
        </w:rPr>
        <w:t>6588</w:t>
      </w:r>
      <w:r>
        <w:rPr>
          <w:rFonts w:ascii="Trebuchet MS" w:eastAsia="Trebuchet MS" w:hAnsi="Trebuchet MS" w:cs="Trebuchet MS"/>
          <w:sz w:val="20"/>
          <w:szCs w:val="20"/>
        </w:rPr>
        <w:t xml:space="preserve"> lica što je manje u odnosu na 2022. godinu kada je broj lica iznosio </w:t>
      </w:r>
      <w:r>
        <w:rPr>
          <w:rFonts w:ascii="Trebuchet MS" w:eastAsia="Trebuchet MS" w:hAnsi="Trebuchet MS" w:cs="Trebuchet MS"/>
          <w:sz w:val="20"/>
          <w:szCs w:val="20"/>
          <w:u w:val="single"/>
        </w:rPr>
        <w:t>1032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. </w:t>
      </w:r>
      <w:r>
        <w:rPr>
          <w:rFonts w:ascii="Trebuchet MS" w:eastAsia="Trebuchet MS" w:hAnsi="Trebuchet MS" w:cs="Trebuchet MS"/>
          <w:sz w:val="20"/>
          <w:szCs w:val="20"/>
        </w:rPr>
        <w:t>Ni u ovom izvještaju nijesu u potpunosti dostupni podaci o b</w:t>
      </w:r>
      <w:r>
        <w:rPr>
          <w:rFonts w:ascii="Trebuchet MS" w:eastAsia="Trebuchet MS" w:hAnsi="Trebuchet MS" w:cs="Trebuchet MS"/>
          <w:sz w:val="20"/>
          <w:szCs w:val="20"/>
        </w:rPr>
        <w:t xml:space="preserve">roju polaznika realizacije programa profesionalne orijentacije kojih je u 2018. godini bilo čak </w:t>
      </w:r>
      <w:r>
        <w:rPr>
          <w:rFonts w:ascii="Trebuchet MS" w:eastAsia="Trebuchet MS" w:hAnsi="Trebuchet MS" w:cs="Trebuchet MS"/>
          <w:sz w:val="20"/>
          <w:szCs w:val="20"/>
          <w:u w:val="single"/>
        </w:rPr>
        <w:t>14128</w:t>
      </w:r>
      <w:r>
        <w:rPr>
          <w:rFonts w:ascii="Trebuchet MS" w:eastAsia="Trebuchet MS" w:hAnsi="Trebuchet MS" w:cs="Trebuchet MS"/>
          <w:sz w:val="20"/>
          <w:szCs w:val="20"/>
        </w:rPr>
        <w:t>, ali ni o obrazovnim aktivnostima namijenjenim licima sa invaliditetom.</w:t>
      </w:r>
    </w:p>
    <w:p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III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U okviru </w:t>
      </w:r>
      <w:r>
        <w:rPr>
          <w:rFonts w:ascii="Trebuchet MS" w:eastAsia="Trebuchet MS" w:hAnsi="Trebuchet MS" w:cs="Trebuchet MS"/>
          <w:b/>
          <w:sz w:val="20"/>
          <w:szCs w:val="20"/>
        </w:rPr>
        <w:t>III prioritetnog cilja</w:t>
      </w:r>
      <w:r>
        <w:rPr>
          <w:rFonts w:ascii="Trebuchet MS" w:eastAsia="Trebuchet MS" w:hAnsi="Trebuchet MS" w:cs="Trebuchet MS"/>
          <w:sz w:val="20"/>
          <w:szCs w:val="20"/>
        </w:rPr>
        <w:t xml:space="preserve"> koji se odnosi na </w:t>
      </w:r>
      <w:r>
        <w:rPr>
          <w:rFonts w:ascii="Trebuchet MS" w:eastAsia="Trebuchet MS" w:hAnsi="Trebuchet MS" w:cs="Trebuchet MS"/>
          <w:b/>
          <w:i/>
          <w:sz w:val="20"/>
          <w:szCs w:val="20"/>
        </w:rPr>
        <w:t>povećanje kompetencija zapos</w:t>
      </w:r>
      <w:r>
        <w:rPr>
          <w:rFonts w:ascii="Trebuchet MS" w:eastAsia="Trebuchet MS" w:hAnsi="Trebuchet MS" w:cs="Trebuchet MS"/>
          <w:b/>
          <w:i/>
          <w:sz w:val="20"/>
          <w:szCs w:val="20"/>
        </w:rPr>
        <w:t>lenih u cilju postizanja bržeg privrednog rasta</w:t>
      </w:r>
      <w:r>
        <w:rPr>
          <w:rFonts w:ascii="Trebuchet MS" w:eastAsia="Trebuchet MS" w:hAnsi="Trebuchet MS" w:cs="Trebuchet MS"/>
          <w:i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sz w:val="20"/>
          <w:szCs w:val="20"/>
        </w:rPr>
        <w:t>indikator uspjeha se mjeri povećanjem kompetencija zaposlenih u cilju postizanja bržeg privrednog rasta kroz povećanje broja zaposlenih uključenih u programe za sticanje i razvoj ključnih kompetencija za min</w:t>
      </w:r>
      <w:r>
        <w:rPr>
          <w:rFonts w:ascii="Trebuchet MS" w:eastAsia="Trebuchet MS" w:hAnsi="Trebuchet MS" w:cs="Trebuchet MS"/>
          <w:sz w:val="20"/>
          <w:szCs w:val="20"/>
        </w:rPr>
        <w:t>imum 1 % na godišnjem nivou.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Prema podacima iz Izvještaja o realizaciji Godišnjeg plana obrazovanja odraslih za 2020. godinu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15507</w:t>
      </w:r>
      <w:r>
        <w:rPr>
          <w:rFonts w:ascii="Trebuchet MS" w:eastAsia="Trebuchet MS" w:hAnsi="Trebuchet MS" w:cs="Trebuchet MS"/>
          <w:sz w:val="20"/>
          <w:szCs w:val="20"/>
        </w:rPr>
        <w:t xml:space="preserve"> zaposlenih je učestvovalo u edukacijama koje su organizovale institucije sistema, dok je u 2021. godini u ovakve aktivnosti b</w:t>
      </w:r>
      <w:r>
        <w:rPr>
          <w:rFonts w:ascii="Trebuchet MS" w:eastAsia="Trebuchet MS" w:hAnsi="Trebuchet MS" w:cs="Trebuchet MS"/>
          <w:sz w:val="20"/>
          <w:szCs w:val="20"/>
        </w:rPr>
        <w:t xml:space="preserve">ilo uključeno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11546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polaznika, što je evidentan pad za 25,5% u odnosu na 2020. Taj pad se nastavio i u 2022. godini kada je prema dostupnim podacim</w:t>
      </w:r>
      <w:r w:rsidR="004418E0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 xml:space="preserve"> obuke pohađalo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9733</w:t>
      </w:r>
      <w:r>
        <w:rPr>
          <w:rFonts w:ascii="Trebuchet MS" w:eastAsia="Trebuchet MS" w:hAnsi="Trebuchet MS" w:cs="Trebuchet MS"/>
          <w:sz w:val="20"/>
          <w:szCs w:val="20"/>
        </w:rPr>
        <w:t xml:space="preserve"> zaposlena lica. Međutim, broj polaznika koji </w:t>
      </w:r>
      <w:r w:rsidR="00001581">
        <w:rPr>
          <w:rFonts w:ascii="Trebuchet MS" w:eastAsia="Trebuchet MS" w:hAnsi="Trebuchet MS" w:cs="Trebuchet MS"/>
          <w:sz w:val="20"/>
          <w:szCs w:val="20"/>
        </w:rPr>
        <w:t xml:space="preserve">je </w:t>
      </w:r>
      <w:r>
        <w:rPr>
          <w:rFonts w:ascii="Trebuchet MS" w:eastAsia="Trebuchet MS" w:hAnsi="Trebuchet MS" w:cs="Trebuchet MS"/>
          <w:sz w:val="20"/>
          <w:szCs w:val="20"/>
        </w:rPr>
        <w:t xml:space="preserve">učestvovao u različitim edukacijama je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1205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8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što predstavlja 19,3% više u odnosu na broj polaznika u 2022. godini.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Potrebno je imati u</w:t>
      </w:r>
      <w:r w:rsidR="00E51902">
        <w:rPr>
          <w:rFonts w:ascii="Trebuchet MS" w:eastAsia="Trebuchet MS" w:hAnsi="Trebuchet MS" w:cs="Trebuchet MS"/>
          <w:sz w:val="20"/>
          <w:szCs w:val="20"/>
        </w:rPr>
        <w:t xml:space="preserve"> vidu da podatke o realizaciji g</w:t>
      </w:r>
      <w:r>
        <w:rPr>
          <w:rFonts w:ascii="Trebuchet MS" w:eastAsia="Trebuchet MS" w:hAnsi="Trebuchet MS" w:cs="Trebuchet MS"/>
          <w:sz w:val="20"/>
          <w:szCs w:val="20"/>
        </w:rPr>
        <w:t>odišnjeg plana nisu dostavili svi akteri čije su ativnosti bile planirane Godišnjim planom obrazovanja odraslih za 2023. godinu.</w:t>
      </w:r>
    </w:p>
    <w:p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IV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  <w:b/>
          <w:i/>
          <w:sz w:val="20"/>
          <w:szCs w:val="20"/>
        </w:rPr>
      </w:pPr>
      <w:r>
        <w:rPr>
          <w:rFonts w:ascii="Trebuchet MS" w:eastAsia="Trebuchet MS" w:hAnsi="Trebuchet MS" w:cs="Trebuchet MS"/>
          <w:b/>
          <w:i/>
          <w:sz w:val="20"/>
          <w:szCs w:val="20"/>
        </w:rPr>
        <w:t>U</w:t>
      </w:r>
      <w:r>
        <w:rPr>
          <w:rFonts w:ascii="Trebuchet MS" w:eastAsia="Trebuchet MS" w:hAnsi="Trebuchet MS" w:cs="Trebuchet MS"/>
          <w:b/>
          <w:i/>
          <w:sz w:val="20"/>
          <w:szCs w:val="20"/>
        </w:rPr>
        <w:t>spostavljanje sistema osiguranja kvaliteta u obrazovanju odraslih</w:t>
      </w:r>
      <w:r>
        <w:rPr>
          <w:rFonts w:ascii="Trebuchet MS" w:eastAsia="Trebuchet MS" w:hAnsi="Trebuchet MS" w:cs="Trebuchet MS"/>
          <w:sz w:val="20"/>
          <w:szCs w:val="20"/>
        </w:rPr>
        <w:t xml:space="preserve"> je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III prioritetni cilj </w:t>
      </w:r>
      <w:r>
        <w:rPr>
          <w:rFonts w:ascii="Trebuchet MS" w:eastAsia="Trebuchet MS" w:hAnsi="Trebuchet MS" w:cs="Trebuchet MS"/>
          <w:sz w:val="20"/>
          <w:szCs w:val="20"/>
        </w:rPr>
        <w:t xml:space="preserve">Godišnjeg plana obrazovanja odraslih za 2023. godinu. Indikatori ostvarivanja ovog cilja su kvalitativni i odnose se na svaku aktivnost ponaosob u okviru definisanog </w:t>
      </w:r>
      <w:r>
        <w:rPr>
          <w:rFonts w:ascii="Trebuchet MS" w:eastAsia="Trebuchet MS" w:hAnsi="Trebuchet MS" w:cs="Trebuchet MS"/>
          <w:sz w:val="20"/>
          <w:szCs w:val="20"/>
        </w:rPr>
        <w:t xml:space="preserve">cilja. U okviru ovog cilja edukativnim aktivnostima bilo je tokom 2019. godine obuhvaćeno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4746</w:t>
      </w:r>
      <w:r>
        <w:rPr>
          <w:rFonts w:ascii="Trebuchet MS" w:eastAsia="Trebuchet MS" w:hAnsi="Trebuchet MS" w:cs="Trebuchet MS"/>
          <w:sz w:val="20"/>
          <w:szCs w:val="20"/>
        </w:rPr>
        <w:t xml:space="preserve"> polaznika, dok je tokom 2020. godine ovaj broj umanjen za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247</w:t>
      </w:r>
      <w:r>
        <w:rPr>
          <w:rFonts w:ascii="Trebuchet MS" w:eastAsia="Trebuchet MS" w:hAnsi="Trebuchet MS" w:cs="Trebuchet MS"/>
          <w:sz w:val="20"/>
          <w:szCs w:val="20"/>
        </w:rPr>
        <w:t xml:space="preserve"> lica, dok je u 2021.</w:t>
      </w:r>
      <w:r w:rsidR="0044600C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godini uključeno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4049</w:t>
      </w:r>
      <w:r>
        <w:rPr>
          <w:rFonts w:ascii="Trebuchet MS" w:eastAsia="Trebuchet MS" w:hAnsi="Trebuchet MS" w:cs="Trebuchet MS"/>
          <w:sz w:val="20"/>
          <w:szCs w:val="20"/>
        </w:rPr>
        <w:t xml:space="preserve"> lica. Podaci za 2022. godinu su značajno umanjeni i svedeni na svega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360</w:t>
      </w:r>
      <w:r>
        <w:rPr>
          <w:rFonts w:ascii="Trebuchet MS" w:eastAsia="Trebuchet MS" w:hAnsi="Trebuchet MS" w:cs="Trebuchet MS"/>
          <w:sz w:val="20"/>
          <w:szCs w:val="20"/>
        </w:rPr>
        <w:t xml:space="preserve"> nastavnika koji su pohađali obuke za andragoško osposobljavanje nastavnog kadra. U 2023. godini evidentiran je blagi porast u odnosu na 2022. godinu jer je obuke i programe stručnog </w:t>
      </w:r>
      <w:r>
        <w:rPr>
          <w:rFonts w:ascii="Trebuchet MS" w:eastAsia="Trebuchet MS" w:hAnsi="Trebuchet MS" w:cs="Trebuchet MS"/>
          <w:sz w:val="20"/>
          <w:szCs w:val="20"/>
        </w:rPr>
        <w:t xml:space="preserve">usavršavanja kadra </w:t>
      </w:r>
      <w:r w:rsidR="0044600C">
        <w:rPr>
          <w:rFonts w:ascii="Trebuchet MS" w:eastAsia="Trebuchet MS" w:hAnsi="Trebuchet MS" w:cs="Trebuchet MS"/>
          <w:sz w:val="20"/>
          <w:szCs w:val="20"/>
        </w:rPr>
        <w:t xml:space="preserve">iz obrazovnog sistem pohađalo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387</w:t>
      </w:r>
      <w:r>
        <w:rPr>
          <w:rFonts w:ascii="Trebuchet MS" w:eastAsia="Trebuchet MS" w:hAnsi="Trebuchet MS" w:cs="Trebuchet MS"/>
          <w:sz w:val="20"/>
          <w:szCs w:val="20"/>
        </w:rPr>
        <w:t xml:space="preserve"> polaznika.</w:t>
      </w:r>
    </w:p>
    <w:p w:rsidR="008B2B5E" w:rsidRDefault="00A532C6">
      <w:pPr>
        <w:shd w:val="clear" w:color="auto" w:fill="D9D9D9"/>
        <w:spacing w:before="240" w:after="24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V</w:t>
      </w:r>
    </w:p>
    <w:p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color w:val="E36C09"/>
          <w:sz w:val="20"/>
          <w:szCs w:val="20"/>
        </w:rPr>
      </w:pPr>
      <w:r>
        <w:rPr>
          <w:rFonts w:ascii="Trebuchet MS" w:eastAsia="Trebuchet MS" w:hAnsi="Trebuchet MS" w:cs="Trebuchet MS"/>
          <w:b/>
          <w:i/>
          <w:sz w:val="20"/>
          <w:szCs w:val="20"/>
        </w:rPr>
        <w:t xml:space="preserve">Obezbijediti fleksibilan i održiv sistem obrazovanja odraslih </w:t>
      </w:r>
      <w:r>
        <w:rPr>
          <w:rFonts w:ascii="Trebuchet MS" w:eastAsia="Trebuchet MS" w:hAnsi="Trebuchet MS" w:cs="Trebuchet MS"/>
          <w:sz w:val="20"/>
          <w:szCs w:val="20"/>
        </w:rPr>
        <w:t xml:space="preserve">kao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V prioritetni cilj, </w:t>
      </w:r>
      <w:r>
        <w:rPr>
          <w:rFonts w:ascii="Trebuchet MS" w:eastAsia="Trebuchet MS" w:hAnsi="Trebuchet MS" w:cs="Trebuchet MS"/>
          <w:sz w:val="20"/>
          <w:szCs w:val="20"/>
        </w:rPr>
        <w:t xml:space="preserve">podrazumijeva takođe niz mjera i aktivnosti u okviru kojih su indikatori opšte postavljeni. U okviru </w:t>
      </w:r>
      <w:r>
        <w:rPr>
          <w:rFonts w:ascii="Trebuchet MS" w:eastAsia="Trebuchet MS" w:hAnsi="Trebuchet MS" w:cs="Trebuchet MS"/>
          <w:sz w:val="20"/>
          <w:szCs w:val="20"/>
        </w:rPr>
        <w:t>ovog cilja broj polaznika kao indikator nije dostupan</w:t>
      </w:r>
      <w:r>
        <w:rPr>
          <w:rFonts w:ascii="Trebuchet MS" w:eastAsia="Trebuchet MS" w:hAnsi="Trebuchet MS" w:cs="Trebuchet MS"/>
          <w:color w:val="E36C09"/>
          <w:sz w:val="20"/>
          <w:szCs w:val="20"/>
        </w:rPr>
        <w:t>.</w:t>
      </w:r>
    </w:p>
    <w:p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br w:type="page"/>
      </w:r>
    </w:p>
    <w:p w:rsidR="008B2B5E" w:rsidRDefault="00A532C6">
      <w:pPr>
        <w:spacing w:after="24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lastRenderedPageBreak/>
        <w:t xml:space="preserve">III </w:t>
      </w:r>
      <w:r>
        <w:rPr>
          <w:rFonts w:ascii="Trebuchet MS" w:eastAsia="Trebuchet MS" w:hAnsi="Trebuchet MS" w:cs="Trebuchet MS"/>
          <w:b/>
        </w:rPr>
        <w:t>Tabela aktivnosti predviđenih Godišnjim planom obrazovanja odraslih za 2024. godinu</w:t>
      </w:r>
    </w:p>
    <w:p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PROGRAMI I AKTIVNOSTI CJELOŽIVOTNOG OBRAZOVANJA I UČENJA</w:t>
      </w:r>
    </w:p>
    <w:tbl>
      <w:tblPr>
        <w:tblStyle w:val="a"/>
        <w:tblW w:w="15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3"/>
        <w:gridCol w:w="2556"/>
        <w:gridCol w:w="2083"/>
        <w:gridCol w:w="2763"/>
        <w:gridCol w:w="5636"/>
      </w:tblGrid>
      <w:tr w:rsidR="008B2B5E">
        <w:trPr>
          <w:tblHeader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F168DF">
              <w:rPr>
                <w:rFonts w:ascii="Trebuchet MS" w:eastAsia="Trebuchet MS" w:hAnsi="Trebuchet MS" w:cs="Trebuchet MS"/>
                <w:b/>
              </w:rPr>
              <w:t>,</w:t>
            </w:r>
            <w:r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Realizacija programa osnovnog obrazovanja za odrasla lica</w:t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2"/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</w:t>
            </w:r>
            <w:r>
              <w:rPr>
                <w:rFonts w:ascii="Trebuchet MS" w:eastAsia="Trebuchet MS" w:hAnsi="Trebuchet MS" w:cs="Trebuchet MS"/>
              </w:rPr>
              <w:t xml:space="preserve"> 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Licencirani organizatori obrazovanja odraslih </w:t>
            </w: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90.000,00€ Budžet</w:t>
            </w: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polaznika koji su pohađali prilagođeni program osnovnog obrazovanja odraslih 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koji su završili neki od razreda osnovne škole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koji su završili osnov</w:t>
            </w:r>
            <w:r>
              <w:rPr>
                <w:rFonts w:ascii="Trebuchet MS" w:eastAsia="Trebuchet MS" w:hAnsi="Trebuchet MS" w:cs="Trebuchet MS"/>
              </w:rPr>
              <w:t>nu školu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licenciranih organizatora obrazovanja odraslih koji su realizovali prilagođeni program osnovnog obrazovanja odraslih </w:t>
            </w: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Sprovođenje aktivnosti u cilju podizanja svijesti građana o važnosti cjeloživotnog učenja i prava na visokokvalitetno obrazovanje u bilo kojem trenutku svog života</w:t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3"/>
            </w:r>
            <w:r>
              <w:rPr>
                <w:rFonts w:ascii="Trebuchet MS" w:eastAsia="Trebuchet MS" w:hAnsi="Trebuchet MS" w:cs="Trebuchet MS"/>
                <w:b/>
              </w:rPr>
              <w:t xml:space="preserve"> (realizovanje promotivnih kampanja, obilježavanje Dana pismenosti, Dana starih i sl.)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Centa</w:t>
            </w:r>
            <w:r>
              <w:rPr>
                <w:rFonts w:ascii="Trebuchet MS" w:eastAsia="Trebuchet MS" w:hAnsi="Trebuchet MS" w:cs="Trebuchet MS"/>
                <w:b/>
              </w:rPr>
              <w:t>r za stručno obrazovanje /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Ministarstvo prosvjete</w:t>
            </w:r>
            <w:r w:rsidR="00043954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, nuke i inovacija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Licencirani organizatori obrazovanja odraslih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Socijalni partneri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Q1 -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1.500,00€ Budžet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edukativnih aktivnosti realizovanih kroz manifestaciju </w:t>
            </w:r>
            <w:r w:rsidR="003551F5">
              <w:rPr>
                <w:rFonts w:ascii="Trebuchet MS" w:eastAsia="Trebuchet MS" w:hAnsi="Trebuchet MS" w:cs="Trebuchet MS"/>
              </w:rPr>
              <w:t>»</w:t>
            </w:r>
            <w:r>
              <w:rPr>
                <w:rFonts w:ascii="Trebuchet MS" w:eastAsia="Trebuchet MS" w:hAnsi="Trebuchet MS" w:cs="Trebuchet MS"/>
              </w:rPr>
              <w:t>Dani obrazovanja i učenja odraslih</w:t>
            </w:r>
            <w:r w:rsidR="003551F5">
              <w:rPr>
                <w:rFonts w:ascii="Trebuchet MS" w:eastAsia="Trebuchet MS" w:hAnsi="Trebuchet MS" w:cs="Trebuchet MS"/>
              </w:rPr>
              <w:t>«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zainteresovanih građana i predstavnika stručne javnosti uključenih u edukativne aktivnosti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lica koja su učestvovala na aktivnostima posvećenim obilježavanju Međunarodnog dana pismenosti, Međunarodnog dana starijih osoba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medijskih nastupa/obj</w:t>
            </w:r>
            <w:r>
              <w:rPr>
                <w:rFonts w:ascii="Trebuchet MS" w:eastAsia="Trebuchet MS" w:hAnsi="Trebuchet MS" w:cs="Trebuchet MS"/>
              </w:rPr>
              <w:t>ava u kojima se promoviše obrazovanje odraslih i cjeloživotno učenje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Informisanje građana o mogućnostima koje nudi sistem obrazovanja odraslih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A7DBF">
              <w:rPr>
                <w:rFonts w:ascii="Trebuchet MS" w:eastAsia="Trebuchet MS" w:hAnsi="Trebuchet MS" w:cs="Trebuchet MS"/>
                <w:b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</w:rPr>
              <w:t>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Centar za stručno obrazovanje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Aktivnosti preduzete u cilju informisanja građana (vodiči, flajeri, publikacije, portali, medijska gostovanja i sl)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Organizovanje promotivnih aktivnosti</w:t>
            </w:r>
          </w:p>
        </w:tc>
      </w:tr>
      <w:tr w:rsidR="008B2B5E">
        <w:trPr>
          <w:trHeight w:val="476"/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Razvijanje i realizacija programa obrazovanja za sticanje stručnih kvalifikacija, ključnih kompetencija</w:t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4"/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5"/>
            </w:r>
            <w:r>
              <w:rPr>
                <w:rFonts w:ascii="Trebuchet MS" w:eastAsia="Trebuchet MS" w:hAnsi="Trebuchet MS" w:cs="Trebuchet MS"/>
                <w:b/>
              </w:rPr>
              <w:t xml:space="preserve"> i ključnih vještina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Licencirani organizatori obrazovanja odraslih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usvojenih programa obrazovanja za s</w:t>
            </w:r>
            <w:r>
              <w:rPr>
                <w:rFonts w:ascii="Trebuchet MS" w:eastAsia="Trebuchet MS" w:hAnsi="Trebuchet MS" w:cs="Trebuchet MS"/>
              </w:rPr>
              <w:t>ticanje stručnih kvalifikacija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akreditovanih programa obrazovanja za sticanje ključnih kompetencija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usvojenih programa obrazovanja za sticanje ključnih vještina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programa obrazovanja za sticanje stručnih kvalifikacija,</w:t>
            </w:r>
            <w:r w:rsidR="000C2DB9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ključnih kompetencija i ključnih vještina</w:t>
            </w:r>
          </w:p>
        </w:tc>
      </w:tr>
      <w:tr w:rsidR="008B2B5E">
        <w:trPr>
          <w:trHeight w:val="476"/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Priprema i realizacija programa obrazovanja za sticanje znanja i vještina za građansku demokratiju, zaštitu životne sredine, održivi razvoj, ž</w:t>
            </w:r>
            <w:r>
              <w:rPr>
                <w:rFonts w:ascii="Trebuchet MS" w:eastAsia="Trebuchet MS" w:hAnsi="Trebuchet MS" w:cs="Trebuchet MS"/>
                <w:b/>
              </w:rPr>
              <w:t xml:space="preserve">ivot u porodici, uspješnu društvenu integraciju, podizanje kvaliteta života, zdravstvenu edukaciju, socijalne </w:t>
            </w:r>
            <w:r>
              <w:rPr>
                <w:rFonts w:ascii="Trebuchet MS" w:eastAsia="Trebuchet MS" w:hAnsi="Trebuchet MS" w:cs="Trebuchet MS"/>
                <w:b/>
              </w:rPr>
              <w:lastRenderedPageBreak/>
              <w:t>vještine, treće životno doba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Centar za stručno obrazovanje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/ 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Licencirani organizatori obrazovanja odraslih</w:t>
            </w:r>
          </w:p>
          <w:p w:rsidR="008B2B5E" w:rsidRDefault="008B2B5E">
            <w:pPr>
              <w:spacing w:before="40" w:after="40" w:line="240" w:lineRule="auto"/>
              <w:ind w:left="374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akreditovanih programa obrazovanja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polaznika programa obrazovanja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Praćenje i sprovođenje mjera za jačanje digitalnih vještina odraslih</w:t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6"/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 /</w:t>
            </w:r>
          </w:p>
          <w:p w:rsidR="008B2B5E" w:rsidRDefault="0077651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Ministarstvo javne uprave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Organizacije OSI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Socijalni partneri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n/a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programa obrazovanja sa sadržajima o digitalnim vještinama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Sprovedene aktivnosti organizacije i ostvareno učešće predstavnika delegacije Crne Gore na događajima (konferencijama) na temu digitalnih vještina odraslih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Realizacija obuka za osobe sa invaliditetom za upotrebu opcija e-Pristupačnosti na portalu gov.me </w:t>
            </w: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Praćenje i sprovođenje mjera za jačanje medijske pismenosti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Centar za stručno obrazovanje/ 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Ministarstvo prosvjete</w:t>
            </w:r>
            <w:r w:rsidR="003C6D6F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, nauke i inovacija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Predstavnici medija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Partnerske institucije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Budžet EPALE projekta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Ostvarena regionalna saradnja na planu jačanja medijske pismenosti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i vrsta realizovanih aktivnosti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Organizacija Regionalne konferencije o obrazovanju odraslih na temu: Medijska pismenost</w:t>
            </w:r>
          </w:p>
        </w:tc>
      </w:tr>
      <w:tr w:rsidR="008B2B5E">
        <w:trPr>
          <w:trHeight w:val="275"/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Planiranje i sprovođenje aktivnosti koje doprinose povećanju nivoa funkcionalne pismenosti građana 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2078C0">
              <w:rPr>
                <w:rFonts w:ascii="Trebuchet MS" w:eastAsia="Trebuchet MS" w:hAnsi="Trebuchet MS" w:cs="Trebuchet MS"/>
                <w:b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</w:rPr>
              <w:t xml:space="preserve">/ 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Centar za stručno obrazovanje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Organi državne uprave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NVO sektor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Organi lokalne samouprave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Licencirani organizatori obrazovanja odraslih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Poslodavci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Q1 -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Budžet EPALE projekta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Broj realizovanih aktivnosti namijenjenih povećanju funkcionalne pismenosti građana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sklopljenih partnerst</w:t>
            </w:r>
            <w:r w:rsidR="002619E9">
              <w:rPr>
                <w:rFonts w:ascii="Trebuchet MS" w:eastAsia="Trebuchet MS" w:hAnsi="Trebuchet MS" w:cs="Trebuchet MS"/>
              </w:rPr>
              <w:t>a</w:t>
            </w:r>
            <w:r>
              <w:rPr>
                <w:rFonts w:ascii="Trebuchet MS" w:eastAsia="Trebuchet MS" w:hAnsi="Trebuchet MS" w:cs="Trebuchet MS"/>
              </w:rPr>
              <w:t>va o zajedničkoj akciji u ovoj oblasti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sprovedenih aktivnosti na planu jačanja digitalne pismenosti (obilježavanje dana sigurnog interneta, </w:t>
            </w:r>
            <w:r>
              <w:rPr>
                <w:rFonts w:ascii="Trebuchet MS" w:eastAsia="Trebuchet MS" w:hAnsi="Trebuchet MS" w:cs="Trebuchet MS"/>
              </w:rPr>
              <w:lastRenderedPageBreak/>
              <w:t>obilježavanje Međunarodnog dana djevojčica u ICT</w:t>
            </w:r>
            <w:r w:rsidR="009C0B4D">
              <w:rPr>
                <w:rFonts w:ascii="Trebuchet MS" w:eastAsia="Trebuchet MS" w:hAnsi="Trebuchet MS" w:cs="Trebuchet MS"/>
              </w:rPr>
              <w:t>-u), transverzalnih kompetencija</w:t>
            </w:r>
            <w:r>
              <w:rPr>
                <w:rFonts w:ascii="Trebuchet MS" w:eastAsia="Trebuchet MS" w:hAnsi="Trebuchet MS" w:cs="Trebuchet MS"/>
              </w:rPr>
              <w:t xml:space="preserve"> i sl.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Priprema Vodiča za transverzalne vještine nastavnika</w:t>
            </w: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color w:val="FF0000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trHeight w:val="275"/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Uspostavljanje razvijenog sistema obrazovanja starijih lica u cilju podsticanja aktivnog, samostalnog i zdravog starenja, koristeći njihovo znanje, iskustvo, društveni i kulturni kapital za dobrobit društva u cjelini</w:t>
            </w:r>
            <w:r>
              <w:rPr>
                <w:rFonts w:ascii="Trebuchet MS" w:eastAsia="Trebuchet MS" w:hAnsi="Trebuchet MS" w:cs="Trebuchet MS"/>
                <w:vertAlign w:val="superscript"/>
              </w:rPr>
              <w:footnoteReference w:id="7"/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E10FF">
              <w:rPr>
                <w:rFonts w:ascii="Trebuchet MS" w:eastAsia="Trebuchet MS" w:hAnsi="Trebuchet MS" w:cs="Trebuchet MS"/>
                <w:b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</w:rPr>
              <w:t>/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Centar za stru</w:t>
            </w:r>
            <w:r>
              <w:rPr>
                <w:rFonts w:ascii="Trebuchet MS" w:eastAsia="Trebuchet MS" w:hAnsi="Trebuchet MS" w:cs="Trebuchet MS"/>
              </w:rPr>
              <w:t>čno obrazovanje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Ustanove za smještaj starijih lica</w:t>
            </w:r>
          </w:p>
          <w:p w:rsidR="008B2B5E" w:rsidRDefault="00A532C6">
            <w:pPr>
              <w:numPr>
                <w:ilvl w:val="0"/>
                <w:numId w:val="1"/>
              </w:num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Partnerske institucije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Q1 - Q4 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Inicirane mjere za osiguranje obrazovanja starijih lica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starijih lica koja su učestvovala u obrazovnim aktivnostima namijenjenim ovoj populaciji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starijih lica koja su učestvovala u Danu za stare i Danu digitalne pismenosti</w:t>
            </w: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Stvaranje uslova za obrazovanje odraslih u zatvorima</w:t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8"/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Zavod za izvršenje krivičnih sankcija / 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Licencirani organizatori obrazovanja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odraslih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n /a </w:t>
            </w:r>
          </w:p>
        </w:tc>
        <w:tc>
          <w:tcPr>
            <w:tcW w:w="5636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realizovanih obuka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lica koja su učestvovala u obukama</w:t>
            </w:r>
          </w:p>
        </w:tc>
      </w:tr>
      <w:tr w:rsidR="008B2B5E">
        <w:trPr>
          <w:jc w:val="center"/>
        </w:trPr>
        <w:tc>
          <w:tcPr>
            <w:tcW w:w="2514" w:type="dxa"/>
          </w:tcPr>
          <w:p w:rsidR="008B2B5E" w:rsidRDefault="00A532C6">
            <w:pPr>
              <w:spacing w:before="40" w:after="40" w:line="240" w:lineRule="auto"/>
              <w:ind w:left="57"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Promovisanje u stručnoj javnosti značaja učešća zemlje u PIAAC</w:t>
            </w:r>
          </w:p>
        </w:tc>
        <w:tc>
          <w:tcPr>
            <w:tcW w:w="2556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091625">
              <w:rPr>
                <w:rFonts w:ascii="Trebuchet MS" w:eastAsia="Trebuchet MS" w:hAnsi="Trebuchet MS" w:cs="Trebuchet MS"/>
                <w:b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</w:rPr>
              <w:t>/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Centar za stručno obrazovanje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Ispitni centar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Monstat</w:t>
            </w:r>
          </w:p>
        </w:tc>
        <w:tc>
          <w:tcPr>
            <w:tcW w:w="20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Q1 – Q4</w:t>
            </w:r>
          </w:p>
        </w:tc>
        <w:tc>
          <w:tcPr>
            <w:tcW w:w="2763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5636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realizovanih promotivnih aktivnosti</w:t>
            </w:r>
          </w:p>
        </w:tc>
      </w:tr>
    </w:tbl>
    <w:p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</w:p>
    <w:tbl>
      <w:tblPr>
        <w:tblStyle w:val="a0"/>
        <w:tblW w:w="15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2"/>
      </w:tblGrid>
      <w:tr w:rsidR="008B2B5E">
        <w:trPr>
          <w:cantSplit/>
          <w:trHeight w:val="314"/>
          <w:jc w:val="center"/>
        </w:trPr>
        <w:tc>
          <w:tcPr>
            <w:tcW w:w="15552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SREDSTVA: JU Centar za stručno obrazovanje ...................................... 91.500,00€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8B2B5E">
        <w:trPr>
          <w:cantSplit/>
          <w:trHeight w:val="54"/>
          <w:jc w:val="center"/>
        </w:trPr>
        <w:tc>
          <w:tcPr>
            <w:tcW w:w="15552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jc w:val="right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Ukupno: 91.500,00€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</w:tr>
    </w:tbl>
    <w:p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1" w:name="_heading=h.30j0zll" w:colFirst="0" w:colLast="0"/>
      <w:bookmarkEnd w:id="1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UNAPREĐENJE ZNANJA, VJEŠTINA I KOMPETENCIJA NEZAPOSLENIH LICA</w:t>
      </w:r>
    </w:p>
    <w:tbl>
      <w:tblPr>
        <w:tblStyle w:val="a1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4"/>
        <w:gridCol w:w="2517"/>
        <w:gridCol w:w="2066"/>
        <w:gridCol w:w="2451"/>
        <w:gridCol w:w="5632"/>
      </w:tblGrid>
      <w:tr w:rsidR="008B2B5E">
        <w:trPr>
          <w:tblHeader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2A614F">
              <w:rPr>
                <w:rFonts w:ascii="Trebuchet MS" w:eastAsia="Trebuchet MS" w:hAnsi="Trebuchet MS" w:cs="Trebuchet MS"/>
                <w:b/>
              </w:rPr>
              <w:t>,</w:t>
            </w:r>
            <w:r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Planirana i utro</w:t>
            </w:r>
            <w:r>
              <w:rPr>
                <w:rFonts w:ascii="Trebuchet MS" w:eastAsia="Trebuchet MS" w:hAnsi="Trebuchet MS" w:cs="Trebuchet MS"/>
                <w:b/>
              </w:rPr>
              <w:t>šena finansijska sredstva i fondovi za sprovođenje aktivnosti (informacije o izvorima finansiranja)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>
        <w:trPr>
          <w:jc w:val="center"/>
        </w:trPr>
        <w:tc>
          <w:tcPr>
            <w:tcW w:w="2454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Realizacija programa obrazovanja i osposobljavanja nezaposlenih lica za poznatog poslodavca i za tržište rada</w:t>
            </w:r>
          </w:p>
        </w:tc>
        <w:tc>
          <w:tcPr>
            <w:tcW w:w="2517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Zavod za zapošljavanje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</w:t>
            </w:r>
            <w:r>
              <w:rPr>
                <w:rFonts w:ascii="Trebuchet MS" w:eastAsia="Trebuchet MS" w:hAnsi="Trebuchet MS" w:cs="Trebuchet MS"/>
              </w:rPr>
              <w:t xml:space="preserve">icencirani organizatori obrazovanja 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Poslodavci</w:t>
            </w:r>
          </w:p>
        </w:tc>
        <w:tc>
          <w:tcPr>
            <w:tcW w:w="2066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451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1.900.000,00€</w:t>
            </w:r>
          </w:p>
          <w:p w:rsidR="008B2B5E" w:rsidRDefault="00A53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Budžet Zavoda</w:t>
            </w:r>
          </w:p>
        </w:tc>
        <w:tc>
          <w:tcPr>
            <w:tcW w:w="5632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lica uključenih u programe sticanja stručnih kvalifikacija/ključnih vještina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lica uključenih u programe osposobljavanja za samostalno obavljanje poslova i za rad kod poslodavca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uspješnih učesnika programa, kao % broja uključenih lica</w:t>
            </w:r>
          </w:p>
        </w:tc>
      </w:tr>
      <w:tr w:rsidR="008B2B5E">
        <w:trPr>
          <w:jc w:val="center"/>
        </w:trPr>
        <w:tc>
          <w:tcPr>
            <w:tcW w:w="2454" w:type="dxa"/>
            <w:tcBorders>
              <w:bottom w:val="single" w:sz="4" w:space="0" w:color="000000"/>
            </w:tcBorders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Razvijanje stručnih kvalifikacija potrebnih tržištu rada</w:t>
            </w:r>
          </w:p>
        </w:tc>
        <w:tc>
          <w:tcPr>
            <w:tcW w:w="2517" w:type="dxa"/>
            <w:tcBorders>
              <w:bottom w:val="single" w:sz="4" w:space="0" w:color="000000"/>
            </w:tcBorders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Socijalni partneri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066" w:type="dxa"/>
            <w:tcBorders>
              <w:bottom w:val="single" w:sz="4" w:space="0" w:color="000000"/>
            </w:tcBorders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Q1 – Q4</w:t>
            </w:r>
          </w:p>
        </w:tc>
        <w:tc>
          <w:tcPr>
            <w:tcW w:w="2451" w:type="dxa"/>
            <w:tcBorders>
              <w:bottom w:val="single" w:sz="4" w:space="0" w:color="000000"/>
            </w:tcBorders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6.000,00€ Budžet</w:t>
            </w:r>
          </w:p>
        </w:tc>
        <w:tc>
          <w:tcPr>
            <w:tcW w:w="5632" w:type="dxa"/>
            <w:tcBorders>
              <w:bottom w:val="single" w:sz="4" w:space="0" w:color="000000"/>
            </w:tcBorders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usvojenih standarda zanimanja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Broj usvojenih standarda stručnih kvalifikacija na kojima se baziraju programi obrazovanja za sticanje stručnih kvalifikacija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usvojenih ispitnih kataloga za sticanje stručnih kvalifikacija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usvojenih programa obrazovanja za sticanje stručnih kvalifikacija</w:t>
            </w:r>
          </w:p>
        </w:tc>
      </w:tr>
      <w:tr w:rsidR="008B2B5E">
        <w:trPr>
          <w:jc w:val="center"/>
        </w:trPr>
        <w:tc>
          <w:tcPr>
            <w:tcW w:w="2454" w:type="dxa"/>
            <w:tcBorders>
              <w:top w:val="single" w:sz="4" w:space="0" w:color="000000"/>
            </w:tcBorders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Pružanje usluga profesionalne orijentacije</w:t>
            </w:r>
          </w:p>
        </w:tc>
        <w:tc>
          <w:tcPr>
            <w:tcW w:w="2517" w:type="dxa"/>
            <w:tcBorders>
              <w:top w:val="single" w:sz="4" w:space="0" w:color="000000"/>
            </w:tcBorders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Socijalni partneri</w:t>
            </w:r>
          </w:p>
        </w:tc>
        <w:tc>
          <w:tcPr>
            <w:tcW w:w="2066" w:type="dxa"/>
            <w:tcBorders>
              <w:top w:val="single" w:sz="4" w:space="0" w:color="000000"/>
            </w:tcBorders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451" w:type="dxa"/>
            <w:tcBorders>
              <w:top w:val="single" w:sz="4" w:space="0" w:color="000000"/>
            </w:tcBorders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n/a</w:t>
            </w:r>
          </w:p>
        </w:tc>
        <w:tc>
          <w:tcPr>
            <w:tcW w:w="5632" w:type="dxa"/>
            <w:tcBorders>
              <w:top w:val="single" w:sz="4" w:space="0" w:color="000000"/>
            </w:tcBorders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Broj lica obuhvaćenih uslugama profesionalne orijentacije</w:t>
            </w:r>
          </w:p>
        </w:tc>
      </w:tr>
      <w:tr w:rsidR="008B2B5E">
        <w:trPr>
          <w:jc w:val="center"/>
        </w:trPr>
        <w:tc>
          <w:tcPr>
            <w:tcW w:w="2454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Profesionalno informisanje i savjetovanje lica sa invaliditetom pri izboru ili promjeni zanimanja, obrazovanja i drugih odluka u vezi s</w:t>
            </w:r>
            <w:r w:rsidR="00E3368E">
              <w:rPr>
                <w:rFonts w:ascii="Trebuchet MS" w:eastAsia="Trebuchet MS" w:hAnsi="Trebuchet MS" w:cs="Trebuchet MS"/>
                <w:b/>
              </w:rPr>
              <w:t>a</w:t>
            </w:r>
            <w:r>
              <w:rPr>
                <w:rFonts w:ascii="Trebuchet MS" w:eastAsia="Trebuchet MS" w:hAnsi="Trebuchet MS" w:cs="Trebuchet MS"/>
                <w:b/>
              </w:rPr>
              <w:t xml:space="preserve"> obrazovanjem i zapošljavanjem</w:t>
            </w:r>
          </w:p>
        </w:tc>
        <w:tc>
          <w:tcPr>
            <w:tcW w:w="2517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Zavod za zapošljavanje</w:t>
            </w:r>
          </w:p>
        </w:tc>
        <w:tc>
          <w:tcPr>
            <w:tcW w:w="2066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451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n/a</w:t>
            </w:r>
          </w:p>
        </w:tc>
        <w:tc>
          <w:tcPr>
            <w:tcW w:w="5632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Broj lica sa invaliditetom kojima je pružena usluga profesionalnog informisanja i savjetovanja</w:t>
            </w:r>
          </w:p>
        </w:tc>
      </w:tr>
      <w:tr w:rsidR="008B2B5E">
        <w:trPr>
          <w:jc w:val="center"/>
        </w:trPr>
        <w:tc>
          <w:tcPr>
            <w:tcW w:w="2454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Realizovanje programa i projekata profesionalne rehabilitacije i aktivne politike zapošljavanja za nezaposlena lica sa invaliditetom</w:t>
            </w:r>
          </w:p>
        </w:tc>
        <w:tc>
          <w:tcPr>
            <w:tcW w:w="2517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Poslodavci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Organizatori profesionalne rehabilitacije</w:t>
            </w:r>
          </w:p>
        </w:tc>
        <w:tc>
          <w:tcPr>
            <w:tcW w:w="2066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2451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n/a</w:t>
            </w:r>
          </w:p>
        </w:tc>
        <w:tc>
          <w:tcPr>
            <w:tcW w:w="5632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realizovanih programa i projekata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nezaposlenih lica sa invaliditetom uključenih u programe i politike zapošljavanja </w:t>
            </w:r>
          </w:p>
          <w:p w:rsidR="008B2B5E" w:rsidRDefault="008B2B5E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2454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Sprovođenje mjera i aktivnosti profesionalne </w:t>
            </w:r>
            <w:r>
              <w:rPr>
                <w:rFonts w:ascii="Trebuchet MS" w:eastAsia="Trebuchet MS" w:hAnsi="Trebuchet MS" w:cs="Trebuchet MS"/>
                <w:b/>
              </w:rPr>
              <w:lastRenderedPageBreak/>
              <w:t>rehabilitacije i zapošljavanja lica sa invaliditetom</w:t>
            </w:r>
          </w:p>
        </w:tc>
        <w:tc>
          <w:tcPr>
            <w:tcW w:w="2517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Zavod za zapošljavanje/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lastRenderedPageBreak/>
              <w:t>Organizatori profesionalne rehabilitacije</w:t>
            </w:r>
          </w:p>
        </w:tc>
        <w:tc>
          <w:tcPr>
            <w:tcW w:w="2066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Q1 – Q4</w:t>
            </w:r>
          </w:p>
        </w:tc>
        <w:tc>
          <w:tcPr>
            <w:tcW w:w="2451" w:type="dxa"/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n/a</w:t>
            </w:r>
          </w:p>
        </w:tc>
        <w:tc>
          <w:tcPr>
            <w:tcW w:w="5632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lica sa invaliditetom uključenih u pojedine mjere i aktivnosti </w:t>
            </w: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2454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Implementacija programa usmjerenih na povećanje zapošljivosti i zaposlenosti posebno osjetljivih grupa nezaposlenih lica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kroz druge programe i projekte</w:t>
            </w:r>
          </w:p>
        </w:tc>
        <w:tc>
          <w:tcPr>
            <w:tcW w:w="2517" w:type="dxa"/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Unija poslodavaca Crne Gore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Zavod za zapošljavanje Crne Gore  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066" w:type="dxa"/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Q1-Q4</w:t>
            </w:r>
          </w:p>
        </w:tc>
        <w:tc>
          <w:tcPr>
            <w:tcW w:w="2451" w:type="dxa"/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Sopstvena sredstva ili dobijena kroz projekat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AKTIVIRAJ SE - ZAPOSLI SE koji sufinansira Međunarodna organizacija rada (ILO)</w:t>
            </w:r>
          </w:p>
        </w:tc>
        <w:tc>
          <w:tcPr>
            <w:tcW w:w="5632" w:type="dxa"/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lica, uključujući privrednike</w:t>
            </w:r>
            <w:r w:rsidR="0002726B">
              <w:rPr>
                <w:rFonts w:ascii="Trebuchet MS" w:eastAsia="Trebuchet MS" w:hAnsi="Trebuchet MS" w:cs="Trebuchet MS"/>
              </w:rPr>
              <w:t>,</w:t>
            </w:r>
            <w:r>
              <w:rPr>
                <w:rFonts w:ascii="Trebuchet MS" w:eastAsia="Trebuchet MS" w:hAnsi="Trebuchet MS" w:cs="Trebuchet MS"/>
              </w:rPr>
              <w:t xml:space="preserve"> ali i nezaposlena lica, koja će uzet</w:t>
            </w:r>
            <w:r w:rsidR="0002726B">
              <w:rPr>
                <w:rFonts w:ascii="Trebuchet MS" w:eastAsia="Trebuchet MS" w:hAnsi="Trebuchet MS" w:cs="Trebuchet MS"/>
              </w:rPr>
              <w:t>i učešće u navedenim programima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8B2B5E">
        <w:trPr>
          <w:jc w:val="center"/>
        </w:trPr>
        <w:tc>
          <w:tcPr>
            <w:tcW w:w="2454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Sprovođenje obuka za lica koja započinju biznis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17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Zavod za zapošljavanje/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Unija poslodavaca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066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Q1 – Q4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451" w:type="dxa"/>
            <w:shd w:val="clear" w:color="auto" w:fill="FFFFFF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Za finansiranje specijalizovanih radionica oprijediliće se sredstva u iznosu do 2.000,00€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Budžet Zavoda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Sopstvena sreds</w:t>
            </w:r>
            <w:r w:rsidR="009C73D9">
              <w:rPr>
                <w:rFonts w:ascii="Trebuchet MS" w:eastAsia="Trebuchet MS" w:hAnsi="Trebuchet MS" w:cs="Trebuchet MS"/>
              </w:rPr>
              <w:t>tva UPCG i sredstva iz projekta</w:t>
            </w:r>
          </w:p>
        </w:tc>
        <w:tc>
          <w:tcPr>
            <w:tcW w:w="5632" w:type="dxa"/>
            <w:shd w:val="clear" w:color="auto" w:fill="FFFFFF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Broj obučenih lica koja započinju biznis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FF0000"/>
        </w:rPr>
      </w:pPr>
    </w:p>
    <w:tbl>
      <w:tblPr>
        <w:tblStyle w:val="a2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0"/>
      </w:tblGrid>
      <w:tr w:rsidR="008B2B5E">
        <w:trPr>
          <w:cantSplit/>
          <w:trHeight w:val="314"/>
          <w:jc w:val="center"/>
        </w:trPr>
        <w:tc>
          <w:tcPr>
            <w:tcW w:w="15120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SREDSTVA: Zavod za zapošljavanje Crne Gore ..............................................1.902.000,00€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JU Centar za stručno obrazovanje ..................................................................6.000,00€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Unija poslodavaca Crne Gore........................................................................sredstva Projekta koji finsira ILO ili sopstve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na sredstva</w:t>
            </w:r>
          </w:p>
        </w:tc>
      </w:tr>
      <w:tr w:rsidR="008B2B5E">
        <w:trPr>
          <w:cantSplit/>
          <w:trHeight w:val="54"/>
          <w:jc w:val="center"/>
        </w:trPr>
        <w:tc>
          <w:tcPr>
            <w:tcW w:w="15120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Ukupno: 1.908.000,00 €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0"/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</w:tr>
    </w:tbl>
    <w:p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2" w:name="_heading=h.1fob9te" w:colFirst="0" w:colLast="0"/>
      <w:bookmarkEnd w:id="2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UNAPREĐENJE KOMPETENCIJA ZAPOSLENIH</w:t>
      </w:r>
    </w:p>
    <w:tbl>
      <w:tblPr>
        <w:tblStyle w:val="a3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2802"/>
        <w:gridCol w:w="2415"/>
        <w:gridCol w:w="3257"/>
        <w:gridCol w:w="3408"/>
      </w:tblGrid>
      <w:tr w:rsidR="008B2B5E">
        <w:trPr>
          <w:tblHeader/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Aktivnosti kojima se neposred</w:t>
            </w:r>
            <w:r w:rsidR="009C73D9">
              <w:rPr>
                <w:rFonts w:ascii="Trebuchet MS" w:eastAsia="Trebuchet MS" w:hAnsi="Trebuchet MS" w:cs="Trebuchet MS"/>
                <w:b/>
              </w:rPr>
              <w:t xml:space="preserve">no ostvaruju operativni ciljevi, </w:t>
            </w:r>
            <w:r>
              <w:rPr>
                <w:rFonts w:ascii="Trebuchet MS" w:eastAsia="Trebuchet MS" w:hAnsi="Trebuchet MS" w:cs="Trebuchet MS"/>
                <w:b/>
              </w:rPr>
              <w:t>a posredno strateški ciljevi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finansiranja)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Unapređenje ključnih kompetencija zaposlenih u državnim organima, organima državne uprave </w:t>
            </w:r>
            <w:r>
              <w:rPr>
                <w:rFonts w:ascii="Trebuchet MS" w:eastAsia="Trebuchet MS" w:hAnsi="Trebuchet MS" w:cs="Trebuchet MS"/>
                <w:b/>
              </w:rPr>
              <w:t xml:space="preserve">i lokalne samouprave:  </w:t>
            </w:r>
          </w:p>
          <w:p w:rsidR="008B2B5E" w:rsidRDefault="008B2B5E">
            <w:pP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Opšti program stručnog osposobljavanja i usavršavanja državnih </w:t>
            </w:r>
            <w:r>
              <w:rPr>
                <w:rFonts w:ascii="Trebuchet MS" w:eastAsia="Trebuchet MS" w:hAnsi="Trebuchet MS" w:cs="Trebuchet MS"/>
                <w:b/>
              </w:rPr>
              <w:t>službenika</w:t>
            </w:r>
            <w:r>
              <w:rPr>
                <w:rFonts w:ascii="Trebuchet MS" w:eastAsia="Trebuchet MS" w:hAnsi="Trebuchet MS" w:cs="Trebuchet MS"/>
                <w:b/>
              </w:rPr>
              <w:t xml:space="preserve"> i namještenika;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 w:right="57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Opšti program stručnog osposobljavanja i usavršavanja lokalnih službenika i namještenika;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Kursevi računara;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Program obuke za rukovodioce;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Program obuke za novozaposlene;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obrazovanja za andragoško osposobljavanje (TOT);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obuke u oblasti analize efekata (RIA);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 w:right="57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obuke za računovođe u javnom sektoru;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obuke za unutrašnjeg revizora u javnom sektoru CG;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profesionalnog usavršavanja unutrašnjih revizora u javnom sektoru;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</w:rPr>
              <w:t>Specifični pr</w:t>
            </w:r>
            <w:r w:rsidR="00F476A1">
              <w:rPr>
                <w:rFonts w:ascii="Trebuchet MS" w:eastAsia="Trebuchet MS" w:hAnsi="Trebuchet MS" w:cs="Trebuchet MS"/>
                <w:b/>
              </w:rPr>
              <w:t>ogram obuke za sticanje i unapr</w:t>
            </w:r>
            <w:r>
              <w:rPr>
                <w:rFonts w:ascii="Trebuchet MS" w:eastAsia="Trebuchet MS" w:hAnsi="Trebuchet MS" w:cs="Trebuchet MS"/>
                <w:b/>
              </w:rPr>
              <w:t xml:space="preserve">eđivanje znanja, vještina i sposobnosti iz oblasti upravljanja i </w:t>
            </w:r>
            <w:r>
              <w:rPr>
                <w:rFonts w:ascii="Trebuchet MS" w:eastAsia="Trebuchet MS" w:hAnsi="Trebuchet MS" w:cs="Trebuchet MS"/>
                <w:b/>
              </w:rPr>
              <w:lastRenderedPageBreak/>
              <w:t>unutrašnjih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>kontrola u javnom sektoru;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Specifični program obuke u oblasti upravljanja IPA sredstvima;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</w:t>
            </w:r>
            <w:r w:rsidR="00B95C8C">
              <w:rPr>
                <w:rFonts w:ascii="Trebuchet MS" w:eastAsia="Trebuchet MS" w:hAnsi="Trebuchet MS" w:cs="Trebuchet MS"/>
                <w:b/>
              </w:rPr>
              <w:t>ecifični program obuke za unapr</w:t>
            </w:r>
            <w:r>
              <w:rPr>
                <w:rFonts w:ascii="Trebuchet MS" w:eastAsia="Trebuchet MS" w:hAnsi="Trebuchet MS" w:cs="Trebuchet MS"/>
                <w:b/>
              </w:rPr>
              <w:t>eđivanje znanja i vještina iz oblasti inspekcijskog i komunalnog nadzora na lokalnom nivou;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Specifični program obuke za sudsku i tužilačku administraciju;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</w:t>
            </w:r>
            <w:r>
              <w:rPr>
                <w:rFonts w:ascii="Trebuchet MS" w:eastAsia="Trebuchet MS" w:hAnsi="Trebuchet MS" w:cs="Trebuchet MS"/>
                <w:b/>
              </w:rPr>
              <w:t>rogram obrazovanja za sticanje ključnih vještina za upravljanje ljudskim resursima;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obrazovanja za stručno usavršavanje državnih službenica i službenika za strateško planiranje;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obrazovanja za sticanje ključnih vještina za komunikacije sa</w:t>
            </w:r>
            <w:r w:rsidR="00204777">
              <w:rPr>
                <w:rFonts w:ascii="Trebuchet MS" w:eastAsia="Trebuchet MS" w:hAnsi="Trebuchet MS" w:cs="Trebuchet MS"/>
                <w:b/>
              </w:rPr>
              <w:t xml:space="preserve"> javnostima</w:t>
            </w:r>
            <w:r>
              <w:rPr>
                <w:rFonts w:ascii="Trebuchet MS" w:eastAsia="Trebuchet MS" w:hAnsi="Trebuchet MS" w:cs="Trebuchet MS"/>
                <w:b/>
              </w:rPr>
              <w:t xml:space="preserve"> u javnom sektoru;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Program obrazovanja za sticanje ključnih vještina za obavljanje poslova menadžera integriteta;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Obuke realizovane po zahtjevu, zaključku Vlade ili Strateškom dokumentu (Akcionom planu). </w:t>
            </w:r>
          </w:p>
          <w:p w:rsidR="008B2B5E" w:rsidRDefault="008B2B5E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802" w:type="dxa"/>
          </w:tcPr>
          <w:p w:rsidR="008B2B5E" w:rsidRDefault="00942ACA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 xml:space="preserve">Uprava za ljudske </w:t>
            </w:r>
            <w:r w:rsidR="00A532C6">
              <w:rPr>
                <w:rFonts w:ascii="Trebuchet MS" w:eastAsia="Trebuchet MS" w:hAnsi="Trebuchet MS" w:cs="Trebuchet MS"/>
                <w:b/>
              </w:rPr>
              <w:t>resurse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Za navedene aktivnosti Budžetom je ukupno predviđeno 300.000€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Za 2024. godinu, ukupno je planirano 480 obuka za 6.285 polaznika</w:t>
            </w:r>
            <w:r>
              <w:rPr>
                <w:rFonts w:ascii="Trebuchet MS" w:eastAsia="Trebuchet MS" w:hAnsi="Trebuchet MS" w:cs="Trebuchet MS"/>
              </w:rPr>
              <w:t>: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80 obuka, 2.000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50 obuka, 1.250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 obuka, 120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2 ciklusa (14 obuka), 40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2 ciklusa (14 obuka), 40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2 ciklusa (12 obuka), 40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8 ciklusa (24 obuke), 80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2 ciklusa (50 dana obuke), 50 polaznika;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 ciklus (35 obuka), 25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20 obuka, 300 polaznika;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40 obuka, 800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15 obuka, 300 polaznika;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3 obuke, 60 polaznika;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5 obuka, 100 polaznika;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 ciklus (23 obuke), 20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 ciklus (12 obuka), 20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 ciklus (11 obuka), 20 polaznika;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1 ciklus (12 obuka), 20 polaznika;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50 obuka, 1.000 polaznika.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Jačanje digitalnih vještina kroz programe/obuke Digitalne akademije</w:t>
            </w:r>
          </w:p>
        </w:tc>
        <w:tc>
          <w:tcPr>
            <w:tcW w:w="2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after="160" w:line="25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Q4  </w:t>
            </w:r>
          </w:p>
        </w:tc>
        <w:tc>
          <w:tcPr>
            <w:tcW w:w="3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- n/p </w:t>
            </w:r>
          </w:p>
        </w:tc>
        <w:tc>
          <w:tcPr>
            <w:tcW w:w="3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realizovanih programa/obuka za razvoj digitalnih vještina putem Digitalne akademije</w:t>
            </w:r>
          </w:p>
          <w:p w:rsidR="008B2B5E" w:rsidRDefault="00A532C6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-Broj polaznika Digitalne akademije koji su prošli programe/obuke za referentnu godinu: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Unapređenje vještina iz oblasti sajber bezbjednosti za učenike srednjih škola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after="160" w:line="256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javne uprave</w:t>
            </w:r>
          </w:p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after="160" w:line="256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</w:t>
            </w:r>
          </w:p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10.000 €</w:t>
            </w:r>
          </w:p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(Budžet projekta)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after="160" w:line="256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polaznika obuke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Stručno usavršavanje policijskih službenika (iz domena javnog reda i mira, bezbjednosti saobraćaja, nadzora državne granice, granične provjere i suzbijanja nelegalnih migracija, suzbijanja opšteg i ekonomskog kriminala,  specijalnih istražnih metoda,  obez</w:t>
            </w:r>
            <w:r>
              <w:rPr>
                <w:rFonts w:ascii="Trebuchet MS" w:eastAsia="Trebuchet MS" w:hAnsi="Trebuchet MS" w:cs="Trebuchet MS"/>
                <w:b/>
              </w:rPr>
              <w:t>bjeđenja ličnosti i objekata i dr.)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unutrašnjih poslova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105.000,00 €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(Budžet Ministarstva unutrašnjih poslova i donacije)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2"/>
              </w:numPr>
              <w:spacing w:before="34" w:after="34" w:line="240" w:lineRule="auto"/>
            </w:pPr>
            <w:r>
              <w:rPr>
                <w:rFonts w:ascii="Trebuchet MS" w:eastAsia="Trebuchet MS" w:hAnsi="Trebuchet MS" w:cs="Trebuchet MS"/>
              </w:rPr>
              <w:t>Broj realizovanih obuka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polaznika/ca</w:t>
            </w:r>
          </w:p>
          <w:p w:rsidR="008B2B5E" w:rsidRDefault="008B2B5E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Stručno usavršavanje državnih službenika i namještenika Ministarstva unutrašnjih poslova (iz do</w:t>
            </w:r>
            <w:r w:rsidR="00390117">
              <w:rPr>
                <w:rFonts w:ascii="Trebuchet MS" w:eastAsia="Trebuchet MS" w:hAnsi="Trebuchet MS" w:cs="Trebuchet MS"/>
                <w:b/>
              </w:rPr>
              <w:t>mena upravnih poslova,  bezbjed</w:t>
            </w:r>
            <w:r>
              <w:rPr>
                <w:rFonts w:ascii="Trebuchet MS" w:eastAsia="Trebuchet MS" w:hAnsi="Trebuchet MS" w:cs="Trebuchet MS"/>
                <w:b/>
              </w:rPr>
              <w:t>nosno nadzornih poslova  i dr.)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unutrašnjih poslova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5.000.00 €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(Budžet Ministarstva unutrašnjih poslova i donaci</w:t>
            </w:r>
            <w:r>
              <w:rPr>
                <w:rFonts w:ascii="Trebuchet MS" w:eastAsia="Trebuchet MS" w:hAnsi="Trebuchet MS" w:cs="Trebuchet MS"/>
              </w:rPr>
              <w:t>je)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realizovanih obuka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Usavršavanje profesionalnih vojnih lica na vojno-obrazovnim institucijama savezničkih zemalja u inostranstvu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Q1 – Q4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realizovanih obuka</w:t>
            </w:r>
          </w:p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Podoficirska usavršavanja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Q1 – Q4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realizovanih obuka</w:t>
            </w:r>
          </w:p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Specijalistička i postdiplomska usavršavanja (specijalizacija iz oblasti medicinskih nauka, oficiri – doktori medicine)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realizovanih obuka</w:t>
            </w:r>
          </w:p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Kursevi engleskog, francuskog i italijanskog jezika za pripadnike Ministarstva odbrane i Vojske Crne Gore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after="0"/>
              <w:jc w:val="both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realizovanih obuka</w:t>
            </w:r>
          </w:p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Interne obuke za pripadnike Ministarstva odbrane i Vojske Crne Gore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Broj realizovanih obuka</w:t>
            </w:r>
          </w:p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-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Obuke u organizaciji Uprave za ljudske resurse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realizovanih obuka</w:t>
            </w:r>
          </w:p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Kursevi i obuke profesionalnih vojnih lica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Broj realizovanih obuka</w:t>
            </w:r>
          </w:p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-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Stručno usavršavanje državnih službenika i namještenika (kursevi, radionice i seminari)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odbrane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B5E" w:rsidRDefault="00A532C6">
            <w:pPr>
              <w:spacing w:before="34" w:after="34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  Broj realizovanih obuka</w:t>
            </w:r>
          </w:p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-   Broj polaznika/ca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Radionica na temu politike kvaliteta i organske proizvodnje</w:t>
            </w:r>
          </w:p>
        </w:tc>
        <w:tc>
          <w:tcPr>
            <w:tcW w:w="2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– n / a (sredstva iz agrobudžeta)</w:t>
            </w:r>
          </w:p>
        </w:tc>
        <w:tc>
          <w:tcPr>
            <w:tcW w:w="3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poljoprivrednih proizvođača (planirano 100 poljoprivrednih proizvođača i 10 radionica)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Edukacije na temu: Kontrola šema kvaliteta u pogledu inspekcijskog nadzora i nadzora od strane sertifikacionih tijela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 /</w:t>
            </w:r>
          </w:p>
          <w:p w:rsidR="008B2B5E" w:rsidRDefault="00A532C6">
            <w:pPr>
              <w:spacing w:before="40" w:after="40"/>
              <w:ind w:left="360" w:hanging="18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-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rFonts w:ascii="Trebuchet MS" w:eastAsia="Trebuchet MS" w:hAnsi="Trebuchet MS" w:cs="Trebuchet MS"/>
                <w:b/>
              </w:rPr>
              <w:t>Poljorivredna inspekcija</w:t>
            </w:r>
          </w:p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Monteorganica d.o.o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 / a  (sredstva iz proj</w:t>
            </w:r>
            <w:r>
              <w:rPr>
                <w:rFonts w:ascii="Trebuchet MS" w:eastAsia="Trebuchet MS" w:hAnsi="Trebuchet MS" w:cs="Trebuchet MS"/>
              </w:rPr>
              <w:t>ekata: BTSF, FAO)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4 polaznika obuke administrativnog kadra)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Edukacije na temu legislative o šemama kvaliteta na nivou EU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n/a  (sredstva iz projekata: BTSF, TAEX)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4 polaznika obuke administrativnog kadra)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Obuka za ocjenjivače za senzorsku analizu maslinovog ulja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Q3/Q4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- 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n/a (sredstva iz a</w:t>
            </w:r>
            <w:r>
              <w:rPr>
                <w:rFonts w:ascii="Trebuchet MS" w:eastAsia="Trebuchet MS" w:hAnsi="Trebuchet MS" w:cs="Trebuchet MS"/>
              </w:rPr>
              <w:t>grobudžeta i iz projekta IOC - Interanational olive council)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25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Učešće na trodnevnoj maslinarskoj manifestaciji »Noćnjak 2 Hrvatska«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- 5.000,00 € (sredstva agrobudžeta)</w:t>
            </w:r>
          </w:p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100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Tromjesečni kurs za kvalitet maslinovog ulja u Španiji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63546C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n/a  (sredstva iz projek</w:t>
            </w:r>
            <w:r w:rsidR="00A532C6">
              <w:rPr>
                <w:rFonts w:ascii="Trebuchet MS" w:eastAsia="Trebuchet MS" w:hAnsi="Trebuchet MS" w:cs="Trebuchet MS"/>
              </w:rPr>
              <w:t>ta:</w:t>
            </w:r>
          </w:p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IOC- Interanational olive council)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2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Edukacija maslinara kroz seminare i obuke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poljoprivrede, šumarstva i vodoprivrede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5.000,00 € (sredstva iz agrobudžeta)</w:t>
            </w:r>
          </w:p>
          <w:p w:rsidR="008B2B5E" w:rsidRDefault="00A532C6">
            <w:pPr>
              <w:spacing w:before="40" w:after="4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B2B5E" w:rsidRDefault="00A532C6">
            <w:pPr>
              <w:spacing w:before="40" w:after="4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100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Agroekološke mjere u stočarskoj proizvodnji</w:t>
            </w:r>
          </w:p>
        </w:tc>
        <w:tc>
          <w:tcPr>
            <w:tcW w:w="2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MPRR, Odjeljenje za savjetodavne poslove u oblasti stočarstva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n/a (sredstva iz agrobudžeta)</w:t>
            </w:r>
          </w:p>
        </w:tc>
        <w:tc>
          <w:tcPr>
            <w:tcW w:w="3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poljoprivrednih proizvođača (planirano 500 poljoprivrednih proizvođača)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Registar poljoprivrednih gazdinstava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MPRR, Odjeljenje za savjetodavne poslove u oblasti stočarstva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n/a (sredstva iz agrobudžeta)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Broj poljoprivrednih proizvođača (planirano </w:t>
            </w:r>
            <w:r>
              <w:rPr>
                <w:rFonts w:ascii="Trebuchet MS" w:eastAsia="Trebuchet MS" w:hAnsi="Trebuchet MS" w:cs="Trebuchet MS"/>
              </w:rPr>
              <w:t>500 poljoprivrednih proizvođača)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Ekonomika stočarske proizvodnje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MPRR, Odjeljenje za savjetodavne poslove u oblasti stočarstva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 / a (sredstva iz agrobudžeta)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poljoprivrednih proizvođača (planirano 500 poljoprivrednih proizvođača)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Realizacija Programa pčelar/ka III stepen stručnosti na nivou neformalnog obrazovanja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MPRR,  SPOCG,</w:t>
            </w:r>
            <w:r w:rsidR="000F7E32"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</w:rPr>
              <w:t>CZO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8.000,00€ (sredstva iz agrobudžeta)</w:t>
            </w:r>
          </w:p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obuke (planirano 28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Stud</w:t>
            </w:r>
            <w:r w:rsidR="00405E51">
              <w:rPr>
                <w:rFonts w:ascii="Trebuchet MS" w:eastAsia="Trebuchet MS" w:hAnsi="Trebuchet MS" w:cs="Trebuchet MS"/>
                <w:b/>
              </w:rPr>
              <w:t>ijska posjeta crnogorskih pčelara</w:t>
            </w:r>
            <w:r>
              <w:rPr>
                <w:rFonts w:ascii="Trebuchet MS" w:eastAsia="Trebuchet MS" w:hAnsi="Trebuchet MS" w:cs="Trebuchet MS"/>
                <w:b/>
              </w:rPr>
              <w:t xml:space="preserve"> nekoj od zemalja u kojoj je razvijeno pčelarstvo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MPRR, SPOCG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3.000,00€ (sredstva iz agrobudžeta)</w:t>
            </w:r>
          </w:p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učesnika (planirano 40 pčelara)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Studijska posjeta odgajivača pčelinjih matica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MPRR, SPOCG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25.000,00€ (sredstva iz projekta MIDAS)</w:t>
            </w:r>
          </w:p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učesnika (planirano 12 pčelara, i predstavnici Ministarstva)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Studijska posjeta crnogorskih proizvođača nekoj od zemalja u kojoj su razvijeni sistemi geografskih oznaka</w:t>
            </w:r>
          </w:p>
        </w:tc>
        <w:tc>
          <w:tcPr>
            <w:tcW w:w="2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MPRR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</w:tc>
        <w:tc>
          <w:tcPr>
            <w:tcW w:w="3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5.000,00€ (sredstva iz agrobudžeta)</w:t>
            </w:r>
          </w:p>
        </w:tc>
        <w:tc>
          <w:tcPr>
            <w:tcW w:w="3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učesnika (planirano 15 poljoprivrednih proizvođača)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ind w:right="6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Radionica na temu politike kvaliteta i organske proizvodnje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MPRR, Odjeljenje za savjetodavne poslove u stočarstvu, Odjeljenje za savjetodavne poslove u biljnoj </w:t>
            </w:r>
            <w:r>
              <w:rPr>
                <w:rFonts w:ascii="Trebuchet MS" w:eastAsia="Trebuchet MS" w:hAnsi="Trebuchet MS" w:cs="Trebuchet MS"/>
                <w:b/>
              </w:rPr>
              <w:t>proizvodnji, Monteorganica d.o.o.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Q1- Q4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– n / a (sredstva iz agrobudžeta)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2B5E" w:rsidRDefault="00A532C6">
            <w:pPr>
              <w:spacing w:after="0" w:line="36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polaznika ( planirano 200 poljoprivrednih proizvođača)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Organizovanje interne obuke iz oblasti turizma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8B2B5E">
            <w:pPr>
              <w:spacing w:after="0"/>
              <w:jc w:val="center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Trebuchet MS" w:eastAsia="Trebuchet MS" w:hAnsi="Trebuchet MS" w:cs="Trebuchet MS"/>
              </w:rPr>
              <w:t>Broj polaznika</w:t>
            </w:r>
            <w:r>
              <w:rPr>
                <w:rFonts w:ascii="Trebuchet MS" w:eastAsia="Trebuchet MS" w:hAnsi="Trebuchet MS" w:cs="Trebuchet MS"/>
                <w:b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(planirano </w:t>
            </w:r>
            <w:r>
              <w:rPr>
                <w:rFonts w:ascii="Trebuchet MS" w:eastAsia="Trebuchet MS" w:hAnsi="Trebuchet MS" w:cs="Trebuchet MS"/>
              </w:rPr>
              <w:t>20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Organizovanje interne obuke na temu „Rodna ravnopravnost“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               Q1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Trebuchet MS" w:eastAsia="Trebuchet MS" w:hAnsi="Trebuchet MS" w:cs="Trebuchet MS"/>
              </w:rPr>
              <w:t xml:space="preserve">Broj polaznika </w:t>
            </w:r>
            <w:r>
              <w:rPr>
                <w:rFonts w:ascii="Trebuchet MS" w:eastAsia="Trebuchet MS" w:hAnsi="Trebuchet MS" w:cs="Trebuchet MS"/>
                <w:b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(planirano 18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Organizovanje interne obuke iz oblasti ekologije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turizma, ekologije, održivog razvoja i razvoja sjevera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              Q3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Trebuchet MS" w:eastAsia="Trebuchet MS" w:hAnsi="Trebuchet MS" w:cs="Trebuchet MS"/>
              </w:rPr>
              <w:t xml:space="preserve">Broj polaznika </w:t>
            </w:r>
            <w:r>
              <w:rPr>
                <w:rFonts w:ascii="Trebuchet MS" w:eastAsia="Trebuchet MS" w:hAnsi="Trebuchet MS" w:cs="Trebuchet MS"/>
                <w:b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(planirano 15 polaznika)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Organizovanje interne obuke iz oblasti turizma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turizma, ekol</w:t>
            </w:r>
            <w:r>
              <w:rPr>
                <w:rFonts w:ascii="Trebuchet MS" w:eastAsia="Trebuchet MS" w:hAnsi="Trebuchet MS" w:cs="Trebuchet MS"/>
                <w:b/>
              </w:rPr>
              <w:t>ogije, održivog razvoja i razvoja sjevera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             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Trebuchet MS" w:eastAsia="Trebuchet MS" w:hAnsi="Trebuchet MS" w:cs="Trebuchet MS"/>
              </w:rPr>
              <w:t xml:space="preserve">Broj polaznika </w:t>
            </w:r>
            <w:r>
              <w:rPr>
                <w:rFonts w:ascii="Trebuchet MS" w:eastAsia="Trebuchet MS" w:hAnsi="Trebuchet MS" w:cs="Trebuchet MS"/>
                <w:b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(planirano 15 polaznika)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after="34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Razvijanje programa stručnog usavršavanja zaposlenih</w:t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 /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Poslodavci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Obrazovne ustanove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Uprava za ljudske resurse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Licencirani organizatori obrazovanja odraslih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Savjet za kvalifikacije</w:t>
            </w: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NVO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Broj podnesenih inicijativa za izradu /akreditaciju programa</w:t>
            </w: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Broj usvojenih programa obrazovanja za stručno usavršavanje zaposlenih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Realizacija obuka o konkretnim temama koje su od značaja za funkcionisanje preduzeća (npr. Obuke o pravilnoj primjeni tehnologija na konkretnom radnom mjestu i sl.)</w:t>
            </w:r>
          </w:p>
        </w:tc>
        <w:tc>
          <w:tcPr>
            <w:tcW w:w="2802" w:type="dxa"/>
          </w:tcPr>
          <w:p w:rsidR="008B2B5E" w:rsidRPr="00D30CF8" w:rsidRDefault="00A532C6" w:rsidP="00D30CF8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Q4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 /a 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1.000,00€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8B2B5E">
            <w:pPr>
              <w:spacing w:before="34" w:after="34" w:line="240" w:lineRule="auto"/>
              <w:rPr>
                <w:rFonts w:ascii="Trebuchet MS" w:eastAsia="Trebuchet MS" w:hAnsi="Trebuchet MS" w:cs="Trebuchet MS"/>
                <w:highlight w:val="cyan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Broj stručnih obuka (planirano 800 učesnika)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Broj stručnih obuka (planirano 100 učesnika - članova UPCG)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Podizanje svijesti rukovodnog kadra o značaju stručnog osposobljavanja i usavršavanja </w:t>
            </w:r>
            <w:r>
              <w:rPr>
                <w:rFonts w:ascii="Trebuchet MS" w:eastAsia="Trebuchet MS" w:hAnsi="Trebuchet MS" w:cs="Trebuchet MS"/>
                <w:b/>
              </w:rPr>
              <w:lastRenderedPageBreak/>
              <w:t>zaposlenih u organima državne uprave</w:t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Uprava za ljudske resurse/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Privredna komora</w:t>
            </w: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Unija poslodavaca</w:t>
            </w: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lastRenderedPageBreak/>
              <w:t>Centar za stručno obrazovanje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 Q1 –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učesnika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Podizanje svijesti poslodavaca o značaju stručnog osposobljavanja i usavršavanja zaposlenih u privredi</w:t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 /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Centar za stručno obrazovanje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Uprava za ljudske resurse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Unija poslodavaca</w:t>
            </w:r>
          </w:p>
          <w:p w:rsidR="008B2B5E" w:rsidRDefault="008B2B5E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Kontinuirano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n /a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Broj savjetodavnih aktivnosti 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Osnaživanje službi za razvoj ljudskih resursa u pogledu karijernog vođenja</w:t>
            </w:r>
          </w:p>
        </w:tc>
        <w:tc>
          <w:tcPr>
            <w:tcW w:w="2802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Broj organizovanih aktivnosti 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Sprovođenje aktivnosti u cilju postizanja komplementarnosti vještina kod nastavnika u VET-u (posebno u pogledu »Mekih vještina«, primjene Evropskog okvira E-vještina)</w:t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sprovedenih aktivnosti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nastavnika koji su učestvovali u ovoj aktivnosti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nastavnika koji su pohađali programe po katalogu stručnog usavršavanja koji su izdali Centar za stručno obrazovanje i Zavod za školstvo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Sprovođenje aktivnosti u cilju promocije Evropskog okvira E-vještina</w:t>
            </w:r>
            <w:r>
              <w:rPr>
                <w:rFonts w:ascii="Trebuchet MS" w:eastAsia="Trebuchet MS" w:hAnsi="Trebuchet MS" w:cs="Trebuchet MS"/>
                <w:b/>
                <w:vertAlign w:val="superscript"/>
              </w:rPr>
              <w:footnoteReference w:id="11"/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Uprava za ljudske resurse / </w:t>
            </w:r>
          </w:p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Centar za stručno obrazovanje </w:t>
            </w:r>
          </w:p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Privredna komora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 /a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jedan online događaj</w:t>
            </w:r>
            <w:r>
              <w:rPr>
                <w:rFonts w:ascii="Trebuchet MS" w:eastAsia="Trebuchet MS" w:hAnsi="Trebuchet MS" w:cs="Trebuchet MS"/>
              </w:rPr>
              <w:t xml:space="preserve"> (planirano </w:t>
            </w:r>
            <w:r>
              <w:rPr>
                <w:rFonts w:ascii="Trebuchet MS" w:eastAsia="Trebuchet MS" w:hAnsi="Trebuchet MS" w:cs="Trebuchet MS"/>
              </w:rPr>
              <w:t>10 učesnika)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Podizanje svijesti rukovodnog kadra o značaju stručnog osposobljavanja i usavršavanja zaposlenih u organima državne uprave</w:t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Uprava za ljudske resurse /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Privredna komora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Unija poslodavaca</w:t>
            </w:r>
          </w:p>
          <w:p w:rsidR="008B2B5E" w:rsidRDefault="00A532C6">
            <w:pPr>
              <w:numPr>
                <w:ilvl w:val="0"/>
                <w:numId w:val="2"/>
              </w:num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Centar za stručno obrazovanje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učesnika</w:t>
            </w:r>
          </w:p>
        </w:tc>
      </w:tr>
      <w:tr w:rsidR="008B2B5E">
        <w:trPr>
          <w:jc w:val="center"/>
        </w:trPr>
        <w:tc>
          <w:tcPr>
            <w:tcW w:w="3238" w:type="dxa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Razvijanje mehanizama za predviđanje promjena na tržištu rada u pogledu potreba za novim znanjima i vještinama i povećanje inovativnosti (npr. Istraživanje obrazovnih potreba zaposlenih, utvrđivanje novih profesionalnih profila, učešće predstavnika privred</w:t>
            </w:r>
            <w:r w:rsidR="00926A4E">
              <w:rPr>
                <w:rFonts w:ascii="Trebuchet MS" w:eastAsia="Trebuchet MS" w:hAnsi="Trebuchet MS" w:cs="Trebuchet MS"/>
                <w:b/>
              </w:rPr>
              <w:t>e u kreiranju</w:t>
            </w:r>
            <w:bookmarkStart w:id="3" w:name="_GoBack"/>
            <w:bookmarkEnd w:id="3"/>
            <w:r>
              <w:rPr>
                <w:rFonts w:ascii="Trebuchet MS" w:eastAsia="Trebuchet MS" w:hAnsi="Trebuchet MS" w:cs="Trebuchet MS"/>
                <w:b/>
              </w:rPr>
              <w:t xml:space="preserve"> novih kvalifikacija, primjeri dobrih praksi iz EU zemalja i sl. )</w:t>
            </w:r>
            <w:r>
              <w:rPr>
                <w:rFonts w:ascii="Trebuchet MS" w:eastAsia="Trebuchet MS" w:hAnsi="Trebuchet MS" w:cs="Trebuchet MS"/>
                <w:vertAlign w:val="superscript"/>
              </w:rPr>
              <w:footnoteReference w:id="12"/>
            </w:r>
          </w:p>
        </w:tc>
        <w:tc>
          <w:tcPr>
            <w:tcW w:w="2802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9E45E7">
              <w:rPr>
                <w:rFonts w:ascii="Trebuchet MS" w:eastAsia="Trebuchet MS" w:hAnsi="Trebuchet MS" w:cs="Trebuchet MS"/>
                <w:b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</w:rPr>
              <w:t>/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</w:pPr>
            <w:r>
              <w:rPr>
                <w:rFonts w:ascii="Trebuchet MS" w:eastAsia="Trebuchet MS" w:hAnsi="Trebuchet MS" w:cs="Trebuchet MS"/>
              </w:rPr>
              <w:t>Privredna komora</w:t>
            </w: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</w:pPr>
            <w:r>
              <w:rPr>
                <w:rFonts w:ascii="Trebuchet MS" w:eastAsia="Trebuchet MS" w:hAnsi="Trebuchet MS" w:cs="Trebuchet MS"/>
              </w:rPr>
              <w:t>Centar za stručno obrazovanje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4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  <w:r>
              <w:rPr>
                <w:rFonts w:ascii="Trebuchet MS" w:eastAsia="Trebuchet MS" w:hAnsi="Trebuchet MS" w:cs="Trebuchet MS"/>
                <w:color w:val="FF0000"/>
              </w:rPr>
              <w:t xml:space="preserve"> 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3257" w:type="dxa"/>
          </w:tcPr>
          <w:p w:rsidR="008B2B5E" w:rsidRDefault="00A532C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80" w:hanging="180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8B2B5E" w:rsidRDefault="00A532C6">
            <w:pPr>
              <w:numPr>
                <w:ilvl w:val="0"/>
                <w:numId w:val="6"/>
              </w:numPr>
              <w:spacing w:before="40" w:after="40" w:line="240" w:lineRule="auto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Budžet EPALE projekta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6"/>
              </w:numPr>
              <w:spacing w:before="40" w:after="40" w:line="240" w:lineRule="auto"/>
              <w:ind w:left="1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n/p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istraživanja o obrazovnim potrebama zaposlenih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Istraživanje o potrebama u radu organizatora obrazovanja odraslih</w:t>
            </w:r>
          </w:p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Broj novih profesionalnih profila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predstavnika iz privrede u kreiranju novih kvalifikacija</w:t>
            </w:r>
            <w:r>
              <w:rPr>
                <w:rFonts w:ascii="Trebuchet MS" w:eastAsia="Trebuchet MS" w:hAnsi="Trebuchet MS" w:cs="Trebuchet MS"/>
                <w:color w:val="FF0000"/>
                <w:sz w:val="22"/>
                <w:szCs w:val="22"/>
              </w:rPr>
              <w:t xml:space="preserve"> 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Centar za stručno obrzovanje će sprovesti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istraživanje o izazovima s kojima se susreću licencirane ustanove za obrazovanje odraslih</w:t>
            </w: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8B2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UPCG će i u 2024. g</w:t>
            </w:r>
            <w:r w:rsidR="00DE716D">
              <w:rPr>
                <w:rFonts w:ascii="Trebuchet MS" w:eastAsia="Trebuchet MS" w:hAnsi="Trebuchet MS" w:cs="Trebuchet MS"/>
              </w:rPr>
              <w:t xml:space="preserve">odini </w:t>
            </w:r>
            <w:r>
              <w:rPr>
                <w:rFonts w:ascii="Trebuchet MS" w:eastAsia="Trebuchet MS" w:hAnsi="Trebuchet MS" w:cs="Trebuchet MS"/>
              </w:rPr>
              <w:t xml:space="preserve"> sprovesti in</w:t>
            </w:r>
            <w:r w:rsidR="00DE716D">
              <w:rPr>
                <w:rFonts w:ascii="Trebuchet MS" w:eastAsia="Trebuchet MS" w:hAnsi="Trebuchet MS" w:cs="Trebuchet MS"/>
              </w:rPr>
              <w:t xml:space="preserve">terno istraživanje o potrebama </w:t>
            </w:r>
            <w:r>
              <w:rPr>
                <w:rFonts w:ascii="Trebuchet MS" w:eastAsia="Trebuchet MS" w:hAnsi="Trebuchet MS" w:cs="Trebuchet MS"/>
              </w:rPr>
              <w:t xml:space="preserve">svojih članova za obukama/seminarima iz oblasti koje su njihova sfera interesovanja, s ciljem </w:t>
            </w:r>
            <w:r>
              <w:rPr>
                <w:rFonts w:ascii="Trebuchet MS" w:eastAsia="Trebuchet MS" w:hAnsi="Trebuchet MS" w:cs="Trebuchet MS"/>
              </w:rPr>
              <w:lastRenderedPageBreak/>
              <w:t>unapređ</w:t>
            </w:r>
            <w:r w:rsidR="00A25ACB">
              <w:rPr>
                <w:rFonts w:ascii="Trebuchet MS" w:eastAsia="Trebuchet MS" w:hAnsi="Trebuchet MS" w:cs="Trebuchet MS"/>
              </w:rPr>
              <w:t>enja njihovih vještina i znanja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Razvoj kompetencija i vještina zaposlenih u privredi kroz organizovanje edukativnih aktivnosti iz različitih oblasti u skladu sa interesovanjem privrede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70.450,00€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učesnika (planirano 800 učesnika)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Organizovanje okruglih stolova, konferencija, prezentacije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7.000,00 €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učesnika (planirano 500 učesnika)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Izdavanje Glasnika </w:t>
            </w:r>
            <w:r w:rsidR="00636934">
              <w:rPr>
                <w:rFonts w:ascii="Trebuchet MS" w:eastAsia="Trebuchet MS" w:hAnsi="Trebuchet MS" w:cs="Trebuchet MS"/>
                <w:b/>
              </w:rPr>
              <w:t xml:space="preserve">za </w:t>
            </w:r>
            <w:r>
              <w:rPr>
                <w:rFonts w:ascii="Trebuchet MS" w:eastAsia="Trebuchet MS" w:hAnsi="Trebuchet MS" w:cs="Trebuchet MS"/>
                <w:b/>
              </w:rPr>
              <w:t>objavljivanje informacija na sajtu Privredne komore Crne Gore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34" w:after="34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36.000,00 €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publikacija (planirano 11 brojeva)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Izrada sektorskih analiza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Privredna komora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analiza (planirana 1 analiza)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Organizovanje okruglih stolova, konferencija, prezentacije</w:t>
            </w:r>
          </w:p>
          <w:p w:rsidR="008B2B5E" w:rsidRDefault="008B2B5E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  <w:p w:rsidR="008B2B5E" w:rsidRDefault="008B2B5E">
            <w:pPr>
              <w:spacing w:before="40" w:after="4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</w:pPr>
            <w:r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- Broj učesnika (planirano </w:t>
            </w:r>
            <w:r>
              <w:rPr>
                <w:rFonts w:ascii="Trebuchet MS" w:eastAsia="Trebuchet MS" w:hAnsi="Trebuchet MS" w:cs="Trebuchet MS"/>
              </w:rPr>
              <w:t>100 učesnika)</w:t>
            </w:r>
          </w:p>
        </w:tc>
      </w:tr>
      <w:tr w:rsidR="008B2B5E">
        <w:trPr>
          <w:jc w:val="center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34" w:after="0" w:line="240" w:lineRule="auto"/>
              <w:ind w:right="57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Razvoj kompetencija i vještina zaposlenih u privredi kroz organizovanje edukativnih aktivnosti iz različitih oblasti u skladu sa interesovanjem privrede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Unija poslodavaca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Q1-Q4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numPr>
                <w:ilvl w:val="0"/>
                <w:numId w:val="9"/>
              </w:numPr>
              <w:spacing w:before="40" w:after="40" w:line="240" w:lineRule="auto"/>
            </w:pPr>
            <w:r>
              <w:rPr>
                <w:rFonts w:ascii="Trebuchet MS" w:eastAsia="Trebuchet MS" w:hAnsi="Trebuchet MS" w:cs="Trebuchet MS"/>
              </w:rPr>
              <w:t>n/p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B5E" w:rsidRDefault="00A532C6">
            <w:pPr>
              <w:spacing w:before="40" w:after="40" w:line="240" w:lineRule="auto"/>
              <w:ind w:left="173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- Broj učesnika (planirano 60 učesnika)</w:t>
            </w:r>
          </w:p>
        </w:tc>
      </w:tr>
    </w:tbl>
    <w:p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FF0000"/>
        </w:rPr>
      </w:pPr>
    </w:p>
    <w:tbl>
      <w:tblPr>
        <w:tblStyle w:val="a4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0"/>
      </w:tblGrid>
      <w:tr w:rsidR="008B2B5E">
        <w:trPr>
          <w:cantSplit/>
          <w:trHeight w:val="314"/>
          <w:jc w:val="center"/>
        </w:trPr>
        <w:tc>
          <w:tcPr>
            <w:tcW w:w="15120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>SREDSTVA: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Uprava za ljudske resurse ........................................................................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300.000,00€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Ministarstvo odbrane .................................................................................…..n/a</w:t>
            </w:r>
          </w:p>
          <w:p w:rsidR="008B2B5E" w:rsidRDefault="00A532C6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Ministarstvo javne uprave .........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............................10.000,00€ iz projekta i donacije/sponzorstva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Ministarstvo unutrašnjih poslova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.................................................................110.000,00€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Ministarstvo turizma, ekologije, održivog razvoja i razvoja sjevera ..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..........................n/a</w:t>
            </w:r>
          </w:p>
          <w:p w:rsidR="008B2B5E" w:rsidRDefault="00E90ECB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Ministarstvo </w:t>
            </w:r>
            <w:r w:rsidR="00A532C6">
              <w:rPr>
                <w:rFonts w:ascii="Trebuchet MS" w:eastAsia="Trebuchet MS" w:hAnsi="Trebuchet MS" w:cs="Trebuchet MS"/>
                <w:sz w:val="20"/>
                <w:szCs w:val="20"/>
              </w:rPr>
              <w:t>ekonomskog razvoja ……………………………………………………………………………………… program finansira JICA-Japanska agencija za međunarodnu saradnju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Privredne komore Crne Gore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…………………………………………………………………………..............113.450,00 €</w:t>
            </w:r>
          </w:p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Unija poslo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davaca Crne Gore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……………………………………………………………………………………………sredstva iz Projekta koji finansira Evropska komisija ili sopstvena sredstva</w:t>
            </w:r>
          </w:p>
        </w:tc>
      </w:tr>
      <w:tr w:rsidR="008B2B5E">
        <w:trPr>
          <w:cantSplit/>
          <w:trHeight w:val="54"/>
          <w:jc w:val="center"/>
        </w:trPr>
        <w:tc>
          <w:tcPr>
            <w:tcW w:w="15120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                                                                            Ukupno</w:t>
            </w:r>
            <w:r>
              <w:rPr>
                <w:rFonts w:ascii="Trebuchet MS" w:eastAsia="Trebuchet MS" w:hAnsi="Trebuchet MS" w:cs="Trebuchet MS"/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538.450,00€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3"/>
            </w:r>
          </w:p>
        </w:tc>
      </w:tr>
    </w:tbl>
    <w:p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</w:pPr>
      <w:bookmarkStart w:id="4" w:name="_heading=h.3znysh7" w:colFirst="0" w:colLast="0"/>
      <w:bookmarkEnd w:id="4"/>
      <w:r>
        <w:br w:type="page"/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OSIGURANJE KVALITETA U OBRAZOVANJU ODRASLIH</w:t>
      </w:r>
    </w:p>
    <w:tbl>
      <w:tblPr>
        <w:tblStyle w:val="a5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3013"/>
        <w:gridCol w:w="3015"/>
        <w:gridCol w:w="3015"/>
        <w:gridCol w:w="3009"/>
      </w:tblGrid>
      <w:tr w:rsidR="008B2B5E">
        <w:trPr>
          <w:tblHeader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Aktivnosti kojima se neposredno ostvaruju operativni ciljevi</w:t>
            </w:r>
            <w:r w:rsidR="00FD3E66">
              <w:rPr>
                <w:rFonts w:ascii="Trebuchet MS" w:eastAsia="Trebuchet MS" w:hAnsi="Trebuchet MS" w:cs="Trebuchet MS"/>
                <w:b/>
              </w:rPr>
              <w:t>,</w:t>
            </w:r>
            <w:r>
              <w:rPr>
                <w:rFonts w:ascii="Trebuchet MS" w:eastAsia="Trebuchet MS" w:hAnsi="Trebuchet MS" w:cs="Trebuchet MS"/>
                <w:b/>
              </w:rPr>
              <w:t xml:space="preserve"> a posredno strateški ciljevi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Rok za završetak aktivnosti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Planirana i utrošena finansijska sredstva i fondovi za sprovođenje aktivnosti (informacije o izvorima fina</w:t>
            </w:r>
            <w:r>
              <w:rPr>
                <w:rFonts w:ascii="Trebuchet MS" w:eastAsia="Trebuchet MS" w:hAnsi="Trebuchet MS" w:cs="Trebuchet MS"/>
                <w:b/>
              </w:rPr>
              <w:t>nsiranja)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Indikatori rezultata</w:t>
            </w:r>
          </w:p>
        </w:tc>
      </w:tr>
      <w:tr w:rsidR="008B2B5E">
        <w:trPr>
          <w:jc w:val="center"/>
        </w:trPr>
        <w:tc>
          <w:tcPr>
            <w:tcW w:w="306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Praćenje i evaluacija rada obrazovnih ustanova </w:t>
            </w:r>
          </w:p>
        </w:tc>
        <w:tc>
          <w:tcPr>
            <w:tcW w:w="301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30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015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09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Pripremljeni izvještaji o praćenju i evaluaciji rada ustanova</w:t>
            </w:r>
          </w:p>
        </w:tc>
      </w:tr>
      <w:tr w:rsidR="008B2B5E">
        <w:trPr>
          <w:jc w:val="center"/>
        </w:trPr>
        <w:tc>
          <w:tcPr>
            <w:tcW w:w="306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Samoevaluacija rada ustanove</w:t>
            </w:r>
          </w:p>
        </w:tc>
        <w:tc>
          <w:tcPr>
            <w:tcW w:w="301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Licencirani organizatori obrazovanja odraslih</w:t>
            </w:r>
          </w:p>
        </w:tc>
        <w:tc>
          <w:tcPr>
            <w:tcW w:w="30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015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09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Pripremljeni izvještaji o sprovedenoj samoevaluaciji ustanova</w:t>
            </w:r>
          </w:p>
        </w:tc>
      </w:tr>
      <w:tr w:rsidR="008B2B5E">
        <w:trPr>
          <w:jc w:val="center"/>
        </w:trPr>
        <w:tc>
          <w:tcPr>
            <w:tcW w:w="306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Evaluacija programa obrazovanja</w:t>
            </w:r>
          </w:p>
        </w:tc>
        <w:tc>
          <w:tcPr>
            <w:tcW w:w="301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Centar za stručno obrazovanje</w:t>
            </w:r>
          </w:p>
        </w:tc>
        <w:tc>
          <w:tcPr>
            <w:tcW w:w="30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015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09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Pripremljeni izvještaji o evaluiranim programima obrazovanja</w:t>
            </w:r>
          </w:p>
        </w:tc>
      </w:tr>
      <w:tr w:rsidR="008B2B5E">
        <w:trPr>
          <w:jc w:val="center"/>
        </w:trPr>
        <w:tc>
          <w:tcPr>
            <w:tcW w:w="306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Praćenje polaznika nakon završetka programa obrazovanja koji vode sticanju stručnih kvalifikacija (razvijanje procedura za praćenje polaznika)</w:t>
            </w:r>
          </w:p>
        </w:tc>
        <w:tc>
          <w:tcPr>
            <w:tcW w:w="3013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A52991">
              <w:rPr>
                <w:rFonts w:ascii="Trebuchet MS" w:eastAsia="Trebuchet MS" w:hAnsi="Trebuchet MS" w:cs="Trebuchet MS"/>
                <w:b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</w:rPr>
              <w:t>/</w:t>
            </w:r>
          </w:p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Licencirani organizatori obrazovanja odraslih</w:t>
            </w:r>
          </w:p>
        </w:tc>
        <w:tc>
          <w:tcPr>
            <w:tcW w:w="30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015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09" w:type="dxa"/>
          </w:tcPr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Uneseni podaci u MEIS bazu podataka u dijelu koji se odnosi na praćenje polaznika koji su završili program obrazovanja za stručnu kvalifikaciju</w:t>
            </w:r>
          </w:p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Broj realizovanih savjetovanja organizatora obrazovanja odraslih o značaju i obavezi ažurne evidencije podataka 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u MEIS aplikaciji</w:t>
            </w:r>
          </w:p>
          <w:p w:rsidR="008B2B5E" w:rsidRDefault="00A532C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Iniciranje za pokretanje aktivnosti na uspostavljanju sistema elektronske razmjene podataka sa Zavodom za 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lastRenderedPageBreak/>
              <w:t>zapošljavanje i Poreskom upravom</w:t>
            </w:r>
          </w:p>
        </w:tc>
      </w:tr>
      <w:tr w:rsidR="008B2B5E">
        <w:trPr>
          <w:jc w:val="center"/>
        </w:trPr>
        <w:tc>
          <w:tcPr>
            <w:tcW w:w="306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Online savjetovanja zaposlenih u ustanovama za obrazovanje odraslih u cilju poboljšanja unosa i ta</w:t>
            </w:r>
            <w:r>
              <w:rPr>
                <w:rFonts w:ascii="Trebuchet MS" w:eastAsia="Trebuchet MS" w:hAnsi="Trebuchet MS" w:cs="Trebuchet MS"/>
                <w:b/>
              </w:rPr>
              <w:t xml:space="preserve">čnosti podataka </w:t>
            </w:r>
          </w:p>
        </w:tc>
        <w:tc>
          <w:tcPr>
            <w:tcW w:w="3013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Ministarstvo prosvjete</w:t>
            </w:r>
            <w:r w:rsidR="00705F46">
              <w:rPr>
                <w:rFonts w:ascii="Trebuchet MS" w:eastAsia="Trebuchet MS" w:hAnsi="Trebuchet MS" w:cs="Trebuchet MS"/>
                <w:b/>
              </w:rPr>
              <w:t>, nauke i inovacija</w:t>
            </w:r>
          </w:p>
        </w:tc>
        <w:tc>
          <w:tcPr>
            <w:tcW w:w="30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Q1 – Q4</w:t>
            </w:r>
          </w:p>
        </w:tc>
        <w:tc>
          <w:tcPr>
            <w:tcW w:w="3015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Nijesu predviđena finansijska sredstva</w:t>
            </w:r>
          </w:p>
        </w:tc>
        <w:tc>
          <w:tcPr>
            <w:tcW w:w="3009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Broj održanih savjetovanja</w:t>
            </w:r>
          </w:p>
        </w:tc>
      </w:tr>
      <w:tr w:rsidR="008B2B5E">
        <w:trPr>
          <w:jc w:val="center"/>
        </w:trPr>
        <w:tc>
          <w:tcPr>
            <w:tcW w:w="3068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Andragoško osposobljavanje nastavnog kadra koji radi u obrazovanju odraslih</w:t>
            </w:r>
          </w:p>
        </w:tc>
        <w:tc>
          <w:tcPr>
            <w:tcW w:w="3013" w:type="dxa"/>
          </w:tcPr>
          <w:p w:rsidR="008B2B5E" w:rsidRDefault="00A532C6">
            <w:pPr>
              <w:spacing w:before="40" w:after="40" w:line="240" w:lineRule="auto"/>
              <w:ind w:right="-105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Centar za stručno </w:t>
            </w:r>
            <w:r>
              <w:rPr>
                <w:rFonts w:ascii="Trebuchet MS" w:eastAsia="Trebuchet MS" w:hAnsi="Trebuchet MS" w:cs="Trebuchet MS"/>
                <w:b/>
              </w:rPr>
              <w:br/>
              <w:t>obrazovanje /</w:t>
            </w:r>
          </w:p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Licencirani organizatori obrazovanja odraslih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Q1 – Q4</w:t>
            </w:r>
          </w:p>
        </w:tc>
        <w:tc>
          <w:tcPr>
            <w:tcW w:w="3015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n/a </w:t>
            </w:r>
          </w:p>
        </w:tc>
        <w:tc>
          <w:tcPr>
            <w:tcW w:w="3009" w:type="dxa"/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Broj lica koja su završila Program andragoškog ospobljavanja nastavnog kadra koji radi kod organizatora obrazovanja odraslih </w:t>
            </w:r>
          </w:p>
        </w:tc>
      </w:tr>
      <w:tr w:rsidR="008B2B5E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Stručno usavršavanje lica koja kreiraju i sprovode politiku obrazovanja odraslih u Crnoj Gori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Centar za stručno obrazovanje / </w:t>
            </w:r>
          </w:p>
          <w:p w:rsidR="008B2B5E" w:rsidRDefault="00A532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Ministarstvo prosvjete</w:t>
            </w:r>
            <w:r w:rsidR="002B5870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, nauke i inovacija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Q1 – Q4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Učešće predstavnika stručnih službi za obrazovanje odraslih na: </w:t>
            </w:r>
          </w:p>
          <w:p w:rsidR="008B2B5E" w:rsidRDefault="00A532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59" w:hanging="270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nacionalnim i međunarodnim konferencijama, studijskim posjetama, simpozijumima i drugim stručnim skupovima</w:t>
            </w:r>
          </w:p>
          <w:p w:rsidR="008B2B5E" w:rsidRDefault="00A532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459" w:hanging="270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u drugim aktivnostima stručnog usavršavanja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Stručno usavršavanje predstavnika licenciranih ustanova za obrazovanje </w:t>
            </w:r>
            <w:r w:rsidR="00B679A3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lastRenderedPageBreak/>
              <w:t>odraslih (T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eams edukacija) 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Kreira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nje smjernica za unapređenje rada licenciranih ustanova za obrazovanje odraslih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Jačanje saradnje među nacionalnim ERASMUS+ timovima u Crnoj Gori/profesionalizacija u obrazovanju odraslih</w:t>
            </w:r>
          </w:p>
        </w:tc>
      </w:tr>
    </w:tbl>
    <w:p w:rsidR="008B2B5E" w:rsidRDefault="008B2B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</w:rPr>
      </w:pPr>
    </w:p>
    <w:tbl>
      <w:tblPr>
        <w:tblStyle w:val="a6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20"/>
      </w:tblGrid>
      <w:tr w:rsidR="008B2B5E">
        <w:trPr>
          <w:cantSplit/>
          <w:trHeight w:val="314"/>
          <w:jc w:val="center"/>
        </w:trPr>
        <w:tc>
          <w:tcPr>
            <w:tcW w:w="15120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SREDSTVA:</w:t>
            </w:r>
          </w:p>
        </w:tc>
      </w:tr>
      <w:tr w:rsidR="008B2B5E">
        <w:trPr>
          <w:cantSplit/>
          <w:trHeight w:val="54"/>
          <w:jc w:val="center"/>
        </w:trPr>
        <w:tc>
          <w:tcPr>
            <w:tcW w:w="15120" w:type="dxa"/>
            <w:shd w:val="clear" w:color="auto" w:fill="FCFCA4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Ukupno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highlight w:val="yellow"/>
              </w:rPr>
              <w:t>: /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</w:tbl>
    <w:p w:rsidR="008B2B5E" w:rsidRDefault="00A532C6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bookmarkStart w:id="5" w:name="_heading=h.2et92p0" w:colFirst="0" w:colLast="0"/>
      <w:bookmarkEnd w:id="5"/>
      <w:r>
        <w:br w:type="page"/>
      </w:r>
    </w:p>
    <w:p w:rsidR="008B2B5E" w:rsidRDefault="00A532C6">
      <w:pPr>
        <w:pStyle w:val="Heading2"/>
        <w:numPr>
          <w:ilvl w:val="0"/>
          <w:numId w:val="7"/>
        </w:numPr>
        <w:spacing w:before="0" w:after="120" w:line="240" w:lineRule="auto"/>
        <w:ind w:left="274" w:hanging="274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lastRenderedPageBreak/>
        <w:t xml:space="preserve">PRIORITETNA OBLAST: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  <w:u w:val="single"/>
        </w:rPr>
        <w:t>OBEZBJEĐIVANJE FLEKSIBILNOG I ODRŽIVOG SISTEMA OBRAZOVANJA ODRASLIH</w:t>
      </w:r>
    </w:p>
    <w:tbl>
      <w:tblPr>
        <w:tblStyle w:val="a7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697"/>
        <w:gridCol w:w="2341"/>
        <w:gridCol w:w="2970"/>
        <w:gridCol w:w="3426"/>
      </w:tblGrid>
      <w:tr w:rsidR="008B2B5E">
        <w:trPr>
          <w:cantSplit/>
          <w:trHeight w:val="306"/>
          <w:tblHeader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Aktivnosti kojima se neposredno ostvaruju operativni ciljevi</w:t>
            </w:r>
            <w:r w:rsidR="008512D7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,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a posredno strateški ciljevi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Partnerske institucije odgovorne za sprovođenje aktivnosti i institucija nadležna za praćenje sprovođenja i izvještavanja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Rok za završetak aktivnosti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Planirana i utrošena finansijska sredstva i fondovi za sprovođenje aktivnosti (informacije o izvorima fina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nsiranja)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B2B5E" w:rsidRDefault="00A532C6">
            <w:pPr>
              <w:spacing w:before="40" w:after="40" w:line="240" w:lineRule="auto"/>
              <w:ind w:left="15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Indikatori rezultata</w:t>
            </w:r>
          </w:p>
        </w:tc>
      </w:tr>
      <w:tr w:rsidR="008B2B5E">
        <w:trPr>
          <w:cantSplit/>
          <w:trHeight w:val="375"/>
          <w:jc w:val="center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Kreiranje fleksibilnih programa prilagođenih različitim potrebama usavršavanja odraslih lica, uključujući različita osposobljavanja i učenja na radu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Centar za stručno obrazovanje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Q1 – Q4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Programi se </w:t>
            </w:r>
            <w:r w:rsidR="00701EC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rade na zahtjev poslodavaca, in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stitucija/ organizacija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kreiranih programa obrazovanja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realizovanih programa obrazovanja u praksi</w:t>
            </w:r>
          </w:p>
        </w:tc>
      </w:tr>
      <w:tr w:rsidR="008B2B5E">
        <w:trPr>
          <w:cantSplit/>
          <w:trHeight w:val="375"/>
          <w:jc w:val="center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Priznavanje stručnih kvalifikacija u procesu sticanja kvalifikacije nivoa obrazovanja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6"/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Obrazovne ustan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ove u srednjem stručnom obrazovanju 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Q1 – Q4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lica kojima je izdat sertifikat o stečenoj stručnoj kvalifikaciji nakon napuštanja obrazovnog programa ili na lični zahtjev tokom školovanja</w:t>
            </w:r>
          </w:p>
        </w:tc>
      </w:tr>
      <w:tr w:rsidR="008B2B5E">
        <w:trPr>
          <w:cantSplit/>
          <w:trHeight w:val="375"/>
          <w:jc w:val="center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Oslanjanje na postojeće mehanizme priznavanja neformalnog i informalnog učenja, uključujući učenje na radnom mjestu – u skladu sa nacionalnim okvirima kvalifikacija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Ministarstvo prosvjete</w:t>
            </w:r>
            <w:r w:rsidR="007A5E70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, nauke i inovacija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Centar za stručno obrazovanje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Ispitni centar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Licencirani organizato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ri obrazovanja odraslih </w:t>
            </w:r>
          </w:p>
          <w:p w:rsidR="008B2B5E" w:rsidRDefault="008B2B5E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Q1 – Q4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Mjere preduzete u cilju informisanja licenciranih organizatora obrazovanja odraslih o primjeni mehanizama vrednovanja neformalnog i informalnog učenja, uključujući učenje na radnom mjestu</w:t>
            </w:r>
          </w:p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Broj organizovanih aktivnosti na temu vrednovanja neformalnog i informalnog učenja, uključujući učenje na radnom mjestu</w:t>
            </w:r>
          </w:p>
        </w:tc>
      </w:tr>
      <w:tr w:rsidR="008B2B5E">
        <w:trPr>
          <w:cantSplit/>
          <w:trHeight w:val="375"/>
          <w:jc w:val="center"/>
        </w:trPr>
        <w:tc>
          <w:tcPr>
            <w:tcW w:w="3686" w:type="dxa"/>
            <w:tcBorders>
              <w:top w:val="single" w:sz="8" w:space="0" w:color="000000"/>
              <w:bottom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lastRenderedPageBreak/>
              <w:t>Izdvajanje budžetskih sredstava za aktivnosti razvoja sistema obrazovanja odraslih i njihovu implementaciju u praksi</w:t>
            </w:r>
          </w:p>
        </w:tc>
        <w:tc>
          <w:tcPr>
            <w:tcW w:w="2697" w:type="dxa"/>
            <w:tcBorders>
              <w:top w:val="single" w:sz="8" w:space="0" w:color="000000"/>
              <w:bottom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Ministarstvo prosv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jete</w:t>
            </w:r>
            <w:r w:rsidR="00043892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, nauke i inovacija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/</w:t>
            </w:r>
          </w:p>
          <w:p w:rsidR="008B2B5E" w:rsidRDefault="0011388A" w:rsidP="0011388A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Ministarstvo finansija </w:t>
            </w:r>
          </w:p>
        </w:tc>
        <w:tc>
          <w:tcPr>
            <w:tcW w:w="2341" w:type="dxa"/>
            <w:tcBorders>
              <w:top w:val="single" w:sz="8" w:space="0" w:color="000000"/>
              <w:bottom w:val="single" w:sz="4" w:space="0" w:color="000000"/>
            </w:tcBorders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Q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4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Sredstva nijesu potrebna</w:t>
            </w:r>
          </w:p>
        </w:tc>
        <w:tc>
          <w:tcPr>
            <w:tcW w:w="3426" w:type="dxa"/>
            <w:tcBorders>
              <w:top w:val="single" w:sz="8" w:space="0" w:color="000000"/>
              <w:bottom w:val="single" w:sz="4" w:space="0" w:color="000000"/>
            </w:tcBorders>
          </w:tcPr>
          <w:p w:rsidR="008B2B5E" w:rsidRDefault="00A532C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Zakonom o budžetu za određenu godinu prepoznata i izdvojena budžetska linija za obrazovanje odraslih u okviru Ministarstva prosvjete</w:t>
            </w:r>
            <w:r w:rsidR="00FE357F"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, nauke i inovacija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 xml:space="preserve"> i Centra za stručno obrazovanje</w:t>
            </w:r>
          </w:p>
        </w:tc>
      </w:tr>
    </w:tbl>
    <w:p w:rsidR="008B2B5E" w:rsidRDefault="00A532C6">
      <w:pPr>
        <w:spacing w:after="0" w:line="240" w:lineRule="auto"/>
        <w:rPr>
          <w:rFonts w:ascii="Trebuchet MS" w:eastAsia="Trebuchet MS" w:hAnsi="Trebuchet MS" w:cs="Trebuchet MS"/>
        </w:rPr>
      </w:pPr>
      <w:r>
        <w:br w:type="page"/>
      </w:r>
    </w:p>
    <w:p w:rsidR="008B2B5E" w:rsidRDefault="00A532C6">
      <w:pPr>
        <w:spacing w:after="12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Od dostupnih sredstava za realizaciju programa u okviru pet prioritetnih oblasti planirano je utrošiti</w:t>
      </w:r>
      <w:r>
        <w:rPr>
          <w:rFonts w:ascii="Trebuchet MS" w:eastAsia="Trebuchet MS" w:hAnsi="Trebuchet MS" w:cs="Trebuchet MS"/>
          <w:vertAlign w:val="superscript"/>
        </w:rPr>
        <w:footnoteReference w:id="18"/>
      </w:r>
      <w:r>
        <w:rPr>
          <w:rFonts w:ascii="Trebuchet MS" w:eastAsia="Trebuchet MS" w:hAnsi="Trebuchet MS" w:cs="Trebuchet MS"/>
        </w:rPr>
        <w:t xml:space="preserve">: </w:t>
      </w:r>
    </w:p>
    <w:tbl>
      <w:tblPr>
        <w:tblStyle w:val="a8"/>
        <w:tblW w:w="15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983"/>
        <w:gridCol w:w="2521"/>
        <w:gridCol w:w="2522"/>
        <w:gridCol w:w="2522"/>
      </w:tblGrid>
      <w:tr w:rsidR="008B2B5E">
        <w:trPr>
          <w:trHeight w:val="109"/>
          <w:jc w:val="center"/>
        </w:trPr>
        <w:tc>
          <w:tcPr>
            <w:tcW w:w="7555" w:type="dxa"/>
            <w:gridSpan w:val="2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Prioritetna oblast</w:t>
            </w:r>
          </w:p>
        </w:tc>
        <w:tc>
          <w:tcPr>
            <w:tcW w:w="2521" w:type="dxa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Iznos planiranih sredstava</w:t>
            </w:r>
          </w:p>
        </w:tc>
        <w:tc>
          <w:tcPr>
            <w:tcW w:w="2522" w:type="dxa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Budžetska sredstva</w:t>
            </w:r>
          </w:p>
        </w:tc>
        <w:tc>
          <w:tcPr>
            <w:tcW w:w="2522" w:type="dxa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Ostali izvori finansiranja</w:t>
            </w:r>
          </w:p>
        </w:tc>
      </w:tr>
      <w:tr w:rsidR="008B2B5E">
        <w:trPr>
          <w:trHeight w:val="127"/>
          <w:jc w:val="center"/>
        </w:trPr>
        <w:tc>
          <w:tcPr>
            <w:tcW w:w="572" w:type="dxa"/>
            <w:shd w:val="clear" w:color="auto" w:fill="D9D9D9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1.</w:t>
            </w:r>
          </w:p>
        </w:tc>
        <w:tc>
          <w:tcPr>
            <w:tcW w:w="69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Programi i aktivnosti cjeloživotnog obrazovanja i učenja</w:t>
            </w:r>
          </w:p>
        </w:tc>
        <w:tc>
          <w:tcPr>
            <w:tcW w:w="2521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91.500,00€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91.500,00€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</w:tc>
      </w:tr>
      <w:tr w:rsidR="008B2B5E">
        <w:trPr>
          <w:jc w:val="center"/>
        </w:trPr>
        <w:tc>
          <w:tcPr>
            <w:tcW w:w="572" w:type="dxa"/>
            <w:shd w:val="clear" w:color="auto" w:fill="D9D9D9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2.</w:t>
            </w:r>
          </w:p>
        </w:tc>
        <w:tc>
          <w:tcPr>
            <w:tcW w:w="69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Unapređenje znanja, vještina i kompetencija nezaposlenih lica</w:t>
            </w:r>
          </w:p>
        </w:tc>
        <w:tc>
          <w:tcPr>
            <w:tcW w:w="2521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1.908.000,00€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1.908.000,00€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</w:tc>
      </w:tr>
      <w:tr w:rsidR="008B2B5E">
        <w:trPr>
          <w:jc w:val="center"/>
        </w:trPr>
        <w:tc>
          <w:tcPr>
            <w:tcW w:w="572" w:type="dxa"/>
            <w:shd w:val="clear" w:color="auto" w:fill="D9D9D9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3.</w:t>
            </w:r>
          </w:p>
        </w:tc>
        <w:tc>
          <w:tcPr>
            <w:tcW w:w="69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Unapređenje kompetencija zaposlenih</w:t>
            </w:r>
          </w:p>
        </w:tc>
        <w:tc>
          <w:tcPr>
            <w:tcW w:w="2521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538.450,00€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538.450,00€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</w:tc>
      </w:tr>
      <w:tr w:rsidR="008B2B5E">
        <w:trPr>
          <w:jc w:val="center"/>
        </w:trPr>
        <w:tc>
          <w:tcPr>
            <w:tcW w:w="572" w:type="dxa"/>
            <w:shd w:val="clear" w:color="auto" w:fill="D9D9D9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4.</w:t>
            </w:r>
          </w:p>
        </w:tc>
        <w:tc>
          <w:tcPr>
            <w:tcW w:w="6983" w:type="dxa"/>
          </w:tcPr>
          <w:p w:rsidR="008B2B5E" w:rsidRDefault="00A532C6">
            <w:pPr>
              <w:spacing w:before="40" w:after="40" w:line="240" w:lineRule="auto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Osiguranje kvaliteta u obrazovanju odraslih</w:t>
            </w:r>
          </w:p>
        </w:tc>
        <w:tc>
          <w:tcPr>
            <w:tcW w:w="2521" w:type="dxa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             n/a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</w:tc>
      </w:tr>
      <w:tr w:rsidR="008B2B5E">
        <w:trPr>
          <w:jc w:val="center"/>
        </w:trPr>
        <w:tc>
          <w:tcPr>
            <w:tcW w:w="572" w:type="dxa"/>
            <w:shd w:val="clear" w:color="auto" w:fill="D9D9D9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5.</w:t>
            </w:r>
          </w:p>
        </w:tc>
        <w:tc>
          <w:tcPr>
            <w:tcW w:w="6983" w:type="dxa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Obezbjeđenje fleksibilnog i održivog sistema obrazovanja odraslih</w:t>
            </w:r>
          </w:p>
        </w:tc>
        <w:tc>
          <w:tcPr>
            <w:tcW w:w="2521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             n/a</w:t>
            </w:r>
          </w:p>
        </w:tc>
        <w:tc>
          <w:tcPr>
            <w:tcW w:w="2522" w:type="dxa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</w:tc>
      </w:tr>
      <w:tr w:rsidR="008B2B5E">
        <w:trPr>
          <w:trHeight w:val="125"/>
          <w:jc w:val="center"/>
        </w:trPr>
        <w:tc>
          <w:tcPr>
            <w:tcW w:w="7555" w:type="dxa"/>
            <w:gridSpan w:val="2"/>
            <w:shd w:val="clear" w:color="auto" w:fill="D9D9D9"/>
          </w:tcPr>
          <w:p w:rsidR="008B2B5E" w:rsidRDefault="00A532C6">
            <w:pPr>
              <w:spacing w:before="40" w:after="40"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UKUPNO: </w:t>
            </w:r>
          </w:p>
        </w:tc>
        <w:tc>
          <w:tcPr>
            <w:tcW w:w="2521" w:type="dxa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bookmarkStart w:id="6" w:name="_heading=h.tyjcwt" w:colFirst="0" w:colLast="0"/>
            <w:bookmarkEnd w:id="6"/>
            <w:r>
              <w:rPr>
                <w:rFonts w:ascii="Trebuchet MS" w:eastAsia="Trebuchet MS" w:hAnsi="Trebuchet MS" w:cs="Trebuchet MS"/>
                <w:b/>
              </w:rPr>
              <w:t>2.537.950,00€</w:t>
            </w:r>
          </w:p>
        </w:tc>
        <w:tc>
          <w:tcPr>
            <w:tcW w:w="2522" w:type="dxa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2.537.950,00€</w:t>
            </w:r>
          </w:p>
        </w:tc>
        <w:tc>
          <w:tcPr>
            <w:tcW w:w="2522" w:type="dxa"/>
            <w:shd w:val="clear" w:color="auto" w:fill="D9D9D9"/>
            <w:vAlign w:val="center"/>
          </w:tcPr>
          <w:p w:rsidR="008B2B5E" w:rsidRDefault="00A532C6">
            <w:pPr>
              <w:spacing w:before="40" w:after="40" w:line="240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n/a</w:t>
            </w:r>
          </w:p>
        </w:tc>
      </w:tr>
    </w:tbl>
    <w:p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PREPORUKE ZA NAREDNE FAZE SPROVOĐENJA GODIŠNJEG PLANA OBRAZOVANJA ODRASLIH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U izradu narednog Godišnjeg plana obrazovanja odraslih za 2024. godinu potrebno je da se uključe predstavnici svih nadležnih ministarstava i institucije koje dobijaju sredstva iz bu</w:t>
      </w:r>
      <w:r>
        <w:rPr>
          <w:rFonts w:ascii="Trebuchet MS" w:eastAsia="Trebuchet MS" w:hAnsi="Trebuchet MS" w:cs="Trebuchet MS"/>
        </w:rPr>
        <w:t>džeta za različite oblike obrazovanja i usavršavanja. Jedino na ovaj način ćemo imati pregled utrošenih javnih sredstava za obrazovanje odraslih na nivou jedne godine i broja građana koji su bili uključeni u različite programe obrazovanja i učenja. Nakon u</w:t>
      </w:r>
      <w:r>
        <w:rPr>
          <w:rFonts w:ascii="Trebuchet MS" w:eastAsia="Trebuchet MS" w:hAnsi="Trebuchet MS" w:cs="Trebuchet MS"/>
        </w:rPr>
        <w:t xml:space="preserve">svajanja Nacionalnog budžeta potrebno je ostvariti komunikaciju sa predstavnicima institucija u cilju informisanja stručne javnosti o finansijskom planu obrazovanja odraslih za 2024. godinu. </w:t>
      </w:r>
    </w:p>
    <w:p w:rsidR="008B2B5E" w:rsidRDefault="00A532C6">
      <w:pPr>
        <w:spacing w:before="240" w:after="24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RASPOREĐIVANJE PROGRAMA NA JEDINICE LOKALNE SAMOUPRAVE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Za raspor</w:t>
      </w:r>
      <w:r>
        <w:rPr>
          <w:rFonts w:ascii="Trebuchet MS" w:eastAsia="Trebuchet MS" w:hAnsi="Trebuchet MS" w:cs="Trebuchet MS"/>
        </w:rPr>
        <w:t>eđivanje programa utvrđenih Planom obrazovanja odraslih za 2024. godinu na nivou jedinica lokalne samouprave nijesu dobijeni podaci od nadležnih institucija, a raspoređivanje programa vrši se u skla</w:t>
      </w:r>
      <w:r w:rsidR="00D77F5B">
        <w:rPr>
          <w:rFonts w:ascii="Trebuchet MS" w:eastAsia="Trebuchet MS" w:hAnsi="Trebuchet MS" w:cs="Trebuchet MS"/>
        </w:rPr>
        <w:t xml:space="preserve">du sa prijavljenim polaznicima, </w:t>
      </w:r>
      <w:r>
        <w:rPr>
          <w:rFonts w:ascii="Trebuchet MS" w:eastAsia="Trebuchet MS" w:hAnsi="Trebuchet MS" w:cs="Trebuchet MS"/>
        </w:rPr>
        <w:t>zainteresovanim za obrazov</w:t>
      </w:r>
      <w:r>
        <w:rPr>
          <w:rFonts w:ascii="Trebuchet MS" w:eastAsia="Trebuchet MS" w:hAnsi="Trebuchet MS" w:cs="Trebuchet MS"/>
        </w:rPr>
        <w:t>anje/obuku.</w:t>
      </w:r>
    </w:p>
    <w:p w:rsidR="008B2B5E" w:rsidRDefault="00A532C6">
      <w:pPr>
        <w:spacing w:before="240" w:after="24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(M.P.) 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Direktorica:</w:t>
      </w:r>
    </w:p>
    <w:p w:rsidR="008B2B5E" w:rsidRDefault="00A532C6">
      <w:pPr>
        <w:spacing w:before="240" w:after="240" w:line="240" w:lineRule="auto"/>
        <w:ind w:left="1152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Aleksandra Lalević</w:t>
      </w:r>
    </w:p>
    <w:sectPr w:rsidR="008B2B5E">
      <w:headerReference w:type="default" r:id="rId10"/>
      <w:footerReference w:type="default" r:id="rId11"/>
      <w:pgSz w:w="16840" w:h="11907" w:orient="landscape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C6" w:rsidRDefault="00A532C6">
      <w:pPr>
        <w:spacing w:after="0" w:line="240" w:lineRule="auto"/>
      </w:pPr>
      <w:r>
        <w:separator/>
      </w:r>
    </w:p>
  </w:endnote>
  <w:endnote w:type="continuationSeparator" w:id="0">
    <w:p w:rsidR="00A532C6" w:rsidRDefault="00A5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5E" w:rsidRDefault="00A532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fldChar w:fldCharType="begin"/>
    </w:r>
    <w:r>
      <w:rPr>
        <w:rFonts w:ascii="Trebuchet MS" w:eastAsia="Trebuchet MS" w:hAnsi="Trebuchet MS" w:cs="Trebuchet MS"/>
        <w:color w:val="000000"/>
        <w:sz w:val="20"/>
        <w:szCs w:val="20"/>
      </w:rPr>
      <w:instrText>PAGE</w:instrText>
    </w:r>
    <w:r w:rsidR="00032E48">
      <w:rPr>
        <w:rFonts w:ascii="Trebuchet MS" w:eastAsia="Trebuchet MS" w:hAnsi="Trebuchet MS" w:cs="Trebuchet MS"/>
        <w:color w:val="000000"/>
        <w:sz w:val="20"/>
        <w:szCs w:val="20"/>
      </w:rPr>
      <w:fldChar w:fldCharType="separate"/>
    </w:r>
    <w:r w:rsidR="00926A4E">
      <w:rPr>
        <w:rFonts w:ascii="Trebuchet MS" w:eastAsia="Trebuchet MS" w:hAnsi="Trebuchet MS" w:cs="Trebuchet MS"/>
        <w:noProof/>
        <w:color w:val="000000"/>
        <w:sz w:val="20"/>
        <w:szCs w:val="20"/>
      </w:rPr>
      <w:t>31</w: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end"/>
    </w:r>
  </w:p>
  <w:p w:rsidR="008B2B5E" w:rsidRDefault="008B2B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C6" w:rsidRDefault="00A532C6">
      <w:pPr>
        <w:spacing w:after="0" w:line="240" w:lineRule="auto"/>
      </w:pPr>
      <w:r>
        <w:separator/>
      </w:r>
    </w:p>
  </w:footnote>
  <w:footnote w:type="continuationSeparator" w:id="0">
    <w:p w:rsidR="00A532C6" w:rsidRDefault="00A532C6">
      <w:pPr>
        <w:spacing w:after="0" w:line="240" w:lineRule="auto"/>
      </w:pPr>
      <w:r>
        <w:continuationSeparator/>
      </w:r>
    </w:p>
  </w:footnote>
  <w:footnote w:id="1">
    <w:p w:rsidR="008B2B5E" w:rsidRDefault="00A532C6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>https://www.monstat.org/userfiles/file/popis2011/Saop_obraz%2014_06_2012_%20konacno%20PDF.pdf</w:t>
        </w:r>
      </w:hyperlink>
      <w:r>
        <w:rPr>
          <w:sz w:val="20"/>
          <w:szCs w:val="20"/>
        </w:rPr>
        <w:t xml:space="preserve"> </w:t>
      </w:r>
    </w:p>
  </w:footnote>
  <w:footnote w:id="2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Preporuke </w:t>
      </w:r>
      <w:r>
        <w:rPr>
          <w:color w:val="000000"/>
          <w:sz w:val="16"/>
          <w:szCs w:val="16"/>
        </w:rPr>
        <w:t>Savjeta o oblicima usavršavanja: Nove prilike za odrasle (19. decembar 2016) (2016/C 484/01).</w:t>
      </w:r>
    </w:p>
  </w:footnote>
  <w:footnote w:id="3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Obnovljena </w:t>
      </w:r>
      <w:r>
        <w:rPr>
          <w:color w:val="000000"/>
          <w:sz w:val="16"/>
          <w:szCs w:val="16"/>
        </w:rPr>
        <w:t>Evropska strategija za obrazovanje odraslih (2011/C 372/01).</w:t>
      </w:r>
    </w:p>
  </w:footnote>
  <w:footnote w:id="4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Preporuke </w:t>
      </w:r>
      <w:r>
        <w:rPr>
          <w:color w:val="000000"/>
          <w:sz w:val="16"/>
          <w:szCs w:val="16"/>
        </w:rPr>
        <w:t>Savjeta o ključnim kompetencijama za cjeloživotno učenje (22. maj</w:t>
      </w:r>
      <w:r>
        <w:rPr>
          <w:color w:val="000000"/>
          <w:sz w:val="16"/>
          <w:szCs w:val="16"/>
        </w:rPr>
        <w:t xml:space="preserve"> 2018) (2018/C 189/01). </w:t>
      </w:r>
    </w:p>
  </w:footnote>
  <w:footnote w:id="5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Dalje </w:t>
      </w:r>
      <w:r>
        <w:rPr>
          <w:color w:val="000000"/>
          <w:sz w:val="16"/>
          <w:szCs w:val="16"/>
        </w:rPr>
        <w:t xml:space="preserve">postupanje u vezi sa Strateškim okvirom za evropsku saradnju u području obrazovanja i osposobljavanja 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(ET 2020), Rezolucija Evropskog parlamenta od 23. juna 2016. o daljem postupanju u vezi sa Strateškim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okvirom za evropsk</w:t>
      </w:r>
      <w:r>
        <w:rPr>
          <w:color w:val="000000"/>
          <w:sz w:val="16"/>
          <w:szCs w:val="16"/>
        </w:rPr>
        <w:t>u saradnju u oblasti obrazovanja i osposobljavanja (ET 2020) (2015/2281 (INI).</w:t>
      </w:r>
    </w:p>
  </w:footnote>
  <w:footnote w:id="6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Novi </w:t>
      </w:r>
      <w:r>
        <w:rPr>
          <w:color w:val="000000"/>
          <w:sz w:val="16"/>
          <w:szCs w:val="16"/>
        </w:rPr>
        <w:t>program vještina za Evropu – Saradnja na jačanju ljudskog kapitala, zapošljivosti i konkurentnosti (10.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jun 2016).</w:t>
      </w:r>
    </w:p>
  </w:footnote>
  <w:footnote w:id="7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Obnovljena </w:t>
      </w:r>
      <w:r>
        <w:rPr>
          <w:color w:val="000000"/>
          <w:sz w:val="16"/>
          <w:szCs w:val="16"/>
        </w:rPr>
        <w:t>Evropska strategija za obrazovanje odraslih (2011/C 372/01).</w:t>
      </w:r>
    </w:p>
  </w:footnote>
  <w:footnote w:id="8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Preporuka </w:t>
      </w:r>
      <w:r>
        <w:rPr>
          <w:color w:val="000000"/>
          <w:sz w:val="16"/>
          <w:szCs w:val="16"/>
        </w:rPr>
        <w:t>iz Belema (2009).</w:t>
      </w:r>
    </w:p>
  </w:footnote>
  <w:footnote w:id="9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Nijesu </w:t>
      </w:r>
      <w:r>
        <w:rPr>
          <w:color w:val="000000"/>
          <w:sz w:val="20"/>
          <w:szCs w:val="20"/>
        </w:rPr>
        <w:t xml:space="preserve">konačna sredstva </w:t>
      </w:r>
    </w:p>
  </w:footnote>
  <w:footnote w:id="10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Sredstva </w:t>
      </w:r>
      <w:r>
        <w:rPr>
          <w:sz w:val="20"/>
          <w:szCs w:val="20"/>
        </w:rPr>
        <w:t>nijesu konačna</w:t>
      </w:r>
    </w:p>
  </w:footnote>
  <w:footnote w:id="11">
    <w:p w:rsidR="008B2B5E" w:rsidRDefault="00A532C6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Novi </w:t>
      </w:r>
      <w:r>
        <w:rPr>
          <w:sz w:val="16"/>
          <w:szCs w:val="16"/>
        </w:rPr>
        <w:t>program vještina za Evropu – Saradnja na jačanju ljudskog kapitala, zapošljivosti i konkurentnosti (10.  jun 2016).</w:t>
      </w:r>
    </w:p>
  </w:footnote>
  <w:footnote w:id="12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Budućnost </w:t>
      </w:r>
      <w:r>
        <w:rPr>
          <w:color w:val="000000"/>
          <w:sz w:val="16"/>
          <w:szCs w:val="16"/>
        </w:rPr>
        <w:t>rada – sticanje odgovarajućih znanja i vještina za ispunjavanje potreba budućih radnih mj</w:t>
      </w:r>
      <w:r>
        <w:rPr>
          <w:color w:val="000000"/>
          <w:sz w:val="16"/>
          <w:szCs w:val="16"/>
        </w:rPr>
        <w:t>esta</w:t>
      </w:r>
      <w:r w:rsidR="00DD2A99"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(Mišljenje Evropskog ekonomskog i socijalnog odbora) (2018).</w:t>
      </w:r>
    </w:p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</w:footnote>
  <w:footnote w:id="13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Nijesu </w:t>
      </w:r>
      <w:r>
        <w:rPr>
          <w:color w:val="000000"/>
          <w:sz w:val="20"/>
          <w:szCs w:val="20"/>
        </w:rPr>
        <w:t>konačna sredstva</w:t>
      </w:r>
    </w:p>
  </w:footnote>
  <w:footnote w:id="14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Nijesu </w:t>
      </w:r>
      <w:r>
        <w:rPr>
          <w:color w:val="000000"/>
          <w:sz w:val="20"/>
          <w:szCs w:val="20"/>
        </w:rPr>
        <w:t xml:space="preserve">konačna </w:t>
      </w:r>
      <w:r>
        <w:rPr>
          <w:sz w:val="20"/>
          <w:szCs w:val="20"/>
        </w:rPr>
        <w:t>sredstva</w:t>
      </w:r>
    </w:p>
  </w:footnote>
  <w:footnote w:id="15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Obnovljena Evropska strategija za obrazovanje odraslih (2011/C 372/01).</w:t>
      </w:r>
    </w:p>
  </w:footnote>
  <w:footnote w:id="16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Dalje </w:t>
      </w:r>
      <w:r>
        <w:rPr>
          <w:color w:val="000000"/>
          <w:sz w:val="16"/>
          <w:szCs w:val="16"/>
        </w:rPr>
        <w:t>postupanje u vezi sa Strateškim okvirom za evropsku s</w:t>
      </w:r>
      <w:r>
        <w:rPr>
          <w:color w:val="000000"/>
          <w:sz w:val="16"/>
          <w:szCs w:val="16"/>
        </w:rPr>
        <w:t>aradnju u području obrazovanja i osposobljavanja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(ET 2020), (2016).</w:t>
      </w:r>
    </w:p>
  </w:footnote>
  <w:footnote w:id="17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Preporuke </w:t>
      </w:r>
      <w:r>
        <w:rPr>
          <w:color w:val="000000"/>
          <w:sz w:val="16"/>
          <w:szCs w:val="16"/>
        </w:rPr>
        <w:t>Savjeta o oblicima usavršavanja: Nove prilike za odrasle (19. decembar 2016) (2016/C 484/01).</w:t>
      </w:r>
    </w:p>
  </w:footnote>
  <w:footnote w:id="18">
    <w:p w:rsidR="008B2B5E" w:rsidRDefault="00A53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Pojedine </w:t>
      </w:r>
      <w:r>
        <w:rPr>
          <w:color w:val="000000"/>
          <w:sz w:val="20"/>
          <w:szCs w:val="20"/>
        </w:rPr>
        <w:t>institucije su navele budžet za realizaciju predloženih aktivnosti koji</w:t>
      </w:r>
      <w:r>
        <w:rPr>
          <w:color w:val="000000"/>
          <w:sz w:val="20"/>
          <w:szCs w:val="20"/>
        </w:rPr>
        <w:t xml:space="preserve"> se ne odnosi samo na tekuću godinu, već se ta sredstva odnose u nekim predlozima i na više od jedne godine.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5E" w:rsidRDefault="008B2B5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143F"/>
    <w:multiLevelType w:val="multilevel"/>
    <w:tmpl w:val="B31E18DA"/>
    <w:lvl w:ilvl="0">
      <w:start w:val="10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016489"/>
    <w:multiLevelType w:val="multilevel"/>
    <w:tmpl w:val="4B86C350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C77983"/>
    <w:multiLevelType w:val="multilevel"/>
    <w:tmpl w:val="B504D9EE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4A77FE"/>
    <w:multiLevelType w:val="multilevel"/>
    <w:tmpl w:val="3BB2843A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832C50"/>
    <w:multiLevelType w:val="multilevel"/>
    <w:tmpl w:val="8F30CF2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31CC"/>
    <w:multiLevelType w:val="multilevel"/>
    <w:tmpl w:val="5CE0859A"/>
    <w:lvl w:ilvl="0">
      <w:start w:val="2"/>
      <w:numFmt w:val="bullet"/>
      <w:lvlText w:val="-"/>
      <w:lvlJc w:val="left"/>
      <w:pPr>
        <w:ind w:left="173" w:hanging="173"/>
      </w:pPr>
      <w:rPr>
        <w:rFonts w:ascii="Trebuchet MS" w:eastAsia="Trebuchet MS" w:hAnsi="Trebuchet MS" w:cs="Trebuchet M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4479DA"/>
    <w:multiLevelType w:val="multilevel"/>
    <w:tmpl w:val="DD3CF3A6"/>
    <w:lvl w:ilvl="0">
      <w:start w:val="10"/>
      <w:numFmt w:val="bullet"/>
      <w:lvlText w:val="-"/>
      <w:lvlJc w:val="left"/>
      <w:pPr>
        <w:ind w:left="893" w:hanging="360"/>
      </w:p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1E8112F"/>
    <w:multiLevelType w:val="multilevel"/>
    <w:tmpl w:val="EDB85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F78EF"/>
    <w:multiLevelType w:val="multilevel"/>
    <w:tmpl w:val="6B180BCA"/>
    <w:lvl w:ilvl="0">
      <w:start w:val="1"/>
      <w:numFmt w:val="bullet"/>
      <w:lvlText w:val="o"/>
      <w:lvlJc w:val="left"/>
      <w:pPr>
        <w:ind w:left="89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E"/>
    <w:rsid w:val="00001581"/>
    <w:rsid w:val="00012672"/>
    <w:rsid w:val="00021FBB"/>
    <w:rsid w:val="0002726B"/>
    <w:rsid w:val="00032E48"/>
    <w:rsid w:val="00043892"/>
    <w:rsid w:val="00043954"/>
    <w:rsid w:val="00091625"/>
    <w:rsid w:val="00092381"/>
    <w:rsid w:val="000A7DBF"/>
    <w:rsid w:val="000C2DB9"/>
    <w:rsid w:val="000E10FF"/>
    <w:rsid w:val="000F2E06"/>
    <w:rsid w:val="000F7E32"/>
    <w:rsid w:val="0011388A"/>
    <w:rsid w:val="00204777"/>
    <w:rsid w:val="002078C0"/>
    <w:rsid w:val="00216AAF"/>
    <w:rsid w:val="002245C8"/>
    <w:rsid w:val="002619E9"/>
    <w:rsid w:val="002A14E4"/>
    <w:rsid w:val="002A614F"/>
    <w:rsid w:val="002B5870"/>
    <w:rsid w:val="003237BB"/>
    <w:rsid w:val="003551F5"/>
    <w:rsid w:val="00390117"/>
    <w:rsid w:val="00393BFB"/>
    <w:rsid w:val="003C6D6F"/>
    <w:rsid w:val="00405E51"/>
    <w:rsid w:val="004418E0"/>
    <w:rsid w:val="0044600C"/>
    <w:rsid w:val="00567739"/>
    <w:rsid w:val="005956FF"/>
    <w:rsid w:val="005D0A19"/>
    <w:rsid w:val="005D0C97"/>
    <w:rsid w:val="0063546C"/>
    <w:rsid w:val="00636934"/>
    <w:rsid w:val="00641478"/>
    <w:rsid w:val="006507F0"/>
    <w:rsid w:val="00701EC0"/>
    <w:rsid w:val="00705F46"/>
    <w:rsid w:val="0077651C"/>
    <w:rsid w:val="00785A2C"/>
    <w:rsid w:val="007A5E70"/>
    <w:rsid w:val="007A6050"/>
    <w:rsid w:val="007A6A90"/>
    <w:rsid w:val="007C5C1C"/>
    <w:rsid w:val="007C6F9E"/>
    <w:rsid w:val="007E3145"/>
    <w:rsid w:val="007F6C88"/>
    <w:rsid w:val="008512D7"/>
    <w:rsid w:val="00890AA2"/>
    <w:rsid w:val="008B2B5E"/>
    <w:rsid w:val="008C07EF"/>
    <w:rsid w:val="00924049"/>
    <w:rsid w:val="00926A4E"/>
    <w:rsid w:val="00942ACA"/>
    <w:rsid w:val="00990A1A"/>
    <w:rsid w:val="009C0B4D"/>
    <w:rsid w:val="009C73D9"/>
    <w:rsid w:val="009E45E7"/>
    <w:rsid w:val="00A25ACB"/>
    <w:rsid w:val="00A52991"/>
    <w:rsid w:val="00A532C6"/>
    <w:rsid w:val="00A608C2"/>
    <w:rsid w:val="00AF0B97"/>
    <w:rsid w:val="00B05998"/>
    <w:rsid w:val="00B216E3"/>
    <w:rsid w:val="00B250B3"/>
    <w:rsid w:val="00B3732D"/>
    <w:rsid w:val="00B41AE6"/>
    <w:rsid w:val="00B47490"/>
    <w:rsid w:val="00B53D61"/>
    <w:rsid w:val="00B679A3"/>
    <w:rsid w:val="00B871F1"/>
    <w:rsid w:val="00B95C8C"/>
    <w:rsid w:val="00B961E4"/>
    <w:rsid w:val="00BA4EDF"/>
    <w:rsid w:val="00BB4E89"/>
    <w:rsid w:val="00BB7AA3"/>
    <w:rsid w:val="00BF7149"/>
    <w:rsid w:val="00C33E9F"/>
    <w:rsid w:val="00C74DAF"/>
    <w:rsid w:val="00C9410E"/>
    <w:rsid w:val="00CA6AF0"/>
    <w:rsid w:val="00D30CF8"/>
    <w:rsid w:val="00D74EAA"/>
    <w:rsid w:val="00D77F5B"/>
    <w:rsid w:val="00D87898"/>
    <w:rsid w:val="00DB1236"/>
    <w:rsid w:val="00DD2A99"/>
    <w:rsid w:val="00DE716D"/>
    <w:rsid w:val="00E3368E"/>
    <w:rsid w:val="00E51902"/>
    <w:rsid w:val="00E90ECB"/>
    <w:rsid w:val="00ED2F76"/>
    <w:rsid w:val="00EE5007"/>
    <w:rsid w:val="00F13C4F"/>
    <w:rsid w:val="00F168DF"/>
    <w:rsid w:val="00F476A1"/>
    <w:rsid w:val="00F8196E"/>
    <w:rsid w:val="00FB7FD5"/>
    <w:rsid w:val="00FD3E66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AE661-0AB8-4F84-B2D1-C952571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-SI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4C"/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  <w:style w:type="character" w:styleId="CommentReference">
    <w:name w:val="annotation reference"/>
    <w:basedOn w:val="DefaultParagraphFont"/>
    <w:uiPriority w:val="99"/>
    <w:unhideWhenUsed/>
    <w:rsid w:val="000B45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50C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C"/>
    <w:rPr>
      <w:rFonts w:cs="Calibri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52BC"/>
    <w:rPr>
      <w:rFonts w:cs="Calibri"/>
    </w:rPr>
  </w:style>
  <w:style w:type="paragraph" w:styleId="NoSpacing">
    <w:name w:val="No Spacing"/>
    <w:link w:val="NoSpacingChar"/>
    <w:uiPriority w:val="1"/>
    <w:qFormat/>
    <w:rsid w:val="00506881"/>
    <w:pPr>
      <w:ind w:firstLine="360"/>
    </w:pPr>
    <w:rPr>
      <w:rFonts w:eastAsia="Times New Roman"/>
      <w:lang w:bidi="en-US"/>
    </w:rPr>
  </w:style>
  <w:style w:type="character" w:customStyle="1" w:styleId="NoSpacingChar">
    <w:name w:val="No Spacing Char"/>
    <w:link w:val="NoSpacing"/>
    <w:uiPriority w:val="1"/>
    <w:rsid w:val="00506881"/>
    <w:rPr>
      <w:rFonts w:eastAsia="Times New Roman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542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2542"/>
    <w:rPr>
      <w:rFonts w:eastAsiaTheme="minorHAnsi" w:cs="Consolas"/>
      <w:szCs w:val="21"/>
    </w:rPr>
  </w:style>
  <w:style w:type="paragraph" w:customStyle="1" w:styleId="xmsonormal">
    <w:name w:val="x_msonormal"/>
    <w:basedOn w:val="Normal"/>
    <w:rsid w:val="000B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4B4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nstat.org/userfiles/file/popis2011/Saop_obraz%2014_06_2012_%20konacno%20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6W+K64dvpuxUVmK9XTXf3AMjKQ==">CgMxLjAyCGguZ2pkZ3hzMgloLjMwajB6bGwyCWguMWZvYjl0ZTIJaC4zem55c2g3MgloLjJldDkycDAyCGgudHlqY3d0OAByITFBTU51Sks5OTJhYXhzMzMweENrNDFWRlhQRTNYZlFvbg==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6049</Words>
  <Characters>34484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Boskovic</dc:creator>
  <cp:lastModifiedBy>Magdalena Jovanović</cp:lastModifiedBy>
  <cp:revision>117</cp:revision>
  <dcterms:created xsi:type="dcterms:W3CDTF">2024-01-29T15:31:00Z</dcterms:created>
  <dcterms:modified xsi:type="dcterms:W3CDTF">2024-01-29T17:00:00Z</dcterms:modified>
</cp:coreProperties>
</file>